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34896B4">
      <w:pPr>
        <w:rPr>
          <w:rFonts w:ascii="仿宋_GB2312" w:hAnsi="仿宋_GB2312" w:eastAsia="仿宋_GB2312" w:cs="仿宋_GB2312"/>
          <w:sz w:val="36"/>
          <w:szCs w:val="36"/>
        </w:rPr>
      </w:pPr>
    </w:p>
    <w:p w14:paraId="22CA6876">
      <w:pPr>
        <w:rPr>
          <w:rFonts w:ascii="仿宋_GB2312" w:hAnsi="仿宋_GB2312" w:eastAsia="仿宋_GB2312" w:cs="仿宋_GB2312"/>
          <w:sz w:val="36"/>
          <w:szCs w:val="36"/>
        </w:rPr>
      </w:pPr>
    </w:p>
    <w:p w14:paraId="4FF01D4E">
      <w:pPr>
        <w:rPr>
          <w:rFonts w:ascii="仿宋_GB2312" w:hAnsi="仿宋_GB2312" w:eastAsia="仿宋_GB2312" w:cs="仿宋_GB2312"/>
          <w:sz w:val="36"/>
          <w:szCs w:val="36"/>
        </w:rPr>
      </w:pPr>
    </w:p>
    <w:p w14:paraId="49A1089C">
      <w:pPr>
        <w:adjustRightInd w:val="0"/>
        <w:snapToGrid w:val="0"/>
        <w:jc w:val="center"/>
        <w:outlineLvl w:val="0"/>
        <w:rPr>
          <w:rFonts w:ascii="Times New Roman" w:hAnsi="Times New Roman" w:eastAsia="方正小标宋_GBK" w:cs="Times New Roman"/>
          <w:bCs/>
          <w:color w:val="auto"/>
          <w:sz w:val="72"/>
          <w:szCs w:val="72"/>
        </w:rPr>
      </w:pPr>
      <w:r>
        <w:rPr>
          <w:rFonts w:hint="eastAsia" w:ascii="Times New Roman" w:hAnsi="Times New Roman" w:eastAsia="方正小标宋_GBK" w:cs="Times New Roman"/>
          <w:bCs/>
          <w:color w:val="auto"/>
          <w:sz w:val="72"/>
          <w:szCs w:val="72"/>
        </w:rPr>
        <w:t>建设项目环境影响报告表</w:t>
      </w:r>
    </w:p>
    <w:p w14:paraId="41D42941">
      <w:pPr>
        <w:adjustRightInd w:val="0"/>
        <w:snapToGrid w:val="0"/>
        <w:spacing w:before="192" w:beforeLines="80"/>
        <w:jc w:val="center"/>
        <w:rPr>
          <w:rFonts w:ascii="楷体_GB2312" w:eastAsia="楷体_GB2312"/>
          <w:bCs/>
          <w:sz w:val="48"/>
          <w:szCs w:val="48"/>
        </w:rPr>
      </w:pPr>
      <w:r>
        <w:rPr>
          <w:rFonts w:hint="eastAsia" w:ascii="楷体_GB2312" w:eastAsia="楷体_GB2312"/>
          <w:bCs/>
          <w:sz w:val="48"/>
          <w:szCs w:val="48"/>
        </w:rPr>
        <w:t>（污染影响类）</w:t>
      </w:r>
    </w:p>
    <w:p w14:paraId="033F81A0">
      <w:pPr>
        <w:adjustRightInd w:val="0"/>
        <w:snapToGrid w:val="0"/>
        <w:spacing w:line="288" w:lineRule="auto"/>
        <w:jc w:val="center"/>
        <w:rPr>
          <w:rFonts w:ascii="华文仿宋" w:hAnsi="华文仿宋" w:eastAsia="华文仿宋" w:cs="华文仿宋"/>
          <w:color w:val="000000"/>
          <w:kern w:val="44"/>
          <w:sz w:val="44"/>
          <w:szCs w:val="44"/>
        </w:rPr>
      </w:pPr>
    </w:p>
    <w:p w14:paraId="365C96E4">
      <w:pPr>
        <w:jc w:val="center"/>
        <w:rPr>
          <w:rFonts w:eastAsia="仿宋"/>
          <w:sz w:val="52"/>
          <w:szCs w:val="52"/>
        </w:rPr>
      </w:pPr>
    </w:p>
    <w:p w14:paraId="1915726A">
      <w:pPr>
        <w:ind w:firstLine="1040"/>
        <w:rPr>
          <w:rFonts w:eastAsia="仿宋"/>
          <w:sz w:val="44"/>
          <w:szCs w:val="44"/>
          <w:highlight w:val="green"/>
        </w:rPr>
      </w:pPr>
    </w:p>
    <w:p w14:paraId="66D2FEDC">
      <w:pPr>
        <w:ind w:firstLine="1040"/>
        <w:rPr>
          <w:rFonts w:eastAsia="仿宋"/>
          <w:sz w:val="44"/>
          <w:szCs w:val="44"/>
          <w:highlight w:val="green"/>
        </w:rPr>
      </w:pPr>
    </w:p>
    <w:p w14:paraId="47881A29">
      <w:pPr>
        <w:ind w:firstLine="1040"/>
        <w:rPr>
          <w:rFonts w:eastAsia="仿宋"/>
          <w:sz w:val="44"/>
          <w:szCs w:val="44"/>
          <w:highlight w:val="green"/>
        </w:rPr>
      </w:pPr>
    </w:p>
    <w:p w14:paraId="4B60615F">
      <w:pPr>
        <w:ind w:firstLine="1040"/>
        <w:rPr>
          <w:rFonts w:eastAsia="仿宋"/>
          <w:sz w:val="44"/>
          <w:szCs w:val="44"/>
          <w:highlight w:val="green"/>
        </w:rPr>
      </w:pPr>
    </w:p>
    <w:p w14:paraId="31A910E6">
      <w:pPr>
        <w:ind w:firstLine="1040"/>
        <w:rPr>
          <w:rFonts w:eastAsia="仿宋"/>
          <w:sz w:val="44"/>
          <w:szCs w:val="44"/>
          <w:highlight w:val="green"/>
        </w:rPr>
      </w:pPr>
    </w:p>
    <w:p w14:paraId="6CC7CAF1">
      <w:pPr>
        <w:pStyle w:val="2"/>
        <w:ind w:left="420"/>
        <w:rPr>
          <w:highlight w:val="green"/>
        </w:rPr>
      </w:pPr>
    </w:p>
    <w:p w14:paraId="3E1F858A">
      <w:pPr>
        <w:ind w:firstLine="1040"/>
        <w:rPr>
          <w:rFonts w:eastAsia="仿宋"/>
          <w:sz w:val="44"/>
          <w:szCs w:val="44"/>
          <w:highlight w:val="green"/>
        </w:rPr>
      </w:pPr>
    </w:p>
    <w:p w14:paraId="5A52CF3B">
      <w:pPr>
        <w:adjustRightInd w:val="0"/>
        <w:snapToGrid w:val="0"/>
        <w:spacing w:line="288" w:lineRule="auto"/>
        <w:ind w:firstLine="1040"/>
        <w:rPr>
          <w:rFonts w:hint="eastAsia" w:ascii="仿宋" w:hAnsi="仿宋" w:eastAsia="仿宋" w:cs="仿宋"/>
          <w:sz w:val="36"/>
          <w:szCs w:val="36"/>
        </w:rPr>
      </w:pPr>
      <w:r>
        <w:rPr>
          <w:rFonts w:hint="eastAsia" w:ascii="仿宋" w:hAnsi="仿宋" w:eastAsia="仿宋" w:cs="仿宋"/>
          <w:sz w:val="36"/>
          <w:szCs w:val="36"/>
        </w:rPr>
        <w:t>项目名称：</w:t>
      </w:r>
      <w:r>
        <w:rPr>
          <w:rFonts w:hint="eastAsia" w:ascii="仿宋" w:hAnsi="仿宋" w:eastAsia="仿宋" w:cs="仿宋"/>
          <w:sz w:val="36"/>
          <w:szCs w:val="36"/>
          <w:u w:val="single"/>
        </w:rPr>
        <w:t>承德佳境环保科技有限公司新建</w:t>
      </w:r>
      <w:r>
        <w:rPr>
          <w:rFonts w:hint="eastAsia" w:ascii="仿宋" w:hAnsi="仿宋" w:eastAsia="仿宋" w:cs="仿宋"/>
          <w:sz w:val="36"/>
          <w:szCs w:val="36"/>
          <w:u w:val="single"/>
          <w:lang w:eastAsia="zh-CN"/>
        </w:rPr>
        <w:t>危险废物收集贮存库</w:t>
      </w:r>
      <w:r>
        <w:rPr>
          <w:rFonts w:hint="eastAsia" w:ascii="仿宋" w:hAnsi="仿宋" w:eastAsia="仿宋" w:cs="仿宋"/>
          <w:sz w:val="36"/>
          <w:szCs w:val="36"/>
          <w:u w:val="single"/>
        </w:rPr>
        <w:t>项目</w:t>
      </w:r>
    </w:p>
    <w:p w14:paraId="35E4EAF1">
      <w:pPr>
        <w:adjustRightInd w:val="0"/>
        <w:snapToGrid w:val="0"/>
        <w:spacing w:line="288" w:lineRule="auto"/>
        <w:ind w:firstLine="1040"/>
        <w:rPr>
          <w:rFonts w:hint="eastAsia" w:ascii="仿宋" w:hAnsi="仿宋" w:eastAsia="仿宋" w:cs="仿宋"/>
          <w:sz w:val="36"/>
          <w:szCs w:val="36"/>
          <w:u w:val="single"/>
          <w:lang w:eastAsia="zh-CN"/>
        </w:rPr>
      </w:pPr>
      <w:r>
        <w:rPr>
          <w:rFonts w:hint="eastAsia" w:ascii="仿宋" w:hAnsi="仿宋" w:eastAsia="仿宋" w:cs="仿宋"/>
          <w:sz w:val="36"/>
          <w:szCs w:val="36"/>
        </w:rPr>
        <w:t>建设单位（盖章）：</w:t>
      </w:r>
      <w:r>
        <w:rPr>
          <w:rFonts w:hint="eastAsia" w:ascii="仿宋" w:hAnsi="仿宋" w:eastAsia="仿宋" w:cs="仿宋"/>
          <w:sz w:val="36"/>
          <w:szCs w:val="36"/>
          <w:u w:val="single"/>
        </w:rPr>
        <w:t>承德佳境环保科技有限公司</w:t>
      </w:r>
    </w:p>
    <w:p w14:paraId="2A15F798">
      <w:pPr>
        <w:adjustRightInd w:val="0"/>
        <w:snapToGrid w:val="0"/>
        <w:spacing w:line="288" w:lineRule="auto"/>
        <w:ind w:firstLine="1040"/>
        <w:rPr>
          <w:rFonts w:hint="eastAsia" w:ascii="仿宋" w:hAnsi="仿宋" w:eastAsia="仿宋" w:cs="仿宋"/>
          <w:sz w:val="36"/>
          <w:szCs w:val="36"/>
        </w:rPr>
      </w:pPr>
      <w:r>
        <w:rPr>
          <w:rFonts w:hint="eastAsia" w:ascii="仿宋" w:hAnsi="仿宋" w:eastAsia="仿宋" w:cs="仿宋"/>
          <w:sz w:val="36"/>
          <w:szCs w:val="36"/>
        </w:rPr>
        <w:t>编制日期：</w:t>
      </w:r>
      <w:r>
        <w:rPr>
          <w:rFonts w:hint="eastAsia" w:ascii="仿宋" w:hAnsi="仿宋" w:eastAsia="仿宋" w:cs="仿宋"/>
          <w:sz w:val="36"/>
          <w:szCs w:val="36"/>
          <w:u w:val="single"/>
        </w:rPr>
        <w:t>2024年</w:t>
      </w:r>
      <w:r>
        <w:rPr>
          <w:rFonts w:hint="eastAsia" w:ascii="仿宋" w:hAnsi="仿宋" w:eastAsia="仿宋" w:cs="仿宋"/>
          <w:sz w:val="36"/>
          <w:szCs w:val="36"/>
          <w:u w:val="single"/>
          <w:lang w:val="en-US" w:eastAsia="zh-CN"/>
        </w:rPr>
        <w:t>11</w:t>
      </w:r>
      <w:r>
        <w:rPr>
          <w:rFonts w:hint="eastAsia" w:ascii="仿宋" w:hAnsi="仿宋" w:eastAsia="仿宋" w:cs="仿宋"/>
          <w:sz w:val="36"/>
          <w:szCs w:val="36"/>
          <w:u w:val="single"/>
        </w:rPr>
        <w:t>月</w:t>
      </w:r>
    </w:p>
    <w:p w14:paraId="27C8461B">
      <w:pPr>
        <w:adjustRightInd w:val="0"/>
        <w:snapToGrid w:val="0"/>
        <w:spacing w:line="288" w:lineRule="auto"/>
        <w:ind w:firstLine="1040"/>
        <w:rPr>
          <w:rFonts w:ascii="仿宋_GB2312" w:eastAsia="仿宋_GB2312"/>
          <w:sz w:val="36"/>
          <w:szCs w:val="36"/>
          <w:u w:val="single"/>
        </w:rPr>
      </w:pPr>
      <w:bookmarkStart w:id="0" w:name="_Hlk57884087"/>
    </w:p>
    <w:p w14:paraId="49364303">
      <w:pPr>
        <w:adjustRightInd w:val="0"/>
        <w:snapToGrid w:val="0"/>
        <w:spacing w:line="288" w:lineRule="auto"/>
        <w:ind w:firstLine="1040"/>
        <w:rPr>
          <w:rFonts w:ascii="仿宋_GB2312" w:eastAsia="仿宋_GB2312"/>
          <w:sz w:val="36"/>
          <w:szCs w:val="36"/>
        </w:rPr>
      </w:pPr>
    </w:p>
    <w:bookmarkEnd w:id="0"/>
    <w:p w14:paraId="41B5B5B0">
      <w:pPr>
        <w:adjustRightInd w:val="0"/>
        <w:snapToGrid w:val="0"/>
        <w:spacing w:line="288" w:lineRule="auto"/>
        <w:jc w:val="center"/>
        <w:rPr>
          <w:rFonts w:ascii="楷体_GB2312" w:eastAsia="楷体_GB2312"/>
          <w:sz w:val="36"/>
          <w:szCs w:val="36"/>
        </w:rPr>
      </w:pPr>
      <w:r>
        <w:rPr>
          <w:rFonts w:hint="eastAsia" w:ascii="楷体_GB2312" w:eastAsia="楷体_GB2312"/>
          <w:sz w:val="36"/>
          <w:szCs w:val="36"/>
        </w:rPr>
        <w:t>中华人民共和国生态环境部制</w:t>
      </w:r>
    </w:p>
    <w:p w14:paraId="7307F47B">
      <w:pPr>
        <w:adjustRightInd w:val="0"/>
        <w:snapToGrid w:val="0"/>
        <w:spacing w:line="288" w:lineRule="auto"/>
        <w:ind w:firstLine="1040"/>
        <w:rPr>
          <w:rFonts w:ascii="仿宋_GB2312" w:eastAsia="仿宋_GB2312"/>
          <w:sz w:val="36"/>
          <w:szCs w:val="36"/>
        </w:rPr>
      </w:pPr>
    </w:p>
    <w:p w14:paraId="133B00D5">
      <w:pPr>
        <w:pStyle w:val="2"/>
        <w:ind w:left="420"/>
        <w:rPr>
          <w:highlight w:val="green"/>
        </w:rPr>
      </w:pPr>
    </w:p>
    <w:p w14:paraId="599B9F74">
      <w:pPr>
        <w:pStyle w:val="2"/>
        <w:ind w:left="420"/>
        <w:rPr>
          <w:highlight w:val="green"/>
        </w:rPr>
      </w:pPr>
    </w:p>
    <w:p w14:paraId="1E4A8EBC">
      <w:pPr>
        <w:pStyle w:val="2"/>
        <w:ind w:left="420"/>
        <w:rPr>
          <w:highlight w:val="green"/>
        </w:rPr>
        <w:sectPr>
          <w:footerReference r:id="rId3" w:type="default"/>
          <w:footerReference r:id="rId4" w:type="even"/>
          <w:pgSz w:w="11906" w:h="16838"/>
          <w:pgMar w:top="1701" w:right="1531" w:bottom="1701" w:left="1531" w:header="851" w:footer="1077" w:gutter="0"/>
          <w:pgNumType w:start="3"/>
          <w:cols w:space="720" w:num="1"/>
          <w:docGrid w:linePitch="312" w:charSpace="0"/>
        </w:sectPr>
      </w:pPr>
    </w:p>
    <w:p w14:paraId="53E444F3">
      <w:pPr>
        <w:pStyle w:val="19"/>
        <w:spacing w:before="120" w:beforeLines="50" w:beforeAutospacing="0" w:after="240" w:afterLines="100" w:afterAutospacing="0"/>
        <w:jc w:val="center"/>
        <w:outlineLvl w:val="0"/>
        <w:rPr>
          <w:rFonts w:ascii="黑体" w:hAnsi="黑体" w:eastAsia="黑体"/>
          <w:snapToGrid w:val="0"/>
          <w:sz w:val="30"/>
          <w:szCs w:val="30"/>
        </w:rPr>
      </w:pPr>
      <w:r>
        <w:rPr>
          <w:rFonts w:hint="eastAsia" w:ascii="黑体" w:hAnsi="黑体" w:eastAsia="黑体"/>
          <w:snapToGrid w:val="0"/>
          <w:sz w:val="30"/>
          <w:szCs w:val="30"/>
        </w:rPr>
        <w:t>一、建设项目基本情况</w:t>
      </w:r>
    </w:p>
    <w:tbl>
      <w:tblPr>
        <w:tblStyle w:val="21"/>
        <w:tblW w:w="887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2382"/>
        <w:gridCol w:w="1637"/>
        <w:gridCol w:w="2212"/>
        <w:gridCol w:w="2639"/>
      </w:tblGrid>
      <w:tr w14:paraId="7222F1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74" w:hRule="atLeast"/>
          <w:jc w:val="center"/>
        </w:trPr>
        <w:tc>
          <w:tcPr>
            <w:tcW w:w="2382" w:type="dxa"/>
            <w:tcMar>
              <w:top w:w="16" w:type="dxa"/>
              <w:left w:w="16" w:type="dxa"/>
              <w:right w:w="16" w:type="dxa"/>
            </w:tcMar>
            <w:vAlign w:val="center"/>
          </w:tcPr>
          <w:p w14:paraId="7735EF7F">
            <w:pPr>
              <w:adjustRightInd w:val="0"/>
              <w:snapToGrid w:val="0"/>
              <w:jc w:val="center"/>
              <w:rPr>
                <w:rFonts w:ascii="宋体" w:hAnsi="宋体" w:cs="宋体"/>
                <w:b/>
                <w:sz w:val="24"/>
              </w:rPr>
            </w:pPr>
            <w:r>
              <w:rPr>
                <w:rFonts w:hint="eastAsia" w:ascii="宋体" w:hAnsi="宋体" w:cs="宋体"/>
                <w:b/>
                <w:sz w:val="24"/>
              </w:rPr>
              <w:t>建设项目名称</w:t>
            </w:r>
          </w:p>
        </w:tc>
        <w:tc>
          <w:tcPr>
            <w:tcW w:w="6488" w:type="dxa"/>
            <w:gridSpan w:val="3"/>
            <w:vAlign w:val="center"/>
          </w:tcPr>
          <w:p w14:paraId="6B31D771">
            <w:pPr>
              <w:adjustRightInd w:val="0"/>
              <w:snapToGrid w:val="0"/>
              <w:jc w:val="center"/>
              <w:rPr>
                <w:rFonts w:hint="default" w:eastAsia="宋体"/>
                <w:spacing w:val="-10"/>
                <w:sz w:val="24"/>
                <w:lang w:val="en-US" w:eastAsia="zh-CN"/>
              </w:rPr>
            </w:pPr>
            <w:r>
              <w:rPr>
                <w:rFonts w:hint="eastAsia"/>
                <w:spacing w:val="-10"/>
                <w:sz w:val="24"/>
                <w:lang w:val="en-US" w:eastAsia="zh-CN"/>
              </w:rPr>
              <w:t>承德佳境环保科技有限公司新建危险废物收集贮存库项目</w:t>
            </w:r>
          </w:p>
        </w:tc>
      </w:tr>
      <w:tr w14:paraId="0A923C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82" w:hRule="atLeast"/>
          <w:jc w:val="center"/>
        </w:trPr>
        <w:tc>
          <w:tcPr>
            <w:tcW w:w="2382" w:type="dxa"/>
            <w:tcMar>
              <w:top w:w="16" w:type="dxa"/>
              <w:left w:w="16" w:type="dxa"/>
              <w:right w:w="16" w:type="dxa"/>
            </w:tcMar>
            <w:vAlign w:val="center"/>
          </w:tcPr>
          <w:p w14:paraId="41875CD0">
            <w:pPr>
              <w:adjustRightInd w:val="0"/>
              <w:snapToGrid w:val="0"/>
              <w:jc w:val="center"/>
              <w:rPr>
                <w:rFonts w:ascii="宋体" w:hAnsi="宋体" w:cs="宋体"/>
                <w:b/>
                <w:sz w:val="24"/>
              </w:rPr>
            </w:pPr>
            <w:r>
              <w:rPr>
                <w:rFonts w:hint="eastAsia" w:ascii="宋体" w:hAnsi="宋体" w:cs="宋体"/>
                <w:b/>
                <w:sz w:val="24"/>
              </w:rPr>
              <w:t>项目代码</w:t>
            </w:r>
          </w:p>
        </w:tc>
        <w:tc>
          <w:tcPr>
            <w:tcW w:w="6488" w:type="dxa"/>
            <w:gridSpan w:val="3"/>
            <w:vAlign w:val="center"/>
          </w:tcPr>
          <w:p w14:paraId="01007B99">
            <w:pPr>
              <w:adjustRightInd w:val="0"/>
              <w:snapToGrid w:val="0"/>
              <w:jc w:val="center"/>
              <w:rPr>
                <w:rFonts w:hint="default" w:eastAsia="宋体"/>
                <w:sz w:val="24"/>
                <w:lang w:val="en-US" w:eastAsia="zh-CN"/>
              </w:rPr>
            </w:pPr>
            <w:r>
              <w:rPr>
                <w:rFonts w:hint="eastAsia"/>
                <w:sz w:val="24"/>
                <w:lang w:val="en-US" w:eastAsia="zh-CN"/>
              </w:rPr>
              <w:t>2411-130827-89-01-879029</w:t>
            </w:r>
          </w:p>
        </w:tc>
      </w:tr>
      <w:tr w14:paraId="3CCE67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90" w:hRule="atLeast"/>
          <w:jc w:val="center"/>
        </w:trPr>
        <w:tc>
          <w:tcPr>
            <w:tcW w:w="2382" w:type="dxa"/>
            <w:tcMar>
              <w:top w:w="16" w:type="dxa"/>
              <w:left w:w="16" w:type="dxa"/>
              <w:right w:w="16" w:type="dxa"/>
            </w:tcMar>
            <w:vAlign w:val="center"/>
          </w:tcPr>
          <w:p w14:paraId="2727E2E1">
            <w:pPr>
              <w:adjustRightInd w:val="0"/>
              <w:snapToGrid w:val="0"/>
              <w:jc w:val="center"/>
              <w:rPr>
                <w:rFonts w:ascii="宋体" w:hAnsi="宋体" w:cs="宋体"/>
                <w:b/>
                <w:sz w:val="24"/>
              </w:rPr>
            </w:pPr>
            <w:r>
              <w:rPr>
                <w:rFonts w:hint="eastAsia" w:ascii="宋体" w:hAnsi="宋体" w:cs="宋体"/>
                <w:b/>
                <w:sz w:val="24"/>
              </w:rPr>
              <w:t>建设单位联系人</w:t>
            </w:r>
          </w:p>
        </w:tc>
        <w:tc>
          <w:tcPr>
            <w:tcW w:w="1637" w:type="dxa"/>
            <w:vAlign w:val="center"/>
          </w:tcPr>
          <w:p w14:paraId="403791B1">
            <w:pPr>
              <w:adjustRightInd w:val="0"/>
              <w:snapToGrid w:val="0"/>
              <w:jc w:val="center"/>
              <w:rPr>
                <w:rFonts w:hint="default" w:ascii="宋体" w:hAnsi="宋体" w:eastAsia="宋体" w:cs="宋体"/>
                <w:sz w:val="24"/>
                <w:lang w:val="en-US" w:eastAsia="zh-CN"/>
              </w:rPr>
            </w:pPr>
            <w:r>
              <w:rPr>
                <w:rFonts w:hint="eastAsia" w:ascii="宋体" w:hAnsi="宋体" w:cs="宋体"/>
                <w:sz w:val="24"/>
                <w:lang w:val="en-US" w:eastAsia="zh-CN"/>
              </w:rPr>
              <w:t>王景亮</w:t>
            </w:r>
          </w:p>
        </w:tc>
        <w:tc>
          <w:tcPr>
            <w:tcW w:w="2212" w:type="dxa"/>
            <w:vAlign w:val="center"/>
          </w:tcPr>
          <w:p w14:paraId="2EDCFB1F">
            <w:pPr>
              <w:adjustRightInd w:val="0"/>
              <w:snapToGrid w:val="0"/>
              <w:jc w:val="center"/>
              <w:rPr>
                <w:rFonts w:ascii="宋体" w:hAnsi="宋体" w:cs="宋体"/>
                <w:b/>
                <w:sz w:val="24"/>
              </w:rPr>
            </w:pPr>
            <w:r>
              <w:rPr>
                <w:rFonts w:hint="eastAsia" w:ascii="宋体" w:hAnsi="宋体" w:cs="宋体"/>
                <w:b/>
                <w:sz w:val="24"/>
              </w:rPr>
              <w:t>联系方式</w:t>
            </w:r>
          </w:p>
        </w:tc>
        <w:tc>
          <w:tcPr>
            <w:tcW w:w="2639" w:type="dxa"/>
            <w:vAlign w:val="center"/>
          </w:tcPr>
          <w:p w14:paraId="6E9A9EE3">
            <w:pPr>
              <w:adjustRightInd w:val="0"/>
              <w:snapToGrid w:val="0"/>
              <w:jc w:val="center"/>
              <w:rPr>
                <w:sz w:val="24"/>
              </w:rPr>
            </w:pPr>
            <w:r>
              <w:rPr>
                <w:rFonts w:hint="eastAsia"/>
                <w:sz w:val="24"/>
              </w:rPr>
              <w:t>15831411999</w:t>
            </w:r>
          </w:p>
        </w:tc>
      </w:tr>
      <w:tr w14:paraId="15A489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73" w:hRule="atLeast"/>
          <w:jc w:val="center"/>
        </w:trPr>
        <w:tc>
          <w:tcPr>
            <w:tcW w:w="2382" w:type="dxa"/>
            <w:tcMar>
              <w:top w:w="16" w:type="dxa"/>
              <w:left w:w="16" w:type="dxa"/>
              <w:right w:w="16" w:type="dxa"/>
            </w:tcMar>
            <w:vAlign w:val="center"/>
          </w:tcPr>
          <w:p w14:paraId="5560798F">
            <w:pPr>
              <w:adjustRightInd w:val="0"/>
              <w:snapToGrid w:val="0"/>
              <w:jc w:val="center"/>
              <w:rPr>
                <w:rFonts w:ascii="宋体" w:hAnsi="宋体" w:cs="宋体"/>
                <w:b/>
                <w:sz w:val="24"/>
              </w:rPr>
            </w:pPr>
            <w:r>
              <w:rPr>
                <w:rFonts w:hint="eastAsia" w:ascii="宋体" w:hAnsi="宋体" w:cs="宋体"/>
                <w:b/>
                <w:sz w:val="24"/>
              </w:rPr>
              <w:t>建设地点</w:t>
            </w:r>
          </w:p>
        </w:tc>
        <w:tc>
          <w:tcPr>
            <w:tcW w:w="6488" w:type="dxa"/>
            <w:gridSpan w:val="3"/>
            <w:vAlign w:val="center"/>
          </w:tcPr>
          <w:p w14:paraId="712438D0">
            <w:pPr>
              <w:adjustRightInd w:val="0"/>
              <w:snapToGrid w:val="0"/>
              <w:jc w:val="center"/>
              <w:rPr>
                <w:rFonts w:hint="eastAsia" w:ascii="宋体" w:hAnsi="宋体" w:eastAsia="宋体" w:cs="宋体"/>
                <w:spacing w:val="-2"/>
                <w:sz w:val="24"/>
                <w:lang w:eastAsia="zh-CN"/>
              </w:rPr>
            </w:pPr>
            <w:r>
              <w:rPr>
                <w:rFonts w:hint="eastAsia" w:ascii="宋体" w:hAnsi="宋体" w:cs="宋体"/>
                <w:spacing w:val="-2"/>
                <w:sz w:val="24"/>
                <w:u w:val="single"/>
              </w:rPr>
              <w:t>河北</w:t>
            </w:r>
            <w:r>
              <w:rPr>
                <w:rFonts w:hint="eastAsia" w:ascii="宋体" w:hAnsi="宋体" w:cs="宋体"/>
                <w:spacing w:val="-2"/>
                <w:sz w:val="24"/>
              </w:rPr>
              <w:t>省</w:t>
            </w:r>
            <w:r>
              <w:rPr>
                <w:rFonts w:hint="eastAsia" w:ascii="宋体" w:hAnsi="宋体" w:cs="宋体"/>
                <w:spacing w:val="-2"/>
                <w:sz w:val="24"/>
                <w:u w:val="single"/>
              </w:rPr>
              <w:t>承德</w:t>
            </w:r>
            <w:r>
              <w:rPr>
                <w:rFonts w:hint="eastAsia" w:ascii="宋体" w:hAnsi="宋体" w:cs="宋体"/>
                <w:spacing w:val="-2"/>
                <w:sz w:val="24"/>
              </w:rPr>
              <w:t>市</w:t>
            </w:r>
            <w:r>
              <w:rPr>
                <w:rFonts w:hint="eastAsia" w:ascii="宋体" w:hAnsi="宋体" w:cs="宋体"/>
                <w:spacing w:val="-2"/>
                <w:sz w:val="24"/>
                <w:u w:val="single"/>
                <w:lang w:val="en-US" w:eastAsia="zh-CN"/>
              </w:rPr>
              <w:t>宽城满族自治</w:t>
            </w:r>
            <w:r>
              <w:rPr>
                <w:rFonts w:hint="eastAsia" w:ascii="宋体" w:hAnsi="宋体" w:cs="宋体"/>
                <w:spacing w:val="-2"/>
                <w:sz w:val="24"/>
                <w:u w:val="none"/>
                <w:lang w:val="en-US" w:eastAsia="zh-CN"/>
              </w:rPr>
              <w:t>县</w:t>
            </w:r>
            <w:r>
              <w:rPr>
                <w:rFonts w:hint="eastAsia" w:ascii="宋体" w:hAnsi="宋体" w:cs="宋体"/>
                <w:spacing w:val="-2"/>
                <w:sz w:val="24"/>
                <w:u w:val="single"/>
                <w:lang w:val="en-US" w:eastAsia="zh-CN"/>
              </w:rPr>
              <w:t>经济开发区</w:t>
            </w:r>
          </w:p>
        </w:tc>
      </w:tr>
      <w:tr w14:paraId="109908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83" w:hRule="atLeast"/>
          <w:jc w:val="center"/>
        </w:trPr>
        <w:tc>
          <w:tcPr>
            <w:tcW w:w="2382" w:type="dxa"/>
            <w:tcMar>
              <w:top w:w="16" w:type="dxa"/>
              <w:left w:w="16" w:type="dxa"/>
              <w:right w:w="16" w:type="dxa"/>
            </w:tcMar>
            <w:vAlign w:val="center"/>
          </w:tcPr>
          <w:p w14:paraId="644B7D58">
            <w:pPr>
              <w:adjustRightInd w:val="0"/>
              <w:snapToGrid w:val="0"/>
              <w:jc w:val="center"/>
              <w:rPr>
                <w:rFonts w:ascii="宋体" w:hAnsi="宋体" w:cs="宋体"/>
                <w:b/>
                <w:sz w:val="24"/>
              </w:rPr>
            </w:pPr>
            <w:r>
              <w:rPr>
                <w:rFonts w:hint="eastAsia" w:ascii="宋体" w:hAnsi="宋体" w:cs="宋体"/>
                <w:b/>
                <w:sz w:val="24"/>
              </w:rPr>
              <w:t>地理坐标</w:t>
            </w:r>
          </w:p>
        </w:tc>
        <w:tc>
          <w:tcPr>
            <w:tcW w:w="6488" w:type="dxa"/>
            <w:gridSpan w:val="3"/>
            <w:vAlign w:val="center"/>
          </w:tcPr>
          <w:p w14:paraId="3F1480AB">
            <w:pPr>
              <w:jc w:val="center"/>
              <w:rPr>
                <w:rFonts w:ascii="宋体" w:hAnsi="宋体" w:cs="宋体"/>
                <w:sz w:val="24"/>
              </w:rPr>
            </w:pPr>
            <w:r>
              <w:rPr>
                <w:rFonts w:hint="eastAsia" w:ascii="宋体" w:hAnsi="宋体" w:cs="宋体"/>
                <w:sz w:val="24"/>
              </w:rPr>
              <w:t>（</w:t>
            </w:r>
            <w:r>
              <w:rPr>
                <w:sz w:val="24"/>
                <w:u w:val="single"/>
              </w:rPr>
              <w:t>118</w:t>
            </w:r>
            <w:r>
              <w:rPr>
                <w:sz w:val="24"/>
              </w:rPr>
              <w:t>度</w:t>
            </w:r>
            <w:r>
              <w:rPr>
                <w:rFonts w:hint="eastAsia"/>
                <w:sz w:val="24"/>
                <w:u w:val="single"/>
                <w:lang w:val="en-US" w:eastAsia="zh-CN"/>
              </w:rPr>
              <w:t>34</w:t>
            </w:r>
            <w:r>
              <w:rPr>
                <w:sz w:val="24"/>
              </w:rPr>
              <w:t>分</w:t>
            </w:r>
            <w:r>
              <w:rPr>
                <w:rFonts w:hint="eastAsia"/>
                <w:sz w:val="24"/>
                <w:u w:val="single"/>
                <w:lang w:val="en-US" w:eastAsia="zh-CN"/>
              </w:rPr>
              <w:t>7</w:t>
            </w:r>
            <w:r>
              <w:rPr>
                <w:sz w:val="24"/>
                <w:u w:val="single"/>
              </w:rPr>
              <w:t>.</w:t>
            </w:r>
            <w:r>
              <w:rPr>
                <w:rFonts w:hint="eastAsia"/>
                <w:sz w:val="24"/>
                <w:u w:val="single"/>
                <w:lang w:val="en-US" w:eastAsia="zh-CN"/>
              </w:rPr>
              <w:t>425</w:t>
            </w:r>
            <w:r>
              <w:rPr>
                <w:sz w:val="24"/>
              </w:rPr>
              <w:t>秒，</w:t>
            </w:r>
            <w:r>
              <w:rPr>
                <w:sz w:val="24"/>
                <w:u w:val="single"/>
              </w:rPr>
              <w:t>4</w:t>
            </w:r>
            <w:r>
              <w:rPr>
                <w:rFonts w:hint="eastAsia"/>
                <w:sz w:val="24"/>
                <w:u w:val="single"/>
                <w:lang w:val="en-US" w:eastAsia="zh-CN"/>
              </w:rPr>
              <w:t>0</w:t>
            </w:r>
            <w:r>
              <w:rPr>
                <w:sz w:val="24"/>
              </w:rPr>
              <w:t>度</w:t>
            </w:r>
            <w:r>
              <w:rPr>
                <w:rFonts w:hint="eastAsia"/>
                <w:sz w:val="24"/>
                <w:u w:val="single"/>
                <w:lang w:val="en-US" w:eastAsia="zh-CN"/>
              </w:rPr>
              <w:t>40</w:t>
            </w:r>
            <w:r>
              <w:rPr>
                <w:sz w:val="24"/>
              </w:rPr>
              <w:t>分</w:t>
            </w:r>
            <w:r>
              <w:rPr>
                <w:rFonts w:hint="eastAsia"/>
                <w:sz w:val="24"/>
                <w:u w:val="single"/>
                <w:lang w:val="en-US" w:eastAsia="zh-CN"/>
              </w:rPr>
              <w:t>18</w:t>
            </w:r>
            <w:r>
              <w:rPr>
                <w:sz w:val="24"/>
                <w:u w:val="single"/>
              </w:rPr>
              <w:t>.</w:t>
            </w:r>
            <w:r>
              <w:rPr>
                <w:rFonts w:hint="eastAsia"/>
                <w:sz w:val="24"/>
                <w:u w:val="single"/>
                <w:lang w:val="en-US" w:eastAsia="zh-CN"/>
              </w:rPr>
              <w:t>958</w:t>
            </w:r>
            <w:r>
              <w:rPr>
                <w:sz w:val="24"/>
              </w:rPr>
              <w:t>秒</w:t>
            </w:r>
            <w:r>
              <w:rPr>
                <w:rFonts w:hint="eastAsia" w:ascii="宋体" w:hAnsi="宋体" w:cs="宋体"/>
                <w:sz w:val="24"/>
              </w:rPr>
              <w:t>）</w:t>
            </w:r>
          </w:p>
        </w:tc>
      </w:tr>
      <w:tr w14:paraId="70DEB1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968" w:hRule="atLeast"/>
          <w:jc w:val="center"/>
        </w:trPr>
        <w:tc>
          <w:tcPr>
            <w:tcW w:w="2382" w:type="dxa"/>
            <w:tcMar>
              <w:top w:w="16" w:type="dxa"/>
              <w:left w:w="16" w:type="dxa"/>
              <w:right w:w="16" w:type="dxa"/>
            </w:tcMar>
            <w:vAlign w:val="center"/>
          </w:tcPr>
          <w:p w14:paraId="59F90A2C">
            <w:pPr>
              <w:adjustRightInd w:val="0"/>
              <w:snapToGrid w:val="0"/>
              <w:jc w:val="center"/>
              <w:rPr>
                <w:rFonts w:ascii="宋体" w:hAnsi="宋体" w:cs="宋体"/>
                <w:b/>
                <w:sz w:val="24"/>
              </w:rPr>
            </w:pPr>
            <w:r>
              <w:rPr>
                <w:rFonts w:hint="eastAsia" w:ascii="宋体" w:hAnsi="宋体" w:cs="宋体"/>
                <w:b/>
                <w:sz w:val="24"/>
              </w:rPr>
              <w:t>国民经济</w:t>
            </w:r>
          </w:p>
          <w:p w14:paraId="42082728">
            <w:pPr>
              <w:adjustRightInd w:val="0"/>
              <w:snapToGrid w:val="0"/>
              <w:jc w:val="center"/>
              <w:rPr>
                <w:rFonts w:ascii="宋体" w:hAnsi="宋体" w:cs="宋体"/>
                <w:b/>
                <w:sz w:val="24"/>
              </w:rPr>
            </w:pPr>
            <w:r>
              <w:rPr>
                <w:rFonts w:hint="eastAsia" w:ascii="宋体" w:hAnsi="宋体" w:cs="宋体"/>
                <w:b/>
                <w:sz w:val="24"/>
              </w:rPr>
              <w:t>行业类别</w:t>
            </w:r>
          </w:p>
        </w:tc>
        <w:tc>
          <w:tcPr>
            <w:tcW w:w="1637" w:type="dxa"/>
            <w:vAlign w:val="center"/>
          </w:tcPr>
          <w:p w14:paraId="4DD2F5F5">
            <w:pPr>
              <w:adjustRightInd w:val="0"/>
              <w:snapToGrid w:val="0"/>
              <w:jc w:val="center"/>
              <w:rPr>
                <w:sz w:val="24"/>
              </w:rPr>
            </w:pPr>
            <w:r>
              <w:rPr>
                <w:rFonts w:hint="eastAsia"/>
                <w:sz w:val="24"/>
              </w:rPr>
              <w:t>N7724危险废物治理</w:t>
            </w:r>
          </w:p>
        </w:tc>
        <w:tc>
          <w:tcPr>
            <w:tcW w:w="2212" w:type="dxa"/>
            <w:vAlign w:val="center"/>
          </w:tcPr>
          <w:p w14:paraId="31329C56">
            <w:pPr>
              <w:adjustRightInd w:val="0"/>
              <w:snapToGrid w:val="0"/>
              <w:jc w:val="center"/>
              <w:rPr>
                <w:rFonts w:ascii="宋体" w:hAnsi="宋体" w:cs="宋体"/>
                <w:b/>
                <w:sz w:val="24"/>
              </w:rPr>
            </w:pPr>
            <w:bookmarkStart w:id="1" w:name="_Hlk49843745"/>
            <w:r>
              <w:rPr>
                <w:rFonts w:hint="eastAsia" w:ascii="宋体" w:hAnsi="宋体" w:cs="宋体"/>
                <w:b/>
                <w:sz w:val="24"/>
              </w:rPr>
              <w:t>建设项目</w:t>
            </w:r>
          </w:p>
          <w:p w14:paraId="7DA44B08">
            <w:pPr>
              <w:adjustRightInd w:val="0"/>
              <w:snapToGrid w:val="0"/>
              <w:jc w:val="center"/>
              <w:rPr>
                <w:rFonts w:ascii="宋体" w:hAnsi="宋体" w:cs="宋体"/>
                <w:b/>
                <w:sz w:val="24"/>
              </w:rPr>
            </w:pPr>
            <w:r>
              <w:rPr>
                <w:rFonts w:hint="eastAsia" w:ascii="宋体" w:hAnsi="宋体" w:cs="宋体"/>
                <w:b/>
                <w:sz w:val="24"/>
              </w:rPr>
              <w:t>行业类别</w:t>
            </w:r>
            <w:bookmarkEnd w:id="1"/>
          </w:p>
        </w:tc>
        <w:tc>
          <w:tcPr>
            <w:tcW w:w="2639" w:type="dxa"/>
            <w:vAlign w:val="center"/>
          </w:tcPr>
          <w:p w14:paraId="22DF702A">
            <w:pPr>
              <w:adjustRightInd w:val="0"/>
              <w:snapToGrid w:val="0"/>
              <w:jc w:val="center"/>
              <w:rPr>
                <w:sz w:val="24"/>
              </w:rPr>
            </w:pPr>
            <w:r>
              <w:rPr>
                <w:rFonts w:hint="eastAsia"/>
                <w:sz w:val="24"/>
              </w:rPr>
              <w:t>四十七、生态保护和环境治理业-101、危险废物（不含医疗废物）利用及处置-其他</w:t>
            </w:r>
          </w:p>
        </w:tc>
      </w:tr>
      <w:tr w14:paraId="691327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101" w:hRule="atLeast"/>
          <w:jc w:val="center"/>
        </w:trPr>
        <w:tc>
          <w:tcPr>
            <w:tcW w:w="2382" w:type="dxa"/>
            <w:tcMar>
              <w:top w:w="16" w:type="dxa"/>
              <w:left w:w="16" w:type="dxa"/>
              <w:right w:w="16" w:type="dxa"/>
            </w:tcMar>
            <w:vAlign w:val="center"/>
          </w:tcPr>
          <w:p w14:paraId="2A43EF93">
            <w:pPr>
              <w:adjustRightInd w:val="0"/>
              <w:snapToGrid w:val="0"/>
              <w:jc w:val="center"/>
              <w:rPr>
                <w:rFonts w:ascii="宋体" w:hAnsi="宋体" w:cs="宋体"/>
                <w:b/>
                <w:sz w:val="24"/>
              </w:rPr>
            </w:pPr>
            <w:r>
              <w:rPr>
                <w:rFonts w:hint="eastAsia" w:ascii="宋体" w:hAnsi="宋体" w:cs="宋体"/>
                <w:b/>
                <w:sz w:val="24"/>
              </w:rPr>
              <w:t>建设性质</w:t>
            </w:r>
          </w:p>
        </w:tc>
        <w:tc>
          <w:tcPr>
            <w:tcW w:w="1637" w:type="dxa"/>
            <w:vAlign w:val="center"/>
          </w:tcPr>
          <w:p w14:paraId="0B4A9AC5">
            <w:pPr>
              <w:rPr>
                <w:rFonts w:ascii="宋体" w:hAnsi="宋体" w:cs="宋体"/>
                <w:sz w:val="24"/>
              </w:rPr>
            </w:pPr>
            <w:r>
              <w:rPr>
                <w:rFonts w:ascii="Segoe UI Symbol" w:hAnsi="Segoe UI Symbol" w:cs="Segoe UI Symbol"/>
                <w:sz w:val="24"/>
              </w:rPr>
              <w:t>☑</w:t>
            </w:r>
            <w:r>
              <w:rPr>
                <w:rFonts w:hint="eastAsia" w:ascii="宋体" w:hAnsi="宋体" w:cs="宋体"/>
                <w:sz w:val="24"/>
              </w:rPr>
              <w:t>新建（迁建）</w:t>
            </w:r>
          </w:p>
          <w:p w14:paraId="48202C2A">
            <w:pPr>
              <w:jc w:val="left"/>
              <w:rPr>
                <w:rFonts w:ascii="宋体" w:hAnsi="宋体" w:cs="宋体"/>
                <w:sz w:val="24"/>
              </w:rPr>
            </w:pPr>
            <w:r>
              <w:rPr>
                <w:rFonts w:hint="eastAsia" w:ascii="宋体" w:hAnsi="宋体" w:cs="宋体"/>
                <w:sz w:val="24"/>
              </w:rPr>
              <w:t>□改建</w:t>
            </w:r>
          </w:p>
          <w:p w14:paraId="154B34BB">
            <w:pPr>
              <w:jc w:val="left"/>
              <w:rPr>
                <w:rFonts w:ascii="宋体" w:hAnsi="宋体" w:cs="宋体"/>
                <w:sz w:val="24"/>
              </w:rPr>
            </w:pPr>
            <w:r>
              <w:rPr>
                <w:rFonts w:hint="eastAsia" w:ascii="宋体" w:hAnsi="宋体" w:cs="宋体"/>
                <w:sz w:val="24"/>
              </w:rPr>
              <w:t>□扩建</w:t>
            </w:r>
          </w:p>
          <w:p w14:paraId="0132ABE0">
            <w:pPr>
              <w:jc w:val="left"/>
              <w:rPr>
                <w:rFonts w:ascii="宋体" w:hAnsi="宋体" w:cs="宋体"/>
                <w:sz w:val="24"/>
              </w:rPr>
            </w:pPr>
            <w:r>
              <w:rPr>
                <w:rFonts w:hint="eastAsia" w:ascii="宋体" w:hAnsi="宋体" w:cs="宋体"/>
                <w:sz w:val="24"/>
              </w:rPr>
              <w:t>□技术改造</w:t>
            </w:r>
          </w:p>
        </w:tc>
        <w:tc>
          <w:tcPr>
            <w:tcW w:w="2212" w:type="dxa"/>
            <w:vAlign w:val="center"/>
          </w:tcPr>
          <w:p w14:paraId="0FF85DDC">
            <w:pPr>
              <w:adjustRightInd w:val="0"/>
              <w:snapToGrid w:val="0"/>
              <w:jc w:val="center"/>
              <w:rPr>
                <w:rFonts w:ascii="宋体" w:hAnsi="宋体" w:cs="宋体"/>
                <w:b/>
                <w:sz w:val="24"/>
              </w:rPr>
            </w:pPr>
            <w:r>
              <w:rPr>
                <w:rFonts w:hint="eastAsia" w:ascii="宋体" w:hAnsi="宋体" w:cs="宋体"/>
                <w:b/>
                <w:sz w:val="24"/>
              </w:rPr>
              <w:t>建设项目</w:t>
            </w:r>
          </w:p>
          <w:p w14:paraId="46357E37">
            <w:pPr>
              <w:adjustRightInd w:val="0"/>
              <w:snapToGrid w:val="0"/>
              <w:jc w:val="center"/>
              <w:rPr>
                <w:rFonts w:ascii="宋体" w:hAnsi="宋体" w:cs="宋体"/>
                <w:b/>
                <w:sz w:val="24"/>
              </w:rPr>
            </w:pPr>
            <w:r>
              <w:rPr>
                <w:rFonts w:hint="eastAsia" w:ascii="宋体" w:hAnsi="宋体" w:cs="宋体"/>
                <w:b/>
                <w:sz w:val="24"/>
              </w:rPr>
              <w:t>申报情形</w:t>
            </w:r>
          </w:p>
        </w:tc>
        <w:tc>
          <w:tcPr>
            <w:tcW w:w="2639" w:type="dxa"/>
            <w:vAlign w:val="center"/>
          </w:tcPr>
          <w:p w14:paraId="0D37D94A">
            <w:pPr>
              <w:jc w:val="left"/>
              <w:rPr>
                <w:rFonts w:hint="eastAsia" w:ascii="宋体" w:hAnsi="宋体" w:eastAsia="宋体" w:cs="宋体"/>
                <w:sz w:val="24"/>
                <w:lang w:eastAsia="zh-CN"/>
              </w:rPr>
            </w:pPr>
            <w:r>
              <w:rPr>
                <w:rFonts w:ascii="Segoe UI Symbol" w:hAnsi="Segoe UI Symbol" w:cs="Segoe UI Symbol"/>
                <w:sz w:val="24"/>
              </w:rPr>
              <w:t>☑</w:t>
            </w:r>
            <w:r>
              <w:rPr>
                <w:rFonts w:hint="eastAsia" w:ascii="宋体" w:hAnsi="宋体" w:cs="宋体"/>
                <w:sz w:val="24"/>
              </w:rPr>
              <w:t>首次申报项目</w:t>
            </w:r>
          </w:p>
          <w:p w14:paraId="3297AAD3">
            <w:pPr>
              <w:jc w:val="left"/>
              <w:rPr>
                <w:rFonts w:ascii="宋体" w:hAnsi="宋体" w:cs="宋体"/>
                <w:sz w:val="24"/>
              </w:rPr>
            </w:pPr>
            <w:r>
              <w:rPr>
                <w:rFonts w:hint="eastAsia" w:ascii="宋体" w:hAnsi="宋体" w:cs="宋体"/>
                <w:sz w:val="24"/>
              </w:rPr>
              <w:t>□不予批准后再次申报项目</w:t>
            </w:r>
          </w:p>
          <w:p w14:paraId="7F812A4E">
            <w:pPr>
              <w:jc w:val="left"/>
              <w:rPr>
                <w:rFonts w:hint="eastAsia" w:ascii="宋体" w:hAnsi="宋体" w:eastAsia="宋体" w:cs="宋体"/>
                <w:sz w:val="24"/>
                <w:lang w:eastAsia="zh-CN"/>
              </w:rPr>
            </w:pPr>
            <w:r>
              <w:rPr>
                <w:rFonts w:hint="eastAsia" w:ascii="宋体" w:hAnsi="宋体" w:cs="宋体"/>
                <w:sz w:val="24"/>
              </w:rPr>
              <w:sym w:font="Wingdings 2" w:char="00A3"/>
            </w:r>
            <w:r>
              <w:rPr>
                <w:rFonts w:hint="eastAsia" w:ascii="宋体" w:hAnsi="宋体" w:cs="宋体"/>
                <w:sz w:val="24"/>
              </w:rPr>
              <w:t>超五年重新审核项目</w:t>
            </w:r>
          </w:p>
          <w:p w14:paraId="1940E162">
            <w:pPr>
              <w:jc w:val="left"/>
              <w:rPr>
                <w:rFonts w:ascii="宋体" w:hAnsi="宋体" w:cs="宋体"/>
                <w:sz w:val="24"/>
              </w:rPr>
            </w:pPr>
            <w:r>
              <w:rPr>
                <w:rFonts w:hint="eastAsia" w:ascii="宋体" w:hAnsi="宋体" w:cs="宋体"/>
                <w:sz w:val="24"/>
              </w:rPr>
              <w:t>□重大变动重新报批项目</w:t>
            </w:r>
          </w:p>
        </w:tc>
      </w:tr>
      <w:tr w14:paraId="5DCDF1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57" w:hRule="atLeast"/>
          <w:jc w:val="center"/>
        </w:trPr>
        <w:tc>
          <w:tcPr>
            <w:tcW w:w="2382" w:type="dxa"/>
            <w:tcMar>
              <w:top w:w="16" w:type="dxa"/>
              <w:left w:w="16" w:type="dxa"/>
              <w:right w:w="16" w:type="dxa"/>
            </w:tcMar>
            <w:vAlign w:val="center"/>
          </w:tcPr>
          <w:p w14:paraId="1EE1E402">
            <w:pPr>
              <w:adjustRightInd w:val="0"/>
              <w:snapToGrid w:val="0"/>
              <w:jc w:val="center"/>
              <w:rPr>
                <w:rFonts w:ascii="宋体" w:hAnsi="宋体" w:cs="宋体"/>
                <w:b/>
                <w:sz w:val="24"/>
              </w:rPr>
            </w:pPr>
            <w:r>
              <w:rPr>
                <w:rFonts w:hint="eastAsia" w:ascii="宋体" w:hAnsi="宋体" w:cs="宋体"/>
                <w:b/>
                <w:sz w:val="24"/>
              </w:rPr>
              <w:t>项目审批（核准</w:t>
            </w:r>
            <w:r>
              <w:rPr>
                <w:rFonts w:ascii="宋体" w:hAnsi="宋体" w:cs="宋体"/>
                <w:b/>
                <w:sz w:val="24"/>
              </w:rPr>
              <w:t>/</w:t>
            </w:r>
          </w:p>
          <w:p w14:paraId="5AF4DDA4">
            <w:pPr>
              <w:adjustRightInd w:val="0"/>
              <w:snapToGrid w:val="0"/>
              <w:jc w:val="center"/>
              <w:rPr>
                <w:rFonts w:ascii="宋体" w:hAnsi="宋体" w:cs="宋体"/>
                <w:b/>
                <w:sz w:val="24"/>
              </w:rPr>
            </w:pPr>
            <w:r>
              <w:rPr>
                <w:rFonts w:hint="eastAsia" w:ascii="宋体" w:hAnsi="宋体" w:cs="宋体"/>
                <w:b/>
                <w:sz w:val="24"/>
              </w:rPr>
              <w:t>备案）部门（选填）</w:t>
            </w:r>
          </w:p>
        </w:tc>
        <w:tc>
          <w:tcPr>
            <w:tcW w:w="1637" w:type="dxa"/>
            <w:vAlign w:val="center"/>
          </w:tcPr>
          <w:p w14:paraId="7EE7D044">
            <w:pPr>
              <w:adjustRightInd w:val="0"/>
              <w:snapToGrid w:val="0"/>
              <w:jc w:val="center"/>
              <w:rPr>
                <w:rFonts w:ascii="宋体" w:hAnsi="宋体" w:cs="宋体"/>
                <w:sz w:val="24"/>
              </w:rPr>
            </w:pPr>
            <w:r>
              <w:rPr>
                <w:rFonts w:hint="eastAsia"/>
                <w:sz w:val="24"/>
                <w:lang w:val="en-US" w:eastAsia="zh-CN"/>
              </w:rPr>
              <w:t>宽城满族自治县</w:t>
            </w:r>
            <w:r>
              <w:rPr>
                <w:rFonts w:hint="eastAsia"/>
                <w:sz w:val="24"/>
              </w:rPr>
              <w:t>数据和政务服务局</w:t>
            </w:r>
          </w:p>
        </w:tc>
        <w:tc>
          <w:tcPr>
            <w:tcW w:w="2212" w:type="dxa"/>
            <w:vAlign w:val="center"/>
          </w:tcPr>
          <w:p w14:paraId="1E2DABEE">
            <w:pPr>
              <w:adjustRightInd w:val="0"/>
              <w:snapToGrid w:val="0"/>
              <w:jc w:val="center"/>
              <w:rPr>
                <w:rFonts w:ascii="宋体" w:hAnsi="宋体" w:cs="宋体"/>
                <w:b/>
                <w:sz w:val="24"/>
              </w:rPr>
            </w:pPr>
            <w:r>
              <w:rPr>
                <w:rFonts w:hint="eastAsia" w:ascii="宋体" w:hAnsi="宋体" w:cs="宋体"/>
                <w:b/>
                <w:sz w:val="24"/>
              </w:rPr>
              <w:t>项目审批（核准</w:t>
            </w:r>
            <w:r>
              <w:rPr>
                <w:rFonts w:ascii="宋体" w:hAnsi="宋体" w:cs="宋体"/>
                <w:b/>
                <w:sz w:val="24"/>
              </w:rPr>
              <w:t>/</w:t>
            </w:r>
          </w:p>
          <w:p w14:paraId="59297A3D">
            <w:pPr>
              <w:adjustRightInd w:val="0"/>
              <w:snapToGrid w:val="0"/>
              <w:jc w:val="center"/>
              <w:rPr>
                <w:rFonts w:ascii="宋体" w:hAnsi="宋体" w:cs="宋体"/>
                <w:b/>
                <w:sz w:val="24"/>
              </w:rPr>
            </w:pPr>
            <w:r>
              <w:rPr>
                <w:rFonts w:hint="eastAsia" w:ascii="宋体" w:hAnsi="宋体" w:cs="宋体"/>
                <w:b/>
                <w:sz w:val="24"/>
              </w:rPr>
              <w:t>备案）文号（选填）</w:t>
            </w:r>
          </w:p>
        </w:tc>
        <w:tc>
          <w:tcPr>
            <w:tcW w:w="2639" w:type="dxa"/>
            <w:vAlign w:val="center"/>
          </w:tcPr>
          <w:p w14:paraId="27435984">
            <w:pPr>
              <w:adjustRightInd w:val="0"/>
              <w:snapToGrid w:val="0"/>
              <w:jc w:val="center"/>
              <w:rPr>
                <w:rFonts w:hint="default" w:eastAsia="宋体"/>
                <w:sz w:val="24"/>
                <w:highlight w:val="green"/>
                <w:lang w:val="en-US" w:eastAsia="zh-CN"/>
              </w:rPr>
            </w:pPr>
            <w:r>
              <w:rPr>
                <w:rFonts w:hint="eastAsia"/>
                <w:sz w:val="24"/>
                <w:highlight w:val="none"/>
                <w:lang w:val="en-US" w:eastAsia="zh-CN"/>
              </w:rPr>
              <w:t>宽数政投备字〔2024〕204号</w:t>
            </w:r>
          </w:p>
        </w:tc>
      </w:tr>
      <w:tr w14:paraId="51B12B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25" w:hRule="atLeast"/>
          <w:jc w:val="center"/>
        </w:trPr>
        <w:tc>
          <w:tcPr>
            <w:tcW w:w="2382" w:type="dxa"/>
            <w:tcMar>
              <w:top w:w="16" w:type="dxa"/>
              <w:left w:w="16" w:type="dxa"/>
              <w:right w:w="16" w:type="dxa"/>
            </w:tcMar>
            <w:vAlign w:val="center"/>
          </w:tcPr>
          <w:p w14:paraId="40ACE4FD">
            <w:pPr>
              <w:adjustRightInd w:val="0"/>
              <w:snapToGrid w:val="0"/>
              <w:jc w:val="center"/>
              <w:rPr>
                <w:rFonts w:ascii="宋体" w:hAnsi="宋体" w:cs="宋体"/>
                <w:b/>
                <w:sz w:val="24"/>
              </w:rPr>
            </w:pPr>
            <w:r>
              <w:rPr>
                <w:rFonts w:hint="eastAsia" w:ascii="宋体" w:hAnsi="宋体" w:cs="宋体"/>
                <w:b/>
                <w:sz w:val="24"/>
              </w:rPr>
              <w:t>总投资（万元）</w:t>
            </w:r>
          </w:p>
        </w:tc>
        <w:tc>
          <w:tcPr>
            <w:tcW w:w="1637" w:type="dxa"/>
            <w:vAlign w:val="center"/>
          </w:tcPr>
          <w:p w14:paraId="43D9955A">
            <w:pPr>
              <w:adjustRightInd w:val="0"/>
              <w:snapToGrid w:val="0"/>
              <w:jc w:val="center"/>
              <w:rPr>
                <w:rFonts w:hint="default" w:eastAsia="宋体"/>
                <w:sz w:val="24"/>
                <w:lang w:val="en-US" w:eastAsia="zh-CN"/>
              </w:rPr>
            </w:pPr>
            <w:r>
              <w:rPr>
                <w:rFonts w:hint="eastAsia"/>
                <w:sz w:val="24"/>
                <w:lang w:val="en-US" w:eastAsia="zh-CN"/>
              </w:rPr>
              <w:t>300</w:t>
            </w:r>
          </w:p>
        </w:tc>
        <w:tc>
          <w:tcPr>
            <w:tcW w:w="2212" w:type="dxa"/>
            <w:tcMar>
              <w:top w:w="16" w:type="dxa"/>
              <w:left w:w="16" w:type="dxa"/>
              <w:right w:w="16" w:type="dxa"/>
            </w:tcMar>
            <w:vAlign w:val="center"/>
          </w:tcPr>
          <w:p w14:paraId="0D437690">
            <w:pPr>
              <w:adjustRightInd w:val="0"/>
              <w:snapToGrid w:val="0"/>
              <w:jc w:val="center"/>
              <w:rPr>
                <w:b/>
                <w:sz w:val="24"/>
              </w:rPr>
            </w:pPr>
            <w:r>
              <w:rPr>
                <w:b/>
                <w:sz w:val="24"/>
              </w:rPr>
              <w:t>环保投资（万元）</w:t>
            </w:r>
          </w:p>
        </w:tc>
        <w:tc>
          <w:tcPr>
            <w:tcW w:w="2639" w:type="dxa"/>
            <w:vAlign w:val="center"/>
          </w:tcPr>
          <w:p w14:paraId="7028361F">
            <w:pPr>
              <w:adjustRightInd w:val="0"/>
              <w:snapToGrid w:val="0"/>
              <w:jc w:val="center"/>
              <w:rPr>
                <w:rFonts w:hint="default" w:eastAsia="宋体"/>
                <w:sz w:val="24"/>
                <w:lang w:val="en-US" w:eastAsia="zh-CN"/>
              </w:rPr>
            </w:pPr>
            <w:r>
              <w:rPr>
                <w:rFonts w:hint="eastAsia"/>
                <w:sz w:val="24"/>
                <w:lang w:val="en-US" w:eastAsia="zh-CN"/>
              </w:rPr>
              <w:t>200</w:t>
            </w:r>
          </w:p>
        </w:tc>
      </w:tr>
      <w:tr w14:paraId="28107A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23" w:hRule="atLeast"/>
          <w:jc w:val="center"/>
        </w:trPr>
        <w:tc>
          <w:tcPr>
            <w:tcW w:w="2382" w:type="dxa"/>
            <w:tcMar>
              <w:top w:w="16" w:type="dxa"/>
              <w:left w:w="16" w:type="dxa"/>
              <w:right w:w="16" w:type="dxa"/>
            </w:tcMar>
            <w:vAlign w:val="center"/>
          </w:tcPr>
          <w:p w14:paraId="14EC86A5">
            <w:pPr>
              <w:adjustRightInd w:val="0"/>
              <w:snapToGrid w:val="0"/>
              <w:jc w:val="center"/>
              <w:rPr>
                <w:rFonts w:ascii="宋体" w:hAnsi="宋体" w:cs="宋体"/>
                <w:b/>
                <w:sz w:val="24"/>
              </w:rPr>
            </w:pPr>
            <w:r>
              <w:rPr>
                <w:rFonts w:hint="eastAsia" w:ascii="宋体" w:hAnsi="宋体" w:cs="宋体"/>
                <w:b/>
                <w:sz w:val="24"/>
              </w:rPr>
              <w:t>环保投资占比（</w:t>
            </w:r>
            <w:r>
              <w:rPr>
                <w:b/>
                <w:sz w:val="24"/>
              </w:rPr>
              <w:t>%</w:t>
            </w:r>
            <w:r>
              <w:rPr>
                <w:rFonts w:hint="eastAsia" w:ascii="宋体" w:hAnsi="宋体" w:cs="宋体"/>
                <w:b/>
                <w:sz w:val="24"/>
              </w:rPr>
              <w:t>）</w:t>
            </w:r>
          </w:p>
        </w:tc>
        <w:tc>
          <w:tcPr>
            <w:tcW w:w="1637" w:type="dxa"/>
            <w:vAlign w:val="center"/>
          </w:tcPr>
          <w:p w14:paraId="50F614BF">
            <w:pPr>
              <w:adjustRightInd w:val="0"/>
              <w:snapToGrid w:val="0"/>
              <w:jc w:val="center"/>
              <w:rPr>
                <w:rFonts w:hint="default" w:eastAsia="宋体"/>
                <w:sz w:val="24"/>
                <w:lang w:val="en-US" w:eastAsia="zh-CN"/>
              </w:rPr>
            </w:pPr>
            <w:r>
              <w:rPr>
                <w:rFonts w:hint="eastAsia"/>
                <w:sz w:val="24"/>
                <w:lang w:val="en-US" w:eastAsia="zh-CN"/>
              </w:rPr>
              <w:t>66.67</w:t>
            </w:r>
          </w:p>
        </w:tc>
        <w:tc>
          <w:tcPr>
            <w:tcW w:w="2212" w:type="dxa"/>
            <w:tcMar>
              <w:top w:w="16" w:type="dxa"/>
              <w:left w:w="16" w:type="dxa"/>
              <w:right w:w="16" w:type="dxa"/>
            </w:tcMar>
            <w:vAlign w:val="center"/>
          </w:tcPr>
          <w:p w14:paraId="0B86D50E">
            <w:pPr>
              <w:adjustRightInd w:val="0"/>
              <w:snapToGrid w:val="0"/>
              <w:jc w:val="center"/>
              <w:rPr>
                <w:b/>
                <w:sz w:val="24"/>
              </w:rPr>
            </w:pPr>
            <w:r>
              <w:rPr>
                <w:b/>
                <w:sz w:val="24"/>
              </w:rPr>
              <w:t>施工工期</w:t>
            </w:r>
          </w:p>
        </w:tc>
        <w:tc>
          <w:tcPr>
            <w:tcW w:w="2639" w:type="dxa"/>
            <w:vAlign w:val="center"/>
          </w:tcPr>
          <w:p w14:paraId="76EC7188">
            <w:pPr>
              <w:adjustRightInd w:val="0"/>
              <w:snapToGrid w:val="0"/>
              <w:jc w:val="center"/>
              <w:rPr>
                <w:sz w:val="24"/>
              </w:rPr>
            </w:pPr>
            <w:r>
              <w:rPr>
                <w:rFonts w:hint="eastAsia"/>
                <w:sz w:val="24"/>
                <w:lang w:val="en-US" w:eastAsia="zh-CN"/>
              </w:rPr>
              <w:t>2</w:t>
            </w:r>
            <w:r>
              <w:rPr>
                <w:rFonts w:hint="eastAsia"/>
                <w:sz w:val="24"/>
              </w:rPr>
              <w:t>个月</w:t>
            </w:r>
          </w:p>
          <w:p w14:paraId="4EA8429E">
            <w:pPr>
              <w:adjustRightInd w:val="0"/>
              <w:snapToGrid w:val="0"/>
              <w:jc w:val="center"/>
            </w:pPr>
            <w:r>
              <w:rPr>
                <w:rFonts w:hint="eastAsia"/>
                <w:sz w:val="24"/>
              </w:rPr>
              <w:t>2</w:t>
            </w:r>
            <w:r>
              <w:rPr>
                <w:sz w:val="24"/>
              </w:rPr>
              <w:t>02</w:t>
            </w:r>
            <w:r>
              <w:rPr>
                <w:rFonts w:hint="eastAsia"/>
                <w:sz w:val="24"/>
                <w:lang w:val="en-US" w:eastAsia="zh-CN"/>
              </w:rPr>
              <w:t>4</w:t>
            </w:r>
            <w:r>
              <w:rPr>
                <w:rFonts w:hint="eastAsia"/>
                <w:sz w:val="24"/>
              </w:rPr>
              <w:t>年</w:t>
            </w:r>
            <w:r>
              <w:rPr>
                <w:sz w:val="24"/>
              </w:rPr>
              <w:t>1</w:t>
            </w:r>
            <w:r>
              <w:rPr>
                <w:rFonts w:hint="eastAsia"/>
                <w:sz w:val="24"/>
                <w:lang w:val="en-US" w:eastAsia="zh-CN"/>
              </w:rPr>
              <w:t>2</w:t>
            </w:r>
            <w:r>
              <w:rPr>
                <w:rFonts w:hint="eastAsia"/>
                <w:sz w:val="24"/>
              </w:rPr>
              <w:t>月</w:t>
            </w:r>
            <w:r>
              <w:rPr>
                <w:sz w:val="24"/>
              </w:rPr>
              <w:t>-202</w:t>
            </w:r>
            <w:r>
              <w:rPr>
                <w:rFonts w:hint="eastAsia"/>
                <w:sz w:val="24"/>
                <w:lang w:val="en-US" w:eastAsia="zh-CN"/>
              </w:rPr>
              <w:t>5</w:t>
            </w:r>
            <w:r>
              <w:rPr>
                <w:rFonts w:hint="eastAsia"/>
                <w:sz w:val="24"/>
              </w:rPr>
              <w:t>年</w:t>
            </w:r>
            <w:r>
              <w:rPr>
                <w:rFonts w:hint="eastAsia"/>
                <w:sz w:val="24"/>
                <w:lang w:val="en-US" w:eastAsia="zh-CN"/>
              </w:rPr>
              <w:t>1</w:t>
            </w:r>
            <w:r>
              <w:rPr>
                <w:rFonts w:hint="eastAsia"/>
                <w:sz w:val="24"/>
              </w:rPr>
              <w:t>月</w:t>
            </w:r>
          </w:p>
        </w:tc>
      </w:tr>
      <w:tr w14:paraId="514929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88" w:hRule="atLeast"/>
          <w:jc w:val="center"/>
        </w:trPr>
        <w:tc>
          <w:tcPr>
            <w:tcW w:w="2382" w:type="dxa"/>
            <w:tcMar>
              <w:top w:w="16" w:type="dxa"/>
              <w:left w:w="16" w:type="dxa"/>
              <w:right w:w="16" w:type="dxa"/>
            </w:tcMar>
            <w:vAlign w:val="center"/>
          </w:tcPr>
          <w:p w14:paraId="1B3DDE37">
            <w:pPr>
              <w:adjustRightInd w:val="0"/>
              <w:snapToGrid w:val="0"/>
              <w:jc w:val="center"/>
              <w:rPr>
                <w:rFonts w:ascii="宋体" w:hAnsi="宋体" w:cs="宋体"/>
                <w:b/>
                <w:sz w:val="24"/>
              </w:rPr>
            </w:pPr>
            <w:r>
              <w:rPr>
                <w:rFonts w:hint="eastAsia" w:ascii="宋体" w:hAnsi="宋体" w:cs="宋体"/>
                <w:b/>
                <w:sz w:val="24"/>
              </w:rPr>
              <w:t>是否开工建设</w:t>
            </w:r>
          </w:p>
        </w:tc>
        <w:tc>
          <w:tcPr>
            <w:tcW w:w="1637" w:type="dxa"/>
            <w:vAlign w:val="center"/>
          </w:tcPr>
          <w:p w14:paraId="2F82A864">
            <w:pPr>
              <w:adjustRightInd w:val="0"/>
              <w:snapToGrid w:val="0"/>
              <w:rPr>
                <w:rFonts w:ascii="宋体" w:hAnsi="宋体" w:cs="宋体"/>
                <w:sz w:val="24"/>
              </w:rPr>
            </w:pPr>
            <w:r>
              <w:rPr>
                <w:rFonts w:ascii="Segoe UI Symbol" w:hAnsi="Segoe UI Symbol" w:cs="Segoe UI Symbol"/>
                <w:sz w:val="24"/>
              </w:rPr>
              <w:t>☑</w:t>
            </w:r>
            <w:r>
              <w:rPr>
                <w:rFonts w:hint="eastAsia" w:ascii="宋体" w:hAnsi="宋体" w:cs="宋体"/>
                <w:sz w:val="24"/>
              </w:rPr>
              <w:t>否</w:t>
            </w:r>
          </w:p>
          <w:p w14:paraId="4282D7F3">
            <w:pPr>
              <w:adjustRightInd w:val="0"/>
              <w:snapToGrid w:val="0"/>
              <w:rPr>
                <w:rFonts w:hint="eastAsia" w:ascii="宋体" w:hAnsi="宋体" w:eastAsia="宋体" w:cs="宋体"/>
                <w:sz w:val="24"/>
                <w:lang w:eastAsia="zh-CN"/>
              </w:rPr>
            </w:pPr>
            <w:r>
              <w:rPr>
                <w:rFonts w:hint="eastAsia" w:ascii="宋体" w:hAnsi="宋体" w:cs="宋体"/>
                <w:sz w:val="24"/>
              </w:rPr>
              <w:sym w:font="Wingdings 2" w:char="00A3"/>
            </w:r>
            <w:r>
              <w:rPr>
                <w:rFonts w:hint="eastAsia" w:ascii="宋体" w:hAnsi="宋体" w:cs="宋体"/>
                <w:sz w:val="24"/>
              </w:rPr>
              <w:t>是：</w:t>
            </w:r>
          </w:p>
        </w:tc>
        <w:tc>
          <w:tcPr>
            <w:tcW w:w="2212" w:type="dxa"/>
            <w:tcMar>
              <w:top w:w="16" w:type="dxa"/>
              <w:left w:w="16" w:type="dxa"/>
              <w:right w:w="16" w:type="dxa"/>
            </w:tcMar>
            <w:vAlign w:val="center"/>
          </w:tcPr>
          <w:p w14:paraId="30A35407">
            <w:pPr>
              <w:adjustRightInd w:val="0"/>
              <w:snapToGrid w:val="0"/>
              <w:jc w:val="center"/>
              <w:rPr>
                <w:rFonts w:ascii="宋体" w:hAnsi="宋体" w:cs="宋体"/>
                <w:b/>
                <w:spacing w:val="-6"/>
                <w:sz w:val="24"/>
              </w:rPr>
            </w:pPr>
            <w:r>
              <w:rPr>
                <w:rFonts w:hint="eastAsia" w:ascii="宋体" w:hAnsi="宋体" w:cs="宋体"/>
                <w:b/>
                <w:spacing w:val="-6"/>
                <w:sz w:val="24"/>
              </w:rPr>
              <w:t>用地（用海）</w:t>
            </w:r>
          </w:p>
          <w:p w14:paraId="04DB66B7">
            <w:pPr>
              <w:adjustRightInd w:val="0"/>
              <w:snapToGrid w:val="0"/>
              <w:jc w:val="center"/>
              <w:rPr>
                <w:rFonts w:ascii="宋体" w:hAnsi="宋体" w:cs="宋体"/>
                <w:b/>
                <w:sz w:val="24"/>
              </w:rPr>
            </w:pPr>
            <w:r>
              <w:rPr>
                <w:rFonts w:hint="eastAsia" w:ascii="宋体" w:hAnsi="宋体" w:cs="宋体"/>
                <w:b/>
                <w:spacing w:val="-6"/>
                <w:sz w:val="24"/>
              </w:rPr>
              <w:t>面积（</w:t>
            </w:r>
            <w:r>
              <w:rPr>
                <w:b/>
                <w:spacing w:val="-6"/>
                <w:sz w:val="24"/>
              </w:rPr>
              <w:t>m</w:t>
            </w:r>
            <w:r>
              <w:rPr>
                <w:b/>
                <w:spacing w:val="-6"/>
                <w:sz w:val="24"/>
                <w:vertAlign w:val="superscript"/>
              </w:rPr>
              <w:t>2</w:t>
            </w:r>
            <w:r>
              <w:rPr>
                <w:rFonts w:hint="eastAsia" w:ascii="宋体" w:hAnsi="宋体" w:cs="宋体"/>
                <w:b/>
                <w:spacing w:val="-6"/>
                <w:sz w:val="24"/>
              </w:rPr>
              <w:t>）</w:t>
            </w:r>
          </w:p>
        </w:tc>
        <w:tc>
          <w:tcPr>
            <w:tcW w:w="2639" w:type="dxa"/>
            <w:vAlign w:val="center"/>
          </w:tcPr>
          <w:p w14:paraId="7000299C">
            <w:pPr>
              <w:adjustRightInd w:val="0"/>
              <w:snapToGrid w:val="0"/>
              <w:jc w:val="center"/>
              <w:rPr>
                <w:rFonts w:hint="default" w:eastAsia="宋体"/>
                <w:sz w:val="24"/>
                <w:lang w:val="en-US" w:eastAsia="zh-CN"/>
              </w:rPr>
            </w:pPr>
            <w:r>
              <w:rPr>
                <w:rFonts w:hint="eastAsia"/>
                <w:sz w:val="24"/>
                <w:lang w:val="en-US" w:eastAsia="zh-CN"/>
              </w:rPr>
              <w:t>8000</w:t>
            </w:r>
          </w:p>
        </w:tc>
      </w:tr>
      <w:tr w14:paraId="53A69B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2" w:hRule="atLeast"/>
          <w:jc w:val="center"/>
        </w:trPr>
        <w:tc>
          <w:tcPr>
            <w:tcW w:w="2382" w:type="dxa"/>
            <w:vAlign w:val="center"/>
          </w:tcPr>
          <w:p w14:paraId="7EBD8593">
            <w:pPr>
              <w:autoSpaceDE w:val="0"/>
              <w:autoSpaceDN w:val="0"/>
              <w:adjustRightInd w:val="0"/>
              <w:snapToGrid w:val="0"/>
              <w:jc w:val="center"/>
              <w:rPr>
                <w:rFonts w:ascii="宋体" w:hAnsi="宋体" w:cs="宋体"/>
                <w:b/>
                <w:kern w:val="0"/>
                <w:sz w:val="24"/>
              </w:rPr>
            </w:pPr>
            <w:r>
              <w:rPr>
                <w:rFonts w:hint="eastAsia" w:ascii="宋体" w:hAnsi="宋体" w:cs="宋体"/>
                <w:b/>
                <w:kern w:val="0"/>
                <w:sz w:val="24"/>
              </w:rPr>
              <w:t>专项评价设置情况</w:t>
            </w:r>
          </w:p>
        </w:tc>
        <w:tc>
          <w:tcPr>
            <w:tcW w:w="6488" w:type="dxa"/>
            <w:gridSpan w:val="3"/>
            <w:vAlign w:val="center"/>
          </w:tcPr>
          <w:p w14:paraId="317774A8">
            <w:pPr>
              <w:autoSpaceDE w:val="0"/>
              <w:autoSpaceDN w:val="0"/>
              <w:adjustRightInd w:val="0"/>
              <w:snapToGrid w:val="0"/>
              <w:jc w:val="center"/>
              <w:rPr>
                <w:rFonts w:ascii="宋体" w:hAnsi="宋体" w:cs="宋体"/>
                <w:kern w:val="0"/>
                <w:sz w:val="24"/>
              </w:rPr>
            </w:pPr>
            <w:r>
              <w:rPr>
                <w:rFonts w:hint="eastAsia" w:ascii="宋体" w:hAnsi="宋体" w:eastAsia="宋体" w:cs="宋体"/>
                <w:kern w:val="0"/>
                <w:sz w:val="24"/>
                <w:szCs w:val="24"/>
                <w:lang w:val="en-US" w:eastAsia="zh-CN"/>
              </w:rPr>
              <w:t>环境风险专项评价</w:t>
            </w:r>
          </w:p>
        </w:tc>
      </w:tr>
    </w:tbl>
    <w:p w14:paraId="4A77EE61">
      <w:r>
        <w:br w:type="page"/>
      </w:r>
    </w:p>
    <w:tbl>
      <w:tblPr>
        <w:tblStyle w:val="21"/>
        <w:tblW w:w="887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99"/>
        <w:gridCol w:w="8171"/>
      </w:tblGrid>
      <w:tr w14:paraId="19A1AE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699" w:type="dxa"/>
            <w:vAlign w:val="center"/>
          </w:tcPr>
          <w:p w14:paraId="7744C30F">
            <w:pPr>
              <w:autoSpaceDE w:val="0"/>
              <w:autoSpaceDN w:val="0"/>
              <w:adjustRightInd w:val="0"/>
              <w:snapToGrid w:val="0"/>
              <w:jc w:val="center"/>
              <w:rPr>
                <w:rFonts w:ascii="宋体" w:hAnsi="宋体" w:cs="宋体"/>
                <w:b/>
                <w:kern w:val="0"/>
                <w:sz w:val="24"/>
              </w:rPr>
            </w:pPr>
            <w:r>
              <w:rPr>
                <w:rFonts w:hint="eastAsia" w:ascii="宋体" w:hAnsi="宋体" w:cs="宋体"/>
                <w:b/>
                <w:sz w:val="24"/>
              </w:rPr>
              <w:t>规划情况</w:t>
            </w:r>
          </w:p>
        </w:tc>
        <w:tc>
          <w:tcPr>
            <w:tcW w:w="8171" w:type="dxa"/>
            <w:vAlign w:val="center"/>
          </w:tcPr>
          <w:p w14:paraId="74B1456A">
            <w:pPr>
              <w:autoSpaceDE w:val="0"/>
              <w:autoSpaceDN w:val="0"/>
              <w:adjustRightInd w:val="0"/>
              <w:snapToGrid w:val="0"/>
              <w:spacing w:line="360" w:lineRule="auto"/>
              <w:jc w:val="center"/>
              <w:rPr>
                <w:rFonts w:hint="eastAsia"/>
                <w:kern w:val="0"/>
                <w:sz w:val="24"/>
              </w:rPr>
            </w:pPr>
            <w:r>
              <w:rPr>
                <w:rFonts w:hint="eastAsia"/>
                <w:kern w:val="0"/>
                <w:sz w:val="24"/>
              </w:rPr>
              <w:t>河北宽城经济开发区总体规划（2022-2035年）</w:t>
            </w:r>
          </w:p>
        </w:tc>
      </w:tr>
      <w:tr w14:paraId="05D3D8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99" w:hRule="atLeast"/>
          <w:jc w:val="center"/>
        </w:trPr>
        <w:tc>
          <w:tcPr>
            <w:tcW w:w="699" w:type="dxa"/>
            <w:vAlign w:val="center"/>
          </w:tcPr>
          <w:p w14:paraId="6601E4DA">
            <w:pPr>
              <w:adjustRightInd w:val="0"/>
              <w:snapToGrid w:val="0"/>
              <w:jc w:val="center"/>
              <w:rPr>
                <w:rFonts w:ascii="宋体" w:hAnsi="宋体" w:cs="宋体"/>
                <w:b/>
                <w:sz w:val="24"/>
              </w:rPr>
            </w:pPr>
            <w:r>
              <w:rPr>
                <w:rFonts w:hint="eastAsia" w:ascii="宋体" w:hAnsi="宋体" w:cs="宋体"/>
                <w:b/>
                <w:sz w:val="24"/>
              </w:rPr>
              <w:t>规划环境影响</w:t>
            </w:r>
          </w:p>
          <w:p w14:paraId="6CE5B32E">
            <w:pPr>
              <w:autoSpaceDE w:val="0"/>
              <w:autoSpaceDN w:val="0"/>
              <w:adjustRightInd w:val="0"/>
              <w:snapToGrid w:val="0"/>
              <w:jc w:val="center"/>
              <w:rPr>
                <w:rFonts w:ascii="宋体" w:hAnsi="宋体" w:cs="宋体"/>
                <w:b/>
                <w:kern w:val="0"/>
                <w:sz w:val="24"/>
              </w:rPr>
            </w:pPr>
            <w:r>
              <w:rPr>
                <w:rFonts w:hint="eastAsia" w:ascii="宋体" w:hAnsi="宋体" w:cs="宋体"/>
                <w:b/>
                <w:sz w:val="24"/>
              </w:rPr>
              <w:t>评价情况</w:t>
            </w:r>
          </w:p>
        </w:tc>
        <w:tc>
          <w:tcPr>
            <w:tcW w:w="8171" w:type="dxa"/>
            <w:vAlign w:val="center"/>
          </w:tcPr>
          <w:p w14:paraId="66AB62FB">
            <w:pPr>
              <w:autoSpaceDE w:val="0"/>
              <w:autoSpaceDN w:val="0"/>
              <w:adjustRightInd w:val="0"/>
              <w:snapToGrid w:val="0"/>
              <w:spacing w:line="360" w:lineRule="auto"/>
              <w:rPr>
                <w:rFonts w:hint="eastAsia"/>
                <w:kern w:val="0"/>
                <w:sz w:val="24"/>
              </w:rPr>
            </w:pPr>
            <w:r>
              <w:rPr>
                <w:rFonts w:hint="eastAsia"/>
                <w:kern w:val="0"/>
                <w:sz w:val="24"/>
              </w:rPr>
              <w:t>规划环境影响评价文件名称：《河北宽城经济开发区总体规划（2022-2035年）环境影响报告书》</w:t>
            </w:r>
          </w:p>
          <w:p w14:paraId="5801264D">
            <w:pPr>
              <w:autoSpaceDE w:val="0"/>
              <w:autoSpaceDN w:val="0"/>
              <w:adjustRightInd w:val="0"/>
              <w:snapToGrid w:val="0"/>
              <w:spacing w:line="360" w:lineRule="auto"/>
              <w:rPr>
                <w:rFonts w:hint="eastAsia"/>
                <w:kern w:val="0"/>
                <w:sz w:val="24"/>
              </w:rPr>
            </w:pPr>
            <w:r>
              <w:rPr>
                <w:rFonts w:hint="eastAsia"/>
                <w:kern w:val="0"/>
                <w:sz w:val="24"/>
              </w:rPr>
              <w:t>召集审查机关：河北省生态环境厅</w:t>
            </w:r>
          </w:p>
          <w:p w14:paraId="3F274020">
            <w:pPr>
              <w:autoSpaceDE w:val="0"/>
              <w:autoSpaceDN w:val="0"/>
              <w:adjustRightInd w:val="0"/>
              <w:snapToGrid w:val="0"/>
              <w:spacing w:line="360" w:lineRule="auto"/>
              <w:rPr>
                <w:rFonts w:hint="eastAsia"/>
                <w:kern w:val="0"/>
                <w:sz w:val="24"/>
              </w:rPr>
            </w:pPr>
            <w:r>
              <w:rPr>
                <w:rFonts w:hint="eastAsia"/>
                <w:kern w:val="0"/>
                <w:sz w:val="24"/>
              </w:rPr>
              <w:t>审查文件名称：关于《河北宽城经济开发区总体规划（2022-2035年）环境影响报告书》的审查意见</w:t>
            </w:r>
          </w:p>
          <w:p w14:paraId="4317DF07">
            <w:pPr>
              <w:autoSpaceDE w:val="0"/>
              <w:autoSpaceDN w:val="0"/>
              <w:adjustRightInd w:val="0"/>
              <w:snapToGrid w:val="0"/>
              <w:spacing w:line="360" w:lineRule="auto"/>
              <w:rPr>
                <w:rFonts w:hint="eastAsia" w:eastAsia="宋体"/>
                <w:kern w:val="0"/>
                <w:sz w:val="24"/>
                <w:lang w:eastAsia="zh-CN"/>
              </w:rPr>
            </w:pPr>
            <w:r>
              <w:rPr>
                <w:rFonts w:hint="eastAsia"/>
                <w:kern w:val="0"/>
                <w:sz w:val="24"/>
              </w:rPr>
              <w:t>审查文号：</w:t>
            </w:r>
            <w:r>
              <w:rPr>
                <w:rFonts w:hint="eastAsia"/>
                <w:kern w:val="0"/>
                <w:sz w:val="24"/>
                <w:lang w:val="en-US" w:eastAsia="zh-CN"/>
              </w:rPr>
              <w:t>/</w:t>
            </w:r>
          </w:p>
        </w:tc>
      </w:tr>
      <w:tr w14:paraId="0B4790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699" w:type="dxa"/>
            <w:vAlign w:val="center"/>
          </w:tcPr>
          <w:p w14:paraId="48D25446">
            <w:pPr>
              <w:autoSpaceDE w:val="0"/>
              <w:autoSpaceDN w:val="0"/>
              <w:adjustRightInd w:val="0"/>
              <w:snapToGrid w:val="0"/>
              <w:jc w:val="center"/>
              <w:rPr>
                <w:rFonts w:ascii="宋体" w:hAnsi="宋体" w:cs="宋体"/>
                <w:b/>
                <w:kern w:val="0"/>
                <w:sz w:val="24"/>
              </w:rPr>
            </w:pPr>
            <w:r>
              <w:rPr>
                <w:rFonts w:hint="eastAsia" w:ascii="宋体" w:hAnsi="宋体" w:cs="宋体"/>
                <w:b/>
                <w:kern w:val="0"/>
                <w:sz w:val="24"/>
              </w:rPr>
              <w:t>规划及规划环境影响评价符合性分析</w:t>
            </w:r>
          </w:p>
        </w:tc>
        <w:tc>
          <w:tcPr>
            <w:tcW w:w="8171" w:type="dxa"/>
            <w:vAlign w:val="center"/>
          </w:tcPr>
          <w:p w14:paraId="54BF916B">
            <w:pPr>
              <w:autoSpaceDE w:val="0"/>
              <w:autoSpaceDN w:val="0"/>
              <w:adjustRightInd w:val="0"/>
              <w:snapToGrid w:val="0"/>
              <w:spacing w:before="120" w:beforeLines="50" w:line="360" w:lineRule="auto"/>
              <w:ind w:firstLine="482" w:firstLineChars="200"/>
              <w:rPr>
                <w:b/>
                <w:kern w:val="0"/>
                <w:sz w:val="24"/>
              </w:rPr>
            </w:pPr>
            <w:r>
              <w:rPr>
                <w:rFonts w:hint="eastAsia"/>
                <w:b/>
                <w:kern w:val="0"/>
                <w:sz w:val="24"/>
              </w:rPr>
              <w:t>1、规划符合性分析</w:t>
            </w:r>
          </w:p>
          <w:p w14:paraId="543AAAC2">
            <w:pPr>
              <w:autoSpaceDE w:val="0"/>
              <w:autoSpaceDN w:val="0"/>
              <w:adjustRightInd w:val="0"/>
              <w:snapToGrid w:val="0"/>
              <w:spacing w:line="360" w:lineRule="auto"/>
              <w:ind w:firstLine="480" w:firstLineChars="200"/>
              <w:rPr>
                <w:kern w:val="0"/>
                <w:sz w:val="24"/>
              </w:rPr>
            </w:pPr>
            <w:r>
              <w:rPr>
                <w:rFonts w:hint="eastAsia"/>
                <w:kern w:val="0"/>
                <w:sz w:val="24"/>
              </w:rPr>
              <w:t>根据《河北宽城经济开发区总体规划（2022-2035年）》，开发区位于承德市东南部，共分为龙须门、板城、安达石、松岭四个片区，规划面积17.6526km</w:t>
            </w:r>
            <w:r>
              <w:rPr>
                <w:rFonts w:hint="eastAsia"/>
                <w:kern w:val="0"/>
                <w:sz w:val="24"/>
                <w:vertAlign w:val="superscript"/>
              </w:rPr>
              <w:t>2</w:t>
            </w:r>
            <w:r>
              <w:rPr>
                <w:rFonts w:hint="eastAsia"/>
                <w:kern w:val="0"/>
                <w:sz w:val="24"/>
              </w:rPr>
              <w:t>。</w:t>
            </w:r>
          </w:p>
          <w:p w14:paraId="27B28835">
            <w:pPr>
              <w:autoSpaceDE w:val="0"/>
              <w:autoSpaceDN w:val="0"/>
              <w:adjustRightInd w:val="0"/>
              <w:snapToGrid w:val="0"/>
              <w:spacing w:line="360" w:lineRule="auto"/>
              <w:ind w:firstLine="480" w:firstLineChars="200"/>
              <w:rPr>
                <w:rFonts w:hint="eastAsia"/>
                <w:kern w:val="0"/>
                <w:sz w:val="24"/>
              </w:rPr>
            </w:pPr>
            <w:r>
              <w:rPr>
                <w:rFonts w:hint="eastAsia"/>
                <w:kern w:val="0"/>
                <w:sz w:val="24"/>
              </w:rPr>
              <w:t>龙须门片区：由产城融合发展核和新能源产业区、装备制造产业区、新型建材产业聚集区组成，发展装备制造、中小企业创业综合、绿色食品、生物医药、新能源、装备制造和新型建材产业；</w:t>
            </w:r>
          </w:p>
          <w:p w14:paraId="634A4E19">
            <w:pPr>
              <w:autoSpaceDE w:val="0"/>
              <w:autoSpaceDN w:val="0"/>
              <w:adjustRightInd w:val="0"/>
              <w:snapToGrid w:val="0"/>
              <w:spacing w:line="360" w:lineRule="auto"/>
              <w:ind w:firstLine="480" w:firstLineChars="200"/>
              <w:rPr>
                <w:rFonts w:hint="eastAsia"/>
                <w:kern w:val="0"/>
                <w:sz w:val="24"/>
              </w:rPr>
            </w:pPr>
            <w:r>
              <w:rPr>
                <w:rFonts w:hint="eastAsia"/>
                <w:kern w:val="0"/>
                <w:sz w:val="24"/>
              </w:rPr>
              <w:t>安达石片区：发展新材料产业；</w:t>
            </w:r>
          </w:p>
          <w:p w14:paraId="335C9875">
            <w:pPr>
              <w:autoSpaceDE w:val="0"/>
              <w:autoSpaceDN w:val="0"/>
              <w:adjustRightInd w:val="0"/>
              <w:snapToGrid w:val="0"/>
              <w:spacing w:line="360" w:lineRule="auto"/>
              <w:ind w:firstLine="480" w:firstLineChars="200"/>
              <w:rPr>
                <w:rFonts w:hint="eastAsia"/>
                <w:kern w:val="0"/>
                <w:sz w:val="24"/>
              </w:rPr>
            </w:pPr>
            <w:r>
              <w:rPr>
                <w:rFonts w:hint="eastAsia"/>
                <w:kern w:val="0"/>
                <w:sz w:val="24"/>
              </w:rPr>
              <w:t>板城片区：发展钒钛新材料及制品产业；</w:t>
            </w:r>
          </w:p>
          <w:p w14:paraId="5D37535A">
            <w:pPr>
              <w:autoSpaceDE w:val="0"/>
              <w:autoSpaceDN w:val="0"/>
              <w:adjustRightInd w:val="0"/>
              <w:snapToGrid w:val="0"/>
              <w:spacing w:line="360" w:lineRule="auto"/>
              <w:ind w:firstLine="480" w:firstLineChars="200"/>
              <w:rPr>
                <w:rFonts w:hint="eastAsia"/>
                <w:kern w:val="0"/>
                <w:sz w:val="24"/>
              </w:rPr>
            </w:pPr>
            <w:r>
              <w:rPr>
                <w:rFonts w:hint="eastAsia"/>
                <w:kern w:val="0"/>
                <w:sz w:val="24"/>
              </w:rPr>
              <w:t>松岭片区：发展绿色矿业产业。</w:t>
            </w:r>
          </w:p>
          <w:p w14:paraId="76DEE5C3">
            <w:pPr>
              <w:autoSpaceDE w:val="0"/>
              <w:autoSpaceDN w:val="0"/>
              <w:adjustRightInd w:val="0"/>
              <w:snapToGrid w:val="0"/>
              <w:spacing w:line="360" w:lineRule="auto"/>
              <w:ind w:firstLine="480" w:firstLineChars="200"/>
              <w:rPr>
                <w:rFonts w:hint="default" w:eastAsia="宋体"/>
                <w:kern w:val="0"/>
                <w:sz w:val="24"/>
                <w:highlight w:val="none"/>
                <w:lang w:val="en-US" w:eastAsia="zh-CN"/>
              </w:rPr>
            </w:pPr>
            <w:r>
              <w:rPr>
                <w:rFonts w:hint="eastAsia"/>
                <w:kern w:val="0"/>
                <w:sz w:val="24"/>
                <w:lang w:val="en-US" w:eastAsia="zh-CN"/>
              </w:rPr>
              <w:t>本项目选址位于宽城满族自治县经济开发区，位于龙须门片区，本项目为</w:t>
            </w:r>
            <w:r>
              <w:rPr>
                <w:rFonts w:hint="eastAsia"/>
                <w:kern w:val="0"/>
                <w:sz w:val="24"/>
                <w:highlight w:val="none"/>
                <w:lang w:val="en-US" w:eastAsia="zh-CN"/>
              </w:rPr>
              <w:t>新建危险废物收集贮存库项目</w:t>
            </w:r>
            <w:r>
              <w:rPr>
                <w:rFonts w:hint="eastAsia"/>
                <w:kern w:val="0"/>
                <w:sz w:val="24"/>
                <w:lang w:val="en-US" w:eastAsia="zh-CN"/>
              </w:rPr>
              <w:t>，</w:t>
            </w:r>
            <w:r>
              <w:rPr>
                <w:rFonts w:hint="eastAsia"/>
                <w:kern w:val="0"/>
                <w:sz w:val="24"/>
                <w:highlight w:val="none"/>
                <w:lang w:val="en-US" w:eastAsia="zh-CN"/>
              </w:rPr>
              <w:t>危险废物收集贮存库</w:t>
            </w:r>
            <w:r>
              <w:rPr>
                <w:rFonts w:hint="eastAsia"/>
                <w:kern w:val="0"/>
                <w:sz w:val="24"/>
                <w:lang w:val="en-US" w:eastAsia="zh-CN"/>
              </w:rPr>
              <w:t>作为推动危废管理的基础设施，其主要作用是暂存、分类、包装和标记危险废物。此外，</w:t>
            </w:r>
            <w:r>
              <w:rPr>
                <w:rFonts w:hint="eastAsia"/>
                <w:kern w:val="0"/>
                <w:sz w:val="24"/>
                <w:highlight w:val="none"/>
                <w:lang w:val="en-US" w:eastAsia="zh-CN"/>
              </w:rPr>
              <w:t>危险废物收集贮存库</w:t>
            </w:r>
            <w:r>
              <w:rPr>
                <w:rFonts w:hint="eastAsia"/>
                <w:kern w:val="0"/>
                <w:sz w:val="24"/>
                <w:lang w:val="en-US" w:eastAsia="zh-CN"/>
              </w:rPr>
              <w:t>还可以为危废的再利用和处置提供</w:t>
            </w:r>
            <w:r>
              <w:rPr>
                <w:rFonts w:hint="eastAsia"/>
                <w:kern w:val="0"/>
                <w:sz w:val="24"/>
                <w:highlight w:val="none"/>
                <w:lang w:val="en-US" w:eastAsia="zh-CN"/>
              </w:rPr>
              <w:t>必要的条件，以达到加强资源利用和环境保护的目标，为龙须门片区企业发展提供基础设施保障，已取得园区入园证明，详见附件，符合规划要求。</w:t>
            </w:r>
          </w:p>
          <w:p w14:paraId="0CCA3C22">
            <w:pPr>
              <w:autoSpaceDE w:val="0"/>
              <w:autoSpaceDN w:val="0"/>
              <w:adjustRightInd w:val="0"/>
              <w:snapToGrid w:val="0"/>
              <w:spacing w:line="360" w:lineRule="auto"/>
              <w:jc w:val="center"/>
              <w:rPr>
                <w:kern w:val="0"/>
                <w:sz w:val="24"/>
              </w:rPr>
            </w:pPr>
            <w:r>
              <w:drawing>
                <wp:inline distT="0" distB="0" distL="114300" distR="114300">
                  <wp:extent cx="4781550" cy="6477000"/>
                  <wp:effectExtent l="0" t="0" r="0" b="0"/>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8"/>
                          <a:stretch>
                            <a:fillRect/>
                          </a:stretch>
                        </pic:blipFill>
                        <pic:spPr>
                          <a:xfrm>
                            <a:off x="0" y="0"/>
                            <a:ext cx="4781550" cy="6477000"/>
                          </a:xfrm>
                          <a:prstGeom prst="rect">
                            <a:avLst/>
                          </a:prstGeom>
                          <a:noFill/>
                          <a:ln>
                            <a:noFill/>
                          </a:ln>
                        </pic:spPr>
                      </pic:pic>
                    </a:graphicData>
                  </a:graphic>
                </wp:inline>
              </w:drawing>
            </w:r>
          </w:p>
          <w:p w14:paraId="63874555">
            <w:pPr>
              <w:pStyle w:val="48"/>
              <w:widowControl w:val="0"/>
              <w:numPr>
                <w:ilvl w:val="0"/>
                <w:numId w:val="2"/>
              </w:numPr>
              <w:spacing w:line="360" w:lineRule="auto"/>
              <w:ind w:left="0" w:firstLine="0" w:firstLineChars="0"/>
              <w:jc w:val="center"/>
              <w:rPr>
                <w:rFonts w:ascii="宋体" w:hAnsi="宋体" w:eastAsia="宋体"/>
                <w:b/>
                <w:color w:val="000000" w:themeColor="text1"/>
                <w:sz w:val="21"/>
                <w14:textFill>
                  <w14:solidFill>
                    <w14:schemeClr w14:val="tx1"/>
                  </w14:solidFill>
                </w14:textFill>
              </w:rPr>
            </w:pPr>
            <w:r>
              <w:rPr>
                <w:rFonts w:hint="eastAsia" w:ascii="宋体" w:hAnsi="宋体" w:eastAsia="宋体"/>
                <w:b/>
                <w:color w:val="000000" w:themeColor="text1"/>
                <w:sz w:val="21"/>
                <w14:textFill>
                  <w14:solidFill>
                    <w14:schemeClr w14:val="tx1"/>
                  </w14:solidFill>
                </w14:textFill>
              </w:rPr>
              <w:t>开发区产业布局规划示意图</w:t>
            </w:r>
          </w:p>
          <w:p w14:paraId="3E8E3D8B">
            <w:pPr>
              <w:autoSpaceDE w:val="0"/>
              <w:autoSpaceDN w:val="0"/>
              <w:adjustRightInd w:val="0"/>
              <w:snapToGrid w:val="0"/>
              <w:spacing w:line="360" w:lineRule="auto"/>
              <w:ind w:firstLine="480" w:firstLineChars="200"/>
              <w:rPr>
                <w:sz w:val="24"/>
              </w:rPr>
            </w:pPr>
            <w:r>
              <w:rPr>
                <w:rFonts w:hint="eastAsia"/>
                <w:sz w:val="24"/>
              </w:rPr>
              <w:t>（2）土地利用规划：</w:t>
            </w:r>
          </w:p>
          <w:p w14:paraId="2A8977C8">
            <w:pPr>
              <w:autoSpaceDE w:val="0"/>
              <w:autoSpaceDN w:val="0"/>
              <w:adjustRightInd w:val="0"/>
              <w:snapToGrid w:val="0"/>
              <w:spacing w:line="360" w:lineRule="auto"/>
              <w:jc w:val="center"/>
              <w:rPr>
                <w:sz w:val="24"/>
              </w:rPr>
            </w:pPr>
            <w:r>
              <w:drawing>
                <wp:inline distT="0" distB="0" distL="114300" distR="114300">
                  <wp:extent cx="4276725" cy="6334125"/>
                  <wp:effectExtent l="0" t="0" r="9525" b="952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9"/>
                          <a:stretch>
                            <a:fillRect/>
                          </a:stretch>
                        </pic:blipFill>
                        <pic:spPr>
                          <a:xfrm>
                            <a:off x="0" y="0"/>
                            <a:ext cx="4276725" cy="6334125"/>
                          </a:xfrm>
                          <a:prstGeom prst="rect">
                            <a:avLst/>
                          </a:prstGeom>
                          <a:noFill/>
                          <a:ln>
                            <a:noFill/>
                          </a:ln>
                        </pic:spPr>
                      </pic:pic>
                    </a:graphicData>
                  </a:graphic>
                </wp:inline>
              </w:drawing>
            </w:r>
          </w:p>
          <w:p w14:paraId="01B8464E">
            <w:pPr>
              <w:pStyle w:val="48"/>
              <w:widowControl w:val="0"/>
              <w:numPr>
                <w:ilvl w:val="0"/>
                <w:numId w:val="2"/>
              </w:numPr>
              <w:spacing w:line="360" w:lineRule="auto"/>
              <w:ind w:left="0" w:firstLine="0" w:firstLineChars="0"/>
              <w:jc w:val="center"/>
              <w:rPr>
                <w:rFonts w:ascii="宋体" w:hAnsi="宋体" w:eastAsia="宋体"/>
                <w:b/>
                <w:color w:val="000000" w:themeColor="text1"/>
                <w:sz w:val="21"/>
                <w14:textFill>
                  <w14:solidFill>
                    <w14:schemeClr w14:val="tx1"/>
                  </w14:solidFill>
                </w14:textFill>
              </w:rPr>
            </w:pPr>
            <w:r>
              <w:rPr>
                <w:rFonts w:hint="eastAsia" w:ascii="宋体" w:hAnsi="宋体" w:eastAsia="宋体"/>
                <w:b/>
                <w:color w:val="000000" w:themeColor="text1"/>
                <w:sz w:val="21"/>
                <w14:textFill>
                  <w14:solidFill>
                    <w14:schemeClr w14:val="tx1"/>
                  </w14:solidFill>
                </w14:textFill>
              </w:rPr>
              <w:t>项目选址与开发区土地利用规划关系示意图</w:t>
            </w:r>
          </w:p>
          <w:p w14:paraId="1142FDEB">
            <w:pPr>
              <w:autoSpaceDE w:val="0"/>
              <w:autoSpaceDN w:val="0"/>
              <w:adjustRightInd w:val="0"/>
              <w:snapToGrid w:val="0"/>
              <w:spacing w:before="120" w:beforeLines="50" w:line="360" w:lineRule="auto"/>
              <w:ind w:firstLine="480" w:firstLineChars="200"/>
              <w:rPr>
                <w:rFonts w:hint="eastAsia"/>
                <w:sz w:val="24"/>
              </w:rPr>
            </w:pPr>
            <w:r>
              <w:rPr>
                <w:rFonts w:hint="eastAsia"/>
                <w:sz w:val="24"/>
              </w:rPr>
              <w:t>根据开发区总体规划，项目占地范围土地利用规划为工业用地，项目的建设不改变土地性质，项目用地符合《河北宽城经济开发区总体规划（2022-2035年）》。</w:t>
            </w:r>
          </w:p>
          <w:p w14:paraId="5767EFF0">
            <w:pPr>
              <w:autoSpaceDE w:val="0"/>
              <w:autoSpaceDN w:val="0"/>
              <w:adjustRightInd w:val="0"/>
              <w:snapToGrid w:val="0"/>
              <w:spacing w:line="360" w:lineRule="auto"/>
              <w:ind w:firstLine="482" w:firstLineChars="200"/>
              <w:rPr>
                <w:b/>
                <w:kern w:val="0"/>
                <w:sz w:val="24"/>
              </w:rPr>
            </w:pPr>
            <w:r>
              <w:rPr>
                <w:rFonts w:hint="eastAsia"/>
                <w:b/>
                <w:kern w:val="0"/>
                <w:sz w:val="24"/>
              </w:rPr>
              <w:t>2、规划环境影响评价符合性分析</w:t>
            </w:r>
          </w:p>
          <w:p w14:paraId="0498AD7C">
            <w:pPr>
              <w:autoSpaceDE w:val="0"/>
              <w:autoSpaceDN w:val="0"/>
              <w:adjustRightInd w:val="0"/>
              <w:snapToGrid w:val="0"/>
              <w:spacing w:line="360" w:lineRule="auto"/>
              <w:ind w:firstLine="480" w:firstLineChars="200"/>
              <w:rPr>
                <w:kern w:val="0"/>
                <w:sz w:val="24"/>
              </w:rPr>
            </w:pPr>
            <w:r>
              <w:rPr>
                <w:rFonts w:hint="eastAsia"/>
                <w:sz w:val="24"/>
              </w:rPr>
              <w:t>项目与《河北宽城经济开发区总体规划（2022-2035年）环境影响报告书》中开发区总体生态环境准入清单符合性分析见下表。</w:t>
            </w:r>
          </w:p>
          <w:p w14:paraId="0A78C724">
            <w:pPr>
              <w:pStyle w:val="48"/>
              <w:numPr>
                <w:ilvl w:val="0"/>
                <w:numId w:val="3"/>
              </w:numPr>
              <w:ind w:left="0" w:firstLine="0" w:firstLineChars="0"/>
              <w:jc w:val="center"/>
              <w:rPr>
                <w:rFonts w:ascii="Times New Roman" w:hAnsi="Times New Roman" w:eastAsia="宋体"/>
                <w:b/>
                <w:bCs/>
                <w:sz w:val="21"/>
                <w:szCs w:val="21"/>
              </w:rPr>
            </w:pPr>
            <w:r>
              <w:rPr>
                <w:rFonts w:hint="eastAsia" w:ascii="Times New Roman" w:hAnsi="Times New Roman" w:eastAsia="宋体"/>
                <w:b/>
                <w:bCs/>
                <w:sz w:val="21"/>
                <w:szCs w:val="21"/>
              </w:rPr>
              <w:t>项目与开发区总体生态环境准入清单符合性分析</w:t>
            </w:r>
          </w:p>
          <w:tbl>
            <w:tblPr>
              <w:tblStyle w:val="2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8"/>
              <w:gridCol w:w="4590"/>
              <w:gridCol w:w="2487"/>
            </w:tblGrid>
            <w:tr w14:paraId="0DBDB0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Align w:val="center"/>
                </w:tcPr>
                <w:p w14:paraId="45FCB0FB">
                  <w:pPr>
                    <w:autoSpaceDE w:val="0"/>
                    <w:autoSpaceDN w:val="0"/>
                    <w:jc w:val="center"/>
                    <w:rPr>
                      <w:b/>
                      <w:bCs/>
                      <w:kern w:val="21"/>
                      <w:sz w:val="18"/>
                      <w:szCs w:val="21"/>
                    </w:rPr>
                  </w:pPr>
                  <w:r>
                    <w:rPr>
                      <w:b/>
                      <w:bCs/>
                      <w:kern w:val="21"/>
                      <w:sz w:val="18"/>
                      <w:szCs w:val="21"/>
                    </w:rPr>
                    <w:t>清单类型</w:t>
                  </w:r>
                </w:p>
              </w:tc>
              <w:tc>
                <w:tcPr>
                  <w:tcW w:w="4590" w:type="dxa"/>
                  <w:vAlign w:val="center"/>
                </w:tcPr>
                <w:p w14:paraId="0A1E6B86">
                  <w:pPr>
                    <w:autoSpaceDE w:val="0"/>
                    <w:autoSpaceDN w:val="0"/>
                    <w:jc w:val="center"/>
                    <w:rPr>
                      <w:b/>
                      <w:bCs/>
                      <w:kern w:val="21"/>
                      <w:szCs w:val="21"/>
                    </w:rPr>
                  </w:pPr>
                  <w:r>
                    <w:rPr>
                      <w:b/>
                      <w:bCs/>
                      <w:kern w:val="21"/>
                      <w:szCs w:val="21"/>
                    </w:rPr>
                    <w:t>准入要求</w:t>
                  </w:r>
                </w:p>
              </w:tc>
              <w:tc>
                <w:tcPr>
                  <w:tcW w:w="2487" w:type="dxa"/>
                  <w:vAlign w:val="center"/>
                </w:tcPr>
                <w:p w14:paraId="4C0F9B17">
                  <w:pPr>
                    <w:autoSpaceDE w:val="0"/>
                    <w:autoSpaceDN w:val="0"/>
                    <w:jc w:val="center"/>
                    <w:rPr>
                      <w:b/>
                      <w:bCs/>
                      <w:kern w:val="21"/>
                      <w:szCs w:val="21"/>
                    </w:rPr>
                  </w:pPr>
                  <w:r>
                    <w:rPr>
                      <w:b/>
                      <w:bCs/>
                      <w:kern w:val="21"/>
                      <w:szCs w:val="21"/>
                    </w:rPr>
                    <w:t>符合性分析</w:t>
                  </w:r>
                </w:p>
              </w:tc>
            </w:tr>
            <w:tr w14:paraId="6EB12B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Align w:val="center"/>
                </w:tcPr>
                <w:p w14:paraId="5F69F83F">
                  <w:pPr>
                    <w:autoSpaceDE w:val="0"/>
                    <w:autoSpaceDN w:val="0"/>
                    <w:jc w:val="center"/>
                    <w:rPr>
                      <w:rFonts w:hint="eastAsia"/>
                      <w:kern w:val="21"/>
                      <w:szCs w:val="21"/>
                    </w:rPr>
                  </w:pPr>
                  <w:r>
                    <w:rPr>
                      <w:rFonts w:hint="eastAsia"/>
                      <w:kern w:val="21"/>
                      <w:szCs w:val="21"/>
                    </w:rPr>
                    <w:t>全市总体要求</w:t>
                  </w:r>
                </w:p>
              </w:tc>
              <w:tc>
                <w:tcPr>
                  <w:tcW w:w="4590" w:type="dxa"/>
                  <w:vAlign w:val="center"/>
                </w:tcPr>
                <w:p w14:paraId="102C7559">
                  <w:pPr>
                    <w:autoSpaceDE w:val="0"/>
                    <w:autoSpaceDN w:val="0"/>
                    <w:jc w:val="center"/>
                    <w:rPr>
                      <w:rFonts w:hint="eastAsia"/>
                      <w:kern w:val="21"/>
                      <w:szCs w:val="21"/>
                    </w:rPr>
                  </w:pPr>
                  <w:r>
                    <w:rPr>
                      <w:rFonts w:hint="eastAsia"/>
                      <w:kern w:val="21"/>
                      <w:szCs w:val="21"/>
                    </w:rPr>
                    <w:t>详见《承德市人民政府关于实施“三线一单”生态环境分区管控的意见》(承市政字[2021]17号)中全市总体准入要求，具体内容不再列出</w:t>
                  </w:r>
                </w:p>
              </w:tc>
              <w:tc>
                <w:tcPr>
                  <w:tcW w:w="2487" w:type="dxa"/>
                  <w:vAlign w:val="center"/>
                </w:tcPr>
                <w:p w14:paraId="56CD788B">
                  <w:pPr>
                    <w:autoSpaceDE w:val="0"/>
                    <w:autoSpaceDN w:val="0"/>
                    <w:jc w:val="center"/>
                    <w:rPr>
                      <w:rFonts w:hint="default"/>
                      <w:kern w:val="21"/>
                      <w:szCs w:val="21"/>
                      <w:lang w:val="en-US" w:eastAsia="zh-CN"/>
                    </w:rPr>
                  </w:pPr>
                  <w:r>
                    <w:rPr>
                      <w:rFonts w:hint="eastAsia"/>
                      <w:kern w:val="21"/>
                      <w:szCs w:val="21"/>
                      <w:lang w:val="en-US" w:eastAsia="zh-CN"/>
                    </w:rPr>
                    <w:t>本项目符合《承德市人民政府关于发布承德市生态环境分区管控准入清单（2023年版）的通知》的总体要求</w:t>
                  </w:r>
                </w:p>
              </w:tc>
            </w:tr>
            <w:tr w14:paraId="4AA485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Align w:val="center"/>
                </w:tcPr>
                <w:p w14:paraId="75BE4BA7">
                  <w:pPr>
                    <w:autoSpaceDE w:val="0"/>
                    <w:autoSpaceDN w:val="0"/>
                    <w:jc w:val="center"/>
                    <w:rPr>
                      <w:kern w:val="21"/>
                      <w:szCs w:val="21"/>
                    </w:rPr>
                  </w:pPr>
                  <w:r>
                    <w:rPr>
                      <w:rFonts w:hint="eastAsia"/>
                      <w:kern w:val="21"/>
                      <w:szCs w:val="21"/>
                    </w:rPr>
                    <w:t>产业及政策准入管理要求</w:t>
                  </w:r>
                </w:p>
              </w:tc>
              <w:tc>
                <w:tcPr>
                  <w:tcW w:w="4590" w:type="dxa"/>
                  <w:vAlign w:val="center"/>
                </w:tcPr>
                <w:p w14:paraId="4ED76BE3">
                  <w:pPr>
                    <w:autoSpaceDE w:val="0"/>
                    <w:autoSpaceDN w:val="0"/>
                    <w:jc w:val="center"/>
                    <w:rPr>
                      <w:kern w:val="21"/>
                      <w:szCs w:val="21"/>
                    </w:rPr>
                  </w:pPr>
                  <w:r>
                    <w:rPr>
                      <w:rFonts w:hint="eastAsia"/>
                      <w:kern w:val="21"/>
                      <w:szCs w:val="21"/>
                    </w:rPr>
                    <w:t>禁止新建《产业结构调整指导目录》及《河北省新增限制和淘汰类产业目录》中属于限制和淘汰类的建设项目及工艺设备；禁止建设《市场准入负面清单》中的禁止准入类项目</w:t>
                  </w:r>
                </w:p>
              </w:tc>
              <w:tc>
                <w:tcPr>
                  <w:tcW w:w="2487" w:type="dxa"/>
                  <w:vAlign w:val="center"/>
                </w:tcPr>
                <w:p w14:paraId="07EE1C3B">
                  <w:pPr>
                    <w:autoSpaceDE w:val="0"/>
                    <w:autoSpaceDN w:val="0"/>
                    <w:jc w:val="center"/>
                    <w:rPr>
                      <w:rFonts w:hint="default" w:eastAsia="宋体"/>
                      <w:kern w:val="21"/>
                      <w:szCs w:val="21"/>
                      <w:lang w:val="en-US" w:eastAsia="zh-CN"/>
                    </w:rPr>
                  </w:pPr>
                  <w:r>
                    <w:rPr>
                      <w:rFonts w:hint="eastAsia"/>
                      <w:kern w:val="21"/>
                      <w:szCs w:val="21"/>
                      <w:lang w:val="en-US" w:eastAsia="zh-CN"/>
                    </w:rPr>
                    <w:t>本项目所属行业为N7724危险废物治理，不涉及</w:t>
                  </w:r>
                  <w:r>
                    <w:rPr>
                      <w:rFonts w:hint="eastAsia"/>
                      <w:kern w:val="21"/>
                      <w:szCs w:val="21"/>
                    </w:rPr>
                    <w:t>《产业结构调整指导目录》及《河北省新增限制和淘汰类产业目录》中限制和淘汰类的建设项目及工艺设备；</w:t>
                  </w:r>
                  <w:r>
                    <w:rPr>
                      <w:rFonts w:hint="eastAsia"/>
                      <w:kern w:val="21"/>
                      <w:szCs w:val="21"/>
                      <w:lang w:val="en-US" w:eastAsia="zh-CN"/>
                    </w:rPr>
                    <w:t>不属于</w:t>
                  </w:r>
                  <w:r>
                    <w:rPr>
                      <w:rFonts w:hint="eastAsia"/>
                      <w:kern w:val="21"/>
                      <w:szCs w:val="21"/>
                    </w:rPr>
                    <w:t>《市场准入负面清单》中的禁止准入类项目</w:t>
                  </w:r>
                </w:p>
              </w:tc>
            </w:tr>
            <w:tr w14:paraId="037B01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restart"/>
                  <w:vAlign w:val="center"/>
                </w:tcPr>
                <w:p w14:paraId="4116BAE2">
                  <w:pPr>
                    <w:autoSpaceDE w:val="0"/>
                    <w:autoSpaceDN w:val="0"/>
                    <w:jc w:val="center"/>
                    <w:rPr>
                      <w:kern w:val="21"/>
                      <w:szCs w:val="21"/>
                    </w:rPr>
                  </w:pPr>
                  <w:r>
                    <w:rPr>
                      <w:kern w:val="21"/>
                      <w:szCs w:val="21"/>
                    </w:rPr>
                    <w:t>空间布局约束</w:t>
                  </w:r>
                </w:p>
              </w:tc>
              <w:tc>
                <w:tcPr>
                  <w:tcW w:w="4590" w:type="dxa"/>
                  <w:vAlign w:val="center"/>
                </w:tcPr>
                <w:p w14:paraId="200C4EBD">
                  <w:pPr>
                    <w:autoSpaceDE w:val="0"/>
                    <w:autoSpaceDN w:val="0"/>
                    <w:jc w:val="center"/>
                    <w:rPr>
                      <w:kern w:val="21"/>
                      <w:szCs w:val="21"/>
                    </w:rPr>
                  </w:pPr>
                  <w:r>
                    <w:rPr>
                      <w:rFonts w:hint="eastAsia"/>
                      <w:kern w:val="21"/>
                      <w:szCs w:val="21"/>
                    </w:rPr>
                    <w:t>开发区规划实施过程中不得侵占周边生态保护红线</w:t>
                  </w:r>
                  <w:r>
                    <w:rPr>
                      <w:kern w:val="21"/>
                      <w:szCs w:val="21"/>
                    </w:rPr>
                    <w:t>；</w:t>
                  </w:r>
                </w:p>
              </w:tc>
              <w:tc>
                <w:tcPr>
                  <w:tcW w:w="2487" w:type="dxa"/>
                  <w:vAlign w:val="center"/>
                </w:tcPr>
                <w:p w14:paraId="13356BF3">
                  <w:pPr>
                    <w:autoSpaceDE w:val="0"/>
                    <w:autoSpaceDN w:val="0"/>
                    <w:jc w:val="center"/>
                    <w:rPr>
                      <w:kern w:val="21"/>
                      <w:szCs w:val="21"/>
                    </w:rPr>
                  </w:pPr>
                  <w:r>
                    <w:rPr>
                      <w:rFonts w:hint="eastAsia"/>
                      <w:kern w:val="21"/>
                      <w:szCs w:val="21"/>
                      <w:lang w:val="en-US" w:eastAsia="zh-CN"/>
                    </w:rPr>
                    <w:t>本项目选址不占用生态保护红线</w:t>
                  </w:r>
                  <w:r>
                    <w:rPr>
                      <w:kern w:val="21"/>
                      <w:szCs w:val="21"/>
                    </w:rPr>
                    <w:t>。</w:t>
                  </w:r>
                </w:p>
              </w:tc>
            </w:tr>
            <w:tr w14:paraId="047F1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20E60249">
                  <w:pPr>
                    <w:autoSpaceDE w:val="0"/>
                    <w:autoSpaceDN w:val="0"/>
                    <w:jc w:val="center"/>
                    <w:rPr>
                      <w:kern w:val="21"/>
                      <w:szCs w:val="21"/>
                      <w:highlight w:val="green"/>
                    </w:rPr>
                  </w:pPr>
                </w:p>
              </w:tc>
              <w:tc>
                <w:tcPr>
                  <w:tcW w:w="4590" w:type="dxa"/>
                  <w:vAlign w:val="center"/>
                </w:tcPr>
                <w:p w14:paraId="32F27B12">
                  <w:pPr>
                    <w:autoSpaceDE w:val="0"/>
                    <w:autoSpaceDN w:val="0"/>
                    <w:jc w:val="center"/>
                    <w:rPr>
                      <w:kern w:val="21"/>
                      <w:szCs w:val="21"/>
                    </w:rPr>
                  </w:pPr>
                  <w:r>
                    <w:rPr>
                      <w:rFonts w:hint="eastAsia"/>
                      <w:kern w:val="21"/>
                      <w:szCs w:val="21"/>
                    </w:rPr>
                    <w:t>禁止在公园绿地、广场绿地等规划绿地范围内开展与绿地无关的建设活动，禁止占用河道范围，禁止占用公路、铁路用地红线</w:t>
                  </w:r>
                  <w:r>
                    <w:rPr>
                      <w:kern w:val="21"/>
                      <w:szCs w:val="21"/>
                    </w:rPr>
                    <w:t>；</w:t>
                  </w:r>
                </w:p>
              </w:tc>
              <w:tc>
                <w:tcPr>
                  <w:tcW w:w="2487" w:type="dxa"/>
                  <w:vAlign w:val="center"/>
                </w:tcPr>
                <w:p w14:paraId="1B681F22">
                  <w:pPr>
                    <w:autoSpaceDE w:val="0"/>
                    <w:autoSpaceDN w:val="0"/>
                    <w:jc w:val="center"/>
                    <w:rPr>
                      <w:kern w:val="21"/>
                      <w:szCs w:val="21"/>
                    </w:rPr>
                  </w:pPr>
                  <w:r>
                    <w:rPr>
                      <w:rFonts w:hint="eastAsia"/>
                      <w:kern w:val="21"/>
                      <w:szCs w:val="21"/>
                      <w:lang w:val="en-US" w:eastAsia="zh-CN"/>
                    </w:rPr>
                    <w:t>本项目不占用</w:t>
                  </w:r>
                  <w:r>
                    <w:rPr>
                      <w:rFonts w:hint="eastAsia"/>
                      <w:kern w:val="21"/>
                      <w:szCs w:val="21"/>
                    </w:rPr>
                    <w:t>公园绿地、广场绿地等规划绿地</w:t>
                  </w:r>
                  <w:r>
                    <w:rPr>
                      <w:rFonts w:hint="eastAsia"/>
                      <w:kern w:val="21"/>
                      <w:szCs w:val="21"/>
                      <w:lang w:eastAsia="zh-CN"/>
                    </w:rPr>
                    <w:t>、</w:t>
                  </w:r>
                  <w:r>
                    <w:rPr>
                      <w:rFonts w:hint="eastAsia"/>
                      <w:kern w:val="21"/>
                      <w:szCs w:val="21"/>
                    </w:rPr>
                    <w:t>河道范围</w:t>
                  </w:r>
                  <w:r>
                    <w:rPr>
                      <w:rFonts w:hint="eastAsia"/>
                      <w:kern w:val="21"/>
                      <w:szCs w:val="21"/>
                      <w:lang w:eastAsia="zh-CN"/>
                    </w:rPr>
                    <w:t>、</w:t>
                  </w:r>
                  <w:r>
                    <w:rPr>
                      <w:rFonts w:hint="eastAsia"/>
                      <w:kern w:val="21"/>
                      <w:szCs w:val="21"/>
                    </w:rPr>
                    <w:t>公路、铁路用地红线</w:t>
                  </w:r>
                  <w:r>
                    <w:rPr>
                      <w:kern w:val="21"/>
                      <w:szCs w:val="21"/>
                    </w:rPr>
                    <w:t>。</w:t>
                  </w:r>
                </w:p>
              </w:tc>
            </w:tr>
            <w:tr w14:paraId="26CBA2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1B2ED842">
                  <w:pPr>
                    <w:autoSpaceDE w:val="0"/>
                    <w:autoSpaceDN w:val="0"/>
                    <w:jc w:val="center"/>
                    <w:rPr>
                      <w:kern w:val="21"/>
                      <w:szCs w:val="21"/>
                      <w:highlight w:val="green"/>
                    </w:rPr>
                  </w:pPr>
                </w:p>
              </w:tc>
              <w:tc>
                <w:tcPr>
                  <w:tcW w:w="4590" w:type="dxa"/>
                  <w:vAlign w:val="center"/>
                </w:tcPr>
                <w:p w14:paraId="6F2B100D">
                  <w:pPr>
                    <w:autoSpaceDE w:val="0"/>
                    <w:autoSpaceDN w:val="0"/>
                    <w:jc w:val="center"/>
                    <w:rPr>
                      <w:kern w:val="21"/>
                      <w:szCs w:val="21"/>
                    </w:rPr>
                  </w:pPr>
                  <w:r>
                    <w:rPr>
                      <w:rFonts w:hint="eastAsia"/>
                      <w:kern w:val="21"/>
                      <w:szCs w:val="21"/>
                    </w:rPr>
                    <w:t>在公路两侧建筑控制线范围内，禁止建设除公路附属设施外的其他永久性建筑物、构筑物和设施；在铁路线路安全保护区内，除必要的铁路施工、作业、抢险活动外，任何单位和个人不得建造建筑物、构筑物，取土、挖砂、挖沟</w:t>
                  </w:r>
                  <w:r>
                    <w:rPr>
                      <w:kern w:val="21"/>
                      <w:szCs w:val="21"/>
                    </w:rPr>
                    <w:t>；</w:t>
                  </w:r>
                </w:p>
              </w:tc>
              <w:tc>
                <w:tcPr>
                  <w:tcW w:w="2487" w:type="dxa"/>
                  <w:vAlign w:val="center"/>
                </w:tcPr>
                <w:p w14:paraId="6213A5C7">
                  <w:pPr>
                    <w:autoSpaceDE w:val="0"/>
                    <w:autoSpaceDN w:val="0"/>
                    <w:jc w:val="center"/>
                    <w:rPr>
                      <w:kern w:val="21"/>
                      <w:szCs w:val="21"/>
                    </w:rPr>
                  </w:pPr>
                  <w:r>
                    <w:rPr>
                      <w:rFonts w:hint="eastAsia"/>
                      <w:kern w:val="21"/>
                      <w:szCs w:val="21"/>
                      <w:lang w:val="en-US" w:eastAsia="zh-CN"/>
                    </w:rPr>
                    <w:t>本项目不占用</w:t>
                  </w:r>
                  <w:r>
                    <w:rPr>
                      <w:rFonts w:hint="eastAsia"/>
                      <w:kern w:val="21"/>
                      <w:szCs w:val="21"/>
                    </w:rPr>
                    <w:t>公路两侧建筑控制线</w:t>
                  </w:r>
                  <w:r>
                    <w:rPr>
                      <w:kern w:val="21"/>
                      <w:szCs w:val="21"/>
                    </w:rPr>
                    <w:t>。</w:t>
                  </w:r>
                </w:p>
              </w:tc>
            </w:tr>
            <w:tr w14:paraId="60C45A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6D1B6A3A">
                  <w:pPr>
                    <w:autoSpaceDE w:val="0"/>
                    <w:autoSpaceDN w:val="0"/>
                    <w:jc w:val="center"/>
                    <w:rPr>
                      <w:kern w:val="21"/>
                      <w:szCs w:val="21"/>
                      <w:highlight w:val="green"/>
                    </w:rPr>
                  </w:pPr>
                </w:p>
              </w:tc>
              <w:tc>
                <w:tcPr>
                  <w:tcW w:w="4590" w:type="dxa"/>
                  <w:vAlign w:val="center"/>
                </w:tcPr>
                <w:p w14:paraId="4FC72722">
                  <w:pPr>
                    <w:autoSpaceDE w:val="0"/>
                    <w:autoSpaceDN w:val="0"/>
                    <w:jc w:val="center"/>
                    <w:rPr>
                      <w:kern w:val="21"/>
                      <w:szCs w:val="21"/>
                    </w:rPr>
                  </w:pPr>
                  <w:r>
                    <w:rPr>
                      <w:rFonts w:hint="eastAsia"/>
                      <w:kern w:val="21"/>
                      <w:szCs w:val="21"/>
                    </w:rPr>
                    <w:t>村庄及规划的居住区、教育科研用地及医疗卫生用地范围内禁止新建工业企业。在居住区与工业用地之间设置绿化隔离带，并控制居住区向工业用地方向发展。工业用地靠近居住区一侧在布置工业项目时应重点考虑对居住区的环境影响分析，建议对环境影响相对较重的项目应布置在居住区较远的位置</w:t>
                  </w:r>
                  <w:r>
                    <w:rPr>
                      <w:kern w:val="21"/>
                      <w:szCs w:val="21"/>
                    </w:rPr>
                    <w:t>；</w:t>
                  </w:r>
                </w:p>
              </w:tc>
              <w:tc>
                <w:tcPr>
                  <w:tcW w:w="2487" w:type="dxa"/>
                  <w:vAlign w:val="center"/>
                </w:tcPr>
                <w:p w14:paraId="26352B21">
                  <w:pPr>
                    <w:autoSpaceDE w:val="0"/>
                    <w:autoSpaceDN w:val="0"/>
                    <w:jc w:val="center"/>
                    <w:rPr>
                      <w:kern w:val="21"/>
                      <w:szCs w:val="21"/>
                    </w:rPr>
                  </w:pPr>
                  <w:r>
                    <w:rPr>
                      <w:rFonts w:hint="eastAsia"/>
                      <w:kern w:val="21"/>
                      <w:szCs w:val="21"/>
                      <w:lang w:val="en-US" w:eastAsia="zh-CN"/>
                    </w:rPr>
                    <w:t>本项目不新增占地，租用承德坤元环保科技有限公司厂房和场地进行建设</w:t>
                  </w:r>
                  <w:r>
                    <w:rPr>
                      <w:kern w:val="21"/>
                      <w:szCs w:val="21"/>
                    </w:rPr>
                    <w:t>。</w:t>
                  </w:r>
                </w:p>
              </w:tc>
            </w:tr>
            <w:tr w14:paraId="209293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67CD9502">
                  <w:pPr>
                    <w:autoSpaceDE w:val="0"/>
                    <w:autoSpaceDN w:val="0"/>
                    <w:jc w:val="center"/>
                    <w:rPr>
                      <w:kern w:val="21"/>
                      <w:szCs w:val="21"/>
                      <w:highlight w:val="green"/>
                    </w:rPr>
                  </w:pPr>
                </w:p>
              </w:tc>
              <w:tc>
                <w:tcPr>
                  <w:tcW w:w="4590" w:type="dxa"/>
                  <w:vAlign w:val="center"/>
                </w:tcPr>
                <w:p w14:paraId="54DA5B45">
                  <w:pPr>
                    <w:autoSpaceDE w:val="0"/>
                    <w:autoSpaceDN w:val="0"/>
                    <w:jc w:val="center"/>
                    <w:rPr>
                      <w:kern w:val="21"/>
                      <w:szCs w:val="21"/>
                    </w:rPr>
                  </w:pPr>
                  <w:r>
                    <w:rPr>
                      <w:rFonts w:hint="eastAsia"/>
                      <w:kern w:val="21"/>
                      <w:szCs w:val="21"/>
                    </w:rPr>
                    <w:t>严格按照产业布局进行项目准入，不符合产业布局的现有企业按照本评价提出的管控要求进一步加强管理</w:t>
                  </w:r>
                  <w:r>
                    <w:rPr>
                      <w:kern w:val="21"/>
                      <w:szCs w:val="21"/>
                    </w:rPr>
                    <w:t>；</w:t>
                  </w:r>
                </w:p>
              </w:tc>
              <w:tc>
                <w:tcPr>
                  <w:tcW w:w="2487" w:type="dxa"/>
                  <w:vAlign w:val="center"/>
                </w:tcPr>
                <w:p w14:paraId="57EC5555">
                  <w:pPr>
                    <w:autoSpaceDE w:val="0"/>
                    <w:autoSpaceDN w:val="0"/>
                    <w:jc w:val="center"/>
                    <w:rPr>
                      <w:kern w:val="21"/>
                      <w:szCs w:val="21"/>
                    </w:rPr>
                  </w:pPr>
                  <w:r>
                    <w:rPr>
                      <w:rFonts w:hint="eastAsia"/>
                      <w:kern w:val="21"/>
                      <w:szCs w:val="21"/>
                      <w:lang w:val="en-US" w:eastAsia="zh-CN"/>
                    </w:rPr>
                    <w:t>本项目符合产业布局要求</w:t>
                  </w:r>
                  <w:r>
                    <w:rPr>
                      <w:kern w:val="21"/>
                      <w:szCs w:val="21"/>
                    </w:rPr>
                    <w:t>。</w:t>
                  </w:r>
                </w:p>
              </w:tc>
            </w:tr>
            <w:tr w14:paraId="449114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restart"/>
                  <w:vAlign w:val="center"/>
                </w:tcPr>
                <w:p w14:paraId="45A238B2">
                  <w:pPr>
                    <w:autoSpaceDE w:val="0"/>
                    <w:autoSpaceDN w:val="0"/>
                    <w:jc w:val="center"/>
                    <w:rPr>
                      <w:kern w:val="21"/>
                      <w:szCs w:val="21"/>
                    </w:rPr>
                  </w:pPr>
                  <w:r>
                    <w:rPr>
                      <w:kern w:val="21"/>
                      <w:szCs w:val="21"/>
                    </w:rPr>
                    <w:t>污染物排放管控</w:t>
                  </w:r>
                </w:p>
              </w:tc>
              <w:tc>
                <w:tcPr>
                  <w:tcW w:w="4590" w:type="dxa"/>
                  <w:vAlign w:val="center"/>
                </w:tcPr>
                <w:p w14:paraId="7B65CBC5">
                  <w:pPr>
                    <w:autoSpaceDE w:val="0"/>
                    <w:autoSpaceDN w:val="0"/>
                    <w:jc w:val="center"/>
                    <w:rPr>
                      <w:kern w:val="21"/>
                      <w:szCs w:val="21"/>
                    </w:rPr>
                  </w:pPr>
                  <w:r>
                    <w:rPr>
                      <w:rFonts w:hint="eastAsia"/>
                      <w:kern w:val="21"/>
                      <w:szCs w:val="21"/>
                    </w:rPr>
                    <w:t>入区项目各污染物排放满足国家、河北省特别排放限值及地方特别要求，其中燃气锅炉需满足河北省地方标准《锅炉大气污染物排放标准》，球团执行《钢铁工业大气污染物超低排放标准》相关要求</w:t>
                  </w:r>
                  <w:r>
                    <w:rPr>
                      <w:kern w:val="21"/>
                      <w:szCs w:val="21"/>
                    </w:rPr>
                    <w:t>。</w:t>
                  </w:r>
                </w:p>
              </w:tc>
              <w:tc>
                <w:tcPr>
                  <w:tcW w:w="2487" w:type="dxa"/>
                  <w:vAlign w:val="center"/>
                </w:tcPr>
                <w:p w14:paraId="0B472CDF">
                  <w:pPr>
                    <w:autoSpaceDE w:val="0"/>
                    <w:autoSpaceDN w:val="0"/>
                    <w:jc w:val="center"/>
                    <w:rPr>
                      <w:kern w:val="21"/>
                      <w:szCs w:val="21"/>
                    </w:rPr>
                  </w:pPr>
                  <w:r>
                    <w:rPr>
                      <w:rFonts w:hint="eastAsia"/>
                      <w:kern w:val="21"/>
                      <w:szCs w:val="21"/>
                      <w:lang w:val="en-US" w:eastAsia="zh-CN"/>
                    </w:rPr>
                    <w:t>本项目污染物排放满足国家、河北省、承德市等规定的标准要求</w:t>
                  </w:r>
                  <w:r>
                    <w:rPr>
                      <w:kern w:val="21"/>
                      <w:szCs w:val="21"/>
                    </w:rPr>
                    <w:t>。</w:t>
                  </w:r>
                </w:p>
              </w:tc>
            </w:tr>
            <w:tr w14:paraId="14BA56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27B31BC3">
                  <w:pPr>
                    <w:autoSpaceDE w:val="0"/>
                    <w:autoSpaceDN w:val="0"/>
                    <w:jc w:val="center"/>
                    <w:rPr>
                      <w:kern w:val="21"/>
                      <w:szCs w:val="21"/>
                    </w:rPr>
                  </w:pPr>
                </w:p>
              </w:tc>
              <w:tc>
                <w:tcPr>
                  <w:tcW w:w="4590" w:type="dxa"/>
                  <w:vAlign w:val="center"/>
                </w:tcPr>
                <w:p w14:paraId="0002CBFE">
                  <w:pPr>
                    <w:autoSpaceDE w:val="0"/>
                    <w:autoSpaceDN w:val="0"/>
                    <w:jc w:val="center"/>
                    <w:rPr>
                      <w:rFonts w:hint="eastAsia"/>
                      <w:kern w:val="21"/>
                      <w:szCs w:val="21"/>
                    </w:rPr>
                  </w:pPr>
                  <w:r>
                    <w:rPr>
                      <w:rFonts w:hint="eastAsia"/>
                      <w:kern w:val="21"/>
                      <w:szCs w:val="21"/>
                    </w:rPr>
                    <w:t>重点行业建设项目应严格落实区域主要污染物削减方案</w:t>
                  </w:r>
                </w:p>
              </w:tc>
              <w:tc>
                <w:tcPr>
                  <w:tcW w:w="2487" w:type="dxa"/>
                  <w:vAlign w:val="center"/>
                </w:tcPr>
                <w:p w14:paraId="4FB44EB7">
                  <w:pPr>
                    <w:autoSpaceDE w:val="0"/>
                    <w:autoSpaceDN w:val="0"/>
                    <w:jc w:val="center"/>
                    <w:rPr>
                      <w:rFonts w:hint="default" w:eastAsia="宋体"/>
                      <w:kern w:val="21"/>
                      <w:szCs w:val="21"/>
                      <w:lang w:val="en-US" w:eastAsia="zh-CN"/>
                    </w:rPr>
                  </w:pPr>
                  <w:r>
                    <w:rPr>
                      <w:rFonts w:hint="eastAsia"/>
                      <w:kern w:val="21"/>
                      <w:szCs w:val="21"/>
                      <w:lang w:val="en-US" w:eastAsia="zh-CN"/>
                    </w:rPr>
                    <w:t>本项目不属于重点行业</w:t>
                  </w:r>
                </w:p>
              </w:tc>
            </w:tr>
            <w:tr w14:paraId="344B89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49479EF2">
                  <w:pPr>
                    <w:autoSpaceDE w:val="0"/>
                    <w:autoSpaceDN w:val="0"/>
                    <w:jc w:val="center"/>
                    <w:rPr>
                      <w:kern w:val="21"/>
                      <w:szCs w:val="21"/>
                    </w:rPr>
                  </w:pPr>
                </w:p>
              </w:tc>
              <w:tc>
                <w:tcPr>
                  <w:tcW w:w="4590" w:type="dxa"/>
                  <w:vAlign w:val="center"/>
                </w:tcPr>
                <w:p w14:paraId="22535BA5">
                  <w:pPr>
                    <w:autoSpaceDE w:val="0"/>
                    <w:autoSpaceDN w:val="0"/>
                    <w:jc w:val="center"/>
                    <w:rPr>
                      <w:rFonts w:hint="eastAsia"/>
                      <w:kern w:val="21"/>
                      <w:szCs w:val="21"/>
                    </w:rPr>
                  </w:pPr>
                  <w:r>
                    <w:rPr>
                      <w:rFonts w:hint="eastAsia"/>
                      <w:kern w:val="21"/>
                      <w:szCs w:val="21"/>
                    </w:rPr>
                    <w:t>入区项目污染物排放必须满足国家、河北省、承德市等规定的标准要求，排放指标必须满足清洁生产指标要求(如有)</w:t>
                  </w:r>
                </w:p>
              </w:tc>
              <w:tc>
                <w:tcPr>
                  <w:tcW w:w="2487" w:type="dxa"/>
                  <w:vAlign w:val="center"/>
                </w:tcPr>
                <w:p w14:paraId="5943A80A">
                  <w:pPr>
                    <w:autoSpaceDE w:val="0"/>
                    <w:autoSpaceDN w:val="0"/>
                    <w:jc w:val="center"/>
                    <w:rPr>
                      <w:rFonts w:hint="eastAsia"/>
                      <w:kern w:val="21"/>
                      <w:szCs w:val="21"/>
                    </w:rPr>
                  </w:pPr>
                  <w:r>
                    <w:rPr>
                      <w:rFonts w:hint="eastAsia"/>
                      <w:kern w:val="21"/>
                      <w:szCs w:val="21"/>
                      <w:lang w:val="en-US" w:eastAsia="zh-CN"/>
                    </w:rPr>
                    <w:t>本项目所属行业无清洁生产标准要求</w:t>
                  </w:r>
                </w:p>
              </w:tc>
            </w:tr>
            <w:tr w14:paraId="75ACB7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14BB64A4">
                  <w:pPr>
                    <w:autoSpaceDE w:val="0"/>
                    <w:autoSpaceDN w:val="0"/>
                    <w:jc w:val="center"/>
                    <w:rPr>
                      <w:kern w:val="21"/>
                      <w:szCs w:val="21"/>
                    </w:rPr>
                  </w:pPr>
                </w:p>
              </w:tc>
              <w:tc>
                <w:tcPr>
                  <w:tcW w:w="4590" w:type="dxa"/>
                  <w:vAlign w:val="center"/>
                </w:tcPr>
                <w:p w14:paraId="78EE27E7">
                  <w:pPr>
                    <w:autoSpaceDE w:val="0"/>
                    <w:autoSpaceDN w:val="0"/>
                    <w:jc w:val="center"/>
                    <w:rPr>
                      <w:rFonts w:hint="eastAsia"/>
                      <w:kern w:val="21"/>
                      <w:szCs w:val="21"/>
                    </w:rPr>
                  </w:pPr>
                  <w:r>
                    <w:rPr>
                      <w:rFonts w:hint="eastAsia"/>
                      <w:kern w:val="21"/>
                      <w:szCs w:val="21"/>
                    </w:rPr>
                    <w:t>入区项目需满足建设项目污染物排放总量控制要求</w:t>
                  </w:r>
                </w:p>
              </w:tc>
              <w:tc>
                <w:tcPr>
                  <w:tcW w:w="2487" w:type="dxa"/>
                  <w:vAlign w:val="center"/>
                </w:tcPr>
                <w:p w14:paraId="003A6BEE">
                  <w:pPr>
                    <w:autoSpaceDE w:val="0"/>
                    <w:autoSpaceDN w:val="0"/>
                    <w:jc w:val="center"/>
                    <w:rPr>
                      <w:rFonts w:hint="default" w:eastAsia="宋体"/>
                      <w:kern w:val="21"/>
                      <w:szCs w:val="21"/>
                      <w:lang w:val="en-US" w:eastAsia="zh-CN"/>
                    </w:rPr>
                  </w:pPr>
                  <w:r>
                    <w:rPr>
                      <w:rFonts w:hint="eastAsia"/>
                      <w:kern w:val="21"/>
                      <w:szCs w:val="21"/>
                      <w:lang w:val="en-US" w:eastAsia="zh-CN"/>
                    </w:rPr>
                    <w:t>本项目不涉及总量控制因子排放</w:t>
                  </w:r>
                </w:p>
              </w:tc>
            </w:tr>
            <w:tr w14:paraId="304FEC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626221DA">
                  <w:pPr>
                    <w:autoSpaceDE w:val="0"/>
                    <w:autoSpaceDN w:val="0"/>
                    <w:jc w:val="center"/>
                    <w:rPr>
                      <w:kern w:val="21"/>
                      <w:szCs w:val="21"/>
                      <w:highlight w:val="green"/>
                    </w:rPr>
                  </w:pPr>
                </w:p>
              </w:tc>
              <w:tc>
                <w:tcPr>
                  <w:tcW w:w="4590" w:type="dxa"/>
                  <w:vAlign w:val="center"/>
                </w:tcPr>
                <w:p w14:paraId="0A928AC5">
                  <w:pPr>
                    <w:autoSpaceDE w:val="0"/>
                    <w:autoSpaceDN w:val="0"/>
                    <w:rPr>
                      <w:kern w:val="21"/>
                      <w:szCs w:val="21"/>
                    </w:rPr>
                  </w:pPr>
                  <w:r>
                    <w:rPr>
                      <w:rFonts w:hint="eastAsia"/>
                      <w:kern w:val="21"/>
                      <w:szCs w:val="21"/>
                    </w:rPr>
                    <w:t>固体废物零排放，其中危险废物收集、贮存、运输、处置、利用等须满足《中华人民共和国固体废物污染环境防治法》、《危险废物收集贮存运输技术规范》、《危险废物贮存污染控制标准》等国家、地方相关法律法规、技术规范、标准要求</w:t>
                  </w:r>
                </w:p>
              </w:tc>
              <w:tc>
                <w:tcPr>
                  <w:tcW w:w="2487" w:type="dxa"/>
                  <w:vAlign w:val="center"/>
                </w:tcPr>
                <w:p w14:paraId="32E257D2">
                  <w:pPr>
                    <w:autoSpaceDE w:val="0"/>
                    <w:autoSpaceDN w:val="0"/>
                    <w:jc w:val="center"/>
                    <w:rPr>
                      <w:kern w:val="21"/>
                      <w:szCs w:val="21"/>
                    </w:rPr>
                  </w:pPr>
                  <w:r>
                    <w:rPr>
                      <w:rFonts w:hint="eastAsia"/>
                      <w:kern w:val="21"/>
                      <w:szCs w:val="21"/>
                      <w:lang w:val="en-US" w:eastAsia="zh-CN"/>
                    </w:rPr>
                    <w:t>本项目</w:t>
                  </w:r>
                  <w:r>
                    <w:rPr>
                      <w:rFonts w:hint="eastAsia"/>
                      <w:kern w:val="21"/>
                      <w:szCs w:val="21"/>
                      <w:highlight w:val="none"/>
                      <w:lang w:val="en-US" w:eastAsia="zh-CN"/>
                    </w:rPr>
                    <w:t>属于危险废物收集贮存库项目，项目</w:t>
                  </w:r>
                  <w:r>
                    <w:rPr>
                      <w:rFonts w:hint="eastAsia"/>
                      <w:kern w:val="21"/>
                      <w:szCs w:val="21"/>
                    </w:rPr>
                    <w:t>满足《中华人民共和国固体废物污染环境防治法》、《危险废物收集贮存运输技术规范》、《危险废物贮存污染控制标准》等国家、地方相关法律法规、技术规范、标准要求</w:t>
                  </w:r>
                  <w:r>
                    <w:rPr>
                      <w:kern w:val="21"/>
                      <w:szCs w:val="21"/>
                    </w:rPr>
                    <w:t>。</w:t>
                  </w:r>
                </w:p>
              </w:tc>
            </w:tr>
            <w:tr w14:paraId="371315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restart"/>
                  <w:vAlign w:val="center"/>
                </w:tcPr>
                <w:p w14:paraId="05265E37">
                  <w:pPr>
                    <w:autoSpaceDE w:val="0"/>
                    <w:autoSpaceDN w:val="0"/>
                    <w:jc w:val="center"/>
                    <w:rPr>
                      <w:kern w:val="21"/>
                      <w:szCs w:val="21"/>
                    </w:rPr>
                  </w:pPr>
                  <w:r>
                    <w:rPr>
                      <w:kern w:val="21"/>
                      <w:szCs w:val="21"/>
                    </w:rPr>
                    <w:t>环境风险防控</w:t>
                  </w:r>
                </w:p>
              </w:tc>
              <w:tc>
                <w:tcPr>
                  <w:tcW w:w="4590" w:type="dxa"/>
                  <w:vAlign w:val="center"/>
                </w:tcPr>
                <w:p w14:paraId="2BF92219">
                  <w:pPr>
                    <w:autoSpaceDE w:val="0"/>
                    <w:autoSpaceDN w:val="0"/>
                    <w:jc w:val="center"/>
                    <w:rPr>
                      <w:kern w:val="21"/>
                      <w:szCs w:val="21"/>
                    </w:rPr>
                  </w:pPr>
                  <w:r>
                    <w:rPr>
                      <w:rFonts w:hint="eastAsia"/>
                      <w:kern w:val="21"/>
                      <w:szCs w:val="21"/>
                    </w:rPr>
                    <w:t>重点监管企业和工业园区周边土壤环境，定期开展监督性监测，重点监测重金属和持久性有机污染物</w:t>
                  </w:r>
                </w:p>
              </w:tc>
              <w:tc>
                <w:tcPr>
                  <w:tcW w:w="2487" w:type="dxa"/>
                  <w:vAlign w:val="center"/>
                </w:tcPr>
                <w:p w14:paraId="0F9DE2D1">
                  <w:pPr>
                    <w:autoSpaceDE w:val="0"/>
                    <w:autoSpaceDN w:val="0"/>
                    <w:jc w:val="center"/>
                    <w:rPr>
                      <w:rFonts w:hint="default" w:eastAsia="宋体"/>
                      <w:kern w:val="21"/>
                      <w:szCs w:val="21"/>
                      <w:lang w:val="en-US" w:eastAsia="zh-CN"/>
                    </w:rPr>
                  </w:pPr>
                  <w:r>
                    <w:rPr>
                      <w:rFonts w:hint="eastAsia"/>
                      <w:kern w:val="21"/>
                      <w:szCs w:val="21"/>
                      <w:lang w:val="en-US" w:eastAsia="zh-CN"/>
                    </w:rPr>
                    <w:t>根据现状检测报告可知，本项目对区域土壤环境进行检测，各因子均满足要求，无超标因子，同时项目正式运营时将按本次评价要求进行定期检测</w:t>
                  </w:r>
                </w:p>
              </w:tc>
            </w:tr>
            <w:tr w14:paraId="30C7A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0D57B1B9">
                  <w:pPr>
                    <w:autoSpaceDE w:val="0"/>
                    <w:autoSpaceDN w:val="0"/>
                    <w:jc w:val="center"/>
                    <w:rPr>
                      <w:kern w:val="21"/>
                      <w:szCs w:val="21"/>
                    </w:rPr>
                  </w:pPr>
                </w:p>
              </w:tc>
              <w:tc>
                <w:tcPr>
                  <w:tcW w:w="4590" w:type="dxa"/>
                  <w:vAlign w:val="center"/>
                </w:tcPr>
                <w:p w14:paraId="7D5409BB">
                  <w:pPr>
                    <w:autoSpaceDE w:val="0"/>
                    <w:autoSpaceDN w:val="0"/>
                    <w:jc w:val="center"/>
                    <w:rPr>
                      <w:kern w:val="21"/>
                      <w:szCs w:val="21"/>
                    </w:rPr>
                  </w:pPr>
                  <w:r>
                    <w:rPr>
                      <w:rFonts w:hint="eastAsia"/>
                      <w:kern w:val="21"/>
                      <w:szCs w:val="21"/>
                    </w:rPr>
                    <w:t>加强园区与周边敏感区生态防护设施建设</w:t>
                  </w:r>
                </w:p>
              </w:tc>
              <w:tc>
                <w:tcPr>
                  <w:tcW w:w="2487" w:type="dxa"/>
                  <w:vAlign w:val="center"/>
                </w:tcPr>
                <w:p w14:paraId="388F9BB2">
                  <w:pPr>
                    <w:autoSpaceDE w:val="0"/>
                    <w:autoSpaceDN w:val="0"/>
                    <w:jc w:val="center"/>
                    <w:rPr>
                      <w:rFonts w:hint="eastAsia" w:eastAsia="宋体"/>
                      <w:kern w:val="21"/>
                      <w:szCs w:val="21"/>
                      <w:lang w:val="en-US" w:eastAsia="zh-CN"/>
                    </w:rPr>
                  </w:pPr>
                  <w:r>
                    <w:rPr>
                      <w:rFonts w:hint="eastAsia"/>
                      <w:kern w:val="21"/>
                      <w:szCs w:val="21"/>
                      <w:lang w:val="en-US" w:eastAsia="zh-CN"/>
                    </w:rPr>
                    <w:t>不涉及</w:t>
                  </w:r>
                </w:p>
              </w:tc>
            </w:tr>
            <w:tr w14:paraId="12B4E2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68A42DB3">
                  <w:pPr>
                    <w:autoSpaceDE w:val="0"/>
                    <w:autoSpaceDN w:val="0"/>
                    <w:jc w:val="center"/>
                    <w:rPr>
                      <w:kern w:val="21"/>
                      <w:szCs w:val="21"/>
                    </w:rPr>
                  </w:pPr>
                </w:p>
              </w:tc>
              <w:tc>
                <w:tcPr>
                  <w:tcW w:w="4590" w:type="dxa"/>
                  <w:vAlign w:val="center"/>
                </w:tcPr>
                <w:p w14:paraId="0E2EA022">
                  <w:pPr>
                    <w:autoSpaceDE w:val="0"/>
                    <w:autoSpaceDN w:val="0"/>
                    <w:jc w:val="center"/>
                    <w:rPr>
                      <w:kern w:val="21"/>
                      <w:szCs w:val="21"/>
                    </w:rPr>
                  </w:pPr>
                  <w:r>
                    <w:rPr>
                      <w:rFonts w:hint="eastAsia"/>
                      <w:kern w:val="21"/>
                      <w:szCs w:val="21"/>
                    </w:rPr>
                    <w:t>制定园区化学品信息管理系统，加强危废处置及管控</w:t>
                  </w:r>
                </w:p>
              </w:tc>
              <w:tc>
                <w:tcPr>
                  <w:tcW w:w="2487" w:type="dxa"/>
                  <w:vAlign w:val="center"/>
                </w:tcPr>
                <w:p w14:paraId="733837EF">
                  <w:pPr>
                    <w:autoSpaceDE w:val="0"/>
                    <w:autoSpaceDN w:val="0"/>
                    <w:jc w:val="center"/>
                    <w:rPr>
                      <w:rFonts w:hint="default" w:eastAsia="宋体"/>
                      <w:kern w:val="21"/>
                      <w:szCs w:val="21"/>
                      <w:lang w:val="en-US" w:eastAsia="zh-CN"/>
                    </w:rPr>
                  </w:pPr>
                  <w:r>
                    <w:rPr>
                      <w:rFonts w:hint="eastAsia"/>
                      <w:kern w:val="21"/>
                      <w:szCs w:val="21"/>
                      <w:lang w:val="en-US" w:eastAsia="zh-CN"/>
                    </w:rPr>
                    <w:t>本项目属</w:t>
                  </w:r>
                  <w:r>
                    <w:rPr>
                      <w:rFonts w:hint="eastAsia"/>
                      <w:kern w:val="21"/>
                      <w:szCs w:val="21"/>
                      <w:highlight w:val="none"/>
                      <w:lang w:val="en-US" w:eastAsia="zh-CN"/>
                    </w:rPr>
                    <w:t>于危险废物收集贮存库项目，</w:t>
                  </w:r>
                  <w:r>
                    <w:rPr>
                      <w:rFonts w:hint="eastAsia"/>
                      <w:kern w:val="21"/>
                      <w:szCs w:val="21"/>
                      <w:lang w:val="en-US" w:eastAsia="zh-CN"/>
                    </w:rPr>
                    <w:t>满足</w:t>
                  </w:r>
                  <w:r>
                    <w:rPr>
                      <w:rFonts w:hint="eastAsia"/>
                      <w:kern w:val="21"/>
                      <w:szCs w:val="21"/>
                    </w:rPr>
                    <w:t>加强危废处置及管控</w:t>
                  </w:r>
                  <w:r>
                    <w:rPr>
                      <w:rFonts w:hint="eastAsia"/>
                      <w:kern w:val="21"/>
                      <w:szCs w:val="21"/>
                      <w:lang w:eastAsia="zh-CN"/>
                    </w:rPr>
                    <w:t>的</w:t>
                  </w:r>
                  <w:r>
                    <w:rPr>
                      <w:rFonts w:hint="eastAsia"/>
                      <w:kern w:val="21"/>
                      <w:szCs w:val="21"/>
                      <w:lang w:val="en-US" w:eastAsia="zh-CN"/>
                    </w:rPr>
                    <w:t>要求</w:t>
                  </w:r>
                </w:p>
              </w:tc>
            </w:tr>
            <w:tr w14:paraId="0B83D8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7D7B3BF0">
                  <w:pPr>
                    <w:autoSpaceDE w:val="0"/>
                    <w:autoSpaceDN w:val="0"/>
                    <w:jc w:val="center"/>
                    <w:rPr>
                      <w:kern w:val="21"/>
                      <w:szCs w:val="21"/>
                    </w:rPr>
                  </w:pPr>
                </w:p>
              </w:tc>
              <w:tc>
                <w:tcPr>
                  <w:tcW w:w="4590" w:type="dxa"/>
                  <w:vAlign w:val="center"/>
                </w:tcPr>
                <w:p w14:paraId="0D77FE9E">
                  <w:pPr>
                    <w:autoSpaceDE w:val="0"/>
                    <w:autoSpaceDN w:val="0"/>
                    <w:jc w:val="center"/>
                    <w:rPr>
                      <w:kern w:val="21"/>
                      <w:szCs w:val="21"/>
                    </w:rPr>
                  </w:pPr>
                  <w:r>
                    <w:rPr>
                      <w:rFonts w:hint="eastAsia"/>
                      <w:kern w:val="21"/>
                      <w:szCs w:val="21"/>
                    </w:rPr>
                    <w:t>对于易导致环境风险的有毒有害和易燃易爆物质的生产、使用、排放、贮运等新建、改扩建项目，风险防控措施应满足本评价提出的环境风险管理要求</w:t>
                  </w:r>
                </w:p>
              </w:tc>
              <w:tc>
                <w:tcPr>
                  <w:tcW w:w="2487" w:type="dxa"/>
                  <w:vAlign w:val="center"/>
                </w:tcPr>
                <w:p w14:paraId="4F6FB51C">
                  <w:pPr>
                    <w:autoSpaceDE w:val="0"/>
                    <w:autoSpaceDN w:val="0"/>
                    <w:jc w:val="center"/>
                    <w:rPr>
                      <w:kern w:val="21"/>
                      <w:szCs w:val="21"/>
                    </w:rPr>
                  </w:pPr>
                  <w:r>
                    <w:rPr>
                      <w:rFonts w:hint="eastAsia"/>
                      <w:kern w:val="21"/>
                      <w:szCs w:val="21"/>
                      <w:highlight w:val="none"/>
                      <w:lang w:val="en-US" w:eastAsia="zh-CN"/>
                    </w:rPr>
                    <w:t>本项目运营期严格执行本评价提出的环境风险管控要求</w:t>
                  </w:r>
                  <w:r>
                    <w:rPr>
                      <w:kern w:val="21"/>
                      <w:szCs w:val="21"/>
                      <w:highlight w:val="none"/>
                    </w:rPr>
                    <w:t>。</w:t>
                  </w:r>
                </w:p>
              </w:tc>
            </w:tr>
            <w:tr w14:paraId="6E6B9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restart"/>
                  <w:vAlign w:val="center"/>
                </w:tcPr>
                <w:p w14:paraId="5C1489F9">
                  <w:pPr>
                    <w:autoSpaceDE w:val="0"/>
                    <w:autoSpaceDN w:val="0"/>
                    <w:jc w:val="center"/>
                    <w:rPr>
                      <w:kern w:val="21"/>
                      <w:szCs w:val="21"/>
                    </w:rPr>
                  </w:pPr>
                  <w:r>
                    <w:rPr>
                      <w:kern w:val="21"/>
                      <w:szCs w:val="21"/>
                    </w:rPr>
                    <w:t>资源开发利用要求</w:t>
                  </w:r>
                </w:p>
              </w:tc>
              <w:tc>
                <w:tcPr>
                  <w:tcW w:w="4590" w:type="dxa"/>
                  <w:vAlign w:val="center"/>
                </w:tcPr>
                <w:p w14:paraId="1AFE0481">
                  <w:pPr>
                    <w:autoSpaceDE w:val="0"/>
                    <w:autoSpaceDN w:val="0"/>
                    <w:jc w:val="center"/>
                    <w:rPr>
                      <w:kern w:val="21"/>
                      <w:szCs w:val="21"/>
                    </w:rPr>
                  </w:pPr>
                  <w:r>
                    <w:rPr>
                      <w:rFonts w:hint="eastAsia"/>
                      <w:kern w:val="21"/>
                      <w:szCs w:val="21"/>
                    </w:rPr>
                    <w:t>禁止新建、扩建采用非清洁燃料的项目和设施</w:t>
                  </w:r>
                  <w:r>
                    <w:rPr>
                      <w:kern w:val="21"/>
                      <w:szCs w:val="21"/>
                    </w:rPr>
                    <w:t>。</w:t>
                  </w:r>
                </w:p>
              </w:tc>
              <w:tc>
                <w:tcPr>
                  <w:tcW w:w="2487" w:type="dxa"/>
                  <w:vAlign w:val="center"/>
                </w:tcPr>
                <w:p w14:paraId="1DFF83AF">
                  <w:pPr>
                    <w:autoSpaceDE w:val="0"/>
                    <w:autoSpaceDN w:val="0"/>
                    <w:jc w:val="center"/>
                    <w:rPr>
                      <w:kern w:val="21"/>
                      <w:szCs w:val="21"/>
                    </w:rPr>
                  </w:pPr>
                  <w:r>
                    <w:rPr>
                      <w:kern w:val="21"/>
                      <w:szCs w:val="21"/>
                    </w:rPr>
                    <w:t>不涉及</w:t>
                  </w:r>
                </w:p>
              </w:tc>
            </w:tr>
            <w:tr w14:paraId="2EA1BA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627257C2">
                  <w:pPr>
                    <w:autoSpaceDE w:val="0"/>
                    <w:autoSpaceDN w:val="0"/>
                    <w:jc w:val="center"/>
                    <w:rPr>
                      <w:kern w:val="21"/>
                      <w:szCs w:val="21"/>
                    </w:rPr>
                  </w:pPr>
                </w:p>
              </w:tc>
              <w:tc>
                <w:tcPr>
                  <w:tcW w:w="4590" w:type="dxa"/>
                  <w:vAlign w:val="center"/>
                </w:tcPr>
                <w:p w14:paraId="3B5E28B2">
                  <w:pPr>
                    <w:autoSpaceDE w:val="0"/>
                    <w:autoSpaceDN w:val="0"/>
                    <w:jc w:val="center"/>
                    <w:rPr>
                      <w:kern w:val="21"/>
                      <w:szCs w:val="21"/>
                    </w:rPr>
                  </w:pPr>
                  <w:r>
                    <w:rPr>
                      <w:rFonts w:hint="eastAsia"/>
                      <w:kern w:val="21"/>
                      <w:szCs w:val="21"/>
                    </w:rPr>
                    <w:t>满足区域“三线一单”设定的土地资源、水资源、能源利用上限</w:t>
                  </w:r>
                </w:p>
              </w:tc>
              <w:tc>
                <w:tcPr>
                  <w:tcW w:w="2487" w:type="dxa"/>
                  <w:vAlign w:val="center"/>
                </w:tcPr>
                <w:p w14:paraId="1A7F8E41">
                  <w:pPr>
                    <w:autoSpaceDE w:val="0"/>
                    <w:autoSpaceDN w:val="0"/>
                    <w:jc w:val="center"/>
                    <w:rPr>
                      <w:rFonts w:hint="default" w:eastAsia="宋体"/>
                      <w:kern w:val="21"/>
                      <w:szCs w:val="21"/>
                      <w:lang w:val="en-US" w:eastAsia="zh-CN"/>
                    </w:rPr>
                  </w:pPr>
                  <w:r>
                    <w:rPr>
                      <w:rFonts w:hint="eastAsia"/>
                      <w:kern w:val="21"/>
                      <w:szCs w:val="21"/>
                      <w:lang w:val="en-US" w:eastAsia="zh-CN"/>
                    </w:rPr>
                    <w:t>本项目满足</w:t>
                  </w:r>
                  <w:r>
                    <w:rPr>
                      <w:rFonts w:hint="eastAsia"/>
                      <w:kern w:val="21"/>
                      <w:szCs w:val="21"/>
                    </w:rPr>
                    <w:t>区域“三线一单”设定的土地资源、水资源、能源利用上限</w:t>
                  </w:r>
                </w:p>
              </w:tc>
            </w:tr>
            <w:tr w14:paraId="4EB8BC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6BEB00B3">
                  <w:pPr>
                    <w:autoSpaceDE w:val="0"/>
                    <w:autoSpaceDN w:val="0"/>
                    <w:jc w:val="center"/>
                    <w:rPr>
                      <w:kern w:val="21"/>
                      <w:szCs w:val="21"/>
                    </w:rPr>
                  </w:pPr>
                </w:p>
              </w:tc>
              <w:tc>
                <w:tcPr>
                  <w:tcW w:w="4590" w:type="dxa"/>
                  <w:vAlign w:val="center"/>
                </w:tcPr>
                <w:p w14:paraId="260010CA">
                  <w:pPr>
                    <w:autoSpaceDE w:val="0"/>
                    <w:autoSpaceDN w:val="0"/>
                    <w:jc w:val="center"/>
                    <w:rPr>
                      <w:kern w:val="21"/>
                      <w:szCs w:val="21"/>
                    </w:rPr>
                  </w:pPr>
                  <w:r>
                    <w:rPr>
                      <w:rFonts w:hint="eastAsia"/>
                      <w:kern w:val="21"/>
                      <w:szCs w:val="21"/>
                    </w:rPr>
                    <w:t>严格控制煤炭消费总量。对球团、清洁煤制气中心等新增耗煤项目实施等(减)量替代</w:t>
                  </w:r>
                </w:p>
              </w:tc>
              <w:tc>
                <w:tcPr>
                  <w:tcW w:w="2487" w:type="dxa"/>
                  <w:vAlign w:val="center"/>
                </w:tcPr>
                <w:p w14:paraId="4683118F">
                  <w:pPr>
                    <w:autoSpaceDE w:val="0"/>
                    <w:autoSpaceDN w:val="0"/>
                    <w:jc w:val="center"/>
                    <w:rPr>
                      <w:rFonts w:hint="default" w:eastAsia="宋体"/>
                      <w:kern w:val="21"/>
                      <w:szCs w:val="21"/>
                      <w:lang w:val="en-US" w:eastAsia="zh-CN"/>
                    </w:rPr>
                  </w:pPr>
                  <w:r>
                    <w:rPr>
                      <w:rFonts w:hint="eastAsia"/>
                      <w:kern w:val="21"/>
                      <w:szCs w:val="21"/>
                      <w:lang w:val="en-US" w:eastAsia="zh-CN"/>
                    </w:rPr>
                    <w:t>不涉及</w:t>
                  </w:r>
                </w:p>
              </w:tc>
            </w:tr>
            <w:tr w14:paraId="532803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restart"/>
                  <w:vAlign w:val="center"/>
                </w:tcPr>
                <w:p w14:paraId="4B96FA24">
                  <w:pPr>
                    <w:autoSpaceDE w:val="0"/>
                    <w:autoSpaceDN w:val="0"/>
                    <w:jc w:val="center"/>
                    <w:rPr>
                      <w:kern w:val="21"/>
                      <w:szCs w:val="21"/>
                    </w:rPr>
                  </w:pPr>
                  <w:r>
                    <w:rPr>
                      <w:rFonts w:hint="eastAsia"/>
                      <w:kern w:val="21"/>
                      <w:szCs w:val="21"/>
                    </w:rPr>
                    <w:t>其他相关要求</w:t>
                  </w:r>
                </w:p>
              </w:tc>
              <w:tc>
                <w:tcPr>
                  <w:tcW w:w="4590" w:type="dxa"/>
                  <w:vAlign w:val="center"/>
                </w:tcPr>
                <w:p w14:paraId="2A95D59F">
                  <w:pPr>
                    <w:autoSpaceDE w:val="0"/>
                    <w:autoSpaceDN w:val="0"/>
                    <w:jc w:val="center"/>
                    <w:rPr>
                      <w:rFonts w:hint="eastAsia"/>
                      <w:kern w:val="21"/>
                      <w:szCs w:val="21"/>
                    </w:rPr>
                  </w:pPr>
                  <w:r>
                    <w:rPr>
                      <w:rFonts w:hint="eastAsia"/>
                      <w:kern w:val="21"/>
                      <w:szCs w:val="21"/>
                    </w:rPr>
                    <w:t>集中供水实现区域新入区建设项目用水不得新增地下水取用量</w:t>
                  </w:r>
                </w:p>
              </w:tc>
              <w:tc>
                <w:tcPr>
                  <w:tcW w:w="2487" w:type="dxa"/>
                  <w:vAlign w:val="center"/>
                </w:tcPr>
                <w:p w14:paraId="275F102F">
                  <w:pPr>
                    <w:autoSpaceDE w:val="0"/>
                    <w:autoSpaceDN w:val="0"/>
                    <w:jc w:val="center"/>
                    <w:rPr>
                      <w:rFonts w:hint="default" w:eastAsia="宋体"/>
                      <w:kern w:val="21"/>
                      <w:szCs w:val="21"/>
                      <w:lang w:val="en-US" w:eastAsia="zh-CN"/>
                    </w:rPr>
                  </w:pPr>
                  <w:r>
                    <w:rPr>
                      <w:rFonts w:hint="eastAsia"/>
                      <w:kern w:val="21"/>
                      <w:szCs w:val="21"/>
                      <w:lang w:val="en-US" w:eastAsia="zh-CN"/>
                    </w:rPr>
                    <w:t>本项目选址未实现集中供水</w:t>
                  </w:r>
                </w:p>
              </w:tc>
            </w:tr>
            <w:tr w14:paraId="76D368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5A40DC17">
                  <w:pPr>
                    <w:autoSpaceDE w:val="0"/>
                    <w:autoSpaceDN w:val="0"/>
                    <w:jc w:val="center"/>
                    <w:rPr>
                      <w:kern w:val="21"/>
                      <w:szCs w:val="21"/>
                    </w:rPr>
                  </w:pPr>
                </w:p>
              </w:tc>
              <w:tc>
                <w:tcPr>
                  <w:tcW w:w="4590" w:type="dxa"/>
                  <w:vAlign w:val="center"/>
                </w:tcPr>
                <w:p w14:paraId="1341F83E">
                  <w:pPr>
                    <w:autoSpaceDE w:val="0"/>
                    <w:autoSpaceDN w:val="0"/>
                    <w:jc w:val="center"/>
                    <w:rPr>
                      <w:rFonts w:hint="eastAsia"/>
                      <w:kern w:val="21"/>
                      <w:szCs w:val="21"/>
                    </w:rPr>
                  </w:pPr>
                  <w:r>
                    <w:rPr>
                      <w:rFonts w:hint="eastAsia"/>
                      <w:kern w:val="21"/>
                      <w:szCs w:val="21"/>
                    </w:rPr>
                    <w:t>不能实现总量控制要求的项目禁止准入</w:t>
                  </w:r>
                </w:p>
              </w:tc>
              <w:tc>
                <w:tcPr>
                  <w:tcW w:w="2487" w:type="dxa"/>
                  <w:vAlign w:val="center"/>
                </w:tcPr>
                <w:p w14:paraId="68FC0963">
                  <w:pPr>
                    <w:autoSpaceDE w:val="0"/>
                    <w:autoSpaceDN w:val="0"/>
                    <w:jc w:val="center"/>
                    <w:rPr>
                      <w:rFonts w:hint="default" w:eastAsia="宋体"/>
                      <w:kern w:val="21"/>
                      <w:szCs w:val="21"/>
                      <w:lang w:val="en-US" w:eastAsia="zh-CN"/>
                    </w:rPr>
                  </w:pPr>
                  <w:r>
                    <w:rPr>
                      <w:rFonts w:hint="eastAsia"/>
                      <w:kern w:val="21"/>
                      <w:szCs w:val="21"/>
                      <w:highlight w:val="none"/>
                      <w:lang w:val="en-US" w:eastAsia="zh-CN"/>
                    </w:rPr>
                    <w:t>本项目不涉及总量控制因子排放</w:t>
                  </w:r>
                </w:p>
              </w:tc>
            </w:tr>
            <w:tr w14:paraId="45D845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11FD0E3C">
                  <w:pPr>
                    <w:autoSpaceDE w:val="0"/>
                    <w:autoSpaceDN w:val="0"/>
                    <w:jc w:val="center"/>
                    <w:rPr>
                      <w:kern w:val="21"/>
                      <w:szCs w:val="21"/>
                    </w:rPr>
                  </w:pPr>
                </w:p>
              </w:tc>
              <w:tc>
                <w:tcPr>
                  <w:tcW w:w="4590" w:type="dxa"/>
                  <w:vAlign w:val="center"/>
                </w:tcPr>
                <w:p w14:paraId="3B19F53F">
                  <w:pPr>
                    <w:autoSpaceDE w:val="0"/>
                    <w:autoSpaceDN w:val="0"/>
                    <w:jc w:val="center"/>
                    <w:rPr>
                      <w:rFonts w:hint="eastAsia"/>
                      <w:kern w:val="21"/>
                      <w:szCs w:val="21"/>
                    </w:rPr>
                  </w:pPr>
                  <w:r>
                    <w:rPr>
                      <w:rFonts w:hint="eastAsia"/>
                      <w:kern w:val="21"/>
                      <w:szCs w:val="21"/>
                    </w:rPr>
                    <w:t>不符合本评价确定的生态空间管控的项目禁止准入</w:t>
                  </w:r>
                </w:p>
              </w:tc>
              <w:tc>
                <w:tcPr>
                  <w:tcW w:w="2487" w:type="dxa"/>
                  <w:vAlign w:val="center"/>
                </w:tcPr>
                <w:p w14:paraId="4AB767CF">
                  <w:pPr>
                    <w:autoSpaceDE w:val="0"/>
                    <w:autoSpaceDN w:val="0"/>
                    <w:jc w:val="center"/>
                    <w:rPr>
                      <w:rFonts w:hint="default" w:eastAsia="宋体"/>
                      <w:kern w:val="21"/>
                      <w:szCs w:val="21"/>
                      <w:lang w:val="en-US" w:eastAsia="zh-CN"/>
                    </w:rPr>
                  </w:pPr>
                  <w:r>
                    <w:rPr>
                      <w:rFonts w:hint="eastAsia"/>
                      <w:kern w:val="21"/>
                      <w:szCs w:val="21"/>
                      <w:lang w:val="en-US" w:eastAsia="zh-CN"/>
                    </w:rPr>
                    <w:t>本项目符合生态空间管控要求</w:t>
                  </w:r>
                </w:p>
              </w:tc>
            </w:tr>
            <w:tr w14:paraId="4A8AC3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1EC3C098">
                  <w:pPr>
                    <w:autoSpaceDE w:val="0"/>
                    <w:autoSpaceDN w:val="0"/>
                    <w:jc w:val="center"/>
                    <w:rPr>
                      <w:kern w:val="21"/>
                      <w:szCs w:val="21"/>
                    </w:rPr>
                  </w:pPr>
                </w:p>
              </w:tc>
              <w:tc>
                <w:tcPr>
                  <w:tcW w:w="4590" w:type="dxa"/>
                  <w:vAlign w:val="center"/>
                </w:tcPr>
                <w:p w14:paraId="0AB4F744">
                  <w:pPr>
                    <w:autoSpaceDE w:val="0"/>
                    <w:autoSpaceDN w:val="0"/>
                    <w:jc w:val="center"/>
                    <w:rPr>
                      <w:rFonts w:hint="eastAsia"/>
                      <w:kern w:val="21"/>
                      <w:szCs w:val="21"/>
                    </w:rPr>
                  </w:pPr>
                  <w:r>
                    <w:rPr>
                      <w:rFonts w:hint="eastAsia"/>
                      <w:kern w:val="21"/>
                      <w:szCs w:val="21"/>
                    </w:rPr>
                    <w:t>入区项目采用清洁生产技术、工艺和设备，清洁生产水平达到国家已颁布的相应清洁生产标准或清洁生产评价指标体系的国内先进水平(二级水平)，同时满足相应行业审批原则的规定，无标准的应达到国内先进及以上水平</w:t>
                  </w:r>
                </w:p>
              </w:tc>
              <w:tc>
                <w:tcPr>
                  <w:tcW w:w="2487" w:type="dxa"/>
                  <w:vAlign w:val="center"/>
                </w:tcPr>
                <w:p w14:paraId="36A5207C">
                  <w:pPr>
                    <w:autoSpaceDE w:val="0"/>
                    <w:autoSpaceDN w:val="0"/>
                    <w:jc w:val="center"/>
                    <w:rPr>
                      <w:rFonts w:hint="default" w:eastAsia="宋体"/>
                      <w:kern w:val="21"/>
                      <w:szCs w:val="21"/>
                      <w:lang w:val="en-US" w:eastAsia="zh-CN"/>
                    </w:rPr>
                  </w:pPr>
                  <w:r>
                    <w:rPr>
                      <w:rFonts w:hint="eastAsia"/>
                      <w:kern w:val="21"/>
                      <w:szCs w:val="21"/>
                      <w:lang w:val="en-US" w:eastAsia="zh-CN"/>
                    </w:rPr>
                    <w:t>本项目所属行业无清洁生产标准要求</w:t>
                  </w:r>
                </w:p>
              </w:tc>
            </w:tr>
            <w:tr w14:paraId="49BC13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3DA82210">
                  <w:pPr>
                    <w:autoSpaceDE w:val="0"/>
                    <w:autoSpaceDN w:val="0"/>
                    <w:jc w:val="center"/>
                    <w:rPr>
                      <w:kern w:val="21"/>
                      <w:szCs w:val="21"/>
                    </w:rPr>
                  </w:pPr>
                </w:p>
              </w:tc>
              <w:tc>
                <w:tcPr>
                  <w:tcW w:w="4590" w:type="dxa"/>
                  <w:vAlign w:val="center"/>
                </w:tcPr>
                <w:p w14:paraId="6DCCCEDF">
                  <w:pPr>
                    <w:autoSpaceDE w:val="0"/>
                    <w:autoSpaceDN w:val="0"/>
                    <w:jc w:val="center"/>
                    <w:rPr>
                      <w:rFonts w:hint="eastAsia"/>
                      <w:kern w:val="21"/>
                      <w:szCs w:val="21"/>
                    </w:rPr>
                  </w:pPr>
                  <w:r>
                    <w:rPr>
                      <w:rFonts w:hint="eastAsia"/>
                      <w:kern w:val="21"/>
                      <w:szCs w:val="21"/>
                    </w:rPr>
                    <w:t>涉重金属等特征污染物外排的涉水项目禁止准入</w:t>
                  </w:r>
                </w:p>
              </w:tc>
              <w:tc>
                <w:tcPr>
                  <w:tcW w:w="2487" w:type="dxa"/>
                  <w:vAlign w:val="center"/>
                </w:tcPr>
                <w:p w14:paraId="0B0B3901">
                  <w:pPr>
                    <w:autoSpaceDE w:val="0"/>
                    <w:autoSpaceDN w:val="0"/>
                    <w:jc w:val="center"/>
                    <w:rPr>
                      <w:rFonts w:hint="eastAsia" w:eastAsia="宋体"/>
                      <w:kern w:val="21"/>
                      <w:szCs w:val="21"/>
                      <w:lang w:val="en-US" w:eastAsia="zh-CN"/>
                    </w:rPr>
                  </w:pPr>
                  <w:r>
                    <w:rPr>
                      <w:rFonts w:hint="eastAsia"/>
                      <w:kern w:val="21"/>
                      <w:szCs w:val="21"/>
                      <w:lang w:val="en-US" w:eastAsia="zh-CN"/>
                    </w:rPr>
                    <w:t>不涉及</w:t>
                  </w:r>
                </w:p>
              </w:tc>
            </w:tr>
          </w:tbl>
          <w:p w14:paraId="4E008842">
            <w:pPr>
              <w:autoSpaceDE w:val="0"/>
              <w:autoSpaceDN w:val="0"/>
              <w:adjustRightInd w:val="0"/>
              <w:snapToGrid w:val="0"/>
              <w:spacing w:before="120" w:beforeLines="50" w:line="360" w:lineRule="auto"/>
              <w:ind w:firstLine="480" w:firstLineChars="200"/>
              <w:rPr>
                <w:kern w:val="0"/>
                <w:sz w:val="24"/>
              </w:rPr>
            </w:pPr>
            <w:r>
              <w:rPr>
                <w:kern w:val="0"/>
                <w:sz w:val="24"/>
              </w:rPr>
              <w:t>项目与《</w:t>
            </w:r>
            <w:r>
              <w:rPr>
                <w:rFonts w:hint="eastAsia"/>
                <w:sz w:val="24"/>
              </w:rPr>
              <w:t>河北宽城经济开发区总体规划（2022-2035年）环境影响报告书</w:t>
            </w:r>
            <w:r>
              <w:rPr>
                <w:kern w:val="0"/>
                <w:sz w:val="24"/>
              </w:rPr>
              <w:t>》中开发区</w:t>
            </w:r>
            <w:r>
              <w:rPr>
                <w:rFonts w:hint="eastAsia"/>
                <w:kern w:val="0"/>
                <w:sz w:val="24"/>
                <w:lang w:val="en-US" w:eastAsia="zh-CN"/>
              </w:rPr>
              <w:t>生态环境</w:t>
            </w:r>
            <w:r>
              <w:rPr>
                <w:kern w:val="0"/>
                <w:sz w:val="24"/>
              </w:rPr>
              <w:t>准入清单符合性分析如下：</w:t>
            </w:r>
          </w:p>
          <w:p w14:paraId="354E5CD1">
            <w:pPr>
              <w:pStyle w:val="48"/>
              <w:numPr>
                <w:ilvl w:val="0"/>
                <w:numId w:val="3"/>
              </w:numPr>
              <w:spacing w:line="360" w:lineRule="auto"/>
              <w:ind w:firstLineChars="0"/>
              <w:jc w:val="center"/>
              <w:rPr>
                <w:rFonts w:ascii="Times New Roman" w:hAnsi="Times New Roman" w:eastAsia="宋体"/>
                <w:b/>
                <w:sz w:val="21"/>
                <w:szCs w:val="21"/>
              </w:rPr>
            </w:pPr>
            <w:r>
              <w:rPr>
                <w:rFonts w:hint="eastAsia" w:ascii="Times New Roman" w:hAnsi="Times New Roman" w:eastAsia="宋体"/>
                <w:b/>
                <w:sz w:val="21"/>
                <w:szCs w:val="21"/>
              </w:rPr>
              <w:t>项目与开发区</w:t>
            </w:r>
            <w:r>
              <w:rPr>
                <w:rFonts w:hint="eastAsia" w:ascii="Times New Roman" w:hAnsi="Times New Roman" w:eastAsia="宋体"/>
                <w:b/>
                <w:sz w:val="21"/>
                <w:szCs w:val="21"/>
                <w:lang w:val="en-US" w:eastAsia="zh-CN"/>
              </w:rPr>
              <w:t>生态环境</w:t>
            </w:r>
            <w:r>
              <w:rPr>
                <w:rFonts w:hint="eastAsia" w:ascii="Times New Roman" w:hAnsi="Times New Roman" w:eastAsia="宋体"/>
                <w:b/>
                <w:sz w:val="21"/>
                <w:szCs w:val="21"/>
              </w:rPr>
              <w:t>准入清单符合性分析</w:t>
            </w:r>
          </w:p>
          <w:tbl>
            <w:tblPr>
              <w:tblStyle w:val="2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8"/>
              <w:gridCol w:w="4590"/>
              <w:gridCol w:w="2487"/>
            </w:tblGrid>
            <w:tr w14:paraId="4A0EC0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Align w:val="center"/>
                </w:tcPr>
                <w:p w14:paraId="11134B04">
                  <w:pPr>
                    <w:autoSpaceDE w:val="0"/>
                    <w:autoSpaceDN w:val="0"/>
                    <w:jc w:val="center"/>
                    <w:rPr>
                      <w:b/>
                      <w:bCs/>
                      <w:kern w:val="21"/>
                      <w:sz w:val="18"/>
                      <w:szCs w:val="21"/>
                    </w:rPr>
                  </w:pPr>
                  <w:r>
                    <w:rPr>
                      <w:b/>
                      <w:bCs/>
                      <w:kern w:val="21"/>
                      <w:sz w:val="18"/>
                      <w:szCs w:val="21"/>
                    </w:rPr>
                    <w:t>清单类型</w:t>
                  </w:r>
                </w:p>
              </w:tc>
              <w:tc>
                <w:tcPr>
                  <w:tcW w:w="4590" w:type="dxa"/>
                  <w:vAlign w:val="center"/>
                </w:tcPr>
                <w:p w14:paraId="0482492F">
                  <w:pPr>
                    <w:autoSpaceDE w:val="0"/>
                    <w:autoSpaceDN w:val="0"/>
                    <w:jc w:val="center"/>
                    <w:rPr>
                      <w:b/>
                      <w:bCs/>
                      <w:kern w:val="21"/>
                      <w:szCs w:val="21"/>
                    </w:rPr>
                  </w:pPr>
                  <w:r>
                    <w:rPr>
                      <w:b/>
                      <w:bCs/>
                      <w:kern w:val="21"/>
                      <w:szCs w:val="21"/>
                    </w:rPr>
                    <w:t>准入要求</w:t>
                  </w:r>
                </w:p>
              </w:tc>
              <w:tc>
                <w:tcPr>
                  <w:tcW w:w="2487" w:type="dxa"/>
                  <w:vAlign w:val="center"/>
                </w:tcPr>
                <w:p w14:paraId="68E16375">
                  <w:pPr>
                    <w:autoSpaceDE w:val="0"/>
                    <w:autoSpaceDN w:val="0"/>
                    <w:jc w:val="center"/>
                    <w:rPr>
                      <w:b/>
                      <w:bCs/>
                      <w:kern w:val="21"/>
                      <w:szCs w:val="21"/>
                    </w:rPr>
                  </w:pPr>
                  <w:r>
                    <w:rPr>
                      <w:b/>
                      <w:bCs/>
                      <w:kern w:val="21"/>
                      <w:szCs w:val="21"/>
                    </w:rPr>
                    <w:t>符合性分析</w:t>
                  </w:r>
                </w:p>
              </w:tc>
            </w:tr>
            <w:tr w14:paraId="54C754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restart"/>
                  <w:vAlign w:val="center"/>
                </w:tcPr>
                <w:p w14:paraId="0EE8322E">
                  <w:pPr>
                    <w:autoSpaceDE w:val="0"/>
                    <w:autoSpaceDN w:val="0"/>
                    <w:jc w:val="center"/>
                    <w:rPr>
                      <w:kern w:val="21"/>
                      <w:szCs w:val="21"/>
                    </w:rPr>
                  </w:pPr>
                  <w:r>
                    <w:rPr>
                      <w:kern w:val="21"/>
                      <w:szCs w:val="21"/>
                    </w:rPr>
                    <w:t>空间布局约束</w:t>
                  </w:r>
                </w:p>
              </w:tc>
              <w:tc>
                <w:tcPr>
                  <w:tcW w:w="4590" w:type="dxa"/>
                  <w:vAlign w:val="center"/>
                </w:tcPr>
                <w:p w14:paraId="71462BB6">
                  <w:pPr>
                    <w:autoSpaceDE w:val="0"/>
                    <w:autoSpaceDN w:val="0"/>
                    <w:jc w:val="center"/>
                    <w:rPr>
                      <w:kern w:val="21"/>
                      <w:szCs w:val="21"/>
                    </w:rPr>
                  </w:pPr>
                  <w:r>
                    <w:rPr>
                      <w:rFonts w:hint="eastAsia"/>
                      <w:kern w:val="21"/>
                      <w:szCs w:val="21"/>
                    </w:rPr>
                    <w:t>钒钛特钢产业区禁止焦化项目、禁止新建和扩建单纯新增钢铁产能的项目(等量置换除外)</w:t>
                  </w:r>
                  <w:r>
                    <w:rPr>
                      <w:kern w:val="21"/>
                      <w:szCs w:val="21"/>
                    </w:rPr>
                    <w:t>；</w:t>
                  </w:r>
                </w:p>
              </w:tc>
              <w:tc>
                <w:tcPr>
                  <w:tcW w:w="2487" w:type="dxa"/>
                  <w:vAlign w:val="center"/>
                </w:tcPr>
                <w:p w14:paraId="04C7B5EE">
                  <w:pPr>
                    <w:autoSpaceDE w:val="0"/>
                    <w:autoSpaceDN w:val="0"/>
                    <w:jc w:val="center"/>
                    <w:rPr>
                      <w:kern w:val="21"/>
                      <w:szCs w:val="21"/>
                    </w:rPr>
                  </w:pPr>
                  <w:r>
                    <w:rPr>
                      <w:rFonts w:hint="eastAsia"/>
                      <w:kern w:val="21"/>
                      <w:szCs w:val="21"/>
                      <w:lang w:val="en-US" w:eastAsia="zh-CN"/>
                    </w:rPr>
                    <w:t>不涉及</w:t>
                  </w:r>
                </w:p>
              </w:tc>
            </w:tr>
            <w:tr w14:paraId="40333E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1ED43D82">
                  <w:pPr>
                    <w:autoSpaceDE w:val="0"/>
                    <w:autoSpaceDN w:val="0"/>
                    <w:jc w:val="center"/>
                    <w:rPr>
                      <w:kern w:val="21"/>
                      <w:szCs w:val="21"/>
                      <w:highlight w:val="green"/>
                    </w:rPr>
                  </w:pPr>
                </w:p>
              </w:tc>
              <w:tc>
                <w:tcPr>
                  <w:tcW w:w="4590" w:type="dxa"/>
                  <w:vAlign w:val="center"/>
                </w:tcPr>
                <w:p w14:paraId="7BA8937A">
                  <w:pPr>
                    <w:autoSpaceDE w:val="0"/>
                    <w:autoSpaceDN w:val="0"/>
                    <w:jc w:val="center"/>
                    <w:rPr>
                      <w:kern w:val="21"/>
                      <w:szCs w:val="21"/>
                    </w:rPr>
                  </w:pPr>
                  <w:r>
                    <w:rPr>
                      <w:rFonts w:hint="eastAsia"/>
                      <w:kern w:val="21"/>
                      <w:szCs w:val="21"/>
                    </w:rPr>
                    <w:t>新材料产业区①禁止新建、扩建钨、钼、锡、锑开采、冶炼项目；②禁止镁冶炼项目（综合利用项目除外）；③禁止含钛白粉生产项目入区</w:t>
                  </w:r>
                  <w:r>
                    <w:rPr>
                      <w:kern w:val="21"/>
                      <w:szCs w:val="21"/>
                    </w:rPr>
                    <w:t>；</w:t>
                  </w:r>
                </w:p>
              </w:tc>
              <w:tc>
                <w:tcPr>
                  <w:tcW w:w="2487" w:type="dxa"/>
                  <w:vAlign w:val="center"/>
                </w:tcPr>
                <w:p w14:paraId="3A852E28">
                  <w:pPr>
                    <w:autoSpaceDE w:val="0"/>
                    <w:autoSpaceDN w:val="0"/>
                    <w:jc w:val="center"/>
                    <w:rPr>
                      <w:kern w:val="21"/>
                      <w:szCs w:val="21"/>
                    </w:rPr>
                  </w:pPr>
                  <w:r>
                    <w:rPr>
                      <w:rFonts w:hint="eastAsia"/>
                      <w:kern w:val="21"/>
                      <w:szCs w:val="21"/>
                      <w:lang w:val="en-US" w:eastAsia="zh-CN"/>
                    </w:rPr>
                    <w:t>不涉及</w:t>
                  </w:r>
                </w:p>
              </w:tc>
            </w:tr>
            <w:tr w14:paraId="0A0C83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0E852E94">
                  <w:pPr>
                    <w:autoSpaceDE w:val="0"/>
                    <w:autoSpaceDN w:val="0"/>
                    <w:jc w:val="center"/>
                    <w:rPr>
                      <w:kern w:val="21"/>
                      <w:szCs w:val="21"/>
                      <w:highlight w:val="green"/>
                    </w:rPr>
                  </w:pPr>
                </w:p>
              </w:tc>
              <w:tc>
                <w:tcPr>
                  <w:tcW w:w="4590" w:type="dxa"/>
                  <w:vAlign w:val="center"/>
                </w:tcPr>
                <w:p w14:paraId="501688CC">
                  <w:pPr>
                    <w:autoSpaceDE w:val="0"/>
                    <w:autoSpaceDN w:val="0"/>
                    <w:jc w:val="center"/>
                    <w:rPr>
                      <w:kern w:val="21"/>
                      <w:szCs w:val="21"/>
                    </w:rPr>
                  </w:pPr>
                  <w:r>
                    <w:rPr>
                      <w:rFonts w:hint="eastAsia"/>
                      <w:kern w:val="21"/>
                      <w:szCs w:val="21"/>
                    </w:rPr>
                    <w:t>装备制造产业区①禁止低速汽车（三轮汽车、低速货车）（自2015年起执行与轻型卡车同等的节能与排放标准）；②禁止民用普通电度表制造项目</w:t>
                  </w:r>
                  <w:r>
                    <w:rPr>
                      <w:kern w:val="21"/>
                      <w:szCs w:val="21"/>
                    </w:rPr>
                    <w:t>；</w:t>
                  </w:r>
                </w:p>
              </w:tc>
              <w:tc>
                <w:tcPr>
                  <w:tcW w:w="2487" w:type="dxa"/>
                  <w:vAlign w:val="center"/>
                </w:tcPr>
                <w:p w14:paraId="19D84D9E">
                  <w:pPr>
                    <w:autoSpaceDE w:val="0"/>
                    <w:autoSpaceDN w:val="0"/>
                    <w:jc w:val="center"/>
                    <w:rPr>
                      <w:kern w:val="21"/>
                      <w:szCs w:val="21"/>
                    </w:rPr>
                  </w:pPr>
                  <w:r>
                    <w:rPr>
                      <w:rFonts w:hint="eastAsia"/>
                      <w:kern w:val="21"/>
                      <w:szCs w:val="21"/>
                      <w:lang w:val="en-US" w:eastAsia="zh-CN"/>
                    </w:rPr>
                    <w:t>不涉及</w:t>
                  </w:r>
                </w:p>
              </w:tc>
            </w:tr>
            <w:tr w14:paraId="208A2E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3CBCABBF">
                  <w:pPr>
                    <w:autoSpaceDE w:val="0"/>
                    <w:autoSpaceDN w:val="0"/>
                    <w:jc w:val="center"/>
                    <w:rPr>
                      <w:kern w:val="21"/>
                      <w:szCs w:val="21"/>
                      <w:highlight w:val="green"/>
                    </w:rPr>
                  </w:pPr>
                </w:p>
              </w:tc>
              <w:tc>
                <w:tcPr>
                  <w:tcW w:w="4590" w:type="dxa"/>
                  <w:vAlign w:val="center"/>
                </w:tcPr>
                <w:p w14:paraId="15A42385">
                  <w:pPr>
                    <w:autoSpaceDE w:val="0"/>
                    <w:autoSpaceDN w:val="0"/>
                    <w:jc w:val="center"/>
                    <w:rPr>
                      <w:kern w:val="21"/>
                      <w:szCs w:val="21"/>
                    </w:rPr>
                  </w:pPr>
                  <w:r>
                    <w:rPr>
                      <w:rFonts w:hint="eastAsia"/>
                      <w:kern w:val="21"/>
                      <w:szCs w:val="21"/>
                    </w:rPr>
                    <w:t>绿色建材产业区①禁止新建和扩建水泥制造(等量置换或减量置换除外)；②禁止粘土空心砖生产线</w:t>
                  </w:r>
                  <w:r>
                    <w:rPr>
                      <w:kern w:val="21"/>
                      <w:szCs w:val="21"/>
                    </w:rPr>
                    <w:t>；</w:t>
                  </w:r>
                </w:p>
              </w:tc>
              <w:tc>
                <w:tcPr>
                  <w:tcW w:w="2487" w:type="dxa"/>
                  <w:vAlign w:val="center"/>
                </w:tcPr>
                <w:p w14:paraId="139645C5">
                  <w:pPr>
                    <w:autoSpaceDE w:val="0"/>
                    <w:autoSpaceDN w:val="0"/>
                    <w:jc w:val="center"/>
                    <w:rPr>
                      <w:kern w:val="21"/>
                      <w:szCs w:val="21"/>
                    </w:rPr>
                  </w:pPr>
                  <w:r>
                    <w:rPr>
                      <w:rFonts w:hint="eastAsia"/>
                      <w:kern w:val="21"/>
                      <w:szCs w:val="21"/>
                      <w:lang w:val="en-US" w:eastAsia="zh-CN"/>
                    </w:rPr>
                    <w:t>不涉及</w:t>
                  </w:r>
                </w:p>
              </w:tc>
            </w:tr>
            <w:tr w14:paraId="7D94E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1450BD3D">
                  <w:pPr>
                    <w:autoSpaceDE w:val="0"/>
                    <w:autoSpaceDN w:val="0"/>
                    <w:jc w:val="center"/>
                    <w:rPr>
                      <w:kern w:val="21"/>
                      <w:szCs w:val="21"/>
                      <w:highlight w:val="green"/>
                    </w:rPr>
                  </w:pPr>
                </w:p>
              </w:tc>
              <w:tc>
                <w:tcPr>
                  <w:tcW w:w="4590" w:type="dxa"/>
                  <w:vAlign w:val="center"/>
                </w:tcPr>
                <w:p w14:paraId="1B3DD324">
                  <w:pPr>
                    <w:autoSpaceDE w:val="0"/>
                    <w:autoSpaceDN w:val="0"/>
                    <w:jc w:val="center"/>
                    <w:rPr>
                      <w:rFonts w:hint="eastAsia"/>
                      <w:kern w:val="21"/>
                      <w:szCs w:val="21"/>
                    </w:rPr>
                  </w:pPr>
                  <w:r>
                    <w:rPr>
                      <w:rFonts w:hint="eastAsia"/>
                      <w:kern w:val="21"/>
                      <w:szCs w:val="21"/>
                    </w:rPr>
                    <w:t>严禁新增水泥等产能；强化矿产资源规划管理，严格控制露天矿山建设项目</w:t>
                  </w:r>
                </w:p>
              </w:tc>
              <w:tc>
                <w:tcPr>
                  <w:tcW w:w="2487" w:type="dxa"/>
                  <w:vAlign w:val="center"/>
                </w:tcPr>
                <w:p w14:paraId="0465C700">
                  <w:pPr>
                    <w:autoSpaceDE w:val="0"/>
                    <w:autoSpaceDN w:val="0"/>
                    <w:jc w:val="center"/>
                    <w:rPr>
                      <w:rFonts w:hint="eastAsia"/>
                      <w:kern w:val="21"/>
                      <w:szCs w:val="21"/>
                      <w:lang w:val="en-US" w:eastAsia="zh-CN"/>
                    </w:rPr>
                  </w:pPr>
                  <w:r>
                    <w:rPr>
                      <w:rFonts w:hint="eastAsia"/>
                      <w:kern w:val="21"/>
                      <w:szCs w:val="21"/>
                      <w:lang w:val="en-US" w:eastAsia="zh-CN"/>
                    </w:rPr>
                    <w:t>不涉及</w:t>
                  </w:r>
                </w:p>
              </w:tc>
            </w:tr>
            <w:tr w14:paraId="44DB8F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11D528D2">
                  <w:pPr>
                    <w:autoSpaceDE w:val="0"/>
                    <w:autoSpaceDN w:val="0"/>
                    <w:jc w:val="center"/>
                    <w:rPr>
                      <w:kern w:val="21"/>
                      <w:szCs w:val="21"/>
                      <w:highlight w:val="green"/>
                    </w:rPr>
                  </w:pPr>
                </w:p>
              </w:tc>
              <w:tc>
                <w:tcPr>
                  <w:tcW w:w="4590" w:type="dxa"/>
                  <w:vAlign w:val="center"/>
                </w:tcPr>
                <w:p w14:paraId="13030A6D">
                  <w:pPr>
                    <w:autoSpaceDE w:val="0"/>
                    <w:autoSpaceDN w:val="0"/>
                    <w:jc w:val="center"/>
                    <w:rPr>
                      <w:rFonts w:hint="eastAsia"/>
                      <w:kern w:val="21"/>
                      <w:szCs w:val="21"/>
                    </w:rPr>
                  </w:pPr>
                  <w:r>
                    <w:rPr>
                      <w:rFonts w:hint="eastAsia"/>
                      <w:kern w:val="21"/>
                      <w:szCs w:val="21"/>
                    </w:rPr>
                    <w:t>新建涉及VOCs排放的工业企业要入园。未列入《石化产业布规划布局方案》的新建炼化项目一律不得建设</w:t>
                  </w:r>
                </w:p>
              </w:tc>
              <w:tc>
                <w:tcPr>
                  <w:tcW w:w="2487" w:type="dxa"/>
                  <w:vAlign w:val="center"/>
                </w:tcPr>
                <w:p w14:paraId="760B2CB2">
                  <w:pPr>
                    <w:autoSpaceDE w:val="0"/>
                    <w:autoSpaceDN w:val="0"/>
                    <w:jc w:val="center"/>
                    <w:rPr>
                      <w:rFonts w:hint="eastAsia"/>
                      <w:kern w:val="21"/>
                      <w:szCs w:val="21"/>
                      <w:lang w:val="en-US" w:eastAsia="zh-CN"/>
                    </w:rPr>
                  </w:pPr>
                  <w:r>
                    <w:rPr>
                      <w:rFonts w:hint="eastAsia"/>
                      <w:kern w:val="21"/>
                      <w:szCs w:val="21"/>
                      <w:lang w:val="en-US" w:eastAsia="zh-CN"/>
                    </w:rPr>
                    <w:t>不涉及</w:t>
                  </w:r>
                </w:p>
              </w:tc>
            </w:tr>
            <w:tr w14:paraId="41C832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43B50002">
                  <w:pPr>
                    <w:autoSpaceDE w:val="0"/>
                    <w:autoSpaceDN w:val="0"/>
                    <w:jc w:val="center"/>
                    <w:rPr>
                      <w:kern w:val="21"/>
                      <w:szCs w:val="21"/>
                      <w:highlight w:val="green"/>
                    </w:rPr>
                  </w:pPr>
                </w:p>
              </w:tc>
              <w:tc>
                <w:tcPr>
                  <w:tcW w:w="4590" w:type="dxa"/>
                  <w:vAlign w:val="center"/>
                </w:tcPr>
                <w:p w14:paraId="5F265101">
                  <w:pPr>
                    <w:autoSpaceDE w:val="0"/>
                    <w:autoSpaceDN w:val="0"/>
                    <w:jc w:val="center"/>
                    <w:rPr>
                      <w:rFonts w:hint="eastAsia"/>
                      <w:kern w:val="21"/>
                      <w:szCs w:val="21"/>
                    </w:rPr>
                  </w:pPr>
                  <w:r>
                    <w:rPr>
                      <w:rFonts w:hint="eastAsia"/>
                      <w:kern w:val="21"/>
                      <w:szCs w:val="21"/>
                    </w:rPr>
                    <w:t>严格沿引水通道两侧涉水污染物排放与水环境风险的建设项目，禁止沿河设置排口</w:t>
                  </w:r>
                </w:p>
              </w:tc>
              <w:tc>
                <w:tcPr>
                  <w:tcW w:w="2487" w:type="dxa"/>
                  <w:vAlign w:val="center"/>
                </w:tcPr>
                <w:p w14:paraId="511C8A8D">
                  <w:pPr>
                    <w:autoSpaceDE w:val="0"/>
                    <w:autoSpaceDN w:val="0"/>
                    <w:jc w:val="center"/>
                    <w:rPr>
                      <w:rFonts w:hint="eastAsia"/>
                      <w:kern w:val="21"/>
                      <w:szCs w:val="21"/>
                      <w:lang w:val="en-US" w:eastAsia="zh-CN"/>
                    </w:rPr>
                  </w:pPr>
                  <w:r>
                    <w:rPr>
                      <w:rFonts w:hint="eastAsia"/>
                      <w:kern w:val="21"/>
                      <w:szCs w:val="21"/>
                      <w:lang w:val="en-US" w:eastAsia="zh-CN"/>
                    </w:rPr>
                    <w:t>不涉及</w:t>
                  </w:r>
                </w:p>
              </w:tc>
            </w:tr>
            <w:tr w14:paraId="3CD538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6236B872">
                  <w:pPr>
                    <w:autoSpaceDE w:val="0"/>
                    <w:autoSpaceDN w:val="0"/>
                    <w:jc w:val="center"/>
                    <w:rPr>
                      <w:kern w:val="21"/>
                      <w:szCs w:val="21"/>
                      <w:highlight w:val="green"/>
                    </w:rPr>
                  </w:pPr>
                </w:p>
              </w:tc>
              <w:tc>
                <w:tcPr>
                  <w:tcW w:w="4590" w:type="dxa"/>
                  <w:vAlign w:val="center"/>
                </w:tcPr>
                <w:p w14:paraId="1DF0E3FF">
                  <w:pPr>
                    <w:autoSpaceDE w:val="0"/>
                    <w:autoSpaceDN w:val="0"/>
                    <w:jc w:val="center"/>
                    <w:rPr>
                      <w:rFonts w:hint="eastAsia"/>
                      <w:kern w:val="21"/>
                      <w:szCs w:val="21"/>
                    </w:rPr>
                  </w:pPr>
                  <w:r>
                    <w:rPr>
                      <w:rFonts w:hint="eastAsia"/>
                      <w:kern w:val="21"/>
                      <w:szCs w:val="21"/>
                    </w:rPr>
                    <w:t>在居住区与工业用地之间设置绿化隔离带，工业用地靠近居住区一侧在布置工业项目时应重点考虑对居住区的环境影响分析，建议对环境影响相对较重的项目应布置在居住区较远的位置</w:t>
                  </w:r>
                </w:p>
              </w:tc>
              <w:tc>
                <w:tcPr>
                  <w:tcW w:w="2487" w:type="dxa"/>
                  <w:vAlign w:val="center"/>
                </w:tcPr>
                <w:p w14:paraId="0D34CB5E">
                  <w:pPr>
                    <w:autoSpaceDE w:val="0"/>
                    <w:autoSpaceDN w:val="0"/>
                    <w:jc w:val="center"/>
                    <w:rPr>
                      <w:rFonts w:hint="eastAsia"/>
                      <w:kern w:val="21"/>
                      <w:szCs w:val="21"/>
                      <w:lang w:val="en-US" w:eastAsia="zh-CN"/>
                    </w:rPr>
                  </w:pPr>
                  <w:r>
                    <w:rPr>
                      <w:rFonts w:hint="eastAsia"/>
                      <w:kern w:val="21"/>
                      <w:szCs w:val="21"/>
                      <w:lang w:val="en-US" w:eastAsia="zh-CN"/>
                    </w:rPr>
                    <w:t>本项目不新增占地，租用承德坤元环保科技有限公司厂房和场地进行建设</w:t>
                  </w:r>
                </w:p>
              </w:tc>
            </w:tr>
            <w:tr w14:paraId="7742DE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08861424">
                  <w:pPr>
                    <w:autoSpaceDE w:val="0"/>
                    <w:autoSpaceDN w:val="0"/>
                    <w:jc w:val="center"/>
                    <w:rPr>
                      <w:kern w:val="21"/>
                      <w:szCs w:val="21"/>
                      <w:highlight w:val="green"/>
                    </w:rPr>
                  </w:pPr>
                </w:p>
              </w:tc>
              <w:tc>
                <w:tcPr>
                  <w:tcW w:w="4590" w:type="dxa"/>
                  <w:vAlign w:val="center"/>
                </w:tcPr>
                <w:p w14:paraId="203D1375">
                  <w:pPr>
                    <w:autoSpaceDE w:val="0"/>
                    <w:autoSpaceDN w:val="0"/>
                    <w:jc w:val="center"/>
                    <w:rPr>
                      <w:rFonts w:hint="eastAsia"/>
                      <w:kern w:val="21"/>
                      <w:szCs w:val="21"/>
                    </w:rPr>
                  </w:pPr>
                  <w:r>
                    <w:rPr>
                      <w:rFonts w:hint="eastAsia"/>
                      <w:kern w:val="21"/>
                      <w:szCs w:val="21"/>
                    </w:rPr>
                    <w:t>村庄及规划的居住区、教育科研用地及医疗卫生用地范围内禁止新建工业企业</w:t>
                  </w:r>
                </w:p>
              </w:tc>
              <w:tc>
                <w:tcPr>
                  <w:tcW w:w="2487" w:type="dxa"/>
                  <w:vAlign w:val="center"/>
                </w:tcPr>
                <w:p w14:paraId="30CEF253">
                  <w:pPr>
                    <w:autoSpaceDE w:val="0"/>
                    <w:autoSpaceDN w:val="0"/>
                    <w:jc w:val="center"/>
                    <w:rPr>
                      <w:rFonts w:hint="eastAsia"/>
                      <w:kern w:val="21"/>
                      <w:szCs w:val="21"/>
                      <w:lang w:val="en-US" w:eastAsia="zh-CN"/>
                    </w:rPr>
                  </w:pPr>
                  <w:r>
                    <w:rPr>
                      <w:rFonts w:hint="eastAsia"/>
                      <w:kern w:val="21"/>
                      <w:szCs w:val="21"/>
                      <w:lang w:val="en-US" w:eastAsia="zh-CN"/>
                    </w:rPr>
                    <w:t>本项目不新增占地，租用承德坤元环保科技有限公司厂房和场地进行建设</w:t>
                  </w:r>
                </w:p>
              </w:tc>
            </w:tr>
            <w:tr w14:paraId="3B1393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64EF81CC">
                  <w:pPr>
                    <w:autoSpaceDE w:val="0"/>
                    <w:autoSpaceDN w:val="0"/>
                    <w:jc w:val="center"/>
                    <w:rPr>
                      <w:kern w:val="21"/>
                      <w:szCs w:val="21"/>
                      <w:highlight w:val="green"/>
                    </w:rPr>
                  </w:pPr>
                </w:p>
              </w:tc>
              <w:tc>
                <w:tcPr>
                  <w:tcW w:w="4590" w:type="dxa"/>
                  <w:vAlign w:val="center"/>
                </w:tcPr>
                <w:p w14:paraId="4E73541A">
                  <w:pPr>
                    <w:autoSpaceDE w:val="0"/>
                    <w:autoSpaceDN w:val="0"/>
                    <w:jc w:val="center"/>
                    <w:rPr>
                      <w:rFonts w:hint="eastAsia"/>
                      <w:kern w:val="21"/>
                      <w:szCs w:val="21"/>
                    </w:rPr>
                  </w:pPr>
                  <w:r>
                    <w:rPr>
                      <w:rFonts w:hint="eastAsia"/>
                      <w:kern w:val="21"/>
                      <w:szCs w:val="21"/>
                    </w:rPr>
                    <w:t>镁冶炼项目应符合国家、河北省法律法规、产业政策等政策要求，满足大气防护距离等相关选址要求</w:t>
                  </w:r>
                </w:p>
              </w:tc>
              <w:tc>
                <w:tcPr>
                  <w:tcW w:w="2487" w:type="dxa"/>
                  <w:vAlign w:val="center"/>
                </w:tcPr>
                <w:p w14:paraId="721FD319">
                  <w:pPr>
                    <w:autoSpaceDE w:val="0"/>
                    <w:autoSpaceDN w:val="0"/>
                    <w:jc w:val="center"/>
                    <w:rPr>
                      <w:rFonts w:hint="eastAsia"/>
                      <w:kern w:val="21"/>
                      <w:szCs w:val="21"/>
                      <w:lang w:val="en-US" w:eastAsia="zh-CN"/>
                    </w:rPr>
                  </w:pPr>
                  <w:r>
                    <w:rPr>
                      <w:rFonts w:hint="eastAsia"/>
                      <w:kern w:val="21"/>
                      <w:szCs w:val="21"/>
                      <w:lang w:val="en-US" w:eastAsia="zh-CN"/>
                    </w:rPr>
                    <w:t>不涉及</w:t>
                  </w:r>
                </w:p>
              </w:tc>
            </w:tr>
            <w:tr w14:paraId="2F6C7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3F02B2C8">
                  <w:pPr>
                    <w:autoSpaceDE w:val="0"/>
                    <w:autoSpaceDN w:val="0"/>
                    <w:jc w:val="center"/>
                    <w:rPr>
                      <w:kern w:val="21"/>
                      <w:szCs w:val="21"/>
                      <w:highlight w:val="green"/>
                    </w:rPr>
                  </w:pPr>
                </w:p>
              </w:tc>
              <w:tc>
                <w:tcPr>
                  <w:tcW w:w="4590" w:type="dxa"/>
                  <w:vAlign w:val="center"/>
                </w:tcPr>
                <w:p w14:paraId="34BBE282">
                  <w:pPr>
                    <w:autoSpaceDE w:val="0"/>
                    <w:autoSpaceDN w:val="0"/>
                    <w:jc w:val="center"/>
                    <w:rPr>
                      <w:rFonts w:hint="eastAsia"/>
                      <w:kern w:val="21"/>
                      <w:szCs w:val="21"/>
                    </w:rPr>
                  </w:pPr>
                  <w:r>
                    <w:rPr>
                      <w:rFonts w:hint="eastAsia"/>
                      <w:kern w:val="21"/>
                      <w:szCs w:val="21"/>
                    </w:rPr>
                    <w:t>严格执行《河北省新增限制和淘汰类产业目录》要求，其中新能源产业和装备制造产业非省级范围禁止新建和扩建金属表面处理及热处理加工(等量置换除外)等建设项目</w:t>
                  </w:r>
                </w:p>
              </w:tc>
              <w:tc>
                <w:tcPr>
                  <w:tcW w:w="2487" w:type="dxa"/>
                  <w:vAlign w:val="center"/>
                </w:tcPr>
                <w:p w14:paraId="608C8CFA">
                  <w:pPr>
                    <w:autoSpaceDE w:val="0"/>
                    <w:autoSpaceDN w:val="0"/>
                    <w:jc w:val="center"/>
                    <w:rPr>
                      <w:rFonts w:hint="eastAsia"/>
                      <w:kern w:val="21"/>
                      <w:szCs w:val="21"/>
                      <w:lang w:val="en-US" w:eastAsia="zh-CN"/>
                    </w:rPr>
                  </w:pPr>
                  <w:r>
                    <w:rPr>
                      <w:rFonts w:hint="eastAsia"/>
                      <w:kern w:val="21"/>
                      <w:szCs w:val="21"/>
                      <w:lang w:val="en-US" w:eastAsia="zh-CN"/>
                    </w:rPr>
                    <w:t>本项目所属行业为N7724危险废物治理，不涉及</w:t>
                  </w:r>
                  <w:r>
                    <w:rPr>
                      <w:rFonts w:hint="eastAsia"/>
                      <w:kern w:val="21"/>
                      <w:szCs w:val="21"/>
                    </w:rPr>
                    <w:t>《河北省新增限制和淘汰类产业目录》中限制和淘汰类的建设项目及工艺设备</w:t>
                  </w:r>
                </w:p>
              </w:tc>
            </w:tr>
            <w:tr w14:paraId="091C9D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26067194">
                  <w:pPr>
                    <w:autoSpaceDE w:val="0"/>
                    <w:autoSpaceDN w:val="0"/>
                    <w:jc w:val="center"/>
                    <w:rPr>
                      <w:kern w:val="21"/>
                      <w:szCs w:val="21"/>
                      <w:highlight w:val="green"/>
                    </w:rPr>
                  </w:pPr>
                </w:p>
              </w:tc>
              <w:tc>
                <w:tcPr>
                  <w:tcW w:w="4590" w:type="dxa"/>
                  <w:vAlign w:val="center"/>
                </w:tcPr>
                <w:p w14:paraId="7AC88FEF">
                  <w:pPr>
                    <w:autoSpaceDE w:val="0"/>
                    <w:autoSpaceDN w:val="0"/>
                    <w:jc w:val="center"/>
                    <w:rPr>
                      <w:kern w:val="21"/>
                      <w:szCs w:val="21"/>
                    </w:rPr>
                  </w:pPr>
                  <w:r>
                    <w:rPr>
                      <w:rFonts w:hint="eastAsia"/>
                      <w:kern w:val="21"/>
                      <w:szCs w:val="21"/>
                    </w:rPr>
                    <w:t>入区项目应做好选址可行性分析，依据《环境影响评价技术导则地下水环境》对项目占地范围内天然包气带防污性能进行分区，建议弱防渗区(天然包气带防污性能属于《环境影响评价技术导则地下水环境》（HJ610-2016）表6中规定的“弱”的区域)不宜布设水污染较重构建筑物及设备设施。如若工程无法避让，应在基础施工阶段对弱防渗区地基进行防渗处理，并按照《环境影响评价技术导则地下水环境》相关要求采取严格的工程防渗措施</w:t>
                  </w:r>
                  <w:r>
                    <w:rPr>
                      <w:kern w:val="21"/>
                      <w:szCs w:val="21"/>
                    </w:rPr>
                    <w:t>；</w:t>
                  </w:r>
                </w:p>
              </w:tc>
              <w:tc>
                <w:tcPr>
                  <w:tcW w:w="2487" w:type="dxa"/>
                  <w:vAlign w:val="center"/>
                </w:tcPr>
                <w:p w14:paraId="661CAB0E">
                  <w:pPr>
                    <w:autoSpaceDE w:val="0"/>
                    <w:autoSpaceDN w:val="0"/>
                    <w:jc w:val="center"/>
                    <w:rPr>
                      <w:kern w:val="21"/>
                      <w:szCs w:val="21"/>
                    </w:rPr>
                  </w:pPr>
                  <w:r>
                    <w:rPr>
                      <w:rFonts w:hint="eastAsia"/>
                      <w:kern w:val="21"/>
                      <w:szCs w:val="21"/>
                      <w:lang w:val="en-US" w:eastAsia="zh-CN"/>
                    </w:rPr>
                    <w:t>本项目将严格按照</w:t>
                  </w:r>
                  <w:r>
                    <w:rPr>
                      <w:rFonts w:hint="eastAsia"/>
                      <w:kern w:val="21"/>
                      <w:szCs w:val="21"/>
                    </w:rPr>
                    <w:t>《环境影响评价技术导则地下水环境》关要求采取工程防渗措施</w:t>
                  </w:r>
                </w:p>
              </w:tc>
            </w:tr>
            <w:tr w14:paraId="407333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restart"/>
                  <w:vAlign w:val="center"/>
                </w:tcPr>
                <w:p w14:paraId="27836D8D">
                  <w:pPr>
                    <w:autoSpaceDE w:val="0"/>
                    <w:autoSpaceDN w:val="0"/>
                    <w:jc w:val="center"/>
                    <w:rPr>
                      <w:kern w:val="21"/>
                      <w:szCs w:val="21"/>
                    </w:rPr>
                  </w:pPr>
                  <w:r>
                    <w:rPr>
                      <w:kern w:val="21"/>
                      <w:szCs w:val="21"/>
                    </w:rPr>
                    <w:t>污染物排放管控</w:t>
                  </w:r>
                </w:p>
              </w:tc>
              <w:tc>
                <w:tcPr>
                  <w:tcW w:w="4590" w:type="dxa"/>
                  <w:vAlign w:val="center"/>
                </w:tcPr>
                <w:p w14:paraId="7A1BF7ED">
                  <w:pPr>
                    <w:autoSpaceDE w:val="0"/>
                    <w:autoSpaceDN w:val="0"/>
                    <w:jc w:val="center"/>
                    <w:rPr>
                      <w:kern w:val="21"/>
                      <w:szCs w:val="21"/>
                    </w:rPr>
                  </w:pPr>
                  <w:r>
                    <w:rPr>
                      <w:rFonts w:hint="eastAsia"/>
                      <w:kern w:val="21"/>
                      <w:szCs w:val="21"/>
                    </w:rPr>
                    <w:t>2020年底前，具备条件的水泥企业基本完成固定源超低排放改造</w:t>
                  </w:r>
                  <w:r>
                    <w:rPr>
                      <w:kern w:val="21"/>
                      <w:szCs w:val="21"/>
                    </w:rPr>
                    <w:t>。</w:t>
                  </w:r>
                </w:p>
              </w:tc>
              <w:tc>
                <w:tcPr>
                  <w:tcW w:w="2487" w:type="dxa"/>
                  <w:vAlign w:val="center"/>
                </w:tcPr>
                <w:p w14:paraId="02694F08">
                  <w:pPr>
                    <w:autoSpaceDE w:val="0"/>
                    <w:autoSpaceDN w:val="0"/>
                    <w:jc w:val="center"/>
                    <w:rPr>
                      <w:kern w:val="21"/>
                      <w:szCs w:val="21"/>
                    </w:rPr>
                  </w:pPr>
                  <w:r>
                    <w:rPr>
                      <w:rFonts w:hint="eastAsia"/>
                      <w:kern w:val="21"/>
                      <w:szCs w:val="21"/>
                      <w:lang w:val="en-US" w:eastAsia="zh-CN"/>
                    </w:rPr>
                    <w:t>不涉及</w:t>
                  </w:r>
                </w:p>
              </w:tc>
            </w:tr>
            <w:tr w14:paraId="63BE2F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868" w:type="dxa"/>
                  <w:vMerge w:val="continue"/>
                  <w:vAlign w:val="center"/>
                </w:tcPr>
                <w:p w14:paraId="7B9C3048">
                  <w:pPr>
                    <w:autoSpaceDE w:val="0"/>
                    <w:autoSpaceDN w:val="0"/>
                    <w:jc w:val="center"/>
                    <w:rPr>
                      <w:kern w:val="21"/>
                      <w:szCs w:val="21"/>
                    </w:rPr>
                  </w:pPr>
                </w:p>
              </w:tc>
              <w:tc>
                <w:tcPr>
                  <w:tcW w:w="4590" w:type="dxa"/>
                  <w:vAlign w:val="center"/>
                </w:tcPr>
                <w:p w14:paraId="706EACC2">
                  <w:pPr>
                    <w:autoSpaceDE w:val="0"/>
                    <w:autoSpaceDN w:val="0"/>
                    <w:jc w:val="center"/>
                    <w:rPr>
                      <w:rFonts w:hint="eastAsia"/>
                      <w:kern w:val="21"/>
                      <w:szCs w:val="21"/>
                    </w:rPr>
                  </w:pPr>
                  <w:r>
                    <w:rPr>
                      <w:rFonts w:hint="eastAsia"/>
                      <w:kern w:val="21"/>
                      <w:szCs w:val="21"/>
                    </w:rPr>
                    <w:t>开发区具备废物收集和集中处置能力，生活垃圾无害化处置率可达到100%，危险废物处置率可达到100%</w:t>
                  </w:r>
                </w:p>
              </w:tc>
              <w:tc>
                <w:tcPr>
                  <w:tcW w:w="2487" w:type="dxa"/>
                  <w:vAlign w:val="center"/>
                </w:tcPr>
                <w:p w14:paraId="5A16063F">
                  <w:pPr>
                    <w:autoSpaceDE w:val="0"/>
                    <w:autoSpaceDN w:val="0"/>
                    <w:jc w:val="center"/>
                    <w:rPr>
                      <w:rFonts w:hint="default" w:eastAsia="宋体"/>
                      <w:kern w:val="21"/>
                      <w:szCs w:val="21"/>
                      <w:lang w:val="en-US" w:eastAsia="zh-CN"/>
                    </w:rPr>
                  </w:pPr>
                  <w:r>
                    <w:rPr>
                      <w:rFonts w:hint="eastAsia"/>
                      <w:kern w:val="21"/>
                      <w:szCs w:val="21"/>
                      <w:lang w:val="en-US" w:eastAsia="zh-CN"/>
                    </w:rPr>
                    <w:t>本项目所属行业为N7724危险废物治理，集中收集危险废物定期委托有资质单位处置</w:t>
                  </w:r>
                </w:p>
              </w:tc>
            </w:tr>
            <w:tr w14:paraId="17DFF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26CBF0B9">
                  <w:pPr>
                    <w:autoSpaceDE w:val="0"/>
                    <w:autoSpaceDN w:val="0"/>
                    <w:jc w:val="center"/>
                    <w:rPr>
                      <w:kern w:val="21"/>
                      <w:szCs w:val="21"/>
                    </w:rPr>
                  </w:pPr>
                </w:p>
              </w:tc>
              <w:tc>
                <w:tcPr>
                  <w:tcW w:w="4590" w:type="dxa"/>
                  <w:vAlign w:val="center"/>
                </w:tcPr>
                <w:p w14:paraId="5108F05F">
                  <w:pPr>
                    <w:autoSpaceDE w:val="0"/>
                    <w:autoSpaceDN w:val="0"/>
                    <w:jc w:val="center"/>
                    <w:rPr>
                      <w:rFonts w:hint="eastAsia"/>
                      <w:kern w:val="21"/>
                      <w:szCs w:val="21"/>
                    </w:rPr>
                  </w:pPr>
                  <w:r>
                    <w:rPr>
                      <w:rFonts w:hint="eastAsia"/>
                      <w:kern w:val="21"/>
                      <w:szCs w:val="21"/>
                    </w:rPr>
                    <w:t>工业园区重点污染源稳定排放达标情况100%</w:t>
                  </w:r>
                </w:p>
              </w:tc>
              <w:tc>
                <w:tcPr>
                  <w:tcW w:w="2487" w:type="dxa"/>
                  <w:vAlign w:val="center"/>
                </w:tcPr>
                <w:p w14:paraId="1312CC24">
                  <w:pPr>
                    <w:autoSpaceDE w:val="0"/>
                    <w:autoSpaceDN w:val="0"/>
                    <w:jc w:val="center"/>
                    <w:rPr>
                      <w:rFonts w:hint="default"/>
                      <w:kern w:val="21"/>
                      <w:szCs w:val="21"/>
                      <w:lang w:val="en-US" w:eastAsia="zh-CN"/>
                    </w:rPr>
                  </w:pPr>
                  <w:r>
                    <w:rPr>
                      <w:rFonts w:hint="eastAsia"/>
                      <w:kern w:val="21"/>
                      <w:szCs w:val="21"/>
                      <w:lang w:val="en-US" w:eastAsia="zh-CN"/>
                    </w:rPr>
                    <w:t>本项目不属于园区重点污染源</w:t>
                  </w:r>
                </w:p>
              </w:tc>
            </w:tr>
            <w:tr w14:paraId="08B0E4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120BE195">
                  <w:pPr>
                    <w:autoSpaceDE w:val="0"/>
                    <w:autoSpaceDN w:val="0"/>
                    <w:jc w:val="center"/>
                    <w:rPr>
                      <w:kern w:val="21"/>
                      <w:szCs w:val="21"/>
                    </w:rPr>
                  </w:pPr>
                </w:p>
              </w:tc>
              <w:tc>
                <w:tcPr>
                  <w:tcW w:w="4590" w:type="dxa"/>
                  <w:vAlign w:val="center"/>
                </w:tcPr>
                <w:p w14:paraId="1BBE8B59">
                  <w:pPr>
                    <w:autoSpaceDE w:val="0"/>
                    <w:autoSpaceDN w:val="0"/>
                    <w:jc w:val="center"/>
                    <w:rPr>
                      <w:rFonts w:hint="eastAsia"/>
                      <w:kern w:val="21"/>
                      <w:szCs w:val="21"/>
                    </w:rPr>
                  </w:pPr>
                  <w:r>
                    <w:rPr>
                      <w:rFonts w:hint="eastAsia"/>
                      <w:kern w:val="21"/>
                      <w:szCs w:val="21"/>
                    </w:rPr>
                    <w:t>钒钛特钢产业吨钢废水排放量0m</w:t>
                  </w:r>
                  <w:r>
                    <w:rPr>
                      <w:rFonts w:hint="eastAsia"/>
                      <w:kern w:val="21"/>
                      <w:szCs w:val="21"/>
                      <w:vertAlign w:val="superscript"/>
                    </w:rPr>
                    <w:t>3</w:t>
                  </w:r>
                  <w:r>
                    <w:rPr>
                      <w:rFonts w:hint="eastAsia"/>
                      <w:kern w:val="21"/>
                      <w:szCs w:val="21"/>
                    </w:rPr>
                    <w:t>/t，吨钢COD排放量0kg/t，吨钢氨氮排放量0kg/t，吨钢颗粒物排放量≤0.6kg/t，吨钢SO</w:t>
                  </w:r>
                  <w:r>
                    <w:rPr>
                      <w:rFonts w:hint="eastAsia"/>
                      <w:kern w:val="21"/>
                      <w:szCs w:val="21"/>
                      <w:vertAlign w:val="subscript"/>
                    </w:rPr>
                    <w:t>2</w:t>
                  </w:r>
                  <w:r>
                    <w:rPr>
                      <w:rFonts w:hint="eastAsia"/>
                      <w:kern w:val="21"/>
                      <w:szCs w:val="21"/>
                    </w:rPr>
                    <w:t>排放量≤0.8kg/t，吨钢NO</w:t>
                  </w:r>
                  <w:r>
                    <w:rPr>
                      <w:rFonts w:hint="eastAsia"/>
                      <w:kern w:val="21"/>
                      <w:szCs w:val="21"/>
                      <w:vertAlign w:val="subscript"/>
                    </w:rPr>
                    <w:t>X</w:t>
                  </w:r>
                  <w:r>
                    <w:rPr>
                      <w:rFonts w:hint="eastAsia"/>
                      <w:kern w:val="21"/>
                      <w:szCs w:val="21"/>
                    </w:rPr>
                    <w:t>排放量≤0.9kg/t</w:t>
                  </w:r>
                </w:p>
              </w:tc>
              <w:tc>
                <w:tcPr>
                  <w:tcW w:w="2487" w:type="dxa"/>
                  <w:vAlign w:val="center"/>
                </w:tcPr>
                <w:p w14:paraId="2C6E1A48">
                  <w:pPr>
                    <w:autoSpaceDE w:val="0"/>
                    <w:autoSpaceDN w:val="0"/>
                    <w:jc w:val="center"/>
                    <w:rPr>
                      <w:rFonts w:hint="default"/>
                      <w:kern w:val="21"/>
                      <w:szCs w:val="21"/>
                      <w:lang w:val="en-US" w:eastAsia="zh-CN"/>
                    </w:rPr>
                  </w:pPr>
                  <w:r>
                    <w:rPr>
                      <w:rFonts w:hint="eastAsia"/>
                      <w:kern w:val="21"/>
                      <w:szCs w:val="21"/>
                      <w:lang w:val="en-US" w:eastAsia="zh-CN"/>
                    </w:rPr>
                    <w:t>不涉及</w:t>
                  </w:r>
                </w:p>
              </w:tc>
            </w:tr>
            <w:tr w14:paraId="257C3A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10E747C7">
                  <w:pPr>
                    <w:autoSpaceDE w:val="0"/>
                    <w:autoSpaceDN w:val="0"/>
                    <w:jc w:val="center"/>
                    <w:rPr>
                      <w:kern w:val="21"/>
                      <w:szCs w:val="21"/>
                    </w:rPr>
                  </w:pPr>
                </w:p>
              </w:tc>
              <w:tc>
                <w:tcPr>
                  <w:tcW w:w="4590" w:type="dxa"/>
                  <w:vAlign w:val="center"/>
                </w:tcPr>
                <w:p w14:paraId="0EEEBDD4">
                  <w:pPr>
                    <w:autoSpaceDE w:val="0"/>
                    <w:autoSpaceDN w:val="0"/>
                    <w:jc w:val="center"/>
                    <w:rPr>
                      <w:rFonts w:hint="eastAsia"/>
                      <w:kern w:val="21"/>
                      <w:szCs w:val="21"/>
                    </w:rPr>
                  </w:pPr>
                  <w:r>
                    <w:rPr>
                      <w:rFonts w:hint="eastAsia"/>
                      <w:kern w:val="21"/>
                      <w:szCs w:val="21"/>
                    </w:rPr>
                    <w:t>水泥行业执行《水泥工业大气污染物超低排放标准》（DB13/2167—2020），其中新建企业自2020年5月1日起开始执行，现有企业自2021年10月1日起开始执行</w:t>
                  </w:r>
                </w:p>
              </w:tc>
              <w:tc>
                <w:tcPr>
                  <w:tcW w:w="2487" w:type="dxa"/>
                  <w:vAlign w:val="center"/>
                </w:tcPr>
                <w:p w14:paraId="04732AC6">
                  <w:pPr>
                    <w:autoSpaceDE w:val="0"/>
                    <w:autoSpaceDN w:val="0"/>
                    <w:jc w:val="center"/>
                    <w:rPr>
                      <w:rFonts w:hint="default"/>
                      <w:kern w:val="21"/>
                      <w:szCs w:val="21"/>
                      <w:lang w:val="en-US" w:eastAsia="zh-CN"/>
                    </w:rPr>
                  </w:pPr>
                  <w:r>
                    <w:rPr>
                      <w:rFonts w:hint="eastAsia"/>
                      <w:kern w:val="21"/>
                      <w:szCs w:val="21"/>
                      <w:lang w:val="en-US" w:eastAsia="zh-CN"/>
                    </w:rPr>
                    <w:t>不涉及</w:t>
                  </w:r>
                </w:p>
              </w:tc>
            </w:tr>
            <w:tr w14:paraId="7E2FD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308BD406">
                  <w:pPr>
                    <w:autoSpaceDE w:val="0"/>
                    <w:autoSpaceDN w:val="0"/>
                    <w:jc w:val="center"/>
                    <w:rPr>
                      <w:kern w:val="21"/>
                      <w:szCs w:val="21"/>
                    </w:rPr>
                  </w:pPr>
                </w:p>
              </w:tc>
              <w:tc>
                <w:tcPr>
                  <w:tcW w:w="4590" w:type="dxa"/>
                  <w:vAlign w:val="center"/>
                </w:tcPr>
                <w:p w14:paraId="67FB2FCD">
                  <w:pPr>
                    <w:autoSpaceDE w:val="0"/>
                    <w:autoSpaceDN w:val="0"/>
                    <w:jc w:val="center"/>
                    <w:rPr>
                      <w:rFonts w:hint="eastAsia"/>
                      <w:kern w:val="21"/>
                      <w:szCs w:val="21"/>
                    </w:rPr>
                  </w:pPr>
                  <w:r>
                    <w:rPr>
                      <w:rFonts w:hint="eastAsia"/>
                      <w:kern w:val="21"/>
                      <w:szCs w:val="21"/>
                    </w:rPr>
                    <w:t>新改扩建涉及VOCs排放项目，使用低（无）VOCs含量的原辅材料，加强废气收集，安装高效治理设施。全面开展泄漏检测与修复</w:t>
                  </w:r>
                </w:p>
              </w:tc>
              <w:tc>
                <w:tcPr>
                  <w:tcW w:w="2487" w:type="dxa"/>
                  <w:vAlign w:val="center"/>
                </w:tcPr>
                <w:p w14:paraId="1C6CEF84">
                  <w:pPr>
                    <w:autoSpaceDE w:val="0"/>
                    <w:autoSpaceDN w:val="0"/>
                    <w:jc w:val="center"/>
                    <w:rPr>
                      <w:rFonts w:hint="eastAsia" w:eastAsia="宋体"/>
                      <w:kern w:val="21"/>
                      <w:szCs w:val="21"/>
                      <w:lang w:val="en-US" w:eastAsia="zh-CN"/>
                    </w:rPr>
                  </w:pPr>
                  <w:r>
                    <w:rPr>
                      <w:rFonts w:hint="eastAsia"/>
                      <w:kern w:val="21"/>
                      <w:szCs w:val="21"/>
                      <w:lang w:val="en-US" w:eastAsia="zh-CN"/>
                    </w:rPr>
                    <w:t>本项目产生的</w:t>
                  </w:r>
                  <w:r>
                    <w:rPr>
                      <w:rFonts w:hint="eastAsia"/>
                      <w:kern w:val="21"/>
                      <w:szCs w:val="21"/>
                    </w:rPr>
                    <w:t>VOCs</w:t>
                  </w:r>
                  <w:r>
                    <w:rPr>
                      <w:rFonts w:hint="eastAsia"/>
                      <w:kern w:val="21"/>
                      <w:szCs w:val="21"/>
                      <w:lang w:val="en-US" w:eastAsia="zh-CN"/>
                    </w:rPr>
                    <w:t>污染源仅危险废物贮存，</w:t>
                  </w:r>
                  <w:r>
                    <w:rPr>
                      <w:color w:val="auto"/>
                    </w:rPr>
                    <w:t>设集气罩及收集管道，收集后的废气经</w:t>
                  </w:r>
                  <w:r>
                    <w:rPr>
                      <w:rFonts w:hint="eastAsia"/>
                      <w:color w:val="auto"/>
                    </w:rPr>
                    <w:t>两级活性炭吸附</w:t>
                  </w:r>
                  <w:r>
                    <w:rPr>
                      <w:color w:val="auto"/>
                    </w:rPr>
                    <w:t>装置处理后经1根15m高排气筒（DA001）排放</w:t>
                  </w:r>
                </w:p>
              </w:tc>
            </w:tr>
            <w:tr w14:paraId="32F6C9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30DCC80D">
                  <w:pPr>
                    <w:autoSpaceDE w:val="0"/>
                    <w:autoSpaceDN w:val="0"/>
                    <w:jc w:val="center"/>
                    <w:rPr>
                      <w:kern w:val="21"/>
                      <w:szCs w:val="21"/>
                    </w:rPr>
                  </w:pPr>
                </w:p>
              </w:tc>
              <w:tc>
                <w:tcPr>
                  <w:tcW w:w="4590" w:type="dxa"/>
                  <w:vAlign w:val="center"/>
                </w:tcPr>
                <w:p w14:paraId="2C84211F">
                  <w:pPr>
                    <w:autoSpaceDE w:val="0"/>
                    <w:autoSpaceDN w:val="0"/>
                    <w:jc w:val="center"/>
                    <w:rPr>
                      <w:rFonts w:hint="eastAsia"/>
                      <w:kern w:val="21"/>
                      <w:szCs w:val="21"/>
                    </w:rPr>
                  </w:pPr>
                  <w:r>
                    <w:rPr>
                      <w:rFonts w:hint="eastAsia"/>
                      <w:kern w:val="21"/>
                      <w:szCs w:val="21"/>
                    </w:rPr>
                    <w:t>加强沿河污染物排放管控，逐步推进沿引水通道两侧农村污水设施化处理，加强生态垃圾污染管控；沿河500米范围内，加强农业施肥、施药管控，践行绿色农业；结合区域地理，以自然绿地、草地及沟渠等建设缓冲带，加强水环境安全防护</w:t>
                  </w:r>
                </w:p>
              </w:tc>
              <w:tc>
                <w:tcPr>
                  <w:tcW w:w="2487" w:type="dxa"/>
                  <w:vAlign w:val="center"/>
                </w:tcPr>
                <w:p w14:paraId="594B28FA">
                  <w:pPr>
                    <w:autoSpaceDE w:val="0"/>
                    <w:autoSpaceDN w:val="0"/>
                    <w:jc w:val="center"/>
                    <w:rPr>
                      <w:rFonts w:hint="default"/>
                      <w:kern w:val="21"/>
                      <w:szCs w:val="21"/>
                      <w:lang w:val="en-US" w:eastAsia="zh-CN"/>
                    </w:rPr>
                  </w:pPr>
                  <w:r>
                    <w:rPr>
                      <w:rFonts w:hint="eastAsia"/>
                      <w:kern w:val="21"/>
                      <w:szCs w:val="21"/>
                      <w:lang w:val="en-US" w:eastAsia="zh-CN"/>
                    </w:rPr>
                    <w:t>本项目不新增占地，租用承德坤元环保科技有限公司厂房和场地进行建设，污染物均不外排</w:t>
                  </w:r>
                </w:p>
              </w:tc>
            </w:tr>
            <w:tr w14:paraId="3832FD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6B776F76">
                  <w:pPr>
                    <w:autoSpaceDE w:val="0"/>
                    <w:autoSpaceDN w:val="0"/>
                    <w:jc w:val="center"/>
                    <w:rPr>
                      <w:kern w:val="21"/>
                      <w:szCs w:val="21"/>
                    </w:rPr>
                  </w:pPr>
                </w:p>
              </w:tc>
              <w:tc>
                <w:tcPr>
                  <w:tcW w:w="4590" w:type="dxa"/>
                  <w:vAlign w:val="center"/>
                </w:tcPr>
                <w:p w14:paraId="107D60FE">
                  <w:pPr>
                    <w:autoSpaceDE w:val="0"/>
                    <w:autoSpaceDN w:val="0"/>
                    <w:jc w:val="center"/>
                    <w:rPr>
                      <w:rFonts w:hint="eastAsia"/>
                      <w:kern w:val="21"/>
                      <w:szCs w:val="21"/>
                    </w:rPr>
                  </w:pPr>
                  <w:r>
                    <w:rPr>
                      <w:rFonts w:hint="eastAsia"/>
                      <w:kern w:val="21"/>
                      <w:szCs w:val="21"/>
                    </w:rPr>
                    <w:t>新建大气排放工业企业应配套建设污染治理措施，现状不达标工业炉窑应限期关停淘汰</w:t>
                  </w:r>
                </w:p>
              </w:tc>
              <w:tc>
                <w:tcPr>
                  <w:tcW w:w="2487" w:type="dxa"/>
                  <w:vAlign w:val="center"/>
                </w:tcPr>
                <w:p w14:paraId="035C8E40">
                  <w:pPr>
                    <w:autoSpaceDE w:val="0"/>
                    <w:autoSpaceDN w:val="0"/>
                    <w:jc w:val="center"/>
                    <w:rPr>
                      <w:rFonts w:hint="default"/>
                      <w:kern w:val="21"/>
                      <w:szCs w:val="21"/>
                      <w:lang w:val="en-US"/>
                    </w:rPr>
                  </w:pPr>
                  <w:r>
                    <w:rPr>
                      <w:rFonts w:hint="eastAsia"/>
                      <w:kern w:val="21"/>
                      <w:szCs w:val="21"/>
                      <w:lang w:val="en-US" w:eastAsia="zh-CN"/>
                    </w:rPr>
                    <w:t>本项目不涉及工业炉窑</w:t>
                  </w:r>
                </w:p>
              </w:tc>
            </w:tr>
            <w:tr w14:paraId="332B9B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17DEAC95">
                  <w:pPr>
                    <w:autoSpaceDE w:val="0"/>
                    <w:autoSpaceDN w:val="0"/>
                    <w:jc w:val="center"/>
                    <w:rPr>
                      <w:kern w:val="21"/>
                      <w:szCs w:val="21"/>
                    </w:rPr>
                  </w:pPr>
                </w:p>
              </w:tc>
              <w:tc>
                <w:tcPr>
                  <w:tcW w:w="4590" w:type="dxa"/>
                  <w:vAlign w:val="center"/>
                </w:tcPr>
                <w:p w14:paraId="1E3DC254">
                  <w:pPr>
                    <w:autoSpaceDE w:val="0"/>
                    <w:autoSpaceDN w:val="0"/>
                    <w:jc w:val="center"/>
                    <w:rPr>
                      <w:rFonts w:hint="eastAsia"/>
                      <w:kern w:val="21"/>
                      <w:szCs w:val="21"/>
                    </w:rPr>
                  </w:pPr>
                  <w:r>
                    <w:rPr>
                      <w:rFonts w:hint="eastAsia"/>
                      <w:kern w:val="21"/>
                      <w:szCs w:val="21"/>
                    </w:rPr>
                    <w:t>规划期间内实现固体废弃物无害化、资源化和减量化，生活垃圾无害化处理率达到100%，固体废物处置处理率达到100%，妥善处置危险废物</w:t>
                  </w:r>
                </w:p>
              </w:tc>
              <w:tc>
                <w:tcPr>
                  <w:tcW w:w="2487" w:type="dxa"/>
                  <w:vAlign w:val="center"/>
                </w:tcPr>
                <w:p w14:paraId="29FAC94A">
                  <w:pPr>
                    <w:autoSpaceDE w:val="0"/>
                    <w:autoSpaceDN w:val="0"/>
                    <w:jc w:val="center"/>
                    <w:rPr>
                      <w:rFonts w:hint="eastAsia"/>
                      <w:kern w:val="21"/>
                      <w:szCs w:val="21"/>
                    </w:rPr>
                  </w:pPr>
                  <w:r>
                    <w:rPr>
                      <w:rFonts w:hint="eastAsia"/>
                      <w:kern w:val="21"/>
                      <w:szCs w:val="21"/>
                      <w:lang w:val="en-US" w:eastAsia="zh-CN"/>
                    </w:rPr>
                    <w:t>本项目所属行业为N7724危险废物治理</w:t>
                  </w:r>
                </w:p>
              </w:tc>
            </w:tr>
            <w:tr w14:paraId="522C77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532E76A4">
                  <w:pPr>
                    <w:autoSpaceDE w:val="0"/>
                    <w:autoSpaceDN w:val="0"/>
                    <w:jc w:val="center"/>
                    <w:rPr>
                      <w:kern w:val="21"/>
                      <w:szCs w:val="21"/>
                    </w:rPr>
                  </w:pPr>
                </w:p>
              </w:tc>
              <w:tc>
                <w:tcPr>
                  <w:tcW w:w="4590" w:type="dxa"/>
                  <w:vAlign w:val="center"/>
                </w:tcPr>
                <w:p w14:paraId="71C4BCAE">
                  <w:pPr>
                    <w:autoSpaceDE w:val="0"/>
                    <w:autoSpaceDN w:val="0"/>
                    <w:jc w:val="center"/>
                    <w:rPr>
                      <w:rFonts w:hint="eastAsia"/>
                      <w:kern w:val="21"/>
                      <w:szCs w:val="21"/>
                    </w:rPr>
                  </w:pPr>
                  <w:r>
                    <w:rPr>
                      <w:rFonts w:hint="eastAsia"/>
                      <w:kern w:val="21"/>
                      <w:szCs w:val="21"/>
                    </w:rPr>
                    <w:t>污水收集管网覆盖范围内除相关法律法规和标准规定必须单独设置排污口的情况外应全部纳入污水管网集中处理，现有的入河排污口应限期纳入污水管网</w:t>
                  </w:r>
                </w:p>
              </w:tc>
              <w:tc>
                <w:tcPr>
                  <w:tcW w:w="2487" w:type="dxa"/>
                  <w:vAlign w:val="center"/>
                </w:tcPr>
                <w:p w14:paraId="47C306D4">
                  <w:pPr>
                    <w:autoSpaceDE w:val="0"/>
                    <w:autoSpaceDN w:val="0"/>
                    <w:jc w:val="center"/>
                    <w:rPr>
                      <w:rFonts w:hint="eastAsia" w:eastAsia="宋体"/>
                      <w:kern w:val="21"/>
                      <w:szCs w:val="21"/>
                      <w:lang w:val="en-US" w:eastAsia="zh-CN"/>
                    </w:rPr>
                  </w:pPr>
                  <w:r>
                    <w:rPr>
                      <w:rFonts w:hint="eastAsia"/>
                      <w:kern w:val="21"/>
                      <w:szCs w:val="21"/>
                      <w:lang w:val="en-US" w:eastAsia="zh-CN"/>
                    </w:rPr>
                    <w:t>不涉及。</w:t>
                  </w:r>
                </w:p>
              </w:tc>
            </w:tr>
            <w:tr w14:paraId="560771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3C5E2827">
                  <w:pPr>
                    <w:autoSpaceDE w:val="0"/>
                    <w:autoSpaceDN w:val="0"/>
                    <w:jc w:val="center"/>
                    <w:rPr>
                      <w:kern w:val="21"/>
                      <w:szCs w:val="21"/>
                    </w:rPr>
                  </w:pPr>
                </w:p>
              </w:tc>
              <w:tc>
                <w:tcPr>
                  <w:tcW w:w="4590" w:type="dxa"/>
                  <w:vAlign w:val="center"/>
                </w:tcPr>
                <w:p w14:paraId="711F49F8">
                  <w:pPr>
                    <w:autoSpaceDE w:val="0"/>
                    <w:autoSpaceDN w:val="0"/>
                    <w:jc w:val="center"/>
                    <w:rPr>
                      <w:rFonts w:hint="eastAsia"/>
                      <w:kern w:val="21"/>
                      <w:szCs w:val="21"/>
                    </w:rPr>
                  </w:pPr>
                  <w:r>
                    <w:rPr>
                      <w:rFonts w:hint="eastAsia"/>
                      <w:kern w:val="21"/>
                      <w:szCs w:val="21"/>
                    </w:rPr>
                    <w:t>入区项目污染物排放必须满足国家、河北省、承德市等规定的标准要求，排放指标必须满足清洁生产指标要求(如有)</w:t>
                  </w:r>
                </w:p>
              </w:tc>
              <w:tc>
                <w:tcPr>
                  <w:tcW w:w="2487" w:type="dxa"/>
                  <w:vAlign w:val="center"/>
                </w:tcPr>
                <w:p w14:paraId="5B247C41">
                  <w:pPr>
                    <w:autoSpaceDE w:val="0"/>
                    <w:autoSpaceDN w:val="0"/>
                    <w:jc w:val="center"/>
                    <w:rPr>
                      <w:rFonts w:hint="default" w:eastAsia="宋体"/>
                      <w:kern w:val="21"/>
                      <w:szCs w:val="21"/>
                      <w:lang w:val="en-US" w:eastAsia="zh-CN"/>
                    </w:rPr>
                  </w:pPr>
                  <w:r>
                    <w:rPr>
                      <w:rFonts w:hint="eastAsia"/>
                      <w:kern w:val="21"/>
                      <w:szCs w:val="21"/>
                      <w:lang w:val="en-US" w:eastAsia="zh-CN"/>
                    </w:rPr>
                    <w:t>本项目污染物排放满足</w:t>
                  </w:r>
                  <w:r>
                    <w:rPr>
                      <w:rFonts w:hint="eastAsia"/>
                      <w:kern w:val="21"/>
                      <w:szCs w:val="21"/>
                    </w:rPr>
                    <w:t>国家、河北省、承德市等规定的标准要求</w:t>
                  </w:r>
                  <w:r>
                    <w:rPr>
                      <w:rFonts w:hint="eastAsia"/>
                      <w:kern w:val="21"/>
                      <w:szCs w:val="21"/>
                      <w:lang w:eastAsia="zh-CN"/>
                    </w:rPr>
                    <w:t>；</w:t>
                  </w:r>
                  <w:r>
                    <w:rPr>
                      <w:rFonts w:hint="eastAsia"/>
                      <w:kern w:val="21"/>
                      <w:szCs w:val="21"/>
                      <w:lang w:val="en-US" w:eastAsia="zh-CN"/>
                    </w:rPr>
                    <w:t>无本行业清洁生产指标要求</w:t>
                  </w:r>
                </w:p>
              </w:tc>
            </w:tr>
            <w:tr w14:paraId="5770D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328F4B3E">
                  <w:pPr>
                    <w:autoSpaceDE w:val="0"/>
                    <w:autoSpaceDN w:val="0"/>
                    <w:jc w:val="center"/>
                    <w:rPr>
                      <w:kern w:val="21"/>
                      <w:szCs w:val="21"/>
                    </w:rPr>
                  </w:pPr>
                </w:p>
              </w:tc>
              <w:tc>
                <w:tcPr>
                  <w:tcW w:w="4590" w:type="dxa"/>
                  <w:vAlign w:val="center"/>
                </w:tcPr>
                <w:p w14:paraId="4C569C45">
                  <w:pPr>
                    <w:autoSpaceDE w:val="0"/>
                    <w:autoSpaceDN w:val="0"/>
                    <w:jc w:val="center"/>
                    <w:rPr>
                      <w:rFonts w:hint="eastAsia"/>
                      <w:kern w:val="21"/>
                      <w:szCs w:val="21"/>
                    </w:rPr>
                  </w:pPr>
                  <w:r>
                    <w:rPr>
                      <w:rFonts w:hint="eastAsia"/>
                      <w:kern w:val="21"/>
                      <w:szCs w:val="21"/>
                    </w:rPr>
                    <w:t>污染物排放量不得突破开发区确定的总量排放上线，入区项目需满足建设项目污染物排放总量控制要求</w:t>
                  </w:r>
                </w:p>
              </w:tc>
              <w:tc>
                <w:tcPr>
                  <w:tcW w:w="2487" w:type="dxa"/>
                  <w:vAlign w:val="center"/>
                </w:tcPr>
                <w:p w14:paraId="00442513">
                  <w:pPr>
                    <w:autoSpaceDE w:val="0"/>
                    <w:autoSpaceDN w:val="0"/>
                    <w:jc w:val="center"/>
                    <w:rPr>
                      <w:rFonts w:hint="default" w:eastAsia="宋体"/>
                      <w:kern w:val="21"/>
                      <w:szCs w:val="21"/>
                      <w:lang w:val="en-US" w:eastAsia="zh-CN"/>
                    </w:rPr>
                  </w:pPr>
                  <w:r>
                    <w:rPr>
                      <w:rFonts w:hint="eastAsia"/>
                      <w:kern w:val="21"/>
                      <w:szCs w:val="21"/>
                      <w:lang w:val="en-US" w:eastAsia="zh-CN"/>
                    </w:rPr>
                    <w:t>本项目不涉及总量控制因子排放</w:t>
                  </w:r>
                </w:p>
              </w:tc>
            </w:tr>
            <w:tr w14:paraId="3CEF98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restart"/>
                  <w:vAlign w:val="center"/>
                </w:tcPr>
                <w:p w14:paraId="5ACB2022">
                  <w:pPr>
                    <w:autoSpaceDE w:val="0"/>
                    <w:autoSpaceDN w:val="0"/>
                    <w:jc w:val="center"/>
                    <w:rPr>
                      <w:kern w:val="21"/>
                      <w:szCs w:val="21"/>
                    </w:rPr>
                  </w:pPr>
                  <w:r>
                    <w:rPr>
                      <w:kern w:val="21"/>
                      <w:szCs w:val="21"/>
                    </w:rPr>
                    <w:t>环境风险防控</w:t>
                  </w:r>
                </w:p>
              </w:tc>
              <w:tc>
                <w:tcPr>
                  <w:tcW w:w="4590" w:type="dxa"/>
                  <w:vAlign w:val="center"/>
                </w:tcPr>
                <w:p w14:paraId="5A7D1F0F">
                  <w:pPr>
                    <w:autoSpaceDE w:val="0"/>
                    <w:autoSpaceDN w:val="0"/>
                    <w:jc w:val="center"/>
                    <w:rPr>
                      <w:kern w:val="21"/>
                      <w:szCs w:val="21"/>
                    </w:rPr>
                  </w:pPr>
                  <w:r>
                    <w:rPr>
                      <w:rFonts w:hint="eastAsia"/>
                      <w:kern w:val="21"/>
                      <w:szCs w:val="21"/>
                    </w:rPr>
                    <w:t>生产、储存危险化学品的企业事业单位，应当采取措施，防治消防废水、废液直接排入水体</w:t>
                  </w:r>
                </w:p>
              </w:tc>
              <w:tc>
                <w:tcPr>
                  <w:tcW w:w="2487" w:type="dxa"/>
                  <w:vAlign w:val="center"/>
                </w:tcPr>
                <w:p w14:paraId="5E7E276A">
                  <w:pPr>
                    <w:autoSpaceDE w:val="0"/>
                    <w:autoSpaceDN w:val="0"/>
                    <w:jc w:val="center"/>
                    <w:rPr>
                      <w:rFonts w:hint="default" w:eastAsia="宋体"/>
                      <w:kern w:val="21"/>
                      <w:szCs w:val="21"/>
                      <w:lang w:val="en-US" w:eastAsia="zh-CN"/>
                    </w:rPr>
                  </w:pPr>
                  <w:r>
                    <w:rPr>
                      <w:rFonts w:hint="eastAsia"/>
                      <w:kern w:val="21"/>
                      <w:szCs w:val="21"/>
                      <w:lang w:val="en-US" w:eastAsia="zh-CN"/>
                    </w:rPr>
                    <w:t>本项目设事故池一座，用于临时贮存</w:t>
                  </w:r>
                  <w:r>
                    <w:rPr>
                      <w:rFonts w:hint="eastAsia"/>
                      <w:kern w:val="21"/>
                      <w:szCs w:val="21"/>
                    </w:rPr>
                    <w:t>废液</w:t>
                  </w:r>
                  <w:r>
                    <w:rPr>
                      <w:rFonts w:hint="eastAsia"/>
                      <w:kern w:val="21"/>
                      <w:szCs w:val="21"/>
                      <w:lang w:val="en-US" w:eastAsia="zh-CN"/>
                    </w:rPr>
                    <w:t>等</w:t>
                  </w:r>
                </w:p>
              </w:tc>
            </w:tr>
            <w:tr w14:paraId="45E77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7847CDAB">
                  <w:pPr>
                    <w:autoSpaceDE w:val="0"/>
                    <w:autoSpaceDN w:val="0"/>
                    <w:jc w:val="center"/>
                    <w:rPr>
                      <w:kern w:val="21"/>
                      <w:szCs w:val="21"/>
                    </w:rPr>
                  </w:pPr>
                </w:p>
              </w:tc>
              <w:tc>
                <w:tcPr>
                  <w:tcW w:w="4590" w:type="dxa"/>
                  <w:vAlign w:val="center"/>
                </w:tcPr>
                <w:p w14:paraId="79BBFE07">
                  <w:pPr>
                    <w:autoSpaceDE w:val="0"/>
                    <w:autoSpaceDN w:val="0"/>
                    <w:jc w:val="center"/>
                    <w:rPr>
                      <w:kern w:val="21"/>
                      <w:szCs w:val="21"/>
                    </w:rPr>
                  </w:pPr>
                  <w:r>
                    <w:rPr>
                      <w:rFonts w:hint="eastAsia"/>
                      <w:kern w:val="21"/>
                      <w:szCs w:val="21"/>
                    </w:rPr>
                    <w:t>发生突发事件可能造成土壤污染的，应当立即采取应急措施，防止土壤污染，并做好土壤污染状况监测、调查和土壤污染风险评估、风险管控、修复等工作</w:t>
                  </w:r>
                </w:p>
              </w:tc>
              <w:tc>
                <w:tcPr>
                  <w:tcW w:w="2487" w:type="dxa"/>
                  <w:vAlign w:val="center"/>
                </w:tcPr>
                <w:p w14:paraId="4720979D">
                  <w:pPr>
                    <w:autoSpaceDE w:val="0"/>
                    <w:autoSpaceDN w:val="0"/>
                    <w:jc w:val="center"/>
                    <w:rPr>
                      <w:kern w:val="21"/>
                      <w:szCs w:val="21"/>
                    </w:rPr>
                  </w:pPr>
                  <w:r>
                    <w:rPr>
                      <w:rFonts w:hint="eastAsia"/>
                      <w:kern w:val="21"/>
                      <w:szCs w:val="21"/>
                      <w:lang w:val="en-US" w:eastAsia="zh-CN"/>
                    </w:rPr>
                    <w:t>本项目运营后如</w:t>
                  </w:r>
                  <w:r>
                    <w:rPr>
                      <w:rFonts w:hint="eastAsia"/>
                      <w:kern w:val="21"/>
                      <w:szCs w:val="21"/>
                    </w:rPr>
                    <w:t>发生突发事件可能造成土壤污染的，立即采取应急措施，防止土壤污染，并做好土壤污染状况监测、调查和土壤污染风险评估、风险管控、修复等工作</w:t>
                  </w:r>
                </w:p>
              </w:tc>
            </w:tr>
            <w:tr w14:paraId="689FF8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6556B842">
                  <w:pPr>
                    <w:autoSpaceDE w:val="0"/>
                    <w:autoSpaceDN w:val="0"/>
                    <w:jc w:val="center"/>
                    <w:rPr>
                      <w:kern w:val="21"/>
                      <w:szCs w:val="21"/>
                    </w:rPr>
                  </w:pPr>
                </w:p>
              </w:tc>
              <w:tc>
                <w:tcPr>
                  <w:tcW w:w="4590" w:type="dxa"/>
                  <w:vAlign w:val="center"/>
                </w:tcPr>
                <w:p w14:paraId="65BB8D88">
                  <w:pPr>
                    <w:autoSpaceDE w:val="0"/>
                    <w:autoSpaceDN w:val="0"/>
                    <w:jc w:val="center"/>
                    <w:rPr>
                      <w:kern w:val="21"/>
                      <w:szCs w:val="21"/>
                    </w:rPr>
                  </w:pPr>
                  <w:r>
                    <w:rPr>
                      <w:rFonts w:hint="eastAsia"/>
                      <w:kern w:val="21"/>
                      <w:szCs w:val="21"/>
                    </w:rPr>
                    <w:t>严格落实规划环评及其批复文件制定的环境风险防范措施。开发区及入区企业需组织编制《环境风险应急预案》，成立应急组织机构，定期开展应急演练，提高区域环境风险防范能力</w:t>
                  </w:r>
                </w:p>
              </w:tc>
              <w:tc>
                <w:tcPr>
                  <w:tcW w:w="2487" w:type="dxa"/>
                  <w:vAlign w:val="center"/>
                </w:tcPr>
                <w:p w14:paraId="5BFE5933">
                  <w:pPr>
                    <w:autoSpaceDE w:val="0"/>
                    <w:autoSpaceDN w:val="0"/>
                    <w:jc w:val="center"/>
                    <w:rPr>
                      <w:rFonts w:hint="default" w:eastAsia="宋体"/>
                      <w:kern w:val="21"/>
                      <w:szCs w:val="21"/>
                      <w:lang w:val="en-US" w:eastAsia="zh-CN"/>
                    </w:rPr>
                  </w:pPr>
                  <w:r>
                    <w:rPr>
                      <w:rFonts w:hint="eastAsia"/>
                      <w:kern w:val="21"/>
                      <w:szCs w:val="21"/>
                      <w:lang w:val="en-US" w:eastAsia="zh-CN"/>
                    </w:rPr>
                    <w:t>本项目运营后企业将组织编制</w:t>
                  </w:r>
                  <w:r>
                    <w:rPr>
                      <w:rFonts w:hint="eastAsia"/>
                      <w:kern w:val="21"/>
                      <w:szCs w:val="21"/>
                    </w:rPr>
                    <w:t>《环境风险应急预案》</w:t>
                  </w:r>
                  <w:r>
                    <w:rPr>
                      <w:rFonts w:hint="eastAsia"/>
                      <w:kern w:val="21"/>
                      <w:szCs w:val="21"/>
                      <w:lang w:eastAsia="zh-CN"/>
                    </w:rPr>
                    <w:t>，</w:t>
                  </w:r>
                  <w:r>
                    <w:rPr>
                      <w:rFonts w:hint="eastAsia"/>
                      <w:kern w:val="21"/>
                      <w:szCs w:val="21"/>
                      <w:lang w:val="en-US" w:eastAsia="zh-CN"/>
                    </w:rPr>
                    <w:t>并成立应急机构，定期开展应急演练</w:t>
                  </w:r>
                </w:p>
              </w:tc>
            </w:tr>
            <w:tr w14:paraId="356834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0CE8A3EA">
                  <w:pPr>
                    <w:autoSpaceDE w:val="0"/>
                    <w:autoSpaceDN w:val="0"/>
                    <w:jc w:val="center"/>
                    <w:rPr>
                      <w:kern w:val="21"/>
                      <w:szCs w:val="21"/>
                    </w:rPr>
                  </w:pPr>
                </w:p>
              </w:tc>
              <w:tc>
                <w:tcPr>
                  <w:tcW w:w="4590" w:type="dxa"/>
                  <w:vAlign w:val="center"/>
                </w:tcPr>
                <w:p w14:paraId="514B0AA5">
                  <w:pPr>
                    <w:autoSpaceDE w:val="0"/>
                    <w:autoSpaceDN w:val="0"/>
                    <w:jc w:val="center"/>
                    <w:rPr>
                      <w:rFonts w:hint="eastAsia"/>
                      <w:kern w:val="21"/>
                      <w:szCs w:val="21"/>
                    </w:rPr>
                  </w:pPr>
                  <w:r>
                    <w:rPr>
                      <w:rFonts w:hint="eastAsia"/>
                      <w:kern w:val="21"/>
                      <w:szCs w:val="21"/>
                    </w:rPr>
                    <w:t>涉水入区项目严格按照《环境影响评价技术导则地下水环境》HJ610要求开展水文地质调查工作，确保选址合理</w:t>
                  </w:r>
                </w:p>
              </w:tc>
              <w:tc>
                <w:tcPr>
                  <w:tcW w:w="2487" w:type="dxa"/>
                  <w:vAlign w:val="center"/>
                </w:tcPr>
                <w:p w14:paraId="273411F8">
                  <w:pPr>
                    <w:autoSpaceDE w:val="0"/>
                    <w:autoSpaceDN w:val="0"/>
                    <w:jc w:val="center"/>
                    <w:rPr>
                      <w:rFonts w:hint="default"/>
                      <w:kern w:val="21"/>
                      <w:szCs w:val="21"/>
                      <w:lang w:val="en-US" w:eastAsia="zh-CN"/>
                    </w:rPr>
                  </w:pPr>
                  <w:r>
                    <w:rPr>
                      <w:rFonts w:hint="eastAsia"/>
                      <w:kern w:val="21"/>
                      <w:szCs w:val="21"/>
                      <w:lang w:val="en-US" w:eastAsia="zh-CN"/>
                    </w:rPr>
                    <w:t>本项目主要用水为员工生活用水，不涉及生产用水</w:t>
                  </w:r>
                </w:p>
              </w:tc>
            </w:tr>
            <w:tr w14:paraId="161057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0FE29CFB">
                  <w:pPr>
                    <w:autoSpaceDE w:val="0"/>
                    <w:autoSpaceDN w:val="0"/>
                    <w:jc w:val="center"/>
                    <w:rPr>
                      <w:kern w:val="21"/>
                      <w:szCs w:val="21"/>
                    </w:rPr>
                  </w:pPr>
                </w:p>
              </w:tc>
              <w:tc>
                <w:tcPr>
                  <w:tcW w:w="4590" w:type="dxa"/>
                  <w:vAlign w:val="center"/>
                </w:tcPr>
                <w:p w14:paraId="21D02E71">
                  <w:pPr>
                    <w:autoSpaceDE w:val="0"/>
                    <w:autoSpaceDN w:val="0"/>
                    <w:jc w:val="center"/>
                    <w:rPr>
                      <w:rFonts w:hint="eastAsia"/>
                      <w:kern w:val="21"/>
                      <w:szCs w:val="21"/>
                    </w:rPr>
                  </w:pPr>
                  <w:r>
                    <w:rPr>
                      <w:rFonts w:hint="eastAsia"/>
                      <w:kern w:val="21"/>
                      <w:szCs w:val="21"/>
                    </w:rPr>
                    <w:t>入区项目做好应急预案的制定、备案、修订等工作，严格落实各项环境风险防范措施和污染应急预案，加强风险事故情况下的环境污染防范措施和应急处置</w:t>
                  </w:r>
                </w:p>
              </w:tc>
              <w:tc>
                <w:tcPr>
                  <w:tcW w:w="2487" w:type="dxa"/>
                  <w:vAlign w:val="center"/>
                </w:tcPr>
                <w:p w14:paraId="6150C8CD">
                  <w:pPr>
                    <w:autoSpaceDE w:val="0"/>
                    <w:autoSpaceDN w:val="0"/>
                    <w:jc w:val="center"/>
                    <w:rPr>
                      <w:rFonts w:hint="eastAsia"/>
                      <w:kern w:val="21"/>
                      <w:szCs w:val="21"/>
                      <w:lang w:val="en-US" w:eastAsia="zh-CN"/>
                    </w:rPr>
                  </w:pPr>
                  <w:r>
                    <w:rPr>
                      <w:rFonts w:hint="eastAsia"/>
                      <w:kern w:val="21"/>
                      <w:szCs w:val="21"/>
                      <w:lang w:val="en-US" w:eastAsia="zh-CN"/>
                    </w:rPr>
                    <w:t>本项目运营后企业将组织编制</w:t>
                  </w:r>
                  <w:r>
                    <w:rPr>
                      <w:rFonts w:hint="eastAsia"/>
                      <w:kern w:val="21"/>
                      <w:szCs w:val="21"/>
                    </w:rPr>
                    <w:t>《环境风险应急预案》</w:t>
                  </w:r>
                  <w:r>
                    <w:rPr>
                      <w:rFonts w:hint="eastAsia"/>
                      <w:kern w:val="21"/>
                      <w:szCs w:val="21"/>
                      <w:lang w:eastAsia="zh-CN"/>
                    </w:rPr>
                    <w:t>，</w:t>
                  </w:r>
                  <w:r>
                    <w:rPr>
                      <w:rFonts w:hint="eastAsia"/>
                      <w:kern w:val="21"/>
                      <w:szCs w:val="21"/>
                    </w:rPr>
                    <w:t>严格落实各项环境风险防范措施和污染应急预案，加强风险事故情况下的环境污染防范措施和应急处置</w:t>
                  </w:r>
                </w:p>
              </w:tc>
            </w:tr>
            <w:tr w14:paraId="5A1702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63D58993">
                  <w:pPr>
                    <w:autoSpaceDE w:val="0"/>
                    <w:autoSpaceDN w:val="0"/>
                    <w:jc w:val="center"/>
                    <w:rPr>
                      <w:kern w:val="21"/>
                      <w:szCs w:val="21"/>
                    </w:rPr>
                  </w:pPr>
                </w:p>
              </w:tc>
              <w:tc>
                <w:tcPr>
                  <w:tcW w:w="4590" w:type="dxa"/>
                  <w:vAlign w:val="center"/>
                </w:tcPr>
                <w:p w14:paraId="00B6251A">
                  <w:pPr>
                    <w:autoSpaceDE w:val="0"/>
                    <w:autoSpaceDN w:val="0"/>
                    <w:jc w:val="center"/>
                    <w:rPr>
                      <w:rFonts w:hint="eastAsia"/>
                      <w:kern w:val="21"/>
                      <w:szCs w:val="21"/>
                    </w:rPr>
                  </w:pPr>
                  <w:r>
                    <w:rPr>
                      <w:rFonts w:hint="eastAsia"/>
                      <w:kern w:val="21"/>
                      <w:szCs w:val="21"/>
                    </w:rPr>
                    <w:t>重点监管企业和周边土壤环境，定期开展监督性监测，重点监测重金属和持久性有机污染物</w:t>
                  </w:r>
                </w:p>
              </w:tc>
              <w:tc>
                <w:tcPr>
                  <w:tcW w:w="2487" w:type="dxa"/>
                  <w:vAlign w:val="center"/>
                </w:tcPr>
                <w:p w14:paraId="04468B52">
                  <w:pPr>
                    <w:autoSpaceDE w:val="0"/>
                    <w:autoSpaceDN w:val="0"/>
                    <w:jc w:val="center"/>
                    <w:rPr>
                      <w:rFonts w:hint="default"/>
                      <w:kern w:val="21"/>
                      <w:szCs w:val="21"/>
                      <w:lang w:val="en-US" w:eastAsia="zh-CN"/>
                    </w:rPr>
                  </w:pPr>
                  <w:r>
                    <w:rPr>
                      <w:rFonts w:hint="eastAsia"/>
                      <w:kern w:val="21"/>
                      <w:szCs w:val="21"/>
                      <w:lang w:val="en-US" w:eastAsia="zh-CN"/>
                    </w:rPr>
                    <w:t>本项目运营后将严格按照本评价内容进行土壤检测</w:t>
                  </w:r>
                </w:p>
              </w:tc>
            </w:tr>
            <w:tr w14:paraId="56F78F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321881E6">
                  <w:pPr>
                    <w:autoSpaceDE w:val="0"/>
                    <w:autoSpaceDN w:val="0"/>
                    <w:jc w:val="center"/>
                    <w:rPr>
                      <w:kern w:val="21"/>
                      <w:szCs w:val="21"/>
                    </w:rPr>
                  </w:pPr>
                </w:p>
              </w:tc>
              <w:tc>
                <w:tcPr>
                  <w:tcW w:w="4590" w:type="dxa"/>
                  <w:vAlign w:val="center"/>
                </w:tcPr>
                <w:p w14:paraId="623FCB24">
                  <w:pPr>
                    <w:autoSpaceDE w:val="0"/>
                    <w:autoSpaceDN w:val="0"/>
                    <w:jc w:val="center"/>
                    <w:rPr>
                      <w:rFonts w:hint="eastAsia"/>
                      <w:kern w:val="21"/>
                      <w:szCs w:val="21"/>
                    </w:rPr>
                  </w:pPr>
                  <w:r>
                    <w:rPr>
                      <w:rFonts w:hint="eastAsia"/>
                      <w:kern w:val="21"/>
                      <w:szCs w:val="21"/>
                    </w:rPr>
                    <w:t>制定化学品信息管理系统，加强危废处置及管控</w:t>
                  </w:r>
                </w:p>
              </w:tc>
              <w:tc>
                <w:tcPr>
                  <w:tcW w:w="2487" w:type="dxa"/>
                  <w:vAlign w:val="center"/>
                </w:tcPr>
                <w:p w14:paraId="1452A207">
                  <w:pPr>
                    <w:autoSpaceDE w:val="0"/>
                    <w:autoSpaceDN w:val="0"/>
                    <w:jc w:val="center"/>
                    <w:rPr>
                      <w:rFonts w:hint="default"/>
                      <w:kern w:val="21"/>
                      <w:szCs w:val="21"/>
                      <w:lang w:val="en-US" w:eastAsia="zh-CN"/>
                    </w:rPr>
                  </w:pPr>
                  <w:r>
                    <w:rPr>
                      <w:rFonts w:hint="eastAsia"/>
                      <w:kern w:val="21"/>
                      <w:szCs w:val="21"/>
                      <w:lang w:val="en-US" w:eastAsia="zh-CN"/>
                    </w:rPr>
                    <w:t>不涉及</w:t>
                  </w:r>
                </w:p>
              </w:tc>
            </w:tr>
            <w:tr w14:paraId="47B580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507BBCD4">
                  <w:pPr>
                    <w:autoSpaceDE w:val="0"/>
                    <w:autoSpaceDN w:val="0"/>
                    <w:jc w:val="center"/>
                    <w:rPr>
                      <w:kern w:val="21"/>
                      <w:szCs w:val="21"/>
                    </w:rPr>
                  </w:pPr>
                </w:p>
              </w:tc>
              <w:tc>
                <w:tcPr>
                  <w:tcW w:w="4590" w:type="dxa"/>
                  <w:vAlign w:val="center"/>
                </w:tcPr>
                <w:p w14:paraId="5A27F6DA">
                  <w:pPr>
                    <w:autoSpaceDE w:val="0"/>
                    <w:autoSpaceDN w:val="0"/>
                    <w:jc w:val="center"/>
                    <w:rPr>
                      <w:kern w:val="21"/>
                      <w:szCs w:val="21"/>
                    </w:rPr>
                  </w:pPr>
                  <w:r>
                    <w:rPr>
                      <w:rFonts w:hint="eastAsia"/>
                      <w:kern w:val="21"/>
                      <w:szCs w:val="21"/>
                    </w:rPr>
                    <w:t>对于易导致环境风险的有毒有害和易燃易爆物质的生产、使用、排放、贮运等新建、改扩建项目，风险防控措施应满足本评价提出的环境风险管理要求</w:t>
                  </w:r>
                </w:p>
              </w:tc>
              <w:tc>
                <w:tcPr>
                  <w:tcW w:w="2487" w:type="dxa"/>
                  <w:vAlign w:val="center"/>
                </w:tcPr>
                <w:p w14:paraId="529D690A">
                  <w:pPr>
                    <w:autoSpaceDE w:val="0"/>
                    <w:autoSpaceDN w:val="0"/>
                    <w:jc w:val="center"/>
                    <w:rPr>
                      <w:kern w:val="21"/>
                      <w:szCs w:val="21"/>
                    </w:rPr>
                  </w:pPr>
                  <w:r>
                    <w:rPr>
                      <w:rFonts w:hint="eastAsia"/>
                      <w:kern w:val="21"/>
                      <w:szCs w:val="21"/>
                      <w:highlight w:val="none"/>
                      <w:lang w:val="en-US" w:eastAsia="zh-CN"/>
                    </w:rPr>
                    <w:t>本项目严格执行本评价提出的环境风险管理要求</w:t>
                  </w:r>
                  <w:r>
                    <w:rPr>
                      <w:kern w:val="21"/>
                      <w:szCs w:val="21"/>
                      <w:highlight w:val="none"/>
                    </w:rPr>
                    <w:t>。</w:t>
                  </w:r>
                </w:p>
              </w:tc>
            </w:tr>
            <w:tr w14:paraId="680101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restart"/>
                  <w:vAlign w:val="center"/>
                </w:tcPr>
                <w:p w14:paraId="34BC1853">
                  <w:pPr>
                    <w:autoSpaceDE w:val="0"/>
                    <w:autoSpaceDN w:val="0"/>
                    <w:jc w:val="center"/>
                    <w:rPr>
                      <w:kern w:val="21"/>
                      <w:szCs w:val="21"/>
                    </w:rPr>
                  </w:pPr>
                  <w:r>
                    <w:rPr>
                      <w:kern w:val="21"/>
                      <w:szCs w:val="21"/>
                    </w:rPr>
                    <w:t>资源开发利用要求</w:t>
                  </w:r>
                </w:p>
              </w:tc>
              <w:tc>
                <w:tcPr>
                  <w:tcW w:w="4590" w:type="dxa"/>
                  <w:vAlign w:val="center"/>
                </w:tcPr>
                <w:p w14:paraId="7613A07D">
                  <w:pPr>
                    <w:autoSpaceDE w:val="0"/>
                    <w:autoSpaceDN w:val="0"/>
                    <w:jc w:val="center"/>
                    <w:rPr>
                      <w:kern w:val="21"/>
                      <w:szCs w:val="21"/>
                    </w:rPr>
                  </w:pPr>
                  <w:r>
                    <w:rPr>
                      <w:rFonts w:hint="eastAsia"/>
                      <w:kern w:val="21"/>
                      <w:szCs w:val="21"/>
                    </w:rPr>
                    <w:t>开发区资源环境效率应逐步达到《国家生态工业园区标准》（HJ274-2015）、《工业园区循环经济绩效评价规范》（GB/T33567-2017）</w:t>
                  </w:r>
                  <w:r>
                    <w:rPr>
                      <w:kern w:val="21"/>
                      <w:szCs w:val="21"/>
                    </w:rPr>
                    <w:t>。</w:t>
                  </w:r>
                </w:p>
              </w:tc>
              <w:tc>
                <w:tcPr>
                  <w:tcW w:w="2487" w:type="dxa"/>
                  <w:vAlign w:val="center"/>
                </w:tcPr>
                <w:p w14:paraId="32EDCC96">
                  <w:pPr>
                    <w:autoSpaceDE w:val="0"/>
                    <w:autoSpaceDN w:val="0"/>
                    <w:jc w:val="center"/>
                    <w:rPr>
                      <w:rFonts w:hint="default" w:eastAsia="宋体"/>
                      <w:kern w:val="21"/>
                      <w:szCs w:val="21"/>
                      <w:highlight w:val="yellow"/>
                      <w:lang w:val="en-US" w:eastAsia="zh-CN"/>
                    </w:rPr>
                  </w:pPr>
                  <w:r>
                    <w:rPr>
                      <w:rFonts w:hint="eastAsia"/>
                      <w:kern w:val="21"/>
                      <w:szCs w:val="21"/>
                      <w:highlight w:val="none"/>
                      <w:lang w:val="en-US" w:eastAsia="zh-CN"/>
                    </w:rPr>
                    <w:t>不涉及</w:t>
                  </w:r>
                </w:p>
              </w:tc>
            </w:tr>
            <w:tr w14:paraId="50B616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1503319F">
                  <w:pPr>
                    <w:autoSpaceDE w:val="0"/>
                    <w:autoSpaceDN w:val="0"/>
                    <w:jc w:val="center"/>
                    <w:rPr>
                      <w:kern w:val="21"/>
                      <w:szCs w:val="21"/>
                    </w:rPr>
                  </w:pPr>
                </w:p>
              </w:tc>
              <w:tc>
                <w:tcPr>
                  <w:tcW w:w="4590" w:type="dxa"/>
                  <w:vAlign w:val="center"/>
                </w:tcPr>
                <w:p w14:paraId="5DF3E76D">
                  <w:pPr>
                    <w:autoSpaceDE w:val="0"/>
                    <w:autoSpaceDN w:val="0"/>
                    <w:jc w:val="center"/>
                    <w:rPr>
                      <w:kern w:val="21"/>
                      <w:szCs w:val="21"/>
                    </w:rPr>
                  </w:pPr>
                  <w:r>
                    <w:rPr>
                      <w:rFonts w:hint="eastAsia"/>
                      <w:kern w:val="21"/>
                      <w:szCs w:val="21"/>
                    </w:rPr>
                    <w:t>开发区建设应达到《河北省开发区建设用地控制指标实施细则（试行）》（冀国土资发[2015]11号）要求，对不符合要求的工业项目，原则上不得建设，因安全生产、地形地貌、工艺技术等有特殊要求确需突破控制指标的应遵循相关规定执行</w:t>
                  </w:r>
                </w:p>
              </w:tc>
              <w:tc>
                <w:tcPr>
                  <w:tcW w:w="2487" w:type="dxa"/>
                  <w:vAlign w:val="center"/>
                </w:tcPr>
                <w:p w14:paraId="14B69B67">
                  <w:pPr>
                    <w:autoSpaceDE w:val="0"/>
                    <w:autoSpaceDN w:val="0"/>
                    <w:jc w:val="center"/>
                    <w:rPr>
                      <w:rFonts w:hint="default" w:eastAsia="宋体"/>
                      <w:kern w:val="21"/>
                      <w:szCs w:val="21"/>
                      <w:highlight w:val="yellow"/>
                      <w:lang w:val="en-US" w:eastAsia="zh-CN"/>
                    </w:rPr>
                  </w:pPr>
                  <w:r>
                    <w:rPr>
                      <w:rFonts w:hint="eastAsia"/>
                      <w:kern w:val="21"/>
                      <w:szCs w:val="21"/>
                      <w:highlight w:val="none"/>
                      <w:lang w:val="en-US" w:eastAsia="zh-CN"/>
                    </w:rPr>
                    <w:t>本项目符合</w:t>
                  </w:r>
                  <w:r>
                    <w:rPr>
                      <w:rFonts w:hint="eastAsia"/>
                      <w:kern w:val="21"/>
                      <w:szCs w:val="21"/>
                      <w:highlight w:val="none"/>
                    </w:rPr>
                    <w:t>《河北省开发区建设用地控制</w:t>
                  </w:r>
                  <w:r>
                    <w:rPr>
                      <w:rFonts w:hint="eastAsia"/>
                      <w:kern w:val="21"/>
                      <w:szCs w:val="21"/>
                    </w:rPr>
                    <w:t>指标实施细则（试行）》（冀国土资发[2015]11号）要求</w:t>
                  </w:r>
                </w:p>
              </w:tc>
            </w:tr>
            <w:tr w14:paraId="7D2B68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090D8760">
                  <w:pPr>
                    <w:autoSpaceDE w:val="0"/>
                    <w:autoSpaceDN w:val="0"/>
                    <w:jc w:val="center"/>
                    <w:rPr>
                      <w:kern w:val="21"/>
                      <w:szCs w:val="21"/>
                    </w:rPr>
                  </w:pPr>
                </w:p>
              </w:tc>
              <w:tc>
                <w:tcPr>
                  <w:tcW w:w="4590" w:type="dxa"/>
                  <w:vAlign w:val="center"/>
                </w:tcPr>
                <w:p w14:paraId="36C1D3D9">
                  <w:pPr>
                    <w:autoSpaceDE w:val="0"/>
                    <w:autoSpaceDN w:val="0"/>
                    <w:jc w:val="center"/>
                    <w:rPr>
                      <w:rFonts w:hint="eastAsia"/>
                      <w:kern w:val="21"/>
                      <w:szCs w:val="21"/>
                    </w:rPr>
                  </w:pPr>
                  <w:r>
                    <w:rPr>
                      <w:rFonts w:hint="eastAsia"/>
                      <w:kern w:val="21"/>
                      <w:szCs w:val="21"/>
                    </w:rPr>
                    <w:t>新建、扩建工业企业清洁生产水平不低于国内基本水平</w:t>
                  </w:r>
                </w:p>
              </w:tc>
              <w:tc>
                <w:tcPr>
                  <w:tcW w:w="2487" w:type="dxa"/>
                  <w:vAlign w:val="center"/>
                </w:tcPr>
                <w:p w14:paraId="27124CF4">
                  <w:pPr>
                    <w:autoSpaceDE w:val="0"/>
                    <w:autoSpaceDN w:val="0"/>
                    <w:jc w:val="center"/>
                    <w:rPr>
                      <w:rFonts w:hint="eastAsia"/>
                      <w:kern w:val="21"/>
                      <w:szCs w:val="21"/>
                      <w:lang w:val="en-US" w:eastAsia="zh-CN"/>
                    </w:rPr>
                  </w:pPr>
                  <w:r>
                    <w:rPr>
                      <w:rFonts w:hint="eastAsia"/>
                      <w:kern w:val="21"/>
                      <w:szCs w:val="21"/>
                      <w:lang w:val="en-US" w:eastAsia="zh-CN"/>
                    </w:rPr>
                    <w:t>本项目所属行业为N7724危险废物治理，无本行业清洁生产指标要求</w:t>
                  </w:r>
                </w:p>
              </w:tc>
            </w:tr>
            <w:tr w14:paraId="1394A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7ADC9A61">
                  <w:pPr>
                    <w:autoSpaceDE w:val="0"/>
                    <w:autoSpaceDN w:val="0"/>
                    <w:jc w:val="center"/>
                    <w:rPr>
                      <w:kern w:val="21"/>
                      <w:szCs w:val="21"/>
                    </w:rPr>
                  </w:pPr>
                </w:p>
              </w:tc>
              <w:tc>
                <w:tcPr>
                  <w:tcW w:w="4590" w:type="dxa"/>
                  <w:vAlign w:val="center"/>
                </w:tcPr>
                <w:p w14:paraId="3DF2B034">
                  <w:pPr>
                    <w:autoSpaceDE w:val="0"/>
                    <w:autoSpaceDN w:val="0"/>
                    <w:jc w:val="center"/>
                    <w:rPr>
                      <w:rFonts w:hint="eastAsia"/>
                      <w:kern w:val="21"/>
                      <w:szCs w:val="21"/>
                    </w:rPr>
                  </w:pPr>
                  <w:r>
                    <w:rPr>
                      <w:rFonts w:hint="eastAsia"/>
                      <w:kern w:val="21"/>
                      <w:szCs w:val="21"/>
                    </w:rPr>
                    <w:t>项目实施后资源和能源消耗量应满足开发区划定的土地、水、能源等主要资源能源可开发利用总量上线；资源利用水平达到国内同行业先进水平</w:t>
                  </w:r>
                </w:p>
              </w:tc>
              <w:tc>
                <w:tcPr>
                  <w:tcW w:w="2487" w:type="dxa"/>
                  <w:vAlign w:val="center"/>
                </w:tcPr>
                <w:p w14:paraId="4D75EF25">
                  <w:pPr>
                    <w:autoSpaceDE w:val="0"/>
                    <w:autoSpaceDN w:val="0"/>
                    <w:jc w:val="center"/>
                    <w:rPr>
                      <w:rFonts w:hint="eastAsia" w:eastAsia="宋体"/>
                      <w:kern w:val="21"/>
                      <w:szCs w:val="21"/>
                      <w:lang w:val="en-US" w:eastAsia="zh-CN"/>
                    </w:rPr>
                  </w:pPr>
                  <w:r>
                    <w:rPr>
                      <w:rFonts w:hint="eastAsia"/>
                      <w:kern w:val="21"/>
                      <w:szCs w:val="21"/>
                      <w:lang w:val="en-US" w:eastAsia="zh-CN"/>
                    </w:rPr>
                    <w:t>本项目满足</w:t>
                  </w:r>
                  <w:r>
                    <w:rPr>
                      <w:rFonts w:hint="eastAsia"/>
                      <w:kern w:val="21"/>
                      <w:szCs w:val="21"/>
                    </w:rPr>
                    <w:t>区域“三线一单”设定的土地资源、水资源、能源利用上</w:t>
                  </w:r>
                  <w:r>
                    <w:rPr>
                      <w:rFonts w:hint="eastAsia"/>
                      <w:kern w:val="21"/>
                      <w:szCs w:val="21"/>
                      <w:lang w:val="en-US" w:eastAsia="zh-CN"/>
                    </w:rPr>
                    <w:t>线</w:t>
                  </w:r>
                </w:p>
              </w:tc>
            </w:tr>
            <w:tr w14:paraId="1B29E2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8" w:type="dxa"/>
                  <w:vMerge w:val="continue"/>
                  <w:vAlign w:val="center"/>
                </w:tcPr>
                <w:p w14:paraId="6FEC83DD">
                  <w:pPr>
                    <w:autoSpaceDE w:val="0"/>
                    <w:autoSpaceDN w:val="0"/>
                    <w:jc w:val="center"/>
                    <w:rPr>
                      <w:kern w:val="21"/>
                      <w:szCs w:val="21"/>
                    </w:rPr>
                  </w:pPr>
                </w:p>
              </w:tc>
              <w:tc>
                <w:tcPr>
                  <w:tcW w:w="4590" w:type="dxa"/>
                  <w:vAlign w:val="center"/>
                </w:tcPr>
                <w:p w14:paraId="0F7FDB71">
                  <w:pPr>
                    <w:autoSpaceDE w:val="0"/>
                    <w:autoSpaceDN w:val="0"/>
                    <w:jc w:val="center"/>
                    <w:rPr>
                      <w:kern w:val="21"/>
                      <w:szCs w:val="21"/>
                    </w:rPr>
                  </w:pPr>
                  <w:r>
                    <w:rPr>
                      <w:rFonts w:hint="eastAsia"/>
                      <w:kern w:val="21"/>
                      <w:szCs w:val="21"/>
                    </w:rPr>
                    <w:t>入区项目应符合水资源管理制度的要求</w:t>
                  </w:r>
                </w:p>
              </w:tc>
              <w:tc>
                <w:tcPr>
                  <w:tcW w:w="2487" w:type="dxa"/>
                  <w:vAlign w:val="center"/>
                </w:tcPr>
                <w:p w14:paraId="7EC3C4B4">
                  <w:pPr>
                    <w:autoSpaceDE w:val="0"/>
                    <w:autoSpaceDN w:val="0"/>
                    <w:jc w:val="center"/>
                    <w:rPr>
                      <w:rFonts w:hint="default" w:eastAsia="宋体"/>
                      <w:kern w:val="21"/>
                      <w:szCs w:val="21"/>
                      <w:lang w:val="en-US" w:eastAsia="zh-CN"/>
                    </w:rPr>
                  </w:pPr>
                  <w:r>
                    <w:rPr>
                      <w:rFonts w:hint="eastAsia"/>
                      <w:kern w:val="21"/>
                      <w:szCs w:val="21"/>
                      <w:lang w:val="en-US" w:eastAsia="zh-CN"/>
                    </w:rPr>
                    <w:t>本项目满足</w:t>
                  </w:r>
                  <w:r>
                    <w:rPr>
                      <w:rFonts w:hint="eastAsia"/>
                      <w:kern w:val="21"/>
                      <w:szCs w:val="21"/>
                    </w:rPr>
                    <w:t>水资源管理制度的要求</w:t>
                  </w:r>
                </w:p>
              </w:tc>
            </w:tr>
          </w:tbl>
          <w:p w14:paraId="77A6CB46">
            <w:pPr>
              <w:autoSpaceDE w:val="0"/>
              <w:autoSpaceDN w:val="0"/>
              <w:adjustRightInd w:val="0"/>
              <w:snapToGrid w:val="0"/>
              <w:spacing w:before="120" w:beforeLines="50" w:line="360" w:lineRule="auto"/>
              <w:ind w:firstLine="480" w:firstLineChars="200"/>
              <w:rPr>
                <w:sz w:val="24"/>
              </w:rPr>
            </w:pPr>
            <w:r>
              <w:rPr>
                <w:rFonts w:hint="eastAsia"/>
                <w:sz w:val="24"/>
              </w:rPr>
              <w:t>综上所述，项目</w:t>
            </w:r>
            <w:r>
              <w:rPr>
                <w:sz w:val="24"/>
              </w:rPr>
              <w:t>符合《</w:t>
            </w:r>
            <w:r>
              <w:rPr>
                <w:rFonts w:hint="eastAsia"/>
                <w:sz w:val="24"/>
              </w:rPr>
              <w:t>河北宽城经济开发区总体规划（2022-2035年）环境影响报告书</w:t>
            </w:r>
            <w:r>
              <w:rPr>
                <w:sz w:val="24"/>
              </w:rPr>
              <w:t>》中的要求。</w:t>
            </w:r>
          </w:p>
          <w:p w14:paraId="0AEBB79C">
            <w:pPr>
              <w:autoSpaceDE w:val="0"/>
              <w:autoSpaceDN w:val="0"/>
              <w:adjustRightInd w:val="0"/>
              <w:snapToGrid w:val="0"/>
              <w:spacing w:line="360" w:lineRule="auto"/>
              <w:ind w:firstLine="482" w:firstLineChars="200"/>
              <w:rPr>
                <w:b/>
                <w:kern w:val="0"/>
                <w:sz w:val="24"/>
              </w:rPr>
            </w:pPr>
            <w:r>
              <w:rPr>
                <w:b/>
                <w:kern w:val="0"/>
                <w:sz w:val="24"/>
              </w:rPr>
              <w:t>3</w:t>
            </w:r>
            <w:r>
              <w:rPr>
                <w:rFonts w:hint="eastAsia"/>
                <w:b/>
                <w:kern w:val="0"/>
                <w:sz w:val="24"/>
              </w:rPr>
              <w:t>、规划环境影响评价结论及审查意见符合性分析</w:t>
            </w:r>
          </w:p>
          <w:p w14:paraId="40A6F14D">
            <w:pPr>
              <w:autoSpaceDE w:val="0"/>
              <w:autoSpaceDN w:val="0"/>
              <w:adjustRightInd w:val="0"/>
              <w:snapToGrid w:val="0"/>
              <w:spacing w:line="360" w:lineRule="auto"/>
              <w:ind w:firstLine="480" w:firstLineChars="200"/>
              <w:rPr>
                <w:rFonts w:hint="eastAsia"/>
                <w:kern w:val="0"/>
                <w:sz w:val="24"/>
                <w:lang w:val="en-US" w:eastAsia="zh-CN"/>
              </w:rPr>
            </w:pPr>
            <w:r>
              <w:rPr>
                <w:rFonts w:hint="eastAsia"/>
                <w:kern w:val="0"/>
                <w:sz w:val="24"/>
              </w:rPr>
              <w:t>规划环境影响评价结论</w:t>
            </w:r>
            <w:r>
              <w:rPr>
                <w:rFonts w:hint="eastAsia"/>
                <w:kern w:val="0"/>
                <w:sz w:val="24"/>
                <w:lang w:val="en-US" w:eastAsia="zh-CN"/>
              </w:rPr>
              <w:t>指出：“规划应加强节水措施，产业发展规模需“量水而行”，同时优化规划产业布局，加强环境保护预防和治理措施，并根据本评价提出的三线一单约束体系，在加强开发区空间管控，严格控制污染物排放总量，并按照评价提出的调整建议和相关要求对规划进行优化调整后，河北宽城经济开发区总体规划（2021-2035年）的实施具有环境合理性和可行性”。</w:t>
            </w:r>
          </w:p>
          <w:p w14:paraId="5BB4C3C6">
            <w:pPr>
              <w:autoSpaceDE w:val="0"/>
              <w:autoSpaceDN w:val="0"/>
              <w:adjustRightInd w:val="0"/>
              <w:snapToGrid w:val="0"/>
              <w:spacing w:line="360" w:lineRule="auto"/>
              <w:ind w:firstLine="480" w:firstLineChars="200"/>
              <w:rPr>
                <w:kern w:val="0"/>
                <w:sz w:val="24"/>
              </w:rPr>
            </w:pPr>
            <w:r>
              <w:rPr>
                <w:rFonts w:hint="eastAsia"/>
                <w:kern w:val="0"/>
                <w:sz w:val="24"/>
              </w:rPr>
              <w:t>河北省生态环境厅关于《</w:t>
            </w:r>
            <w:r>
              <w:rPr>
                <w:rFonts w:hint="eastAsia"/>
                <w:sz w:val="24"/>
              </w:rPr>
              <w:t>河北宽城经济开发区总体规划（2022-2035年）环境影响报告书</w:t>
            </w:r>
            <w:r>
              <w:rPr>
                <w:rFonts w:hint="eastAsia"/>
                <w:kern w:val="0"/>
                <w:sz w:val="24"/>
              </w:rPr>
              <w:t>》的审查意见指出，“严格环境准入条件，推动产业结构调整和转型升级。落实《报告书》提出的开发区生态环境准入要求和与规划不符的现有企业环境管理要求，</w:t>
            </w:r>
            <w:r>
              <w:rPr>
                <w:rFonts w:hint="eastAsia"/>
                <w:kern w:val="0"/>
                <w:sz w:val="24"/>
                <w:lang w:val="en-US" w:eastAsia="zh-CN"/>
              </w:rPr>
              <w:t>强化现有及入区企业污染物排放控制要求，禁止基础化学原料制造相关的项目入区</w:t>
            </w:r>
            <w:r>
              <w:rPr>
                <w:rFonts w:hint="eastAsia"/>
                <w:kern w:val="0"/>
                <w:sz w:val="24"/>
              </w:rPr>
              <w:t>。开发区现有企业</w:t>
            </w:r>
            <w:r>
              <w:rPr>
                <w:rFonts w:hint="eastAsia"/>
                <w:kern w:val="0"/>
                <w:sz w:val="24"/>
                <w:lang w:val="en-US" w:eastAsia="zh-CN"/>
              </w:rPr>
              <w:t>不断提高清洁生产水平</w:t>
            </w:r>
            <w:r>
              <w:rPr>
                <w:rFonts w:hint="eastAsia"/>
                <w:kern w:val="0"/>
                <w:sz w:val="24"/>
              </w:rPr>
              <w:t>，</w:t>
            </w:r>
            <w:r>
              <w:rPr>
                <w:rFonts w:hint="eastAsia"/>
                <w:kern w:val="0"/>
                <w:sz w:val="24"/>
                <w:lang w:val="en-US" w:eastAsia="zh-CN"/>
              </w:rPr>
              <w:t>促进开发区产业转型升级与生态环境保护、人居环境安全相协调</w:t>
            </w:r>
            <w:r>
              <w:rPr>
                <w:rFonts w:hint="eastAsia"/>
                <w:kern w:val="0"/>
                <w:sz w:val="24"/>
              </w:rPr>
              <w:t>。”</w:t>
            </w:r>
          </w:p>
          <w:p w14:paraId="7A210CDC">
            <w:pPr>
              <w:autoSpaceDE w:val="0"/>
              <w:autoSpaceDN w:val="0"/>
              <w:adjustRightInd w:val="0"/>
              <w:snapToGrid w:val="0"/>
              <w:spacing w:line="360" w:lineRule="auto"/>
              <w:ind w:firstLine="480" w:firstLineChars="200"/>
            </w:pPr>
            <w:r>
              <w:rPr>
                <w:rFonts w:hint="eastAsia"/>
                <w:kern w:val="0"/>
                <w:sz w:val="24"/>
              </w:rPr>
              <w:t>项目符合开发区规划，符合开发区生态环境准入要求，</w:t>
            </w:r>
            <w:r>
              <w:rPr>
                <w:rFonts w:hint="eastAsia"/>
                <w:kern w:val="0"/>
                <w:sz w:val="24"/>
                <w:lang w:val="en-US" w:eastAsia="zh-CN"/>
              </w:rPr>
              <w:t>不属于基础化学原料制造相关的项目，</w:t>
            </w:r>
            <w:r>
              <w:rPr>
                <w:rFonts w:hint="eastAsia"/>
                <w:kern w:val="0"/>
                <w:sz w:val="24"/>
              </w:rPr>
              <w:t>采取相应污染防治措施后，污染物达标排放。符合规划环境影响评价结论</w:t>
            </w:r>
            <w:r>
              <w:rPr>
                <w:rFonts w:hint="eastAsia"/>
                <w:kern w:val="0"/>
                <w:sz w:val="24"/>
                <w:lang w:val="en-US" w:eastAsia="zh-CN"/>
              </w:rPr>
              <w:t>及</w:t>
            </w:r>
            <w:r>
              <w:rPr>
                <w:rFonts w:hint="eastAsia"/>
                <w:kern w:val="0"/>
                <w:sz w:val="24"/>
              </w:rPr>
              <w:t>园区审查意见。</w:t>
            </w:r>
          </w:p>
          <w:p w14:paraId="1CA8B4E6">
            <w:pPr>
              <w:pStyle w:val="2"/>
              <w:ind w:left="420"/>
            </w:pPr>
          </w:p>
          <w:p w14:paraId="14539477">
            <w:pPr>
              <w:pStyle w:val="2"/>
              <w:ind w:left="420"/>
              <w:rPr>
                <w:highlight w:val="green"/>
              </w:rPr>
            </w:pPr>
          </w:p>
          <w:p w14:paraId="30863C18">
            <w:pPr>
              <w:pStyle w:val="2"/>
              <w:ind w:left="420"/>
              <w:rPr>
                <w:highlight w:val="green"/>
              </w:rPr>
            </w:pPr>
          </w:p>
          <w:p w14:paraId="119080F3">
            <w:pPr>
              <w:pStyle w:val="2"/>
              <w:ind w:left="420"/>
              <w:rPr>
                <w:highlight w:val="green"/>
              </w:rPr>
            </w:pPr>
          </w:p>
          <w:p w14:paraId="340E6A9C">
            <w:pPr>
              <w:pStyle w:val="2"/>
              <w:ind w:left="420"/>
              <w:rPr>
                <w:highlight w:val="green"/>
              </w:rPr>
            </w:pPr>
          </w:p>
          <w:p w14:paraId="04320F05">
            <w:pPr>
              <w:pStyle w:val="2"/>
              <w:ind w:left="0" w:leftChars="0" w:firstLine="0" w:firstLineChars="0"/>
              <w:jc w:val="both"/>
              <w:rPr>
                <w:highlight w:val="green"/>
              </w:rPr>
            </w:pPr>
          </w:p>
          <w:p w14:paraId="0B6750EB">
            <w:pPr>
              <w:autoSpaceDE w:val="0"/>
              <w:autoSpaceDN w:val="0"/>
              <w:adjustRightInd w:val="0"/>
              <w:snapToGrid w:val="0"/>
              <w:spacing w:line="360" w:lineRule="auto"/>
              <w:ind w:firstLine="480" w:firstLineChars="200"/>
              <w:rPr>
                <w:kern w:val="0"/>
                <w:sz w:val="24"/>
                <w:highlight w:val="green"/>
              </w:rPr>
            </w:pPr>
          </w:p>
          <w:p w14:paraId="47F7DF8A">
            <w:pPr>
              <w:autoSpaceDE w:val="0"/>
              <w:autoSpaceDN w:val="0"/>
              <w:adjustRightInd w:val="0"/>
              <w:snapToGrid w:val="0"/>
              <w:spacing w:line="360" w:lineRule="auto"/>
              <w:ind w:firstLine="420" w:firstLineChars="200"/>
              <w:rPr>
                <w:highlight w:val="green"/>
              </w:rPr>
            </w:pPr>
          </w:p>
        </w:tc>
      </w:tr>
    </w:tbl>
    <w:p w14:paraId="46877FA5">
      <w:pPr>
        <w:pStyle w:val="2"/>
        <w:ind w:left="420"/>
      </w:pPr>
      <w:r>
        <w:br w:type="page"/>
      </w:r>
    </w:p>
    <w:tbl>
      <w:tblPr>
        <w:tblStyle w:val="21"/>
        <w:tblW w:w="887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57"/>
        <w:gridCol w:w="8313"/>
      </w:tblGrid>
      <w:tr w14:paraId="253BFD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021" w:hRule="atLeast"/>
          <w:jc w:val="center"/>
        </w:trPr>
        <w:tc>
          <w:tcPr>
            <w:tcW w:w="557" w:type="dxa"/>
            <w:vAlign w:val="center"/>
          </w:tcPr>
          <w:p w14:paraId="467B9A04">
            <w:pPr>
              <w:autoSpaceDE w:val="0"/>
              <w:autoSpaceDN w:val="0"/>
              <w:adjustRightInd w:val="0"/>
              <w:snapToGrid w:val="0"/>
              <w:jc w:val="center"/>
              <w:rPr>
                <w:rFonts w:ascii="宋体" w:hAnsi="宋体" w:cs="宋体"/>
                <w:b/>
                <w:kern w:val="0"/>
                <w:sz w:val="24"/>
              </w:rPr>
            </w:pPr>
            <w:r>
              <w:rPr>
                <w:rFonts w:hint="eastAsia" w:ascii="宋体" w:hAnsi="宋体" w:cs="宋体"/>
                <w:b/>
                <w:kern w:val="0"/>
                <w:sz w:val="24"/>
              </w:rPr>
              <w:t>其他符合性分析</w:t>
            </w:r>
          </w:p>
        </w:tc>
        <w:tc>
          <w:tcPr>
            <w:tcW w:w="8313" w:type="dxa"/>
            <w:vAlign w:val="center"/>
          </w:tcPr>
          <w:p w14:paraId="41D16F01">
            <w:pPr>
              <w:spacing w:line="360" w:lineRule="auto"/>
              <w:ind w:firstLine="482" w:firstLineChars="200"/>
              <w:rPr>
                <w:b/>
                <w:sz w:val="24"/>
              </w:rPr>
            </w:pPr>
            <w:r>
              <w:rPr>
                <w:rFonts w:hint="eastAsia"/>
                <w:b/>
                <w:sz w:val="24"/>
                <w:lang w:val="en-US" w:eastAsia="zh-CN"/>
              </w:rPr>
              <w:t>1</w:t>
            </w:r>
            <w:r>
              <w:rPr>
                <w:b/>
                <w:sz w:val="24"/>
              </w:rPr>
              <w:t>．</w:t>
            </w:r>
            <w:r>
              <w:rPr>
                <w:rFonts w:hint="eastAsia"/>
                <w:b/>
                <w:sz w:val="24"/>
              </w:rPr>
              <w:t>项目与《市场准入负面清单（2</w:t>
            </w:r>
            <w:r>
              <w:rPr>
                <w:b/>
                <w:sz w:val="24"/>
              </w:rPr>
              <w:t>022</w:t>
            </w:r>
            <w:r>
              <w:rPr>
                <w:rFonts w:hint="eastAsia"/>
                <w:b/>
                <w:sz w:val="24"/>
              </w:rPr>
              <w:t>年版）》符合性分析：</w:t>
            </w:r>
          </w:p>
          <w:p w14:paraId="42EF2CE3">
            <w:pPr>
              <w:spacing w:line="360" w:lineRule="auto"/>
              <w:ind w:firstLine="48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根据“国家发展改革委商务部关于印发《市场准入负面清单（2022年版）》的通知（发改体改规</w:t>
            </w:r>
            <w:r>
              <w:rPr>
                <w:rFonts w:hint="eastAsia"/>
                <w:color w:val="000000" w:themeColor="text1"/>
                <w:sz w:val="24"/>
                <w:lang w:eastAsia="zh-CN"/>
                <w14:textFill>
                  <w14:solidFill>
                    <w14:schemeClr w14:val="tx1"/>
                  </w14:solidFill>
                </w14:textFill>
              </w:rPr>
              <w:t>〔2022〕397号</w:t>
            </w:r>
            <w:r>
              <w:rPr>
                <w:rFonts w:hint="eastAsia"/>
                <w:color w:val="000000" w:themeColor="text1"/>
                <w:sz w:val="24"/>
                <w14:textFill>
                  <w14:solidFill>
                    <w14:schemeClr w14:val="tx1"/>
                  </w14:solidFill>
                </w14:textFill>
              </w:rPr>
              <w:t>）”，应严格落实“全国一张清单”管理要求，坚决维护市场准入负面清单制度的统一性、严肃性和权威性，确保“一单尽列、单外无单”。按照党中央、国务院要求编制的涉及行业性、领域性、区域性等方面，需要用负面清单管理思路或管理模式出台相关措施的，应纳入全国统一的市场准入负面清单。产业结构调整指导目录、政府核准的投资项目目录纳入市场准入负面清单，地方对两个目录有细化规定的，从其规定。地方国家重点生态功能区和农产品主产区产业准入负面清单（或禁止限制目录）及地方按照党中央、国务院要求制定的地方性产业结构禁止准入目录，统一纳入市场准入负面清单。</w:t>
            </w:r>
          </w:p>
          <w:p w14:paraId="71A5E168">
            <w:pPr>
              <w:spacing w:line="360" w:lineRule="auto"/>
              <w:ind w:firstLine="480"/>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w:t>
            </w:r>
            <w:r>
              <w:rPr>
                <w:bCs/>
                <w:color w:val="000000" w:themeColor="text1"/>
                <w:sz w:val="24"/>
                <w14:textFill>
                  <w14:solidFill>
                    <w14:schemeClr w14:val="tx1"/>
                  </w14:solidFill>
                </w14:textFill>
              </w:rPr>
              <w:t>1</w:t>
            </w:r>
            <w:r>
              <w:rPr>
                <w:rFonts w:hint="eastAsia"/>
                <w:bCs/>
                <w:color w:val="000000" w:themeColor="text1"/>
                <w:sz w:val="24"/>
                <w14:textFill>
                  <w14:solidFill>
                    <w14:schemeClr w14:val="tx1"/>
                  </w14:solidFill>
                </w14:textFill>
              </w:rPr>
              <w:t>）禁止准入负面清单符合性分析</w:t>
            </w:r>
          </w:p>
          <w:p w14:paraId="73661E8A">
            <w:pPr>
              <w:spacing w:line="360" w:lineRule="auto"/>
              <w:ind w:firstLine="480"/>
              <w:rPr>
                <w:color w:val="000000" w:themeColor="text1"/>
                <w:sz w:val="24"/>
                <w14:textFill>
                  <w14:solidFill>
                    <w14:schemeClr w14:val="tx1"/>
                  </w14:solidFill>
                </w14:textFill>
              </w:rPr>
            </w:pPr>
            <w:r>
              <w:rPr>
                <w:color w:val="000000" w:themeColor="text1"/>
                <w:sz w:val="24"/>
                <w14:textFill>
                  <w14:solidFill>
                    <w14:schemeClr w14:val="tx1"/>
                  </w14:solidFill>
                </w14:textFill>
              </w:rPr>
              <w:t>根据《市场准入负面清单（2022年版）》，禁止准入类共6项，涉及生态环境保护的3项，符合性见下表。</w:t>
            </w:r>
          </w:p>
          <w:p w14:paraId="34CF2419">
            <w:pPr>
              <w:pStyle w:val="48"/>
              <w:numPr>
                <w:ilvl w:val="0"/>
                <w:numId w:val="3"/>
              </w:numPr>
              <w:spacing w:line="360" w:lineRule="auto"/>
              <w:ind w:firstLineChars="0"/>
              <w:jc w:val="center"/>
              <w:rPr>
                <w:rFonts w:ascii="Times New Roman" w:hAnsi="Times New Roman" w:eastAsia="宋体"/>
                <w:b/>
                <w:sz w:val="21"/>
                <w:szCs w:val="21"/>
              </w:rPr>
            </w:pPr>
            <w:r>
              <w:rPr>
                <w:rFonts w:hint="eastAsia" w:ascii="Times New Roman" w:hAnsi="Times New Roman" w:eastAsia="宋体"/>
                <w:b/>
                <w:bCs/>
                <w:sz w:val="21"/>
                <w:szCs w:val="21"/>
              </w:rPr>
              <w:t>项目与《市场准入负面清单（2022年版）》符合性分析情况一览表</w:t>
            </w:r>
          </w:p>
          <w:tbl>
            <w:tblPr>
              <w:tblStyle w:val="22"/>
              <w:tblW w:w="811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1464"/>
              <w:gridCol w:w="917"/>
              <w:gridCol w:w="2344"/>
              <w:gridCol w:w="2682"/>
            </w:tblGrid>
            <w:tr w14:paraId="199CC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Align w:val="center"/>
                </w:tcPr>
                <w:p w14:paraId="43BC1D15">
                  <w:pPr>
                    <w:jc w:val="center"/>
                    <w:rPr>
                      <w:b/>
                      <w:color w:val="000000" w:themeColor="text1"/>
                      <w:szCs w:val="21"/>
                      <w14:textFill>
                        <w14:solidFill>
                          <w14:schemeClr w14:val="tx1"/>
                        </w14:solidFill>
                      </w14:textFill>
                    </w:rPr>
                  </w:pPr>
                  <w:r>
                    <w:rPr>
                      <w:rFonts w:hint="eastAsia"/>
                      <w:b/>
                      <w:color w:val="000000" w:themeColor="text1"/>
                      <w:szCs w:val="21"/>
                      <w14:textFill>
                        <w14:solidFill>
                          <w14:schemeClr w14:val="tx1"/>
                        </w14:solidFill>
                      </w14:textFill>
                    </w:rPr>
                    <w:t>项目号</w:t>
                  </w:r>
                </w:p>
              </w:tc>
              <w:tc>
                <w:tcPr>
                  <w:tcW w:w="1464" w:type="dxa"/>
                  <w:vAlign w:val="center"/>
                </w:tcPr>
                <w:p w14:paraId="22B47CC8">
                  <w:pPr>
                    <w:jc w:val="center"/>
                    <w:rPr>
                      <w:b/>
                      <w:color w:val="000000" w:themeColor="text1"/>
                      <w:szCs w:val="21"/>
                      <w14:textFill>
                        <w14:solidFill>
                          <w14:schemeClr w14:val="tx1"/>
                        </w14:solidFill>
                      </w14:textFill>
                    </w:rPr>
                  </w:pPr>
                  <w:r>
                    <w:rPr>
                      <w:rFonts w:hint="eastAsia"/>
                      <w:b/>
                      <w:color w:val="000000" w:themeColor="text1"/>
                      <w:szCs w:val="21"/>
                      <w14:textFill>
                        <w14:solidFill>
                          <w14:schemeClr w14:val="tx1"/>
                        </w14:solidFill>
                      </w14:textFill>
                    </w:rPr>
                    <w:t>禁止或许可事项</w:t>
                  </w:r>
                </w:p>
              </w:tc>
              <w:tc>
                <w:tcPr>
                  <w:tcW w:w="917" w:type="dxa"/>
                  <w:vAlign w:val="center"/>
                </w:tcPr>
                <w:p w14:paraId="0123C972">
                  <w:pPr>
                    <w:jc w:val="center"/>
                    <w:rPr>
                      <w:b/>
                      <w:color w:val="000000" w:themeColor="text1"/>
                      <w:szCs w:val="21"/>
                      <w14:textFill>
                        <w14:solidFill>
                          <w14:schemeClr w14:val="tx1"/>
                        </w14:solidFill>
                      </w14:textFill>
                    </w:rPr>
                  </w:pPr>
                  <w:r>
                    <w:rPr>
                      <w:b/>
                      <w:bCs/>
                      <w:color w:val="000000" w:themeColor="text1"/>
                      <w:szCs w:val="21"/>
                      <w14:textFill>
                        <w14:solidFill>
                          <w14:schemeClr w14:val="tx1"/>
                        </w14:solidFill>
                      </w14:textFill>
                    </w:rPr>
                    <w:t>事项编码</w:t>
                  </w:r>
                </w:p>
              </w:tc>
              <w:tc>
                <w:tcPr>
                  <w:tcW w:w="2344" w:type="dxa"/>
                  <w:vAlign w:val="center"/>
                </w:tcPr>
                <w:p w14:paraId="54F3C426">
                  <w:pPr>
                    <w:jc w:val="center"/>
                    <w:rPr>
                      <w:b/>
                      <w:color w:val="000000" w:themeColor="text1"/>
                      <w:szCs w:val="21"/>
                      <w14:textFill>
                        <w14:solidFill>
                          <w14:schemeClr w14:val="tx1"/>
                        </w14:solidFill>
                      </w14:textFill>
                    </w:rPr>
                  </w:pPr>
                  <w:r>
                    <w:rPr>
                      <w:b/>
                      <w:bCs/>
                      <w:color w:val="000000" w:themeColor="text1"/>
                      <w:szCs w:val="21"/>
                      <w14:textFill>
                        <w14:solidFill>
                          <w14:schemeClr w14:val="tx1"/>
                        </w14:solidFill>
                      </w14:textFill>
                    </w:rPr>
                    <w:t>禁止或许可准入措施描述</w:t>
                  </w:r>
                </w:p>
              </w:tc>
              <w:tc>
                <w:tcPr>
                  <w:tcW w:w="2682" w:type="dxa"/>
                  <w:vAlign w:val="center"/>
                </w:tcPr>
                <w:p w14:paraId="26B8C651">
                  <w:pPr>
                    <w:jc w:val="center"/>
                    <w:rPr>
                      <w:b/>
                      <w:color w:val="000000" w:themeColor="text1"/>
                      <w:szCs w:val="21"/>
                      <w14:textFill>
                        <w14:solidFill>
                          <w14:schemeClr w14:val="tx1"/>
                        </w14:solidFill>
                      </w14:textFill>
                    </w:rPr>
                  </w:pPr>
                  <w:r>
                    <w:rPr>
                      <w:rFonts w:hint="eastAsia"/>
                      <w:b/>
                      <w:color w:val="000000" w:themeColor="text1"/>
                      <w:szCs w:val="21"/>
                      <w14:textFill>
                        <w14:solidFill>
                          <w14:schemeClr w14:val="tx1"/>
                        </w14:solidFill>
                      </w14:textFill>
                    </w:rPr>
                    <w:t>工程符合性分析</w:t>
                  </w:r>
                </w:p>
              </w:tc>
            </w:tr>
            <w:tr w14:paraId="2C1E0D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16" w:type="dxa"/>
                  <w:gridSpan w:val="5"/>
                  <w:vAlign w:val="center"/>
                </w:tcPr>
                <w:p w14:paraId="2FAD72E8">
                  <w:pPr>
                    <w:rPr>
                      <w:color w:val="000000"/>
                      <w:szCs w:val="21"/>
                    </w:rPr>
                  </w:pPr>
                  <w:r>
                    <w:rPr>
                      <w:rFonts w:hint="eastAsia"/>
                      <w:color w:val="000000"/>
                      <w:szCs w:val="21"/>
                    </w:rPr>
                    <w:t>一、禁止准入类</w:t>
                  </w:r>
                </w:p>
              </w:tc>
            </w:tr>
            <w:tr w14:paraId="03E44D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96" w:hRule="atLeast"/>
                <w:jc w:val="center"/>
              </w:trPr>
              <w:tc>
                <w:tcPr>
                  <w:tcW w:w="709" w:type="dxa"/>
                  <w:vAlign w:val="center"/>
                </w:tcPr>
                <w:p w14:paraId="17EAF646">
                  <w:pPr>
                    <w:jc w:val="center"/>
                    <w:rPr>
                      <w:color w:val="000000"/>
                      <w:szCs w:val="21"/>
                    </w:rPr>
                  </w:pPr>
                  <w:r>
                    <w:rPr>
                      <w:rFonts w:hint="eastAsia"/>
                      <w:color w:val="000000"/>
                      <w:szCs w:val="21"/>
                    </w:rPr>
                    <w:t>1</w:t>
                  </w:r>
                </w:p>
              </w:tc>
              <w:tc>
                <w:tcPr>
                  <w:tcW w:w="1464" w:type="dxa"/>
                  <w:vAlign w:val="center"/>
                </w:tcPr>
                <w:p w14:paraId="2BF686E4">
                  <w:pPr>
                    <w:jc w:val="center"/>
                    <w:rPr>
                      <w:color w:val="000000"/>
                      <w:szCs w:val="21"/>
                    </w:rPr>
                  </w:pPr>
                  <w:r>
                    <w:rPr>
                      <w:rFonts w:hint="eastAsia"/>
                      <w:color w:val="000000"/>
                      <w:szCs w:val="21"/>
                    </w:rPr>
                    <w:t>法律、法规、国务院决定等明确设立且与市场准入相关的禁止性规定</w:t>
                  </w:r>
                </w:p>
              </w:tc>
              <w:tc>
                <w:tcPr>
                  <w:tcW w:w="917" w:type="dxa"/>
                  <w:vAlign w:val="center"/>
                </w:tcPr>
                <w:p w14:paraId="2BA199CB">
                  <w:pPr>
                    <w:jc w:val="center"/>
                    <w:rPr>
                      <w:color w:val="000000"/>
                      <w:szCs w:val="21"/>
                    </w:rPr>
                  </w:pPr>
                  <w:r>
                    <w:rPr>
                      <w:color w:val="000000"/>
                      <w:szCs w:val="21"/>
                    </w:rPr>
                    <w:t>100001</w:t>
                  </w:r>
                </w:p>
              </w:tc>
              <w:tc>
                <w:tcPr>
                  <w:tcW w:w="2344" w:type="dxa"/>
                  <w:vAlign w:val="center"/>
                </w:tcPr>
                <w:p w14:paraId="7195C6BA">
                  <w:pPr>
                    <w:jc w:val="center"/>
                    <w:rPr>
                      <w:color w:val="000000"/>
                      <w:szCs w:val="21"/>
                    </w:rPr>
                  </w:pPr>
                  <w:r>
                    <w:rPr>
                      <w:color w:val="000000"/>
                      <w:szCs w:val="21"/>
                    </w:rPr>
                    <w:t>法律、法规、国务院决定等明确设立，且与市场准入相关的禁止性规定（见附件）</w:t>
                  </w:r>
                </w:p>
              </w:tc>
              <w:tc>
                <w:tcPr>
                  <w:tcW w:w="2682" w:type="dxa"/>
                  <w:vAlign w:val="center"/>
                </w:tcPr>
                <w:p w14:paraId="19F5C070">
                  <w:pPr>
                    <w:jc w:val="center"/>
                    <w:rPr>
                      <w:color w:val="000000"/>
                      <w:szCs w:val="21"/>
                    </w:rPr>
                  </w:pPr>
                  <w:r>
                    <w:rPr>
                      <w:rFonts w:hint="eastAsia"/>
                      <w:color w:val="000000"/>
                      <w:szCs w:val="21"/>
                    </w:rPr>
                    <w:t>对照《国民经济行业分类》（G</w:t>
                  </w:r>
                  <w:r>
                    <w:rPr>
                      <w:color w:val="000000"/>
                      <w:szCs w:val="21"/>
                    </w:rPr>
                    <w:t>B/T4754-2017</w:t>
                  </w:r>
                  <w:r>
                    <w:rPr>
                      <w:rFonts w:hint="eastAsia"/>
                      <w:color w:val="000000"/>
                      <w:szCs w:val="21"/>
                    </w:rPr>
                    <w:t>），项目的行业类别属于：N7724危险废物治理，经查阅与市场准入相关的禁止性规定，项目不属于禁止类。</w:t>
                  </w:r>
                </w:p>
              </w:tc>
            </w:tr>
            <w:tr w14:paraId="058E22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Align w:val="center"/>
                </w:tcPr>
                <w:p w14:paraId="68858AAA">
                  <w:pPr>
                    <w:jc w:val="center"/>
                    <w:rPr>
                      <w:color w:val="000000"/>
                      <w:szCs w:val="21"/>
                    </w:rPr>
                  </w:pPr>
                  <w:r>
                    <w:rPr>
                      <w:rFonts w:hint="eastAsia"/>
                      <w:color w:val="000000"/>
                      <w:szCs w:val="21"/>
                    </w:rPr>
                    <w:t>2</w:t>
                  </w:r>
                </w:p>
              </w:tc>
              <w:tc>
                <w:tcPr>
                  <w:tcW w:w="1464" w:type="dxa"/>
                  <w:vAlign w:val="center"/>
                </w:tcPr>
                <w:p w14:paraId="66259643">
                  <w:pPr>
                    <w:jc w:val="center"/>
                    <w:rPr>
                      <w:color w:val="000000"/>
                      <w:szCs w:val="21"/>
                    </w:rPr>
                  </w:pPr>
                  <w:r>
                    <w:rPr>
                      <w:color w:val="000000"/>
                      <w:szCs w:val="21"/>
                    </w:rPr>
                    <w:t>国家产业政策明令淘汰和限制的产品、技术、工艺、设备及行为</w:t>
                  </w:r>
                </w:p>
              </w:tc>
              <w:tc>
                <w:tcPr>
                  <w:tcW w:w="917" w:type="dxa"/>
                  <w:vAlign w:val="center"/>
                </w:tcPr>
                <w:p w14:paraId="4B0287DE">
                  <w:pPr>
                    <w:jc w:val="center"/>
                    <w:rPr>
                      <w:color w:val="000000"/>
                      <w:szCs w:val="21"/>
                    </w:rPr>
                  </w:pPr>
                  <w:r>
                    <w:rPr>
                      <w:color w:val="000000"/>
                      <w:szCs w:val="21"/>
                    </w:rPr>
                    <w:t>100002</w:t>
                  </w:r>
                </w:p>
              </w:tc>
              <w:tc>
                <w:tcPr>
                  <w:tcW w:w="2344" w:type="dxa"/>
                  <w:vAlign w:val="center"/>
                </w:tcPr>
                <w:p w14:paraId="3B232F55">
                  <w:pPr>
                    <w:jc w:val="center"/>
                    <w:rPr>
                      <w:color w:val="000000"/>
                      <w:szCs w:val="21"/>
                    </w:rPr>
                  </w:pPr>
                  <w:r>
                    <w:rPr>
                      <w:color w:val="000000"/>
                      <w:szCs w:val="21"/>
                    </w:rPr>
                    <w:t>《产业结构调整指导目录》中的淘汰类项目，禁止投资；限制类项目，禁止新建禁止投资建设《汽车产业投资管理规定》所列的汽车投资禁止类事项</w:t>
                  </w:r>
                </w:p>
              </w:tc>
              <w:tc>
                <w:tcPr>
                  <w:tcW w:w="2682" w:type="dxa"/>
                  <w:vAlign w:val="center"/>
                </w:tcPr>
                <w:p w14:paraId="38C8AC7E">
                  <w:pPr>
                    <w:jc w:val="center"/>
                    <w:rPr>
                      <w:color w:val="000000"/>
                      <w:szCs w:val="21"/>
                      <w:highlight w:val="green"/>
                    </w:rPr>
                  </w:pPr>
                  <w:r>
                    <w:rPr>
                      <w:szCs w:val="21"/>
                    </w:rPr>
                    <w:t>项目属于《产业结构调整指导目录</w:t>
                  </w:r>
                  <w:r>
                    <w:rPr>
                      <w:rFonts w:hint="eastAsia"/>
                      <w:szCs w:val="21"/>
                    </w:rPr>
                    <w:t>（2024年本）</w:t>
                  </w:r>
                  <w:r>
                    <w:rPr>
                      <w:szCs w:val="21"/>
                    </w:rPr>
                    <w:t>》中</w:t>
                  </w:r>
                  <w:r>
                    <w:rPr>
                      <w:rFonts w:hint="eastAsia"/>
                      <w:szCs w:val="21"/>
                    </w:rPr>
                    <w:t>的允许类</w:t>
                  </w:r>
                  <w:r>
                    <w:rPr>
                      <w:szCs w:val="21"/>
                    </w:rPr>
                    <w:t>项目，</w:t>
                  </w:r>
                  <w:r>
                    <w:rPr>
                      <w:rFonts w:hint="eastAsia"/>
                      <w:szCs w:val="21"/>
                    </w:rPr>
                    <w:t>并</w:t>
                  </w:r>
                  <w:r>
                    <w:rPr>
                      <w:rFonts w:hint="eastAsia"/>
                      <w:szCs w:val="21"/>
                      <w:highlight w:val="none"/>
                    </w:rPr>
                    <w:t>且</w:t>
                  </w:r>
                  <w:r>
                    <w:rPr>
                      <w:szCs w:val="21"/>
                      <w:highlight w:val="none"/>
                    </w:rPr>
                    <w:t>已取得</w:t>
                  </w:r>
                  <w:r>
                    <w:rPr>
                      <w:rFonts w:hint="eastAsia"/>
                      <w:szCs w:val="21"/>
                      <w:highlight w:val="none"/>
                      <w:lang w:val="en-US" w:eastAsia="zh-CN"/>
                    </w:rPr>
                    <w:t>宽城满族自治县</w:t>
                  </w:r>
                  <w:r>
                    <w:rPr>
                      <w:szCs w:val="21"/>
                      <w:highlight w:val="none"/>
                    </w:rPr>
                    <w:t>数据和政务服务局出具的备案文件（</w:t>
                  </w:r>
                  <w:r>
                    <w:rPr>
                      <w:rFonts w:hint="eastAsia"/>
                      <w:szCs w:val="21"/>
                      <w:highlight w:val="none"/>
                      <w:lang w:val="en-US" w:eastAsia="zh-CN"/>
                    </w:rPr>
                    <w:t>宽</w:t>
                  </w:r>
                  <w:r>
                    <w:rPr>
                      <w:szCs w:val="21"/>
                      <w:highlight w:val="none"/>
                    </w:rPr>
                    <w:t>数政备字</w:t>
                  </w:r>
                  <w:r>
                    <w:rPr>
                      <w:rFonts w:hint="eastAsia"/>
                      <w:szCs w:val="21"/>
                      <w:highlight w:val="none"/>
                    </w:rPr>
                    <w:t>〔</w:t>
                  </w:r>
                  <w:r>
                    <w:rPr>
                      <w:rFonts w:hint="eastAsia"/>
                      <w:szCs w:val="21"/>
                      <w:highlight w:val="none"/>
                      <w:lang w:val="en-US" w:eastAsia="zh-CN"/>
                    </w:rPr>
                    <w:t>2024</w:t>
                  </w:r>
                  <w:r>
                    <w:rPr>
                      <w:rFonts w:hint="eastAsia"/>
                      <w:szCs w:val="21"/>
                      <w:highlight w:val="none"/>
                    </w:rPr>
                    <w:t>〕</w:t>
                  </w:r>
                  <w:r>
                    <w:rPr>
                      <w:rFonts w:hint="eastAsia"/>
                      <w:szCs w:val="21"/>
                      <w:highlight w:val="none"/>
                      <w:lang w:val="en-US" w:eastAsia="zh-CN"/>
                    </w:rPr>
                    <w:t>204</w:t>
                  </w:r>
                  <w:r>
                    <w:rPr>
                      <w:rFonts w:hint="eastAsia"/>
                      <w:szCs w:val="21"/>
                      <w:highlight w:val="none"/>
                    </w:rPr>
                    <w:t>号</w:t>
                  </w:r>
                  <w:r>
                    <w:rPr>
                      <w:szCs w:val="21"/>
                      <w:highlight w:val="none"/>
                    </w:rPr>
                    <w:t>），符合产业政策</w:t>
                  </w:r>
                  <w:r>
                    <w:rPr>
                      <w:szCs w:val="21"/>
                    </w:rPr>
                    <w:t>要求。</w:t>
                  </w:r>
                </w:p>
              </w:tc>
            </w:tr>
            <w:tr w14:paraId="054985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Align w:val="center"/>
                </w:tcPr>
                <w:p w14:paraId="38DC1788">
                  <w:pPr>
                    <w:jc w:val="center"/>
                    <w:rPr>
                      <w:color w:val="000000"/>
                      <w:szCs w:val="21"/>
                    </w:rPr>
                  </w:pPr>
                  <w:r>
                    <w:rPr>
                      <w:color w:val="000000"/>
                      <w:szCs w:val="21"/>
                    </w:rPr>
                    <w:t>3</w:t>
                  </w:r>
                </w:p>
              </w:tc>
              <w:tc>
                <w:tcPr>
                  <w:tcW w:w="1464" w:type="dxa"/>
                  <w:vAlign w:val="center"/>
                </w:tcPr>
                <w:p w14:paraId="6E7F8C6D">
                  <w:pPr>
                    <w:jc w:val="center"/>
                    <w:rPr>
                      <w:color w:val="000000"/>
                      <w:szCs w:val="21"/>
                    </w:rPr>
                  </w:pPr>
                  <w:r>
                    <w:rPr>
                      <w:color w:val="000000"/>
                      <w:szCs w:val="21"/>
                    </w:rPr>
                    <w:t>不符合主体功能区建设要求的各类开发活动</w:t>
                  </w:r>
                </w:p>
              </w:tc>
              <w:tc>
                <w:tcPr>
                  <w:tcW w:w="917" w:type="dxa"/>
                  <w:vAlign w:val="center"/>
                </w:tcPr>
                <w:p w14:paraId="2E3B3180">
                  <w:pPr>
                    <w:jc w:val="center"/>
                    <w:rPr>
                      <w:color w:val="000000"/>
                      <w:szCs w:val="21"/>
                    </w:rPr>
                  </w:pPr>
                  <w:r>
                    <w:rPr>
                      <w:color w:val="000000"/>
                      <w:szCs w:val="21"/>
                    </w:rPr>
                    <w:t>100003</w:t>
                  </w:r>
                </w:p>
              </w:tc>
              <w:tc>
                <w:tcPr>
                  <w:tcW w:w="2344" w:type="dxa"/>
                  <w:vAlign w:val="center"/>
                </w:tcPr>
                <w:p w14:paraId="2FE6D7BD">
                  <w:pPr>
                    <w:jc w:val="center"/>
                    <w:rPr>
                      <w:color w:val="000000"/>
                      <w:szCs w:val="21"/>
                    </w:rPr>
                  </w:pPr>
                  <w:r>
                    <w:rPr>
                      <w:color w:val="000000"/>
                      <w:szCs w:val="21"/>
                    </w:rPr>
                    <w:t>地方国家重点生态功能区产业准入负面清单（或禁止限制目录）、农产品主产区产业准入负面清单（或禁止限制目录）所列有关事项</w:t>
                  </w:r>
                </w:p>
              </w:tc>
              <w:tc>
                <w:tcPr>
                  <w:tcW w:w="2682" w:type="dxa"/>
                  <w:vAlign w:val="center"/>
                </w:tcPr>
                <w:p w14:paraId="45EF3824">
                  <w:pPr>
                    <w:jc w:val="center"/>
                    <w:rPr>
                      <w:rFonts w:hint="default" w:eastAsia="宋体"/>
                      <w:color w:val="000000"/>
                      <w:szCs w:val="21"/>
                      <w:lang w:val="en-US" w:eastAsia="zh-CN"/>
                    </w:rPr>
                  </w:pPr>
                  <w:r>
                    <w:rPr>
                      <w:rFonts w:hint="eastAsia"/>
                      <w:color w:val="000000"/>
                      <w:szCs w:val="21"/>
                      <w:lang w:val="en-US" w:eastAsia="zh-CN"/>
                    </w:rPr>
                    <w:t>根据《河北省主体功能区规划》，项目选址位于省级重点生态功能区，该区域的功能定位为：京津和冀东地区生态屏障，地表水源涵养区，河北林业和生物多样性保护的重点区，文化和生态旅游区，绿色农牧产品和生态产业基地，金属和非金属矿采选生产基地</w:t>
                  </w:r>
                  <w:r>
                    <w:rPr>
                      <w:rFonts w:hint="eastAsia"/>
                      <w:color w:val="000000"/>
                      <w:szCs w:val="21"/>
                    </w:rPr>
                    <w:t>。</w:t>
                  </w:r>
                  <w:r>
                    <w:rPr>
                      <w:rFonts w:hint="eastAsia"/>
                      <w:color w:val="000000"/>
                      <w:szCs w:val="21"/>
                      <w:lang w:val="en-US" w:eastAsia="zh-CN"/>
                    </w:rPr>
                    <w:t>本项目为N7724危险废物治理，为该区域的发展提供基础设施保障，符合《河北省主体功能区规划》的要求</w:t>
                  </w:r>
                </w:p>
              </w:tc>
            </w:tr>
          </w:tbl>
          <w:p w14:paraId="53A955C8">
            <w:pPr>
              <w:spacing w:before="120" w:beforeLines="50" w:line="360" w:lineRule="auto"/>
              <w:ind w:firstLine="482"/>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w:t>
            </w:r>
            <w:r>
              <w:rPr>
                <w:bCs/>
                <w:color w:val="000000" w:themeColor="text1"/>
                <w:sz w:val="24"/>
                <w14:textFill>
                  <w14:solidFill>
                    <w14:schemeClr w14:val="tx1"/>
                  </w14:solidFill>
                </w14:textFill>
              </w:rPr>
              <w:t>2</w:t>
            </w:r>
            <w:r>
              <w:rPr>
                <w:rFonts w:hint="eastAsia"/>
                <w:bCs/>
                <w:color w:val="000000" w:themeColor="text1"/>
                <w:sz w:val="24"/>
                <w14:textFill>
                  <w14:solidFill>
                    <w14:schemeClr w14:val="tx1"/>
                  </w14:solidFill>
                </w14:textFill>
              </w:rPr>
              <w:t>）许可准入负面清单符合性分析</w:t>
            </w:r>
          </w:p>
          <w:p w14:paraId="1B32434A">
            <w:pPr>
              <w:spacing w:line="360" w:lineRule="auto"/>
              <w:ind w:firstLine="480"/>
              <w:rPr>
                <w:color w:val="000000" w:themeColor="text1"/>
                <w:sz w:val="24"/>
                <w14:textFill>
                  <w14:solidFill>
                    <w14:schemeClr w14:val="tx1"/>
                  </w14:solidFill>
                </w14:textFill>
              </w:rPr>
            </w:pPr>
            <w:r>
              <w:rPr>
                <w:color w:val="000000" w:themeColor="text1"/>
                <w:sz w:val="24"/>
                <w14:textFill>
                  <w14:solidFill>
                    <w14:schemeClr w14:val="tx1"/>
                  </w14:solidFill>
                </w14:textFill>
              </w:rPr>
              <w:t>经查阅《市场准入负面清单（2022年版）》中许可准入负面清单可知，共有21大类许可准入类项目，项目</w:t>
            </w:r>
            <w:r>
              <w:rPr>
                <w:rFonts w:hint="eastAsia"/>
                <w:color w:val="000000" w:themeColor="text1"/>
                <w:sz w:val="24"/>
                <w14:textFill>
                  <w14:solidFill>
                    <w14:schemeClr w14:val="tx1"/>
                  </w14:solidFill>
                </w14:textFill>
              </w:rPr>
              <w:t>的</w:t>
            </w:r>
            <w:r>
              <w:rPr>
                <w:color w:val="000000" w:themeColor="text1"/>
                <w:sz w:val="24"/>
                <w14:textFill>
                  <w14:solidFill>
                    <w14:schemeClr w14:val="tx1"/>
                  </w14:solidFill>
                </w14:textFill>
              </w:rPr>
              <w:t>行业</w:t>
            </w:r>
            <w:r>
              <w:rPr>
                <w:rFonts w:hint="eastAsia"/>
                <w:color w:val="000000" w:themeColor="text1"/>
                <w:sz w:val="24"/>
                <w14:textFill>
                  <w14:solidFill>
                    <w14:schemeClr w14:val="tx1"/>
                  </w14:solidFill>
                </w14:textFill>
              </w:rPr>
              <w:t>类别</w:t>
            </w:r>
            <w:r>
              <w:rPr>
                <w:color w:val="000000" w:themeColor="text1"/>
                <w:sz w:val="24"/>
                <w14:textFill>
                  <w14:solidFill>
                    <w14:schemeClr w14:val="tx1"/>
                  </w14:solidFill>
                </w14:textFill>
              </w:rPr>
              <w:t>属</w:t>
            </w:r>
            <w:r>
              <w:rPr>
                <w:rFonts w:hint="eastAsia"/>
                <w:color w:val="000000" w:themeColor="text1"/>
                <w:sz w:val="24"/>
                <w14:textFill>
                  <w14:solidFill>
                    <w14:schemeClr w14:val="tx1"/>
                  </w14:solidFill>
                </w14:textFill>
              </w:rPr>
              <w:t>于：N7724危险废物治理</w:t>
            </w:r>
            <w:r>
              <w:rPr>
                <w:color w:val="000000" w:themeColor="text1"/>
                <w:sz w:val="24"/>
                <w14:textFill>
                  <w14:solidFill>
                    <w14:schemeClr w14:val="tx1"/>
                  </w14:solidFill>
                </w14:textFill>
              </w:rPr>
              <w:t>，不属于许可准入类项目。</w:t>
            </w:r>
          </w:p>
          <w:p w14:paraId="4A083D50">
            <w:pPr>
              <w:spacing w:line="360" w:lineRule="auto"/>
              <w:ind w:firstLine="48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项目所属行业类别为“危险废物治理”，对照《产业结构调整指导目录（2024年本）》，项目不属于其规定的“鼓励类”、“限制类”和“淘汰类”项目；因此，项目属于“允许类”项目</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同时</w:t>
            </w:r>
            <w:r>
              <w:rPr>
                <w:rFonts w:hint="eastAsia"/>
                <w:color w:val="000000" w:themeColor="text1"/>
                <w:sz w:val="24"/>
                <w:highlight w:val="none"/>
                <w14:textFill>
                  <w14:solidFill>
                    <w14:schemeClr w14:val="tx1"/>
                  </w14:solidFill>
                </w14:textFill>
              </w:rPr>
              <w:t>，项目已于2</w:t>
            </w:r>
            <w:r>
              <w:rPr>
                <w:color w:val="000000" w:themeColor="text1"/>
                <w:sz w:val="24"/>
                <w:highlight w:val="none"/>
                <w14:textFill>
                  <w14:solidFill>
                    <w14:schemeClr w14:val="tx1"/>
                  </w14:solidFill>
                </w14:textFill>
              </w:rPr>
              <w:t>024</w:t>
            </w:r>
            <w:r>
              <w:rPr>
                <w:rFonts w:hint="eastAsia"/>
                <w:color w:val="000000" w:themeColor="text1"/>
                <w:sz w:val="24"/>
                <w:highlight w:val="none"/>
                <w14:textFill>
                  <w14:solidFill>
                    <w14:schemeClr w14:val="tx1"/>
                  </w14:solidFill>
                </w14:textFill>
              </w:rPr>
              <w:t>年</w:t>
            </w:r>
            <w:r>
              <w:rPr>
                <w:rFonts w:hint="eastAsia"/>
                <w:color w:val="000000" w:themeColor="text1"/>
                <w:sz w:val="24"/>
                <w:highlight w:val="none"/>
                <w:lang w:val="en-US" w:eastAsia="zh-CN"/>
                <w14:textFill>
                  <w14:solidFill>
                    <w14:schemeClr w14:val="tx1"/>
                  </w14:solidFill>
                </w14:textFill>
              </w:rPr>
              <w:t>11</w:t>
            </w:r>
            <w:r>
              <w:rPr>
                <w:rFonts w:hint="eastAsia"/>
                <w:color w:val="000000" w:themeColor="text1"/>
                <w:sz w:val="24"/>
                <w:highlight w:val="none"/>
                <w14:textFill>
                  <w14:solidFill>
                    <w14:schemeClr w14:val="tx1"/>
                  </w14:solidFill>
                </w14:textFill>
              </w:rPr>
              <w:t>月</w:t>
            </w:r>
            <w:r>
              <w:rPr>
                <w:rFonts w:hint="eastAsia"/>
                <w:color w:val="000000" w:themeColor="text1"/>
                <w:sz w:val="24"/>
                <w:highlight w:val="none"/>
                <w:lang w:val="en-US" w:eastAsia="zh-CN"/>
                <w14:textFill>
                  <w14:solidFill>
                    <w14:schemeClr w14:val="tx1"/>
                  </w14:solidFill>
                </w14:textFill>
              </w:rPr>
              <w:t>19</w:t>
            </w:r>
            <w:r>
              <w:rPr>
                <w:rFonts w:hint="eastAsia"/>
                <w:color w:val="000000" w:themeColor="text1"/>
                <w:sz w:val="24"/>
                <w:highlight w:val="none"/>
                <w14:textFill>
                  <w14:solidFill>
                    <w14:schemeClr w14:val="tx1"/>
                  </w14:solidFill>
                </w14:textFill>
              </w:rPr>
              <w:t>日取得了</w:t>
            </w:r>
            <w:r>
              <w:rPr>
                <w:rFonts w:hint="eastAsia"/>
                <w:color w:val="000000" w:themeColor="text1"/>
                <w:sz w:val="24"/>
                <w:lang w:val="en-US" w:eastAsia="zh-CN"/>
                <w14:textFill>
                  <w14:solidFill>
                    <w14:schemeClr w14:val="tx1"/>
                  </w14:solidFill>
                </w14:textFill>
              </w:rPr>
              <w:t>宽城满族自治县</w:t>
            </w:r>
            <w:r>
              <w:rPr>
                <w:rFonts w:hint="eastAsia"/>
                <w:color w:val="000000" w:themeColor="text1"/>
                <w:sz w:val="24"/>
                <w14:textFill>
                  <w14:solidFill>
                    <w14:schemeClr w14:val="tx1"/>
                  </w14:solidFill>
                </w14:textFill>
              </w:rPr>
              <w:t>数据和政务服务局出具的备案文件（</w:t>
            </w:r>
            <w:r>
              <w:rPr>
                <w:rFonts w:hint="eastAsia"/>
                <w:color w:val="000000" w:themeColor="text1"/>
                <w:sz w:val="24"/>
                <w:lang w:val="en-US" w:eastAsia="zh-CN"/>
                <w14:textFill>
                  <w14:solidFill>
                    <w14:schemeClr w14:val="tx1"/>
                  </w14:solidFill>
                </w14:textFill>
              </w:rPr>
              <w:t>宽</w:t>
            </w:r>
            <w:r>
              <w:rPr>
                <w:rFonts w:hint="eastAsia"/>
                <w:color w:val="000000" w:themeColor="text1"/>
                <w:sz w:val="24"/>
                <w14:textFill>
                  <w14:solidFill>
                    <w14:schemeClr w14:val="tx1"/>
                  </w14:solidFill>
                </w14:textFill>
              </w:rPr>
              <w:t>数政备字〔</w:t>
            </w:r>
            <w:r>
              <w:rPr>
                <w:rFonts w:hint="eastAsia"/>
                <w:color w:val="000000" w:themeColor="text1"/>
                <w:sz w:val="24"/>
                <w:lang w:val="en-US" w:eastAsia="zh-CN"/>
                <w14:textFill>
                  <w14:solidFill>
                    <w14:schemeClr w14:val="tx1"/>
                  </w14:solidFill>
                </w14:textFill>
              </w:rPr>
              <w:t>2024</w:t>
            </w:r>
            <w:r>
              <w:rPr>
                <w:rFonts w:hint="eastAsia"/>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204</w:t>
            </w:r>
            <w:r>
              <w:rPr>
                <w:rFonts w:hint="eastAsia"/>
                <w:color w:val="000000" w:themeColor="text1"/>
                <w:sz w:val="24"/>
                <w14:textFill>
                  <w14:solidFill>
                    <w14:schemeClr w14:val="tx1"/>
                  </w14:solidFill>
                </w14:textFill>
              </w:rPr>
              <w:t>号），项目符合国家有关法律、法规和政策的规定。</w:t>
            </w:r>
          </w:p>
          <w:p w14:paraId="1C7D91C1">
            <w:pPr>
              <w:spacing w:line="360" w:lineRule="auto"/>
              <w:ind w:firstLine="48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（3）符合性分析结论</w:t>
            </w:r>
          </w:p>
          <w:p w14:paraId="724C2900">
            <w:pPr>
              <w:spacing w:line="360" w:lineRule="auto"/>
              <w:ind w:firstLine="480"/>
              <w:rPr>
                <w:color w:val="000000" w:themeColor="text1"/>
                <w:sz w:val="24"/>
                <w14:textFill>
                  <w14:solidFill>
                    <w14:schemeClr w14:val="tx1"/>
                  </w14:solidFill>
                </w14:textFill>
              </w:rPr>
            </w:pPr>
            <w:r>
              <w:rPr>
                <w:color w:val="000000" w:themeColor="text1"/>
                <w:sz w:val="24"/>
                <w14:textFill>
                  <w14:solidFill>
                    <w14:schemeClr w14:val="tx1"/>
                  </w14:solidFill>
                </w14:textFill>
              </w:rPr>
              <w:t>综上所述，项目不属于《市场准入负面清单（2022年版）》禁止准入</w:t>
            </w:r>
            <w:r>
              <w:rPr>
                <w:rFonts w:hint="eastAsia"/>
                <w:color w:val="000000" w:themeColor="text1"/>
                <w:sz w:val="24"/>
                <w:lang w:val="en-US" w:eastAsia="zh-CN"/>
                <w14:textFill>
                  <w14:solidFill>
                    <w14:schemeClr w14:val="tx1"/>
                  </w14:solidFill>
                </w14:textFill>
              </w:rPr>
              <w:t>和许可准入</w:t>
            </w:r>
            <w:r>
              <w:rPr>
                <w:color w:val="000000" w:themeColor="text1"/>
                <w:sz w:val="24"/>
                <w14:textFill>
                  <w14:solidFill>
                    <w14:schemeClr w14:val="tx1"/>
                  </w14:solidFill>
                </w14:textFill>
              </w:rPr>
              <w:t>类项目。</w:t>
            </w:r>
          </w:p>
          <w:p w14:paraId="1C757379">
            <w:pPr>
              <w:spacing w:line="360" w:lineRule="auto"/>
              <w:ind w:firstLine="482" w:firstLineChars="200"/>
              <w:rPr>
                <w:b/>
                <w:sz w:val="24"/>
              </w:rPr>
            </w:pPr>
            <w:r>
              <w:rPr>
                <w:rFonts w:hint="eastAsia"/>
                <w:b/>
                <w:sz w:val="24"/>
                <w:lang w:val="en-US" w:eastAsia="zh-CN"/>
              </w:rPr>
              <w:t>2</w:t>
            </w:r>
            <w:r>
              <w:rPr>
                <w:b/>
                <w:sz w:val="24"/>
              </w:rPr>
              <w:t>．</w:t>
            </w:r>
            <w:r>
              <w:rPr>
                <w:rFonts w:hint="eastAsia"/>
                <w:b/>
                <w:sz w:val="24"/>
              </w:rPr>
              <w:t>项目与“三线一单”符合性分析</w:t>
            </w:r>
          </w:p>
          <w:p w14:paraId="262B09E8">
            <w:pPr>
              <w:spacing w:line="360" w:lineRule="auto"/>
              <w:ind w:firstLine="480"/>
              <w:rPr>
                <w:rFonts w:hint="default" w:eastAsia="宋体"/>
                <w:color w:val="000000" w:themeColor="text1"/>
                <w:sz w:val="24"/>
                <w:lang w:val="en-US" w:eastAsia="zh-CN"/>
                <w14:textFill>
                  <w14:solidFill>
                    <w14:schemeClr w14:val="tx1"/>
                  </w14:solidFill>
                </w14:textFill>
              </w:rPr>
            </w:pP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1</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与</w:t>
            </w:r>
            <w:r>
              <w:rPr>
                <w:rFonts w:hint="eastAsia"/>
                <w:color w:val="000000" w:themeColor="text1"/>
                <w:sz w:val="24"/>
                <w14:textFill>
                  <w14:solidFill>
                    <w14:schemeClr w14:val="tx1"/>
                  </w14:solidFill>
                </w14:textFill>
              </w:rPr>
              <w:t>《关于以改善环境质量为核心加强环境影响评价管理的通知》（环境保护部文件：环环评〔2016〕150号）</w:t>
            </w:r>
            <w:r>
              <w:rPr>
                <w:rFonts w:hint="eastAsia"/>
                <w:color w:val="000000" w:themeColor="text1"/>
                <w:sz w:val="24"/>
                <w:lang w:val="en-US" w:eastAsia="zh-CN"/>
                <w14:textFill>
                  <w14:solidFill>
                    <w14:schemeClr w14:val="tx1"/>
                  </w14:solidFill>
                </w14:textFill>
              </w:rPr>
              <w:t>符合性分析</w:t>
            </w:r>
          </w:p>
          <w:p w14:paraId="164C0FD5">
            <w:pPr>
              <w:spacing w:line="360" w:lineRule="auto"/>
              <w:ind w:firstLine="48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根据《关于以改善环境质量为核心加强环境影响评价管理的通知》（环境保护部文件：环环评〔2016〕150号），进行项目“三线一单”符合性分析，简述如下：</w:t>
            </w:r>
          </w:p>
          <w:p w14:paraId="63A392F5">
            <w:pPr>
              <w:pStyle w:val="48"/>
              <w:numPr>
                <w:ilvl w:val="0"/>
                <w:numId w:val="3"/>
              </w:numPr>
              <w:spacing w:line="360" w:lineRule="auto"/>
              <w:ind w:firstLineChars="0"/>
              <w:jc w:val="center"/>
            </w:pPr>
            <w:r>
              <w:rPr>
                <w:rFonts w:hint="eastAsia" w:ascii="Times New Roman" w:hAnsi="Times New Roman" w:eastAsia="宋体"/>
                <w:b/>
                <w:bCs/>
                <w:sz w:val="21"/>
                <w:szCs w:val="21"/>
              </w:rPr>
              <w:t>项目与《关于以改善环境质量为核心加强环境影响评价管理的通知》符合性分析情况一览表</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5"/>
              <w:gridCol w:w="3819"/>
              <w:gridCol w:w="2871"/>
              <w:gridCol w:w="749"/>
            </w:tblGrid>
            <w:tr w14:paraId="06307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8" w:type="pct"/>
                  <w:vAlign w:val="center"/>
                </w:tcPr>
                <w:p w14:paraId="3D94D80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color w:val="auto"/>
                      <w:szCs w:val="21"/>
                    </w:rPr>
                  </w:pPr>
                  <w:r>
                    <w:rPr>
                      <w:rFonts w:hint="default" w:ascii="Times New Roman" w:hAnsi="Times New Roman" w:cs="Times New Roman"/>
                      <w:b/>
                      <w:color w:val="auto"/>
                      <w:szCs w:val="21"/>
                    </w:rPr>
                    <w:t>序号</w:t>
                  </w:r>
                </w:p>
              </w:tc>
              <w:tc>
                <w:tcPr>
                  <w:tcW w:w="2362" w:type="pct"/>
                  <w:vAlign w:val="center"/>
                </w:tcPr>
                <w:p w14:paraId="48AD815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color w:val="auto"/>
                      <w:szCs w:val="21"/>
                    </w:rPr>
                  </w:pPr>
                  <w:r>
                    <w:rPr>
                      <w:rFonts w:hint="default" w:ascii="Times New Roman" w:hAnsi="Times New Roman" w:cs="Times New Roman"/>
                      <w:b/>
                      <w:color w:val="auto"/>
                      <w:szCs w:val="21"/>
                    </w:rPr>
                    <w:t>分析内容</w:t>
                  </w:r>
                </w:p>
              </w:tc>
              <w:tc>
                <w:tcPr>
                  <w:tcW w:w="1775" w:type="pct"/>
                  <w:vAlign w:val="center"/>
                </w:tcPr>
                <w:p w14:paraId="3DB6762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color w:val="auto"/>
                      <w:szCs w:val="21"/>
                    </w:rPr>
                  </w:pPr>
                  <w:r>
                    <w:rPr>
                      <w:rFonts w:hint="default" w:ascii="Times New Roman" w:hAnsi="Times New Roman" w:cs="Times New Roman"/>
                      <w:b/>
                      <w:color w:val="auto"/>
                      <w:szCs w:val="21"/>
                    </w:rPr>
                    <w:t>企业情况</w:t>
                  </w:r>
                </w:p>
              </w:tc>
              <w:tc>
                <w:tcPr>
                  <w:tcW w:w="463" w:type="pct"/>
                  <w:vAlign w:val="center"/>
                </w:tcPr>
                <w:p w14:paraId="1756A27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color w:val="auto"/>
                      <w:szCs w:val="21"/>
                    </w:rPr>
                  </w:pPr>
                  <w:r>
                    <w:rPr>
                      <w:rFonts w:hint="default" w:ascii="Times New Roman" w:hAnsi="Times New Roman" w:cs="Times New Roman"/>
                      <w:b/>
                      <w:color w:val="auto"/>
                      <w:szCs w:val="21"/>
                    </w:rPr>
                    <w:t>评估结果</w:t>
                  </w:r>
                </w:p>
              </w:tc>
            </w:tr>
            <w:tr w14:paraId="4BFEE3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8" w:type="pct"/>
                  <w:vAlign w:val="center"/>
                </w:tcPr>
                <w:p w14:paraId="3D388BC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生态保护红线</w:t>
                  </w:r>
                </w:p>
              </w:tc>
              <w:tc>
                <w:tcPr>
                  <w:tcW w:w="2362" w:type="pct"/>
                  <w:vAlign w:val="center"/>
                </w:tcPr>
                <w:p w14:paraId="28756F06">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rPr>
                    <w:t>生态保护红线是生态空间范围内具有特殊重要生</w:t>
                  </w:r>
                  <w:r>
                    <w:rPr>
                      <w:rFonts w:hint="eastAsia" w:ascii="Times New Roman" w:hAnsi="Times New Roman" w:cs="Times New Roman"/>
                      <w:color w:val="auto"/>
                      <w:lang w:val="en-US" w:eastAsia="zh-CN"/>
                    </w:rPr>
                    <w:t>态</w:t>
                  </w:r>
                  <w:r>
                    <w:rPr>
                      <w:rFonts w:hint="default" w:ascii="Times New Roman" w:hAnsi="Times New Roman" w:cs="Times New Roman"/>
                      <w:color w:val="auto"/>
                    </w:rPr>
                    <w:t>功能必须实行强制性严格保护的区域。相关规划环评应将生态空间管控作为重要内容，规划区域涉及生态保护红线的，在规划环评结论和审查意见中应落实生态保护红线的管理要求，提出相应对策措施。除受自然条件限制、确实无法避让的铁路、公路、航道、防洪、管道、干渠、</w:t>
                  </w:r>
                  <w:r>
                    <w:rPr>
                      <w:rFonts w:hint="default" w:ascii="Times New Roman" w:hAnsi="Times New Roman" w:cs="Times New Roman"/>
                      <w:color w:val="auto"/>
                      <w:highlight w:val="none"/>
                    </w:rPr>
                    <w:t>通讯</w:t>
                  </w:r>
                  <w:r>
                    <w:rPr>
                      <w:rFonts w:hint="default" w:ascii="Times New Roman" w:hAnsi="Times New Roman" w:cs="Times New Roman"/>
                      <w:color w:val="auto"/>
                    </w:rPr>
                    <w:t>、输变电等重要</w:t>
                  </w:r>
                  <w:r>
                    <w:rPr>
                      <w:rFonts w:hint="eastAsia" w:ascii="Times New Roman" w:hAnsi="Times New Roman" w:cs="Times New Roman"/>
                      <w:color w:val="auto"/>
                      <w:lang w:val="en-US" w:eastAsia="zh-CN"/>
                    </w:rPr>
                    <w:t>基</w:t>
                  </w:r>
                  <w:r>
                    <w:rPr>
                      <w:rFonts w:hint="default" w:ascii="Times New Roman" w:hAnsi="Times New Roman" w:cs="Times New Roman"/>
                      <w:color w:val="auto"/>
                    </w:rPr>
                    <w:t>础设施项目外，在生态保护红线范围内，严控各类开发建设活动，依法不予审批技改工业项目和矿产开发项目的环评文件。</w:t>
                  </w:r>
                </w:p>
              </w:tc>
              <w:tc>
                <w:tcPr>
                  <w:tcW w:w="1775" w:type="pct"/>
                  <w:vAlign w:val="center"/>
                </w:tcPr>
                <w:p w14:paraId="762450D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根据承德市生态保护红线成果，本项目不在生态保护红线范围内，距离项目最近生态保护红线位于</w:t>
                  </w:r>
                  <w:r>
                    <w:rPr>
                      <w:rFonts w:hint="eastAsia" w:ascii="Times New Roman" w:hAnsi="Times New Roman" w:cs="Times New Roman"/>
                      <w:color w:val="auto"/>
                      <w:szCs w:val="21"/>
                      <w:lang w:val="en-US" w:eastAsia="zh-CN"/>
                    </w:rPr>
                    <w:t>厂区西</w:t>
                  </w:r>
                  <w:r>
                    <w:rPr>
                      <w:rFonts w:hint="eastAsia" w:cs="Times New Roman"/>
                      <w:color w:val="auto"/>
                      <w:szCs w:val="21"/>
                      <w:lang w:val="en-US" w:eastAsia="zh-CN"/>
                    </w:rPr>
                    <w:t>北</w:t>
                  </w:r>
                  <w:r>
                    <w:rPr>
                      <w:rFonts w:hint="eastAsia" w:ascii="Times New Roman" w:hAnsi="Times New Roman" w:cs="Times New Roman"/>
                      <w:color w:val="auto"/>
                      <w:szCs w:val="21"/>
                      <w:lang w:val="en-US" w:eastAsia="zh-CN"/>
                    </w:rPr>
                    <w:t>方向</w:t>
                  </w:r>
                  <w:r>
                    <w:rPr>
                      <w:rFonts w:hint="eastAsia" w:cs="Times New Roman"/>
                      <w:color w:val="auto"/>
                      <w:szCs w:val="21"/>
                      <w:lang w:val="en-US" w:eastAsia="zh-CN"/>
                    </w:rPr>
                    <w:t>901</w:t>
                  </w:r>
                  <w:r>
                    <w:rPr>
                      <w:rFonts w:hint="eastAsia" w:ascii="Times New Roman" w:hAnsi="Times New Roman" w:cs="Times New Roman"/>
                      <w:color w:val="auto"/>
                      <w:szCs w:val="21"/>
                      <w:lang w:val="en-US" w:eastAsia="zh-CN"/>
                    </w:rPr>
                    <w:t>m</w:t>
                  </w:r>
                  <w:r>
                    <w:rPr>
                      <w:rFonts w:hint="default" w:ascii="Times New Roman" w:hAnsi="Times New Roman" w:cs="Times New Roman"/>
                      <w:color w:val="auto"/>
                      <w:szCs w:val="21"/>
                    </w:rPr>
                    <w:t>，关系图详见附图。</w:t>
                  </w:r>
                </w:p>
              </w:tc>
              <w:tc>
                <w:tcPr>
                  <w:tcW w:w="463" w:type="pct"/>
                  <w:vAlign w:val="center"/>
                </w:tcPr>
                <w:p w14:paraId="2533016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符合</w:t>
                  </w:r>
                </w:p>
              </w:tc>
            </w:tr>
            <w:tr w14:paraId="2D2F88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8" w:type="pct"/>
                  <w:vAlign w:val="center"/>
                </w:tcPr>
                <w:p w14:paraId="03D8BAD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环境质量底线</w:t>
                  </w:r>
                </w:p>
              </w:tc>
              <w:tc>
                <w:tcPr>
                  <w:tcW w:w="2362" w:type="pct"/>
                  <w:vAlign w:val="center"/>
                </w:tcPr>
                <w:p w14:paraId="1C63635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rPr>
                    <w:t>环境质量底线是国家和地方设置的大气、水和土壤环境质量目标，也是改善环境质量的基准线。有关规划环评应落实区域环境质量目标管理要求，提出区域或者行业污染物排放总量管控建议以及优化区域或行业发展布局、结构和规模的对策措施。项目环评应对照区域环境质量目标，深入分析预测项目建设对环境质量的影响，强化污染防治措施和污染物排放控制要求。</w:t>
                  </w:r>
                </w:p>
              </w:tc>
              <w:tc>
                <w:tcPr>
                  <w:tcW w:w="1775" w:type="pct"/>
                  <w:vAlign w:val="center"/>
                </w:tcPr>
                <w:p w14:paraId="2E7E250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highlight w:val="none"/>
                    </w:rPr>
                    <w:t>根据《关于2023年12月份全市空气质量预警监测结果的通报》（承气领办〔2024〕12号）中附件2中</w:t>
                  </w:r>
                  <w:r>
                    <w:rPr>
                      <w:rFonts w:hint="eastAsia" w:ascii="Times New Roman" w:hAnsi="Times New Roman" w:cs="Times New Roman"/>
                      <w:color w:val="auto"/>
                      <w:szCs w:val="21"/>
                      <w:highlight w:val="none"/>
                      <w:lang w:val="en-US" w:eastAsia="zh-CN"/>
                    </w:rPr>
                    <w:t>承德市</w:t>
                  </w:r>
                  <w:r>
                    <w:rPr>
                      <w:rFonts w:hint="default" w:ascii="Times New Roman" w:hAnsi="Times New Roman" w:cs="Times New Roman"/>
                      <w:color w:val="auto"/>
                      <w:szCs w:val="21"/>
                      <w:highlight w:val="none"/>
                    </w:rPr>
                    <w:t>大气常规污染物数据</w:t>
                  </w:r>
                  <w:r>
                    <w:rPr>
                      <w:rFonts w:hint="eastAsia" w:cs="Times New Roman"/>
                      <w:color w:val="auto"/>
                      <w:szCs w:val="21"/>
                      <w:highlight w:val="none"/>
                      <w:lang w:val="en-US" w:eastAsia="zh-CN"/>
                    </w:rPr>
                    <w:t>宽城满族自治县</w:t>
                  </w:r>
                  <w:r>
                    <w:rPr>
                      <w:rFonts w:hint="eastAsia" w:ascii="Times New Roman" w:hAnsi="Times New Roman" w:cs="Times New Roman"/>
                      <w:color w:val="auto"/>
                      <w:szCs w:val="21"/>
                      <w:highlight w:val="none"/>
                      <w:lang w:val="en-US" w:eastAsia="zh-CN"/>
                    </w:rPr>
                    <w:t>，属于</w:t>
                  </w:r>
                  <w:r>
                    <w:rPr>
                      <w:rFonts w:hint="eastAsia" w:cs="Times New Roman"/>
                      <w:color w:val="auto"/>
                      <w:szCs w:val="21"/>
                      <w:highlight w:val="none"/>
                      <w:lang w:val="en-US" w:eastAsia="zh-CN"/>
                    </w:rPr>
                    <w:t>不</w:t>
                  </w:r>
                  <w:r>
                    <w:rPr>
                      <w:rFonts w:hint="eastAsia" w:ascii="Times New Roman" w:hAnsi="Times New Roman" w:cs="Times New Roman"/>
                      <w:color w:val="auto"/>
                      <w:szCs w:val="21"/>
                      <w:highlight w:val="none"/>
                      <w:lang w:val="en-US" w:eastAsia="zh-CN"/>
                    </w:rPr>
                    <w:t>达标区</w:t>
                  </w:r>
                  <w:r>
                    <w:rPr>
                      <w:rFonts w:hint="default" w:ascii="Times New Roman" w:hAnsi="Times New Roman" w:cs="Times New Roman"/>
                      <w:color w:val="auto"/>
                      <w:szCs w:val="21"/>
                      <w:highlight w:val="none"/>
                    </w:rPr>
                    <w:t>。</w:t>
                  </w:r>
                  <w:r>
                    <w:rPr>
                      <w:rFonts w:hint="eastAsia" w:cs="Times New Roman"/>
                      <w:color w:val="auto"/>
                      <w:szCs w:val="21"/>
                      <w:highlight w:val="none"/>
                      <w:lang w:val="en-US" w:eastAsia="zh-CN"/>
                    </w:rPr>
                    <w:t>项目运营期主要产生废气为非甲烷总烃、恶臭等，根据检测报告可知，项目所在区域非甲烷总烃满足《环境空气质量非甲烷总烃限值》（DB13/1577-2012）二级标准要求；</w:t>
                  </w:r>
                  <w:r>
                    <w:rPr>
                      <w:rFonts w:hint="eastAsia" w:ascii="Times New Roman" w:hAnsi="Times New Roman" w:cs="Times New Roman"/>
                      <w:color w:val="auto"/>
                      <w:szCs w:val="21"/>
                      <w:highlight w:val="none"/>
                      <w:lang w:val="en-US" w:eastAsia="zh-CN"/>
                    </w:rPr>
                    <w:t>项目运营期采取相应措施后可达标排放</w:t>
                  </w:r>
                  <w:r>
                    <w:rPr>
                      <w:rFonts w:hint="eastAsia" w:ascii="Times New Roman" w:hAnsi="Times New Roman" w:cs="Times New Roman"/>
                      <w:color w:val="000000" w:themeColor="text1"/>
                      <w:szCs w:val="21"/>
                      <w14:textFill>
                        <w14:solidFill>
                          <w14:schemeClr w14:val="tx1"/>
                        </w14:solidFill>
                      </w14:textFill>
                    </w:rPr>
                    <w:t>，不会突破项目所在地</w:t>
                  </w:r>
                  <w:r>
                    <w:rPr>
                      <w:rFonts w:ascii="Times New Roman" w:hAnsi="Times New Roman" w:cs="Times New Roman"/>
                      <w:color w:val="000000" w:themeColor="text1"/>
                      <w:szCs w:val="21"/>
                      <w14:textFill>
                        <w14:solidFill>
                          <w14:schemeClr w14:val="tx1"/>
                        </w14:solidFill>
                      </w14:textFill>
                    </w:rPr>
                    <w:t>环境</w:t>
                  </w:r>
                  <w:r>
                    <w:rPr>
                      <w:rFonts w:hint="eastAsia" w:ascii="Times New Roman" w:hAnsi="Times New Roman" w:cs="Times New Roman"/>
                      <w:color w:val="000000" w:themeColor="text1"/>
                      <w:szCs w:val="21"/>
                      <w14:textFill>
                        <w14:solidFill>
                          <w14:schemeClr w14:val="tx1"/>
                        </w14:solidFill>
                      </w14:textFill>
                    </w:rPr>
                    <w:t>空气</w:t>
                  </w:r>
                  <w:r>
                    <w:rPr>
                      <w:rFonts w:ascii="Times New Roman" w:hAnsi="Times New Roman" w:cs="Times New Roman"/>
                      <w:color w:val="000000" w:themeColor="text1"/>
                      <w:szCs w:val="21"/>
                      <w14:textFill>
                        <w14:solidFill>
                          <w14:schemeClr w14:val="tx1"/>
                        </w14:solidFill>
                      </w14:textFill>
                    </w:rPr>
                    <w:t>质量底线的要求</w:t>
                  </w:r>
                  <w:r>
                    <w:rPr>
                      <w:rFonts w:hint="eastAsia" w:ascii="Times New Roman" w:hAnsi="Times New Roman" w:cs="Times New Roman"/>
                      <w:color w:val="000000" w:themeColor="text1"/>
                      <w:szCs w:val="21"/>
                      <w14:textFill>
                        <w14:solidFill>
                          <w14:schemeClr w14:val="tx1"/>
                        </w14:solidFill>
                      </w14:textFill>
                    </w:rPr>
                    <w:t>；</w:t>
                  </w:r>
                  <w:r>
                    <w:rPr>
                      <w:rFonts w:hint="eastAsia" w:cs="Times New Roman"/>
                      <w:color w:val="000000" w:themeColor="text1"/>
                      <w:szCs w:val="21"/>
                      <w:highlight w:val="none"/>
                      <w:lang w:val="en-US" w:eastAsia="zh-CN"/>
                      <w14:textFill>
                        <w14:solidFill>
                          <w14:schemeClr w14:val="tx1"/>
                        </w14:solidFill>
                      </w14:textFill>
                    </w:rPr>
                    <w:t>本项目生活污水依托承德坤元环保科技有限公司化粪池处理后最终进入宽城碧水源环保有限公司</w:t>
                  </w:r>
                  <w:r>
                    <w:rPr>
                      <w:rFonts w:hint="eastAsia" w:ascii="Times New Roman" w:hAnsi="Times New Roman" w:cs="Times New Roman"/>
                      <w:color w:val="000000" w:themeColor="text1"/>
                      <w:szCs w:val="21"/>
                      <w:highlight w:val="none"/>
                      <w14:textFill>
                        <w14:solidFill>
                          <w14:schemeClr w14:val="tx1"/>
                        </w14:solidFill>
                      </w14:textFill>
                    </w:rPr>
                    <w:t>，</w:t>
                  </w:r>
                  <w:r>
                    <w:rPr>
                      <w:rFonts w:ascii="Times New Roman" w:hAnsi="Times New Roman" w:cs="Times New Roman"/>
                      <w:color w:val="000000" w:themeColor="text1"/>
                      <w:szCs w:val="21"/>
                      <w:highlight w:val="none"/>
                      <w14:textFill>
                        <w14:solidFill>
                          <w14:schemeClr w14:val="tx1"/>
                        </w14:solidFill>
                      </w14:textFill>
                    </w:rPr>
                    <w:t>不会</w:t>
                  </w:r>
                  <w:r>
                    <w:rPr>
                      <w:rFonts w:ascii="Times New Roman" w:hAnsi="Times New Roman" w:cs="Times New Roman"/>
                      <w:color w:val="000000" w:themeColor="text1"/>
                      <w:szCs w:val="21"/>
                      <w14:textFill>
                        <w14:solidFill>
                          <w14:schemeClr w14:val="tx1"/>
                        </w14:solidFill>
                      </w14:textFill>
                    </w:rPr>
                    <w:t>突破项目所在地</w:t>
                  </w:r>
                  <w:r>
                    <w:rPr>
                      <w:rFonts w:hint="eastAsia" w:ascii="Times New Roman" w:hAnsi="Times New Roman" w:cs="Times New Roman"/>
                      <w:color w:val="000000" w:themeColor="text1"/>
                      <w:szCs w:val="21"/>
                      <w14:textFill>
                        <w14:solidFill>
                          <w14:schemeClr w14:val="tx1"/>
                        </w14:solidFill>
                      </w14:textFill>
                    </w:rPr>
                    <w:t>地表水</w:t>
                  </w:r>
                  <w:r>
                    <w:rPr>
                      <w:rFonts w:ascii="Times New Roman" w:hAnsi="Times New Roman" w:cs="Times New Roman"/>
                      <w:color w:val="000000" w:themeColor="text1"/>
                      <w:szCs w:val="21"/>
                      <w14:textFill>
                        <w14:solidFill>
                          <w14:schemeClr w14:val="tx1"/>
                        </w14:solidFill>
                      </w14:textFill>
                    </w:rPr>
                    <w:t>环境质量底线的要求</w:t>
                  </w:r>
                  <w:r>
                    <w:rPr>
                      <w:rFonts w:hint="eastAsia" w:ascii="Times New Roman" w:hAnsi="Times New Roman" w:cs="Times New Roman"/>
                      <w:color w:val="000000" w:themeColor="text1"/>
                      <w:szCs w:val="21"/>
                      <w:lang w:eastAsia="zh-CN"/>
                      <w14:textFill>
                        <w14:solidFill>
                          <w14:schemeClr w14:val="tx1"/>
                        </w14:solidFill>
                      </w14:textFill>
                    </w:rPr>
                    <w:t>；</w:t>
                  </w:r>
                  <w:r>
                    <w:rPr>
                      <w:rFonts w:hint="eastAsia" w:cs="Times New Roman"/>
                      <w:color w:val="000000" w:themeColor="text1"/>
                      <w:szCs w:val="21"/>
                      <w:lang w:val="en-US" w:eastAsia="zh-CN"/>
                      <w14:textFill>
                        <w14:solidFill>
                          <w14:schemeClr w14:val="tx1"/>
                        </w14:solidFill>
                      </w14:textFill>
                    </w:rPr>
                    <w:t>本项目通过采取分区防渗措施</w:t>
                  </w:r>
                  <w:r>
                    <w:rPr>
                      <w:rFonts w:hint="eastAsia"/>
                      <w:color w:val="000000" w:themeColor="text1"/>
                      <w14:textFill>
                        <w14:solidFill>
                          <w14:schemeClr w14:val="tx1"/>
                        </w14:solidFill>
                      </w14:textFill>
                    </w:rPr>
                    <w:t>，</w:t>
                  </w:r>
                  <w:r>
                    <w:rPr>
                      <w:rFonts w:ascii="Times New Roman" w:hAnsi="Times New Roman" w:cs="Times New Roman"/>
                      <w:color w:val="000000" w:themeColor="text1"/>
                      <w:szCs w:val="21"/>
                      <w14:textFill>
                        <w14:solidFill>
                          <w14:schemeClr w14:val="tx1"/>
                        </w14:solidFill>
                      </w14:textFill>
                    </w:rPr>
                    <w:t>不会突破</w:t>
                  </w:r>
                  <w:r>
                    <w:rPr>
                      <w:rFonts w:hint="eastAsia"/>
                      <w:color w:val="000000" w:themeColor="text1"/>
                      <w14:textFill>
                        <w14:solidFill>
                          <w14:schemeClr w14:val="tx1"/>
                        </w14:solidFill>
                      </w14:textFill>
                    </w:rPr>
                    <w:t>土壤及地下水环境质量底线</w:t>
                  </w:r>
                  <w:r>
                    <w:rPr>
                      <w:rFonts w:hint="default" w:ascii="Times New Roman" w:hAnsi="Times New Roman" w:cs="Times New Roman"/>
                      <w:color w:val="auto"/>
                      <w:szCs w:val="21"/>
                      <w:highlight w:val="none"/>
                    </w:rPr>
                    <w:t>。</w:t>
                  </w:r>
                </w:p>
              </w:tc>
              <w:tc>
                <w:tcPr>
                  <w:tcW w:w="463" w:type="pct"/>
                  <w:vAlign w:val="center"/>
                </w:tcPr>
                <w:p w14:paraId="052D31E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符合</w:t>
                  </w:r>
                </w:p>
              </w:tc>
            </w:tr>
            <w:tr w14:paraId="47FED1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8" w:type="pct"/>
                  <w:vAlign w:val="center"/>
                </w:tcPr>
                <w:p w14:paraId="443E3AFB">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资源利用上线</w:t>
                  </w:r>
                </w:p>
              </w:tc>
              <w:tc>
                <w:tcPr>
                  <w:tcW w:w="2362" w:type="pct"/>
                  <w:vAlign w:val="center"/>
                </w:tcPr>
                <w:p w14:paraId="6BF73517">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资源利用上线是各地区能源、水、土地等资源消耗不得突破的“天花板”。相关规划环评应依据有关资源利用</w:t>
                  </w:r>
                  <w:r>
                    <w:rPr>
                      <w:rFonts w:hint="eastAsia" w:ascii="Times New Roman" w:hAnsi="Times New Roman" w:cs="Times New Roman"/>
                      <w:color w:val="auto"/>
                      <w:szCs w:val="21"/>
                      <w:lang w:val="en-US" w:eastAsia="zh-CN"/>
                    </w:rPr>
                    <w:t>上限</w:t>
                  </w:r>
                  <w:r>
                    <w:rPr>
                      <w:rFonts w:hint="default" w:ascii="Times New Roman" w:hAnsi="Times New Roman" w:cs="Times New Roman"/>
                      <w:color w:val="auto"/>
                      <w:szCs w:val="21"/>
                    </w:rPr>
                    <w:t>，对规划实施以及规划内项目的资源开发利用，区分不同行业，从能源资源开发等量或减量替代、开采方式和规模控制、利用效率和防护措施等方面提出建议，为规划编制和审批决策提供重要依据。</w:t>
                  </w:r>
                </w:p>
              </w:tc>
              <w:tc>
                <w:tcPr>
                  <w:tcW w:w="1775" w:type="pct"/>
                  <w:vAlign w:val="center"/>
                </w:tcPr>
                <w:p w14:paraId="5862D48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highlight w:val="none"/>
                    </w:rPr>
                    <w:t>本项目用电量</w:t>
                  </w:r>
                  <w:r>
                    <w:rPr>
                      <w:rFonts w:hint="eastAsia" w:cs="Times New Roman"/>
                      <w:color w:val="auto"/>
                      <w:szCs w:val="21"/>
                      <w:highlight w:val="none"/>
                      <w:lang w:val="en-US" w:eastAsia="zh-CN"/>
                    </w:rPr>
                    <w:t>1500</w:t>
                  </w:r>
                  <w:r>
                    <w:rPr>
                      <w:rFonts w:hint="default" w:ascii="Times New Roman" w:hAnsi="Times New Roman" w:cs="Times New Roman"/>
                      <w:color w:val="auto"/>
                      <w:szCs w:val="21"/>
                      <w:highlight w:val="none"/>
                    </w:rPr>
                    <w:t>kW·h</w:t>
                  </w:r>
                  <w:r>
                    <w:rPr>
                      <w:rFonts w:hint="default" w:ascii="Times New Roman" w:hAnsi="Times New Roman" w:cs="Times New Roman"/>
                      <w:bCs/>
                      <w:color w:val="auto"/>
                      <w:szCs w:val="21"/>
                      <w:highlight w:val="none"/>
                    </w:rPr>
                    <w:t>/a</w:t>
                  </w:r>
                  <w:r>
                    <w:rPr>
                      <w:rFonts w:hint="default" w:ascii="Times New Roman" w:hAnsi="Times New Roman" w:cs="Times New Roman"/>
                      <w:color w:val="auto"/>
                      <w:szCs w:val="21"/>
                      <w:highlight w:val="none"/>
                    </w:rPr>
                    <w:t>，</w:t>
                  </w:r>
                  <w:r>
                    <w:rPr>
                      <w:rFonts w:hint="eastAsia" w:ascii="Times New Roman" w:hAnsi="Times New Roman" w:cs="Times New Roman"/>
                      <w:color w:val="auto"/>
                      <w:szCs w:val="21"/>
                      <w:highlight w:val="none"/>
                      <w:lang w:val="en-US" w:eastAsia="zh-CN"/>
                    </w:rPr>
                    <w:t>新增用水</w:t>
                  </w:r>
                  <w:r>
                    <w:rPr>
                      <w:rFonts w:hint="eastAsia" w:cs="Times New Roman"/>
                      <w:color w:val="auto"/>
                      <w:szCs w:val="21"/>
                      <w:highlight w:val="none"/>
                      <w:lang w:val="en-US" w:eastAsia="zh-CN"/>
                    </w:rPr>
                    <w:t>327.07</w:t>
                  </w:r>
                  <w:r>
                    <w:rPr>
                      <w:rFonts w:hint="eastAsia" w:ascii="Times New Roman" w:hAnsi="Times New Roman" w:cs="Times New Roman"/>
                      <w:color w:val="auto"/>
                      <w:szCs w:val="21"/>
                      <w:highlight w:val="none"/>
                      <w:lang w:val="en-US" w:eastAsia="zh-CN"/>
                    </w:rPr>
                    <w:t>m</w:t>
                  </w:r>
                  <w:r>
                    <w:rPr>
                      <w:rFonts w:hint="eastAsia" w:ascii="Times New Roman" w:hAnsi="Times New Roman" w:cs="Times New Roman"/>
                      <w:color w:val="auto"/>
                      <w:szCs w:val="21"/>
                      <w:highlight w:val="none"/>
                      <w:vertAlign w:val="superscript"/>
                      <w:lang w:val="en-US" w:eastAsia="zh-CN"/>
                    </w:rPr>
                    <w:t>3</w:t>
                  </w:r>
                  <w:r>
                    <w:rPr>
                      <w:rFonts w:hint="eastAsia" w:ascii="Times New Roman" w:hAnsi="Times New Roman" w:cs="Times New Roman"/>
                      <w:color w:val="auto"/>
                      <w:szCs w:val="21"/>
                      <w:highlight w:val="none"/>
                      <w:lang w:val="en-US" w:eastAsia="zh-CN"/>
                    </w:rPr>
                    <w:t>/a</w:t>
                  </w:r>
                  <w:r>
                    <w:rPr>
                      <w:rFonts w:hint="default" w:ascii="Times New Roman" w:hAnsi="Times New Roman" w:cs="Times New Roman"/>
                      <w:color w:val="auto"/>
                      <w:szCs w:val="21"/>
                      <w:highlight w:val="none"/>
                    </w:rPr>
                    <w:t>，</w:t>
                  </w:r>
                  <w:r>
                    <w:rPr>
                      <w:rFonts w:hint="eastAsia" w:ascii="Times New Roman" w:hAnsi="Times New Roman" w:cs="Times New Roman"/>
                      <w:color w:val="auto"/>
                      <w:szCs w:val="21"/>
                      <w:highlight w:val="none"/>
                      <w:lang w:val="en-US" w:eastAsia="zh-CN"/>
                    </w:rPr>
                    <w:t>由</w:t>
                  </w:r>
                  <w:r>
                    <w:rPr>
                      <w:rFonts w:hint="eastAsia" w:cs="Times New Roman"/>
                      <w:color w:val="auto"/>
                      <w:szCs w:val="21"/>
                      <w:highlight w:val="none"/>
                      <w:lang w:val="en-US" w:eastAsia="zh-CN"/>
                    </w:rPr>
                    <w:t>自备水井</w:t>
                  </w:r>
                  <w:r>
                    <w:rPr>
                      <w:rFonts w:hint="eastAsia" w:ascii="Times New Roman" w:hAnsi="Times New Roman" w:cs="Times New Roman"/>
                      <w:color w:val="auto"/>
                      <w:szCs w:val="21"/>
                      <w:highlight w:val="none"/>
                      <w:lang w:val="en-US" w:eastAsia="zh-CN"/>
                    </w:rPr>
                    <w:t>供给；本项目不新增占地，租用承德坤元环保科技有限公司厂房和场地进行建设</w:t>
                  </w:r>
                  <w:r>
                    <w:rPr>
                      <w:rFonts w:hint="eastAsia" w:cs="Times New Roman"/>
                      <w:color w:val="auto"/>
                      <w:szCs w:val="21"/>
                      <w:highlight w:val="none"/>
                      <w:lang w:val="en-US" w:eastAsia="zh-CN"/>
                    </w:rPr>
                    <w:t>，</w:t>
                  </w:r>
                  <w:r>
                    <w:rPr>
                      <w:rFonts w:hint="default" w:ascii="Times New Roman" w:hAnsi="Times New Roman" w:cs="Times New Roman"/>
                      <w:color w:val="auto"/>
                      <w:szCs w:val="21"/>
                      <w:highlight w:val="none"/>
                      <w:lang w:val="en-US" w:eastAsia="zh-CN"/>
                    </w:rPr>
                    <w:t>不</w:t>
                  </w:r>
                  <w:r>
                    <w:rPr>
                      <w:rFonts w:hint="default" w:ascii="Times New Roman" w:hAnsi="Times New Roman" w:cs="Times New Roman"/>
                      <w:color w:val="auto"/>
                      <w:szCs w:val="21"/>
                      <w:highlight w:val="none"/>
                    </w:rPr>
                    <w:t>涉及突破资源利用上</w:t>
                  </w:r>
                  <w:r>
                    <w:rPr>
                      <w:rFonts w:hint="eastAsia" w:ascii="Times New Roman" w:hAnsi="Times New Roman" w:cs="Times New Roman"/>
                      <w:color w:val="auto"/>
                      <w:szCs w:val="21"/>
                      <w:highlight w:val="none"/>
                      <w:lang w:val="en-US" w:eastAsia="zh-CN"/>
                    </w:rPr>
                    <w:t>线</w:t>
                  </w:r>
                  <w:r>
                    <w:rPr>
                      <w:rFonts w:hint="default" w:ascii="Times New Roman" w:hAnsi="Times New Roman" w:cs="Times New Roman"/>
                      <w:color w:val="auto"/>
                      <w:szCs w:val="21"/>
                      <w:highlight w:val="none"/>
                    </w:rPr>
                    <w:t>。</w:t>
                  </w:r>
                </w:p>
              </w:tc>
              <w:tc>
                <w:tcPr>
                  <w:tcW w:w="463" w:type="pct"/>
                  <w:vAlign w:val="center"/>
                </w:tcPr>
                <w:p w14:paraId="449C959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符合</w:t>
                  </w:r>
                </w:p>
              </w:tc>
            </w:tr>
            <w:tr w14:paraId="7060D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98" w:type="pct"/>
                  <w:vAlign w:val="center"/>
                </w:tcPr>
                <w:p w14:paraId="50C40EE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负面</w:t>
                  </w:r>
                </w:p>
                <w:p w14:paraId="0136F51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清单</w:t>
                  </w:r>
                </w:p>
              </w:tc>
              <w:tc>
                <w:tcPr>
                  <w:tcW w:w="2362" w:type="pct"/>
                  <w:vAlign w:val="center"/>
                </w:tcPr>
                <w:p w14:paraId="73B8288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环境准入负面清单是基于生态保护红线、环境质量底线和资源利用上线，以清单方式列出的禁止、限制等差别化环境准入条件和要求。</w:t>
                  </w:r>
                </w:p>
              </w:tc>
              <w:tc>
                <w:tcPr>
                  <w:tcW w:w="1775" w:type="pct"/>
                  <w:vAlign w:val="center"/>
                </w:tcPr>
                <w:p w14:paraId="6E058F4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highlight w:val="none"/>
                    </w:rPr>
                    <w:t>经分析，本项目符合《承德市生态环境分区管控准入清单（2023年版）》准入要求，详见下文。</w:t>
                  </w:r>
                </w:p>
              </w:tc>
              <w:tc>
                <w:tcPr>
                  <w:tcW w:w="463" w:type="pct"/>
                  <w:vAlign w:val="center"/>
                </w:tcPr>
                <w:p w14:paraId="7B5B78E3">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符合</w:t>
                  </w:r>
                </w:p>
              </w:tc>
            </w:tr>
          </w:tbl>
          <w:p w14:paraId="4A8ED70A">
            <w:pPr>
              <w:spacing w:line="360" w:lineRule="auto"/>
              <w:ind w:firstLine="480"/>
              <w:rPr>
                <w:bCs/>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2</w:t>
            </w:r>
            <w:r>
              <w:rPr>
                <w:rFonts w:hint="eastAsia"/>
                <w:color w:val="000000" w:themeColor="text1"/>
                <w:sz w:val="24"/>
                <w14:textFill>
                  <w14:solidFill>
                    <w14:schemeClr w14:val="tx1"/>
                  </w14:solidFill>
                </w14:textFill>
              </w:rPr>
              <w:t>）</w:t>
            </w:r>
            <w:r>
              <w:rPr>
                <w:rFonts w:hint="eastAsia"/>
                <w:bCs/>
                <w:color w:val="000000" w:themeColor="text1"/>
                <w:sz w:val="24"/>
                <w14:textFill>
                  <w14:solidFill>
                    <w14:schemeClr w14:val="tx1"/>
                  </w14:solidFill>
                </w14:textFill>
              </w:rPr>
              <w:t>与“承德市人民政府关于发布承德市生态环境分区管控准入清单（2023年版）的通知”符合性分析</w:t>
            </w:r>
          </w:p>
          <w:p w14:paraId="1281851C">
            <w:pPr>
              <w:spacing w:line="360" w:lineRule="auto"/>
              <w:ind w:firstLine="48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202</w:t>
            </w:r>
            <w:r>
              <w:rPr>
                <w:color w:val="000000" w:themeColor="text1"/>
                <w:sz w:val="24"/>
                <w14:textFill>
                  <w14:solidFill>
                    <w14:schemeClr w14:val="tx1"/>
                  </w14:solidFill>
                </w14:textFill>
              </w:rPr>
              <w:t>4</w:t>
            </w:r>
            <w:r>
              <w:rPr>
                <w:rFonts w:hint="eastAsia"/>
                <w:color w:val="000000" w:themeColor="text1"/>
                <w:sz w:val="24"/>
                <w14:textFill>
                  <w14:solidFill>
                    <w14:schemeClr w14:val="tx1"/>
                  </w14:solidFill>
                </w14:textFill>
              </w:rPr>
              <w:t>年</w:t>
            </w:r>
            <w:r>
              <w:rPr>
                <w:color w:val="000000" w:themeColor="text1"/>
                <w:sz w:val="24"/>
                <w14:textFill>
                  <w14:solidFill>
                    <w14:schemeClr w14:val="tx1"/>
                  </w14:solidFill>
                </w14:textFill>
              </w:rPr>
              <w:t>5</w:t>
            </w:r>
            <w:r>
              <w:rPr>
                <w:rFonts w:hint="eastAsia"/>
                <w:color w:val="000000" w:themeColor="text1"/>
                <w:sz w:val="24"/>
                <w14:textFill>
                  <w14:solidFill>
                    <w14:schemeClr w14:val="tx1"/>
                  </w14:solidFill>
                </w14:textFill>
              </w:rPr>
              <w:t>月</w:t>
            </w:r>
            <w:r>
              <w:rPr>
                <w:color w:val="000000" w:themeColor="text1"/>
                <w:sz w:val="24"/>
                <w14:textFill>
                  <w14:solidFill>
                    <w14:schemeClr w14:val="tx1"/>
                  </w14:solidFill>
                </w14:textFill>
              </w:rPr>
              <w:t>27</w:t>
            </w:r>
            <w:r>
              <w:rPr>
                <w:rFonts w:hint="eastAsia"/>
                <w:color w:val="000000" w:themeColor="text1"/>
                <w:sz w:val="24"/>
                <w14:textFill>
                  <w14:solidFill>
                    <w14:schemeClr w14:val="tx1"/>
                  </w14:solidFill>
                </w14:textFill>
              </w:rPr>
              <w:t>日，承德市人民政府发布了《承德市人民政府关于发布承德市生态环境分区管控准入清单（2</w:t>
            </w:r>
            <w:r>
              <w:rPr>
                <w:color w:val="000000" w:themeColor="text1"/>
                <w:sz w:val="24"/>
                <w14:textFill>
                  <w14:solidFill>
                    <w14:schemeClr w14:val="tx1"/>
                  </w14:solidFill>
                </w14:textFill>
              </w:rPr>
              <w:t>023</w:t>
            </w:r>
            <w:r>
              <w:rPr>
                <w:rFonts w:hint="eastAsia"/>
                <w:color w:val="000000" w:themeColor="text1"/>
                <w:sz w:val="24"/>
                <w14:textFill>
                  <w14:solidFill>
                    <w14:schemeClr w14:val="tx1"/>
                  </w14:solidFill>
                </w14:textFill>
              </w:rPr>
              <w:t>年版）的通知》，对照该通知的要求，判定项目与生态环境分区管控准入清单的符合性：</w:t>
            </w:r>
          </w:p>
          <w:p w14:paraId="273A2207">
            <w:pPr>
              <w:spacing w:line="360" w:lineRule="auto"/>
              <w:ind w:firstLine="480"/>
              <w:rPr>
                <w:color w:val="000000" w:themeColor="text1"/>
                <w:sz w:val="24"/>
                <w14:textFill>
                  <w14:solidFill>
                    <w14:schemeClr w14:val="tx1"/>
                  </w14:solidFill>
                </w14:textFill>
              </w:rPr>
            </w:pPr>
            <w:r>
              <w:rPr>
                <w:color w:val="000000" w:themeColor="text1"/>
                <w:sz w:val="24"/>
                <w14:textFill>
                  <w14:solidFill>
                    <w14:schemeClr w14:val="tx1"/>
                  </w14:solidFill>
                </w14:textFill>
              </w:rPr>
              <w:t>A</w:t>
            </w:r>
            <w:r>
              <w:rPr>
                <w:rFonts w:hint="eastAsia"/>
                <w:color w:val="000000" w:themeColor="text1"/>
                <w:sz w:val="24"/>
                <w14:textFill>
                  <w14:solidFill>
                    <w14:schemeClr w14:val="tx1"/>
                  </w14:solidFill>
                </w14:textFill>
              </w:rPr>
              <w:t>、承德市生态环境准入清单总体要求符合性分析</w:t>
            </w:r>
          </w:p>
          <w:p w14:paraId="3258A043">
            <w:pPr>
              <w:spacing w:line="360" w:lineRule="auto"/>
              <w:ind w:firstLine="48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a</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生态空间总体要求符合性</w:t>
            </w:r>
          </w:p>
          <w:p w14:paraId="532415BD">
            <w:pPr>
              <w:spacing w:line="360" w:lineRule="auto"/>
              <w:ind w:firstLine="480"/>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color w:val="000000" w:themeColor="text1"/>
                <w:sz w:val="24"/>
                <w14:textFill>
                  <w14:solidFill>
                    <w14:schemeClr w14:val="tx1"/>
                  </w14:solidFill>
                </w14:textFill>
              </w:rPr>
              <w:t>项目位于</w:t>
            </w:r>
            <w:r>
              <w:rPr>
                <w:rFonts w:hint="eastAsia"/>
                <w:color w:val="000000" w:themeColor="text1"/>
                <w:sz w:val="24"/>
                <w:lang w:val="en-US" w:eastAsia="zh-CN"/>
                <w14:textFill>
                  <w14:solidFill>
                    <w14:schemeClr w14:val="tx1"/>
                  </w14:solidFill>
                </w14:textFill>
              </w:rPr>
              <w:t>宽城满</w:t>
            </w:r>
            <w:r>
              <w:rPr>
                <w:rFonts w:hint="eastAsia"/>
                <w:color w:val="000000" w:themeColor="text1"/>
                <w:sz w:val="24"/>
                <w:highlight w:val="none"/>
                <w:lang w:val="en-US" w:eastAsia="zh-CN"/>
                <w14:textFill>
                  <w14:solidFill>
                    <w14:schemeClr w14:val="tx1"/>
                  </w14:solidFill>
                </w14:textFill>
              </w:rPr>
              <w:t>族自治县经济开发区</w:t>
            </w:r>
            <w:r>
              <w:rPr>
                <w:rFonts w:hint="eastAsia"/>
                <w:color w:val="000000" w:themeColor="text1"/>
                <w:sz w:val="24"/>
                <w:highlight w:val="none"/>
                <w14:textFill>
                  <w14:solidFill>
                    <w14:schemeClr w14:val="tx1"/>
                  </w14:solidFill>
                </w14:textFill>
              </w:rPr>
              <w:t>，中心</w:t>
            </w:r>
            <w:r>
              <w:rPr>
                <w:rFonts w:hint="eastAsia"/>
                <w:color w:val="000000" w:themeColor="text1"/>
                <w:sz w:val="24"/>
                <w14:textFill>
                  <w14:solidFill>
                    <w14:schemeClr w14:val="tx1"/>
                  </w14:solidFill>
                </w14:textFill>
              </w:rPr>
              <w:t>位置地理坐标</w:t>
            </w:r>
            <w:r>
              <w:rPr>
                <w:color w:val="000000" w:themeColor="text1"/>
                <w:sz w:val="24"/>
                <w14:textFill>
                  <w14:solidFill>
                    <w14:schemeClr w14:val="tx1"/>
                  </w14:solidFill>
                </w14:textFill>
              </w:rPr>
              <w:t>：E118°</w:t>
            </w:r>
            <w:r>
              <w:rPr>
                <w:rFonts w:hint="eastAsia"/>
                <w:color w:val="000000" w:themeColor="text1"/>
                <w:sz w:val="24"/>
                <w:lang w:val="en-US" w:eastAsia="zh-CN"/>
                <w14:textFill>
                  <w14:solidFill>
                    <w14:schemeClr w14:val="tx1"/>
                  </w14:solidFill>
                </w14:textFill>
              </w:rPr>
              <w:t>34</w:t>
            </w:r>
            <w:r>
              <w:rPr>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7.425</w:t>
            </w:r>
            <w:r>
              <w:rPr>
                <w:color w:val="000000" w:themeColor="text1"/>
                <w:sz w:val="24"/>
                <w14:textFill>
                  <w14:solidFill>
                    <w14:schemeClr w14:val="tx1"/>
                  </w14:solidFill>
                </w14:textFill>
              </w:rPr>
              <w:t>″，N4</w:t>
            </w:r>
            <w:r>
              <w:rPr>
                <w:rFonts w:hint="eastAsia"/>
                <w:color w:val="000000" w:themeColor="text1"/>
                <w:sz w:val="24"/>
                <w:lang w:val="en-US" w:eastAsia="zh-CN"/>
                <w14:textFill>
                  <w14:solidFill>
                    <w14:schemeClr w14:val="tx1"/>
                  </w14:solidFill>
                </w14:textFill>
              </w:rPr>
              <w:t>0</w:t>
            </w:r>
            <w:r>
              <w:rPr>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40</w:t>
            </w:r>
            <w:r>
              <w:rPr>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18</w:t>
            </w:r>
            <w:r>
              <w:rPr>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958</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项目</w:t>
            </w:r>
            <w:r>
              <w:rPr>
                <w:rFonts w:hint="eastAsia"/>
                <w:color w:val="000000" w:themeColor="text1"/>
                <w:sz w:val="24"/>
                <w:highlight w:val="none"/>
                <w:lang w:val="en-US" w:eastAsia="zh-CN"/>
                <w14:textFill>
                  <w14:solidFill>
                    <w14:schemeClr w14:val="tx1"/>
                  </w14:solidFill>
                </w14:textFill>
              </w:rPr>
              <w:t>位于一般管控区范围内，</w:t>
            </w:r>
            <w:r>
              <w:rPr>
                <w:rFonts w:hint="eastAsia"/>
                <w:color w:val="000000" w:themeColor="text1"/>
                <w:sz w:val="24"/>
                <w14:textFill>
                  <w14:solidFill>
                    <w14:schemeClr w14:val="tx1"/>
                  </w14:solidFill>
                </w14:textFill>
              </w:rPr>
              <w:t>不在生态保护红线范围内，距离项目最近生态保护红线位于项目</w:t>
            </w:r>
            <w:r>
              <w:rPr>
                <w:rFonts w:hint="eastAsia"/>
                <w:color w:val="000000" w:themeColor="text1"/>
                <w:sz w:val="24"/>
                <w:lang w:val="en-US" w:eastAsia="zh-CN"/>
                <w14:textFill>
                  <w14:solidFill>
                    <w14:schemeClr w14:val="tx1"/>
                  </w14:solidFill>
                </w14:textFill>
              </w:rPr>
              <w:t>西北</w:t>
            </w:r>
            <w:r>
              <w:rPr>
                <w:rFonts w:hint="eastAsia"/>
                <w:color w:val="000000" w:themeColor="text1"/>
                <w:sz w:val="24"/>
                <w14:textFill>
                  <w14:solidFill>
                    <w14:schemeClr w14:val="tx1"/>
                  </w14:solidFill>
                </w14:textFill>
              </w:rPr>
              <w:t>侧</w:t>
            </w:r>
            <w:r>
              <w:rPr>
                <w:rFonts w:hint="eastAsia"/>
                <w:color w:val="000000" w:themeColor="text1"/>
                <w:sz w:val="24"/>
                <w:lang w:val="en-US" w:eastAsia="zh-CN"/>
                <w14:textFill>
                  <w14:solidFill>
                    <w14:schemeClr w14:val="tx1"/>
                  </w14:solidFill>
                </w14:textFill>
              </w:rPr>
              <w:t>901</w:t>
            </w:r>
            <w:r>
              <w:rPr>
                <w:rFonts w:hint="eastAsia"/>
                <w:color w:val="000000" w:themeColor="text1"/>
                <w:sz w:val="24"/>
                <w14:textFill>
                  <w14:solidFill>
                    <w14:schemeClr w14:val="tx1"/>
                  </w14:solidFill>
                </w14:textFill>
              </w:rPr>
              <w:t>m</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详见附图</w:t>
            </w:r>
            <w:r>
              <w:rPr>
                <w:rFonts w:hint="eastAsia"/>
                <w:color w:val="000000" w:themeColor="text1"/>
                <w:sz w:val="24"/>
                <w14:textFill>
                  <w14:solidFill>
                    <w14:schemeClr w14:val="tx1"/>
                  </w14:solidFill>
                </w14:textFill>
              </w:rPr>
              <w:t>；项目选址不属于自然保护地管控范围</w:t>
            </w:r>
            <w:r>
              <w:rPr>
                <w:rFonts w:hint="eastAsia"/>
                <w:color w:val="000000" w:themeColor="text1"/>
                <w:sz w:val="24"/>
                <w:lang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项目选址不属于一般生态空间范围</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w:t>
            </w:r>
          </w:p>
          <w:p w14:paraId="706E594E">
            <w:pPr>
              <w:pStyle w:val="18"/>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drawing>
                <wp:inline distT="0" distB="0" distL="114300" distR="114300">
                  <wp:extent cx="5132070" cy="3628390"/>
                  <wp:effectExtent l="0" t="0" r="11430" b="10160"/>
                  <wp:docPr id="69" name="图片 69" descr="一般管控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一般管控区"/>
                          <pic:cNvPicPr>
                            <a:picLocks noChangeAspect="1"/>
                          </pic:cNvPicPr>
                        </pic:nvPicPr>
                        <pic:blipFill>
                          <a:blip r:embed="rId10"/>
                          <a:stretch>
                            <a:fillRect/>
                          </a:stretch>
                        </pic:blipFill>
                        <pic:spPr>
                          <a:xfrm>
                            <a:off x="0" y="0"/>
                            <a:ext cx="5132070" cy="3628390"/>
                          </a:xfrm>
                          <a:prstGeom prst="rect">
                            <a:avLst/>
                          </a:prstGeom>
                        </pic:spPr>
                      </pic:pic>
                    </a:graphicData>
                  </a:graphic>
                </wp:inline>
              </w:drawing>
            </w:r>
          </w:p>
          <w:p w14:paraId="62DCD645">
            <w:pPr>
              <w:pStyle w:val="48"/>
              <w:widowControl w:val="0"/>
              <w:numPr>
                <w:ilvl w:val="0"/>
                <w:numId w:val="2"/>
              </w:numPr>
              <w:spacing w:line="360" w:lineRule="auto"/>
              <w:ind w:firstLineChars="0"/>
              <w:jc w:val="center"/>
              <w:rPr>
                <w:rFonts w:ascii="宋体" w:hAnsi="宋体" w:eastAsia="宋体"/>
                <w:b/>
                <w:color w:val="000000" w:themeColor="text1"/>
                <w:sz w:val="21"/>
                <w14:textFill>
                  <w14:solidFill>
                    <w14:schemeClr w14:val="tx1"/>
                  </w14:solidFill>
                </w14:textFill>
              </w:rPr>
            </w:pPr>
            <w:r>
              <w:rPr>
                <w:rFonts w:hint="eastAsia" w:ascii="宋体" w:hAnsi="宋体" w:eastAsia="宋体"/>
                <w:b/>
                <w:color w:val="000000" w:themeColor="text1"/>
                <w:sz w:val="21"/>
                <w14:textFill>
                  <w14:solidFill>
                    <w14:schemeClr w14:val="tx1"/>
                  </w14:solidFill>
                </w14:textFill>
              </w:rPr>
              <w:t>项目与一般</w:t>
            </w:r>
            <w:r>
              <w:rPr>
                <w:rFonts w:hint="eastAsia" w:ascii="宋体" w:hAnsi="宋体" w:eastAsia="宋体"/>
                <w:b/>
                <w:color w:val="000000" w:themeColor="text1"/>
                <w:sz w:val="21"/>
                <w:lang w:val="en-US" w:eastAsia="zh-CN"/>
                <w14:textFill>
                  <w14:solidFill>
                    <w14:schemeClr w14:val="tx1"/>
                  </w14:solidFill>
                </w14:textFill>
              </w:rPr>
              <w:t>管控区</w:t>
            </w:r>
            <w:r>
              <w:rPr>
                <w:rFonts w:hint="eastAsia" w:ascii="宋体" w:hAnsi="宋体" w:eastAsia="宋体"/>
                <w:b/>
                <w:color w:val="000000" w:themeColor="text1"/>
                <w:sz w:val="21"/>
                <w14:textFill>
                  <w14:solidFill>
                    <w14:schemeClr w14:val="tx1"/>
                  </w14:solidFill>
                </w14:textFill>
              </w:rPr>
              <w:t>位置关系示意图</w:t>
            </w:r>
          </w:p>
          <w:p w14:paraId="623E3634">
            <w:pPr>
              <w:spacing w:line="360" w:lineRule="auto"/>
              <w:jc w:val="center"/>
              <w:rPr>
                <w:rFonts w:hint="eastAsia" w:eastAsia="宋体"/>
                <w:color w:val="000000" w:themeColor="text1"/>
                <w:sz w:val="24"/>
                <w:lang w:eastAsia="zh-CN"/>
                <w14:textFill>
                  <w14:solidFill>
                    <w14:schemeClr w14:val="tx1"/>
                  </w14:solidFill>
                </w14:textFill>
              </w:rPr>
            </w:pPr>
            <w:r>
              <w:drawing>
                <wp:inline distT="0" distB="0" distL="114300" distR="114300">
                  <wp:extent cx="5137785" cy="3610610"/>
                  <wp:effectExtent l="0" t="0" r="5715" b="8890"/>
                  <wp:docPr id="7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6"/>
                          <pic:cNvPicPr>
                            <a:picLocks noChangeAspect="1"/>
                          </pic:cNvPicPr>
                        </pic:nvPicPr>
                        <pic:blipFill>
                          <a:blip r:embed="rId11"/>
                          <a:stretch>
                            <a:fillRect/>
                          </a:stretch>
                        </pic:blipFill>
                        <pic:spPr>
                          <a:xfrm>
                            <a:off x="0" y="0"/>
                            <a:ext cx="5137785" cy="3610610"/>
                          </a:xfrm>
                          <a:prstGeom prst="rect">
                            <a:avLst/>
                          </a:prstGeom>
                          <a:noFill/>
                          <a:ln>
                            <a:noFill/>
                          </a:ln>
                        </pic:spPr>
                      </pic:pic>
                    </a:graphicData>
                  </a:graphic>
                </wp:inline>
              </w:drawing>
            </w:r>
          </w:p>
          <w:p w14:paraId="323F10A2">
            <w:pPr>
              <w:pStyle w:val="48"/>
              <w:widowControl w:val="0"/>
              <w:numPr>
                <w:ilvl w:val="0"/>
                <w:numId w:val="2"/>
              </w:numPr>
              <w:spacing w:line="360" w:lineRule="auto"/>
              <w:ind w:firstLineChars="0"/>
              <w:jc w:val="center"/>
              <w:rPr>
                <w:rFonts w:ascii="宋体" w:hAnsi="宋体" w:eastAsia="宋体"/>
                <w:b/>
                <w:color w:val="000000" w:themeColor="text1"/>
                <w:sz w:val="21"/>
                <w14:textFill>
                  <w14:solidFill>
                    <w14:schemeClr w14:val="tx1"/>
                  </w14:solidFill>
                </w14:textFill>
              </w:rPr>
            </w:pPr>
            <w:r>
              <w:rPr>
                <w:rFonts w:hint="eastAsia" w:ascii="宋体" w:hAnsi="宋体" w:eastAsia="宋体"/>
                <w:b/>
                <w:color w:val="000000" w:themeColor="text1"/>
                <w:sz w:val="21"/>
                <w14:textFill>
                  <w14:solidFill>
                    <w14:schemeClr w14:val="tx1"/>
                  </w14:solidFill>
                </w14:textFill>
              </w:rPr>
              <w:t>项目与一般生态空间位置关系示意图</w:t>
            </w:r>
          </w:p>
          <w:p w14:paraId="2675CC25">
            <w:pPr>
              <w:spacing w:line="360" w:lineRule="auto"/>
              <w:ind w:firstLine="48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b</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水环境总体要求符合性</w:t>
            </w:r>
          </w:p>
          <w:p w14:paraId="1A4027C4">
            <w:pPr>
              <w:spacing w:line="360" w:lineRule="auto"/>
              <w:ind w:firstLine="480"/>
              <w:rPr>
                <w:rFonts w:hint="eastAsia" w:ascii="Times New Roman" w:hAnsi="Times New Roman" w:eastAsia="宋体" w:cs="Times New Roman"/>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项目与承德市生态环境分区管控-水环境总体要求符合性分析如下表</w:t>
            </w:r>
            <w:r>
              <w:rPr>
                <w:rFonts w:hint="eastAsia" w:ascii="Times New Roman" w:hAnsi="Times New Roman" w:eastAsia="宋体" w:cs="Times New Roman"/>
                <w:color w:val="000000" w:themeColor="text1"/>
                <w:sz w:val="24"/>
                <w14:textFill>
                  <w14:solidFill>
                    <w14:schemeClr w14:val="tx1"/>
                  </w14:solidFill>
                </w14:textFill>
              </w:rPr>
              <w:t>。</w:t>
            </w:r>
          </w:p>
          <w:p w14:paraId="2A425881">
            <w:pPr>
              <w:pStyle w:val="48"/>
              <w:numPr>
                <w:ilvl w:val="0"/>
                <w:numId w:val="3"/>
              </w:numPr>
              <w:spacing w:line="360" w:lineRule="auto"/>
              <w:ind w:left="902" w:firstLineChars="0"/>
              <w:jc w:val="center"/>
              <w:rPr>
                <w:rFonts w:ascii="Times New Roman" w:hAnsi="Times New Roman" w:eastAsia="宋体"/>
                <w:b/>
                <w:sz w:val="21"/>
                <w:szCs w:val="21"/>
              </w:rPr>
            </w:pPr>
            <w:r>
              <w:rPr>
                <w:rFonts w:hint="eastAsia" w:ascii="Times New Roman" w:hAnsi="Times New Roman" w:eastAsia="宋体"/>
                <w:b/>
                <w:bCs/>
                <w:sz w:val="21"/>
                <w:szCs w:val="21"/>
              </w:rPr>
              <w:t>承德市生态环境分区管控-水环境总体要求符合性分析一览表</w:t>
            </w:r>
          </w:p>
          <w:tbl>
            <w:tblPr>
              <w:tblStyle w:val="62"/>
              <w:tblW w:w="824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64"/>
              <w:gridCol w:w="4790"/>
              <w:gridCol w:w="2256"/>
              <w:gridCol w:w="531"/>
            </w:tblGrid>
            <w:tr w14:paraId="7B4067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7" w:hRule="atLeast"/>
                <w:jc w:val="center"/>
              </w:trPr>
              <w:tc>
                <w:tcPr>
                  <w:tcW w:w="664" w:type="dxa"/>
                  <w:vAlign w:val="center"/>
                </w:tcPr>
                <w:p w14:paraId="4E4A1F95">
                  <w:pPr>
                    <w:pStyle w:val="55"/>
                    <w:jc w:val="center"/>
                    <w:rPr>
                      <w:rFonts w:ascii="Times New Roman" w:hAnsi="Times New Roman" w:eastAsia="宋体" w:cs="Times New Roman"/>
                      <w:b/>
                      <w:sz w:val="21"/>
                      <w:szCs w:val="21"/>
                      <w:lang w:eastAsia="en-US"/>
                    </w:rPr>
                  </w:pPr>
                  <w:r>
                    <w:rPr>
                      <w:rFonts w:hint="eastAsia" w:ascii="Times New Roman" w:hAnsi="Times New Roman" w:eastAsia="宋体" w:cs="Times New Roman"/>
                      <w:b/>
                      <w:sz w:val="21"/>
                      <w:szCs w:val="21"/>
                      <w:lang w:eastAsia="zh-CN"/>
                    </w:rPr>
                    <w:t>维度</w:t>
                  </w:r>
                </w:p>
              </w:tc>
              <w:tc>
                <w:tcPr>
                  <w:tcW w:w="4790" w:type="dxa"/>
                  <w:vAlign w:val="center"/>
                </w:tcPr>
                <w:p w14:paraId="0CAA855A">
                  <w:pPr>
                    <w:pStyle w:val="55"/>
                    <w:jc w:val="center"/>
                    <w:rPr>
                      <w:rFonts w:ascii="Times New Roman" w:hAnsi="Times New Roman" w:eastAsia="宋体" w:cs="Times New Roman"/>
                      <w:b/>
                      <w:sz w:val="21"/>
                      <w:szCs w:val="21"/>
                      <w:lang w:eastAsia="en-US"/>
                    </w:rPr>
                  </w:pPr>
                  <w:r>
                    <w:rPr>
                      <w:rFonts w:hint="eastAsia" w:ascii="Times New Roman" w:hAnsi="Times New Roman" w:eastAsia="宋体" w:cs="Times New Roman"/>
                      <w:b/>
                      <w:sz w:val="21"/>
                      <w:szCs w:val="21"/>
                      <w:lang w:eastAsia="zh-CN"/>
                    </w:rPr>
                    <w:t>管控要求</w:t>
                  </w:r>
                </w:p>
              </w:tc>
              <w:tc>
                <w:tcPr>
                  <w:tcW w:w="2256" w:type="dxa"/>
                  <w:vAlign w:val="center"/>
                </w:tcPr>
                <w:p w14:paraId="04CA8898">
                  <w:pPr>
                    <w:pStyle w:val="55"/>
                    <w:jc w:val="center"/>
                    <w:rPr>
                      <w:rFonts w:ascii="Times New Roman" w:hAnsi="Times New Roman" w:eastAsia="宋体" w:cs="Times New Roman"/>
                      <w:b/>
                      <w:sz w:val="21"/>
                      <w:szCs w:val="21"/>
                      <w:lang w:eastAsia="en-US"/>
                    </w:rPr>
                  </w:pPr>
                  <w:r>
                    <w:rPr>
                      <w:rFonts w:ascii="Times New Roman" w:hAnsi="Times New Roman" w:eastAsia="宋体" w:cs="Times New Roman"/>
                      <w:b/>
                      <w:sz w:val="21"/>
                      <w:szCs w:val="21"/>
                      <w:lang w:eastAsia="zh-CN"/>
                    </w:rPr>
                    <w:t>项目符合性分析</w:t>
                  </w:r>
                </w:p>
              </w:tc>
              <w:tc>
                <w:tcPr>
                  <w:tcW w:w="531" w:type="dxa"/>
                  <w:vAlign w:val="center"/>
                </w:tcPr>
                <w:p w14:paraId="68E6D9DA">
                  <w:pPr>
                    <w:pStyle w:val="55"/>
                    <w:jc w:val="center"/>
                    <w:rPr>
                      <w:rFonts w:ascii="Times New Roman" w:hAnsi="Times New Roman" w:eastAsia="宋体" w:cs="Times New Roman"/>
                      <w:b/>
                      <w:sz w:val="21"/>
                      <w:szCs w:val="21"/>
                      <w:lang w:eastAsia="en-US"/>
                    </w:rPr>
                  </w:pPr>
                  <w:r>
                    <w:rPr>
                      <w:rFonts w:ascii="Times New Roman" w:hAnsi="Times New Roman" w:eastAsia="宋体" w:cs="Times New Roman"/>
                      <w:b/>
                      <w:sz w:val="21"/>
                      <w:szCs w:val="21"/>
                      <w:lang w:eastAsia="zh-CN"/>
                    </w:rPr>
                    <w:t>结论</w:t>
                  </w:r>
                </w:p>
              </w:tc>
            </w:tr>
            <w:tr w14:paraId="6F73052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2" w:hRule="atLeast"/>
                <w:jc w:val="center"/>
              </w:trPr>
              <w:tc>
                <w:tcPr>
                  <w:tcW w:w="664" w:type="dxa"/>
                  <w:vMerge w:val="restart"/>
                  <w:vAlign w:val="center"/>
                </w:tcPr>
                <w:p w14:paraId="70D32588">
                  <w:pPr>
                    <w:pStyle w:val="55"/>
                    <w:jc w:val="center"/>
                    <w:rPr>
                      <w:rFonts w:ascii="Times New Roman" w:hAnsi="Times New Roman" w:eastAsia="宋体" w:cs="Times New Roman"/>
                      <w:sz w:val="21"/>
                      <w:szCs w:val="21"/>
                      <w:lang w:eastAsia="en-US"/>
                    </w:rPr>
                  </w:pPr>
                  <w:r>
                    <w:rPr>
                      <w:rFonts w:ascii="Times New Roman" w:hAnsi="Times New Roman" w:eastAsia="宋体" w:cs="Times New Roman"/>
                      <w:sz w:val="21"/>
                      <w:szCs w:val="21"/>
                      <w:lang w:eastAsia="en-US"/>
                    </w:rPr>
                    <w:t>空间布局</w:t>
                  </w:r>
                  <w:r>
                    <w:rPr>
                      <w:rFonts w:hint="eastAsia" w:ascii="Times New Roman" w:hAnsi="Times New Roman" w:eastAsia="宋体" w:cs="Times New Roman"/>
                      <w:sz w:val="21"/>
                      <w:szCs w:val="21"/>
                      <w:lang w:eastAsia="zh-CN"/>
                    </w:rPr>
                    <w:t>约束</w:t>
                  </w:r>
                </w:p>
              </w:tc>
              <w:tc>
                <w:tcPr>
                  <w:tcW w:w="4790" w:type="dxa"/>
                  <w:vAlign w:val="center"/>
                </w:tcPr>
                <w:p w14:paraId="28B2A033">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1、</w:t>
                  </w:r>
                  <w:r>
                    <w:rPr>
                      <w:rFonts w:ascii="Times New Roman" w:hAnsi="Times New Roman" w:eastAsia="宋体" w:cs="Times New Roman"/>
                      <w:sz w:val="21"/>
                      <w:szCs w:val="21"/>
                      <w:lang w:eastAsia="zh-CN"/>
                    </w:rPr>
                    <w:t>饮用水源地保护区应遵循《河北省水资源管理条例》、《河北省水污染防治条例》等相关法律法规规定要求。</w:t>
                  </w:r>
                </w:p>
              </w:tc>
              <w:tc>
                <w:tcPr>
                  <w:tcW w:w="2256" w:type="dxa"/>
                  <w:vAlign w:val="center"/>
                </w:tcPr>
                <w:p w14:paraId="2D8EB48E">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项目不涉及饮用水源地保护区。</w:t>
                  </w:r>
                </w:p>
              </w:tc>
              <w:tc>
                <w:tcPr>
                  <w:tcW w:w="531" w:type="dxa"/>
                  <w:vMerge w:val="restart"/>
                  <w:vAlign w:val="center"/>
                </w:tcPr>
                <w:p w14:paraId="56B16B6C">
                  <w:pPr>
                    <w:pStyle w:val="55"/>
                    <w:jc w:val="center"/>
                    <w:rPr>
                      <w:rFonts w:ascii="Times New Roman" w:hAnsi="Times New Roman" w:eastAsia="宋体" w:cs="Times New Roman"/>
                      <w:sz w:val="21"/>
                      <w:szCs w:val="21"/>
                      <w:lang w:eastAsia="en-US"/>
                    </w:rPr>
                  </w:pPr>
                  <w:r>
                    <w:rPr>
                      <w:rFonts w:hint="eastAsia" w:ascii="Times New Roman" w:hAnsi="Times New Roman" w:eastAsia="宋体" w:cs="Times New Roman"/>
                      <w:sz w:val="21"/>
                      <w:szCs w:val="21"/>
                      <w:lang w:eastAsia="zh-CN"/>
                    </w:rPr>
                    <w:t>符合</w:t>
                  </w:r>
                </w:p>
              </w:tc>
            </w:tr>
            <w:tr w14:paraId="746DFD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664" w:type="dxa"/>
                  <w:vMerge w:val="continue"/>
                  <w:vAlign w:val="center"/>
                </w:tcPr>
                <w:p w14:paraId="597099CC">
                  <w:pPr>
                    <w:pStyle w:val="55"/>
                    <w:jc w:val="center"/>
                    <w:rPr>
                      <w:rFonts w:ascii="Times New Roman" w:hAnsi="Times New Roman" w:cs="Times New Roman" w:eastAsiaTheme="minorEastAsia"/>
                      <w:sz w:val="21"/>
                      <w:szCs w:val="21"/>
                      <w:highlight w:val="green"/>
                      <w:lang w:eastAsia="en-US"/>
                    </w:rPr>
                  </w:pPr>
                </w:p>
              </w:tc>
              <w:tc>
                <w:tcPr>
                  <w:tcW w:w="4790" w:type="dxa"/>
                  <w:vAlign w:val="center"/>
                </w:tcPr>
                <w:p w14:paraId="4FC908D1">
                  <w:pPr>
                    <w:pStyle w:val="55"/>
                    <w:jc w:val="both"/>
                    <w:rPr>
                      <w:rFonts w:ascii="Times New Roman" w:hAnsi="Times New Roman" w:cs="Times New Roman" w:eastAsiaTheme="minorEastAsia"/>
                      <w:sz w:val="21"/>
                      <w:szCs w:val="21"/>
                      <w:lang w:eastAsia="zh-CN"/>
                    </w:rPr>
                  </w:pPr>
                  <w:r>
                    <w:rPr>
                      <w:rFonts w:hint="eastAsia" w:ascii="Times New Roman" w:hAnsi="Times New Roman" w:eastAsia="宋体" w:cs="Times New Roman"/>
                      <w:sz w:val="21"/>
                      <w:szCs w:val="21"/>
                      <w:lang w:eastAsia="zh-CN"/>
                    </w:rPr>
                    <w:t>2、</w:t>
                  </w:r>
                  <w:r>
                    <w:rPr>
                      <w:rFonts w:ascii="Times New Roman" w:hAnsi="Times New Roman" w:eastAsia="宋体" w:cs="Times New Roman"/>
                      <w:sz w:val="21"/>
                      <w:szCs w:val="21"/>
                      <w:lang w:eastAsia="zh-CN"/>
                    </w:rPr>
                    <w:t>新建企业原则上均应建在工业集聚区。推进现有企业向依法合规设立、环保设施齐全、符合规划环评要求、满足水法律法规规定的工业集聚区集中，明确涉水工业企业入园时间表；确因不具备入园条件需原地保留的涉水工业企业，明确保留条件，其中直排环境企业应达到排入水体功能区标准。</w:t>
                  </w:r>
                </w:p>
              </w:tc>
              <w:tc>
                <w:tcPr>
                  <w:tcW w:w="2256" w:type="dxa"/>
                  <w:vAlign w:val="center"/>
                </w:tcPr>
                <w:p w14:paraId="6E640E5E">
                  <w:pPr>
                    <w:pStyle w:val="55"/>
                    <w:jc w:val="both"/>
                    <w:rPr>
                      <w:rFonts w:ascii="Times New Roman" w:hAnsi="Times New Roman" w:cs="Times New Roman" w:eastAsiaTheme="minorEastAsia"/>
                      <w:sz w:val="21"/>
                      <w:szCs w:val="21"/>
                      <w:lang w:eastAsia="zh-CN"/>
                    </w:rPr>
                  </w:pPr>
                  <w:r>
                    <w:rPr>
                      <w:rFonts w:hint="eastAsia" w:ascii="Times New Roman" w:hAnsi="Times New Roman" w:eastAsia="宋体" w:cs="Times New Roman"/>
                      <w:sz w:val="21"/>
                      <w:szCs w:val="21"/>
                      <w:lang w:eastAsia="zh-CN"/>
                    </w:rPr>
                    <w:t>项目位于</w:t>
                  </w:r>
                  <w:r>
                    <w:rPr>
                      <w:rFonts w:hint="eastAsia" w:ascii="Times New Roman" w:hAnsi="Times New Roman" w:cs="Times New Roman"/>
                      <w:sz w:val="21"/>
                      <w:szCs w:val="21"/>
                      <w:lang w:val="en-US" w:eastAsia="zh-CN"/>
                    </w:rPr>
                    <w:t>宽城满族自治县</w:t>
                  </w:r>
                  <w:r>
                    <w:rPr>
                      <w:rFonts w:hint="eastAsia" w:ascii="Times New Roman" w:hAnsi="Times New Roman" w:eastAsia="宋体" w:cs="Times New Roman"/>
                      <w:sz w:val="21"/>
                      <w:szCs w:val="21"/>
                      <w:lang w:eastAsia="zh-CN"/>
                    </w:rPr>
                    <w:t>经济开发区内。</w:t>
                  </w:r>
                </w:p>
              </w:tc>
              <w:tc>
                <w:tcPr>
                  <w:tcW w:w="531" w:type="dxa"/>
                  <w:vMerge w:val="continue"/>
                  <w:vAlign w:val="center"/>
                </w:tcPr>
                <w:p w14:paraId="0F882131">
                  <w:pPr>
                    <w:pStyle w:val="55"/>
                    <w:jc w:val="center"/>
                    <w:rPr>
                      <w:rFonts w:ascii="Times New Roman" w:hAnsi="Times New Roman" w:cs="Times New Roman" w:eastAsiaTheme="minorEastAsia"/>
                      <w:sz w:val="21"/>
                      <w:szCs w:val="21"/>
                      <w:highlight w:val="green"/>
                      <w:lang w:eastAsia="zh-CN"/>
                    </w:rPr>
                  </w:pPr>
                </w:p>
              </w:tc>
            </w:tr>
            <w:tr w14:paraId="0B3BCC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664" w:type="dxa"/>
                  <w:vMerge w:val="continue"/>
                  <w:vAlign w:val="center"/>
                </w:tcPr>
                <w:p w14:paraId="3AADEF92">
                  <w:pPr>
                    <w:pStyle w:val="55"/>
                    <w:jc w:val="center"/>
                    <w:rPr>
                      <w:rFonts w:ascii="Times New Roman" w:hAnsi="Times New Roman" w:cs="Times New Roman" w:eastAsiaTheme="minorEastAsia"/>
                      <w:szCs w:val="21"/>
                      <w:highlight w:val="green"/>
                      <w:lang w:eastAsia="zh-CN"/>
                    </w:rPr>
                  </w:pPr>
                </w:p>
              </w:tc>
              <w:tc>
                <w:tcPr>
                  <w:tcW w:w="4790" w:type="dxa"/>
                  <w:vAlign w:val="center"/>
                </w:tcPr>
                <w:p w14:paraId="3DCC8F14">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3、</w:t>
                  </w:r>
                  <w:r>
                    <w:rPr>
                      <w:rFonts w:ascii="Times New Roman" w:hAnsi="Times New Roman" w:eastAsia="宋体" w:cs="Times New Roman"/>
                      <w:sz w:val="21"/>
                      <w:szCs w:val="21"/>
                      <w:lang w:eastAsia="zh-CN"/>
                    </w:rPr>
                    <w:t>各产业集聚区内应限制建设不符合产业定位的项目。</w:t>
                  </w:r>
                </w:p>
              </w:tc>
              <w:tc>
                <w:tcPr>
                  <w:tcW w:w="2256" w:type="dxa"/>
                  <w:vAlign w:val="center"/>
                </w:tcPr>
                <w:p w14:paraId="6B99C057">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项目符合开发区产业定位。</w:t>
                  </w:r>
                </w:p>
              </w:tc>
              <w:tc>
                <w:tcPr>
                  <w:tcW w:w="531" w:type="dxa"/>
                  <w:vMerge w:val="continue"/>
                  <w:vAlign w:val="center"/>
                </w:tcPr>
                <w:p w14:paraId="0474ADCA">
                  <w:pPr>
                    <w:pStyle w:val="55"/>
                    <w:jc w:val="center"/>
                    <w:rPr>
                      <w:rFonts w:ascii="Times New Roman" w:hAnsi="Times New Roman" w:cs="Times New Roman" w:eastAsiaTheme="minorEastAsia"/>
                      <w:sz w:val="21"/>
                      <w:szCs w:val="21"/>
                      <w:highlight w:val="green"/>
                      <w:lang w:eastAsia="zh-CN"/>
                    </w:rPr>
                  </w:pPr>
                </w:p>
              </w:tc>
            </w:tr>
            <w:tr w14:paraId="43D376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664" w:type="dxa"/>
                  <w:vMerge w:val="continue"/>
                  <w:vAlign w:val="center"/>
                </w:tcPr>
                <w:p w14:paraId="101A002B">
                  <w:pPr>
                    <w:pStyle w:val="55"/>
                    <w:jc w:val="center"/>
                    <w:rPr>
                      <w:rFonts w:ascii="Times New Roman" w:hAnsi="Times New Roman" w:cs="Times New Roman" w:eastAsiaTheme="minorEastAsia"/>
                      <w:szCs w:val="21"/>
                      <w:highlight w:val="green"/>
                      <w:lang w:eastAsia="zh-CN"/>
                    </w:rPr>
                  </w:pPr>
                </w:p>
              </w:tc>
              <w:tc>
                <w:tcPr>
                  <w:tcW w:w="4790" w:type="dxa"/>
                  <w:vAlign w:val="center"/>
                </w:tcPr>
                <w:p w14:paraId="508522B3">
                  <w:pPr>
                    <w:pStyle w:val="55"/>
                    <w:jc w:val="both"/>
                    <w:rPr>
                      <w:rFonts w:ascii="Times New Roman" w:hAnsi="Times New Roman" w:cs="Times New Roman" w:eastAsiaTheme="minorEastAsia"/>
                      <w:sz w:val="21"/>
                      <w:szCs w:val="21"/>
                      <w:lang w:eastAsia="zh-CN"/>
                    </w:rPr>
                  </w:pPr>
                  <w:r>
                    <w:rPr>
                      <w:rFonts w:hint="eastAsia" w:ascii="Times New Roman" w:hAnsi="Times New Roman" w:eastAsia="宋体" w:cs="Times New Roman"/>
                      <w:sz w:val="21"/>
                      <w:szCs w:val="21"/>
                      <w:lang w:eastAsia="zh-CN"/>
                    </w:rPr>
                    <w:t>4、</w:t>
                  </w:r>
                  <w:r>
                    <w:rPr>
                      <w:rFonts w:ascii="Times New Roman" w:hAnsi="Times New Roman" w:eastAsia="宋体" w:cs="Times New Roman"/>
                      <w:sz w:val="21"/>
                      <w:szCs w:val="21"/>
                      <w:lang w:eastAsia="zh-CN"/>
                    </w:rPr>
                    <w:t>禁止向水域倾倒工业废渣、城市垃圾、粪便及其它废弃物。</w:t>
                  </w:r>
                </w:p>
              </w:tc>
              <w:tc>
                <w:tcPr>
                  <w:tcW w:w="2256" w:type="dxa"/>
                  <w:vAlign w:val="center"/>
                </w:tcPr>
                <w:p w14:paraId="1E9105E5">
                  <w:pPr>
                    <w:pStyle w:val="55"/>
                    <w:jc w:val="both"/>
                    <w:rPr>
                      <w:rFonts w:ascii="Times New Roman" w:hAnsi="Times New Roman" w:cs="Times New Roman" w:eastAsiaTheme="minorEastAsia"/>
                      <w:sz w:val="21"/>
                      <w:szCs w:val="21"/>
                      <w:lang w:eastAsia="zh-CN"/>
                    </w:rPr>
                  </w:pPr>
                  <w:r>
                    <w:rPr>
                      <w:rFonts w:hint="eastAsia" w:ascii="Times New Roman" w:hAnsi="Times New Roman" w:eastAsia="宋体" w:cs="Times New Roman"/>
                      <w:sz w:val="21"/>
                      <w:szCs w:val="21"/>
                      <w:lang w:eastAsia="zh-CN"/>
                    </w:rPr>
                    <w:t>项目固体废物均妥善处置，不涉及向水域倾倒。</w:t>
                  </w:r>
                </w:p>
              </w:tc>
              <w:tc>
                <w:tcPr>
                  <w:tcW w:w="531" w:type="dxa"/>
                  <w:vMerge w:val="continue"/>
                  <w:vAlign w:val="center"/>
                </w:tcPr>
                <w:p w14:paraId="3C9BE601">
                  <w:pPr>
                    <w:pStyle w:val="55"/>
                    <w:jc w:val="center"/>
                    <w:rPr>
                      <w:rFonts w:ascii="Times New Roman" w:hAnsi="Times New Roman" w:cs="Times New Roman" w:eastAsiaTheme="minorEastAsia"/>
                      <w:sz w:val="21"/>
                      <w:szCs w:val="21"/>
                      <w:highlight w:val="green"/>
                      <w:lang w:eastAsia="zh-CN"/>
                    </w:rPr>
                  </w:pPr>
                </w:p>
              </w:tc>
            </w:tr>
            <w:tr w14:paraId="4A2877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664" w:type="dxa"/>
                  <w:vMerge w:val="continue"/>
                  <w:vAlign w:val="center"/>
                </w:tcPr>
                <w:p w14:paraId="2279BB4D">
                  <w:pPr>
                    <w:pStyle w:val="55"/>
                    <w:jc w:val="center"/>
                    <w:rPr>
                      <w:rFonts w:ascii="Times New Roman" w:hAnsi="Times New Roman" w:cs="Times New Roman" w:eastAsiaTheme="minorEastAsia"/>
                      <w:szCs w:val="21"/>
                      <w:highlight w:val="green"/>
                      <w:lang w:eastAsia="zh-CN"/>
                    </w:rPr>
                  </w:pPr>
                </w:p>
              </w:tc>
              <w:tc>
                <w:tcPr>
                  <w:tcW w:w="4790" w:type="dxa"/>
                  <w:vAlign w:val="center"/>
                </w:tcPr>
                <w:p w14:paraId="33134C25">
                  <w:pPr>
                    <w:pStyle w:val="55"/>
                    <w:jc w:val="both"/>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5</w:t>
                  </w:r>
                  <w:r>
                    <w:rPr>
                      <w:rFonts w:hint="eastAsia" w:ascii="Times New Roman" w:hAnsi="Times New Roman" w:eastAsia="宋体" w:cs="Times New Roman"/>
                      <w:sz w:val="21"/>
                      <w:szCs w:val="21"/>
                      <w:lang w:eastAsia="zh-CN"/>
                    </w:rPr>
                    <w:t>、</w:t>
                  </w:r>
                  <w:r>
                    <w:rPr>
                      <w:rFonts w:ascii="Times New Roman" w:hAnsi="Times New Roman" w:eastAsia="宋体" w:cs="Times New Roman"/>
                      <w:sz w:val="21"/>
                      <w:szCs w:val="21"/>
                      <w:lang w:eastAsia="zh-CN"/>
                    </w:rPr>
                    <w:t>科学划定禁养区、限养区，禁止在禁养区内新建、改扩建各类畜禽养殖场，现有项目应限期搬迁。</w:t>
                  </w:r>
                </w:p>
              </w:tc>
              <w:tc>
                <w:tcPr>
                  <w:tcW w:w="2256" w:type="dxa"/>
                  <w:vAlign w:val="center"/>
                </w:tcPr>
                <w:p w14:paraId="065CF2C0">
                  <w:pPr>
                    <w:pStyle w:val="55"/>
                    <w:jc w:val="both"/>
                    <w:rPr>
                      <w:rFonts w:ascii="Times New Roman" w:hAnsi="Times New Roman" w:cs="Times New Roman" w:eastAsiaTheme="minorEastAsia"/>
                      <w:sz w:val="21"/>
                      <w:szCs w:val="21"/>
                      <w:lang w:eastAsia="zh-CN"/>
                    </w:rPr>
                  </w:pPr>
                  <w:r>
                    <w:rPr>
                      <w:rFonts w:hint="eastAsia" w:ascii="Times New Roman" w:hAnsi="Times New Roman" w:eastAsia="宋体" w:cs="Times New Roman"/>
                      <w:sz w:val="21"/>
                      <w:szCs w:val="21"/>
                      <w:lang w:eastAsia="zh-CN"/>
                    </w:rPr>
                    <w:t>项目不属于养殖类项目。</w:t>
                  </w:r>
                </w:p>
              </w:tc>
              <w:tc>
                <w:tcPr>
                  <w:tcW w:w="531" w:type="dxa"/>
                  <w:vMerge w:val="continue"/>
                  <w:vAlign w:val="center"/>
                </w:tcPr>
                <w:p w14:paraId="36D951EB">
                  <w:pPr>
                    <w:pStyle w:val="55"/>
                    <w:jc w:val="center"/>
                    <w:rPr>
                      <w:rFonts w:ascii="Times New Roman" w:hAnsi="Times New Roman" w:cs="Times New Roman" w:eastAsiaTheme="minorEastAsia"/>
                      <w:sz w:val="21"/>
                      <w:szCs w:val="21"/>
                      <w:highlight w:val="green"/>
                      <w:lang w:eastAsia="zh-CN"/>
                    </w:rPr>
                  </w:pPr>
                </w:p>
              </w:tc>
            </w:tr>
            <w:tr w14:paraId="5D1575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664" w:type="dxa"/>
                  <w:vMerge w:val="continue"/>
                  <w:vAlign w:val="center"/>
                </w:tcPr>
                <w:p w14:paraId="0D81BAAC">
                  <w:pPr>
                    <w:pStyle w:val="55"/>
                    <w:jc w:val="center"/>
                    <w:rPr>
                      <w:rFonts w:ascii="Times New Roman" w:hAnsi="Times New Roman" w:cs="Times New Roman" w:eastAsiaTheme="minorEastAsia"/>
                      <w:szCs w:val="21"/>
                      <w:highlight w:val="green"/>
                      <w:lang w:eastAsia="zh-CN"/>
                    </w:rPr>
                  </w:pPr>
                </w:p>
              </w:tc>
              <w:tc>
                <w:tcPr>
                  <w:tcW w:w="4790" w:type="dxa"/>
                  <w:vAlign w:val="center"/>
                </w:tcPr>
                <w:p w14:paraId="44E31CE5">
                  <w:pPr>
                    <w:pStyle w:val="55"/>
                    <w:jc w:val="both"/>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6、</w:t>
                  </w:r>
                  <w:r>
                    <w:rPr>
                      <w:rFonts w:ascii="Times New Roman" w:hAnsi="Times New Roman" w:eastAsia="宋体" w:cs="Times New Roman"/>
                      <w:sz w:val="21"/>
                      <w:szCs w:val="21"/>
                      <w:lang w:eastAsia="zh-CN"/>
                    </w:rPr>
                    <w:t>新建冶金、电镀、有色金属、化工、印染、制革、原料药制造等企业，原则上布局在符合产业定位的园区，其排放的污水由园区污水处理厂集中处理。</w:t>
                  </w:r>
                </w:p>
              </w:tc>
              <w:tc>
                <w:tcPr>
                  <w:tcW w:w="2256" w:type="dxa"/>
                  <w:vAlign w:val="center"/>
                </w:tcPr>
                <w:p w14:paraId="57D850CF">
                  <w:pPr>
                    <w:pStyle w:val="55"/>
                    <w:jc w:val="both"/>
                    <w:rPr>
                      <w:rFonts w:ascii="Times New Roman" w:hAnsi="Times New Roman" w:cs="Times New Roman" w:eastAsiaTheme="minorEastAsia"/>
                      <w:sz w:val="21"/>
                      <w:szCs w:val="21"/>
                      <w:lang w:eastAsia="zh-CN"/>
                    </w:rPr>
                  </w:pPr>
                  <w:r>
                    <w:rPr>
                      <w:rFonts w:hint="eastAsia" w:ascii="Times New Roman" w:hAnsi="Times New Roman" w:eastAsia="宋体" w:cs="Times New Roman"/>
                      <w:sz w:val="21"/>
                      <w:szCs w:val="21"/>
                      <w:lang w:eastAsia="zh-CN"/>
                    </w:rPr>
                    <w:t>项目不属于</w:t>
                  </w:r>
                  <w:r>
                    <w:rPr>
                      <w:rFonts w:ascii="Times New Roman" w:hAnsi="Times New Roman" w:eastAsia="宋体" w:cs="Times New Roman"/>
                      <w:sz w:val="21"/>
                      <w:szCs w:val="21"/>
                      <w:lang w:eastAsia="zh-CN"/>
                    </w:rPr>
                    <w:t>冶金、电镀、有色金属、化工、印染、制革、原料药制造</w:t>
                  </w:r>
                  <w:r>
                    <w:rPr>
                      <w:rFonts w:hint="eastAsia" w:ascii="Times New Roman" w:hAnsi="Times New Roman" w:eastAsia="宋体" w:cs="Times New Roman"/>
                      <w:sz w:val="21"/>
                      <w:szCs w:val="21"/>
                      <w:lang w:eastAsia="zh-CN"/>
                    </w:rPr>
                    <w:t>等项目。</w:t>
                  </w:r>
                </w:p>
              </w:tc>
              <w:tc>
                <w:tcPr>
                  <w:tcW w:w="531" w:type="dxa"/>
                  <w:vMerge w:val="continue"/>
                  <w:vAlign w:val="center"/>
                </w:tcPr>
                <w:p w14:paraId="20A10A50">
                  <w:pPr>
                    <w:pStyle w:val="55"/>
                    <w:jc w:val="center"/>
                    <w:rPr>
                      <w:rFonts w:ascii="Times New Roman" w:hAnsi="Times New Roman" w:cs="Times New Roman" w:eastAsiaTheme="minorEastAsia"/>
                      <w:sz w:val="21"/>
                      <w:szCs w:val="21"/>
                      <w:highlight w:val="green"/>
                      <w:lang w:eastAsia="zh-CN"/>
                    </w:rPr>
                  </w:pPr>
                </w:p>
              </w:tc>
            </w:tr>
            <w:tr w14:paraId="4775B8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664" w:type="dxa"/>
                  <w:vMerge w:val="continue"/>
                  <w:vAlign w:val="center"/>
                </w:tcPr>
                <w:p w14:paraId="1B3F2DEE">
                  <w:pPr>
                    <w:pStyle w:val="55"/>
                    <w:jc w:val="center"/>
                    <w:rPr>
                      <w:rFonts w:ascii="Times New Roman" w:hAnsi="Times New Roman" w:cs="Times New Roman" w:eastAsiaTheme="minorEastAsia"/>
                      <w:szCs w:val="21"/>
                      <w:highlight w:val="green"/>
                      <w:lang w:eastAsia="zh-CN"/>
                    </w:rPr>
                  </w:pPr>
                </w:p>
              </w:tc>
              <w:tc>
                <w:tcPr>
                  <w:tcW w:w="4790" w:type="dxa"/>
                  <w:vAlign w:val="center"/>
                </w:tcPr>
                <w:p w14:paraId="61D1C09A">
                  <w:pPr>
                    <w:pStyle w:val="55"/>
                    <w:jc w:val="both"/>
                    <w:rPr>
                      <w:rFonts w:ascii="Times New Roman" w:hAnsi="Times New Roman" w:cs="Times New Roman" w:eastAsiaTheme="minorEastAsia"/>
                      <w:sz w:val="21"/>
                      <w:szCs w:val="21"/>
                      <w:lang w:eastAsia="zh-CN"/>
                    </w:rPr>
                  </w:pPr>
                  <w:r>
                    <w:rPr>
                      <w:rFonts w:hint="eastAsia" w:ascii="Times New Roman" w:hAnsi="Times New Roman" w:eastAsia="宋体" w:cs="Times New Roman"/>
                      <w:sz w:val="21"/>
                      <w:szCs w:val="21"/>
                      <w:lang w:eastAsia="zh-CN"/>
                    </w:rPr>
                    <w:t>7、</w:t>
                  </w:r>
                  <w:r>
                    <w:rPr>
                      <w:rFonts w:ascii="Times New Roman" w:hAnsi="Times New Roman" w:eastAsia="宋体" w:cs="Times New Roman"/>
                      <w:sz w:val="21"/>
                      <w:szCs w:val="21"/>
                      <w:lang w:eastAsia="zh-CN"/>
                    </w:rPr>
                    <w:t>一般工业固体废物贮存场、填埋场不得选在生态保护红线区域、永久基本农田集中区域和其他需要特别保护的区域内，应避开活动断层、溶洞区、天然滑坡或泥石流影响区以及湿地等区域，不得选在江河、湖泊、运河、渠道、水库最高水位线以下的滩地和岸坡，以及国家和地方长远规划中的水库等人工蓄水设施的淹没区和保护区之内。</w:t>
                  </w:r>
                </w:p>
              </w:tc>
              <w:tc>
                <w:tcPr>
                  <w:tcW w:w="2256" w:type="dxa"/>
                  <w:vAlign w:val="center"/>
                </w:tcPr>
                <w:p w14:paraId="46D6B62D">
                  <w:pPr>
                    <w:pStyle w:val="55"/>
                    <w:jc w:val="both"/>
                    <w:rPr>
                      <w:rFonts w:ascii="Times New Roman" w:hAnsi="Times New Roman" w:cs="Times New Roman" w:eastAsiaTheme="minorEastAsia"/>
                      <w:sz w:val="21"/>
                      <w:szCs w:val="21"/>
                      <w:lang w:eastAsia="zh-CN"/>
                    </w:rPr>
                  </w:pPr>
                  <w:r>
                    <w:rPr>
                      <w:rFonts w:hint="eastAsia" w:ascii="Times New Roman" w:hAnsi="Times New Roman" w:eastAsia="宋体" w:cs="Times New Roman"/>
                      <w:sz w:val="21"/>
                      <w:szCs w:val="21"/>
                      <w:lang w:eastAsia="zh-CN"/>
                    </w:rPr>
                    <w:t>项目不属于一般工业固体废物贮存场、填埋场。</w:t>
                  </w:r>
                </w:p>
              </w:tc>
              <w:tc>
                <w:tcPr>
                  <w:tcW w:w="531" w:type="dxa"/>
                  <w:vMerge w:val="continue"/>
                  <w:vAlign w:val="center"/>
                </w:tcPr>
                <w:p w14:paraId="3617BB35">
                  <w:pPr>
                    <w:pStyle w:val="55"/>
                    <w:jc w:val="center"/>
                    <w:rPr>
                      <w:rFonts w:ascii="Times New Roman" w:hAnsi="Times New Roman" w:cs="Times New Roman" w:eastAsiaTheme="minorEastAsia"/>
                      <w:sz w:val="21"/>
                      <w:szCs w:val="21"/>
                      <w:highlight w:val="green"/>
                      <w:lang w:eastAsia="zh-CN"/>
                    </w:rPr>
                  </w:pPr>
                </w:p>
              </w:tc>
            </w:tr>
            <w:tr w14:paraId="2CACDF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 w:hRule="atLeast"/>
                <w:jc w:val="center"/>
              </w:trPr>
              <w:tc>
                <w:tcPr>
                  <w:tcW w:w="664" w:type="dxa"/>
                  <w:vMerge w:val="restart"/>
                  <w:vAlign w:val="center"/>
                </w:tcPr>
                <w:p w14:paraId="6F4411E2">
                  <w:pPr>
                    <w:pStyle w:val="55"/>
                    <w:jc w:val="center"/>
                    <w:rPr>
                      <w:rFonts w:ascii="Times New Roman" w:hAnsi="Times New Roman" w:eastAsia="宋体" w:cs="Times New Roman"/>
                      <w:szCs w:val="21"/>
                      <w:lang w:eastAsia="en-US"/>
                    </w:rPr>
                  </w:pPr>
                  <w:r>
                    <w:rPr>
                      <w:rFonts w:hint="eastAsia" w:ascii="Times New Roman" w:hAnsi="Times New Roman" w:eastAsia="宋体" w:cs="Times New Roman"/>
                      <w:sz w:val="21"/>
                      <w:szCs w:val="21"/>
                      <w:lang w:eastAsia="en-US"/>
                    </w:rPr>
                    <w:t>污染物排放管控</w:t>
                  </w:r>
                </w:p>
              </w:tc>
              <w:tc>
                <w:tcPr>
                  <w:tcW w:w="4790" w:type="dxa"/>
                  <w:vAlign w:val="center"/>
                </w:tcPr>
                <w:p w14:paraId="216EEE62">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1、禁止建设不符合国家产业政策和行业准入条件的工业项目。</w:t>
                  </w:r>
                </w:p>
              </w:tc>
              <w:tc>
                <w:tcPr>
                  <w:tcW w:w="2256" w:type="dxa"/>
                  <w:vAlign w:val="center"/>
                </w:tcPr>
                <w:p w14:paraId="37BBF301">
                  <w:pPr>
                    <w:pStyle w:val="55"/>
                    <w:jc w:val="both"/>
                    <w:rPr>
                      <w:rFonts w:ascii="Times New Roman" w:hAnsi="Times New Roman" w:eastAsia="宋体" w:cs="Times New Roman"/>
                      <w:sz w:val="21"/>
                      <w:szCs w:val="21"/>
                      <w:highlight w:val="green"/>
                      <w:lang w:eastAsia="zh-CN"/>
                    </w:rPr>
                  </w:pPr>
                  <w:r>
                    <w:rPr>
                      <w:rFonts w:hint="eastAsia" w:ascii="Times New Roman" w:hAnsi="Times New Roman" w:eastAsia="宋体" w:cs="Times New Roman"/>
                      <w:sz w:val="21"/>
                      <w:szCs w:val="21"/>
                      <w:lang w:eastAsia="zh-CN"/>
                    </w:rPr>
                    <w:t>项目属于《产业结构调整指导目录（2024年本）》中的允许类项目</w:t>
                  </w:r>
                  <w:r>
                    <w:rPr>
                      <w:rFonts w:hint="eastAsia" w:ascii="Times New Roman" w:hAnsi="Times New Roman" w:eastAsia="宋体" w:cs="Times New Roman"/>
                      <w:sz w:val="21"/>
                      <w:szCs w:val="21"/>
                      <w:highlight w:val="none"/>
                      <w:lang w:eastAsia="zh-CN"/>
                    </w:rPr>
                    <w:t>，已取得宽城满族自治县数据和政务服务局出具的备案文件（宽数政备字〔2024〕</w:t>
                  </w:r>
                  <w:r>
                    <w:rPr>
                      <w:rFonts w:hint="eastAsia" w:ascii="Times New Roman" w:hAnsi="Times New Roman" w:cs="Times New Roman"/>
                      <w:sz w:val="21"/>
                      <w:szCs w:val="21"/>
                      <w:highlight w:val="none"/>
                      <w:lang w:val="en-US" w:eastAsia="zh-CN"/>
                    </w:rPr>
                    <w:t>204</w:t>
                  </w:r>
                  <w:r>
                    <w:rPr>
                      <w:rFonts w:hint="eastAsia" w:ascii="Times New Roman" w:hAnsi="Times New Roman" w:eastAsia="宋体" w:cs="Times New Roman"/>
                      <w:sz w:val="21"/>
                      <w:szCs w:val="21"/>
                      <w:highlight w:val="none"/>
                      <w:lang w:eastAsia="zh-CN"/>
                    </w:rPr>
                    <w:t>号），符合产业政策要求</w:t>
                  </w:r>
                </w:p>
              </w:tc>
              <w:tc>
                <w:tcPr>
                  <w:tcW w:w="531" w:type="dxa"/>
                  <w:vMerge w:val="restart"/>
                  <w:vAlign w:val="center"/>
                </w:tcPr>
                <w:p w14:paraId="40663931">
                  <w:pPr>
                    <w:pStyle w:val="55"/>
                    <w:jc w:val="center"/>
                    <w:rPr>
                      <w:rFonts w:ascii="Times New Roman" w:hAnsi="Times New Roman" w:eastAsia="宋体" w:cs="Times New Roman"/>
                      <w:sz w:val="21"/>
                      <w:szCs w:val="21"/>
                      <w:highlight w:val="green"/>
                      <w:lang w:eastAsia="zh-CN"/>
                    </w:rPr>
                  </w:pPr>
                  <w:r>
                    <w:rPr>
                      <w:rFonts w:hint="eastAsia" w:ascii="Times New Roman" w:hAnsi="Times New Roman" w:eastAsia="宋体" w:cs="Times New Roman"/>
                      <w:sz w:val="21"/>
                      <w:szCs w:val="21"/>
                      <w:lang w:eastAsia="zh-CN"/>
                    </w:rPr>
                    <w:t>符合</w:t>
                  </w:r>
                </w:p>
              </w:tc>
            </w:tr>
            <w:tr w14:paraId="3F7D8F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0E821004">
                  <w:pPr>
                    <w:pStyle w:val="55"/>
                    <w:jc w:val="center"/>
                    <w:rPr>
                      <w:rFonts w:ascii="Times New Roman" w:hAnsi="Times New Roman" w:cs="Times New Roman" w:eastAsiaTheme="minorEastAsia"/>
                      <w:szCs w:val="21"/>
                      <w:lang w:eastAsia="zh-CN"/>
                    </w:rPr>
                  </w:pPr>
                </w:p>
              </w:tc>
              <w:tc>
                <w:tcPr>
                  <w:tcW w:w="4790" w:type="dxa"/>
                  <w:vAlign w:val="center"/>
                </w:tcPr>
                <w:p w14:paraId="2EAD2A0B">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2、</w:t>
                  </w:r>
                  <w:r>
                    <w:rPr>
                      <w:rFonts w:ascii="Times New Roman" w:hAnsi="Times New Roman" w:eastAsia="宋体" w:cs="Times New Roman"/>
                      <w:sz w:val="21"/>
                      <w:szCs w:val="21"/>
                      <w:lang w:eastAsia="zh-CN"/>
                    </w:rPr>
                    <w:t>现有及新建企业污染排放应满足排污可证要求。未发放排污许可证工业企业满足行业排放标准与总量控制要求。规定期限内未获得排污许可证的企业应关停退出。</w:t>
                  </w:r>
                </w:p>
              </w:tc>
              <w:tc>
                <w:tcPr>
                  <w:tcW w:w="2256" w:type="dxa"/>
                  <w:vAlign w:val="center"/>
                </w:tcPr>
                <w:p w14:paraId="4432B180">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项目污染物排放满足行业排放标准与总量控制要求</w:t>
                  </w:r>
                </w:p>
              </w:tc>
              <w:tc>
                <w:tcPr>
                  <w:tcW w:w="531" w:type="dxa"/>
                  <w:vMerge w:val="continue"/>
                  <w:vAlign w:val="center"/>
                </w:tcPr>
                <w:p w14:paraId="67D05C9B">
                  <w:pPr>
                    <w:pStyle w:val="55"/>
                    <w:jc w:val="both"/>
                    <w:rPr>
                      <w:rFonts w:ascii="Times New Roman" w:hAnsi="Times New Roman" w:cs="Times New Roman" w:eastAsiaTheme="minorEastAsia"/>
                      <w:sz w:val="21"/>
                      <w:szCs w:val="21"/>
                      <w:highlight w:val="green"/>
                      <w:lang w:eastAsia="zh-CN"/>
                    </w:rPr>
                  </w:pPr>
                </w:p>
              </w:tc>
            </w:tr>
            <w:tr w14:paraId="6191DC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4EFFE893">
                  <w:pPr>
                    <w:pStyle w:val="55"/>
                    <w:jc w:val="center"/>
                    <w:rPr>
                      <w:rFonts w:ascii="Times New Roman" w:hAnsi="Times New Roman" w:cs="Times New Roman" w:eastAsiaTheme="minorEastAsia"/>
                      <w:szCs w:val="21"/>
                      <w:lang w:eastAsia="zh-CN"/>
                    </w:rPr>
                  </w:pPr>
                </w:p>
              </w:tc>
              <w:tc>
                <w:tcPr>
                  <w:tcW w:w="4790" w:type="dxa"/>
                  <w:vAlign w:val="center"/>
                </w:tcPr>
                <w:p w14:paraId="4A8A41F8">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3、造纸、焦化、氮肥、石油化工、印染、农副食品加工、原料药制造、制革、农药、电镀等“十大”重点行业，新建、改建、扩建项目实行新增主要污染物排放倍量替换。</w:t>
                  </w:r>
                </w:p>
              </w:tc>
              <w:tc>
                <w:tcPr>
                  <w:tcW w:w="2256" w:type="dxa"/>
                  <w:vAlign w:val="center"/>
                </w:tcPr>
                <w:p w14:paraId="35119685">
                  <w:pPr>
                    <w:pStyle w:val="55"/>
                    <w:jc w:val="both"/>
                    <w:rPr>
                      <w:rFonts w:ascii="Times New Roman" w:hAnsi="Times New Roman" w:eastAsia="宋体" w:cs="Times New Roman"/>
                      <w:sz w:val="21"/>
                      <w:szCs w:val="21"/>
                      <w:highlight w:val="green"/>
                      <w:lang w:eastAsia="zh-CN"/>
                    </w:rPr>
                  </w:pPr>
                  <w:r>
                    <w:rPr>
                      <w:rFonts w:hint="eastAsia" w:ascii="Times New Roman" w:hAnsi="Times New Roman" w:eastAsia="宋体" w:cs="Times New Roman"/>
                      <w:sz w:val="21"/>
                      <w:szCs w:val="21"/>
                      <w:lang w:eastAsia="zh-CN"/>
                    </w:rPr>
                    <w:t>项目不属于：“造纸、焦化、氮肥、石油化工、印染、农副食品加工、原料药制造、制革、农药、电镀等“十大”重点行业”</w:t>
                  </w:r>
                </w:p>
              </w:tc>
              <w:tc>
                <w:tcPr>
                  <w:tcW w:w="531" w:type="dxa"/>
                  <w:vMerge w:val="continue"/>
                  <w:vAlign w:val="center"/>
                </w:tcPr>
                <w:p w14:paraId="7EC83478">
                  <w:pPr>
                    <w:pStyle w:val="55"/>
                    <w:jc w:val="both"/>
                    <w:rPr>
                      <w:rFonts w:ascii="Times New Roman" w:hAnsi="Times New Roman" w:cs="Times New Roman" w:eastAsiaTheme="minorEastAsia"/>
                      <w:sz w:val="21"/>
                      <w:szCs w:val="21"/>
                      <w:highlight w:val="green"/>
                      <w:lang w:eastAsia="zh-CN"/>
                    </w:rPr>
                  </w:pPr>
                </w:p>
              </w:tc>
            </w:tr>
            <w:tr w14:paraId="2F4DCC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33CD8C3C">
                  <w:pPr>
                    <w:pStyle w:val="55"/>
                    <w:jc w:val="center"/>
                    <w:rPr>
                      <w:rFonts w:ascii="Times New Roman" w:hAnsi="Times New Roman" w:cs="Times New Roman" w:eastAsiaTheme="minorEastAsia"/>
                      <w:szCs w:val="21"/>
                      <w:highlight w:val="green"/>
                      <w:lang w:eastAsia="zh-CN"/>
                    </w:rPr>
                  </w:pPr>
                </w:p>
              </w:tc>
              <w:tc>
                <w:tcPr>
                  <w:tcW w:w="4790" w:type="dxa"/>
                  <w:vAlign w:val="center"/>
                </w:tcPr>
                <w:p w14:paraId="6F89AA44">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4、新建污水处理设施及其配套管网应同步设计、同步建设、同步投运。纳管企业应当防止、减少环境污染和生态破坏，按照国家有关规定申领排污许可证，持证排污、按证排污，对所造成的损害依法承担责任。一是按照国家有关规定对工业污水进行预处理，相关标准规定的第一类污染物及其他有毒有害污染物，应在车间或车间处理设施排放口处理达标；其他污染物达到集中处理设施处理工艺要求后方可排放。二是依法按照相关技术规范开展自行监测并主动公开污染物排放信息，自觉接受监督。属于水环境重点排污单位的，还须依法安装使用自动监测设备，并与当地生态环境部门、运营单位共享数据。三是根据《污水处理费征收使用管理办法》（财税〔</w:t>
                  </w:r>
                  <w:r>
                    <w:rPr>
                      <w:rFonts w:ascii="Times New Roman" w:hAnsi="Times New Roman" w:eastAsia="宋体" w:cs="Times New Roman"/>
                      <w:sz w:val="21"/>
                      <w:szCs w:val="21"/>
                      <w:lang w:eastAsia="zh-CN"/>
                    </w:rPr>
                    <w:t>2014</w:t>
                  </w:r>
                  <w:r>
                    <w:rPr>
                      <w:rFonts w:hint="eastAsia" w:ascii="Times New Roman" w:hAnsi="Times New Roman" w:eastAsia="宋体" w:cs="Times New Roman"/>
                      <w:sz w:val="21"/>
                      <w:szCs w:val="21"/>
                      <w:lang w:eastAsia="zh-CN"/>
                    </w:rPr>
                    <w:t>〕</w:t>
                  </w:r>
                  <w:r>
                    <w:rPr>
                      <w:rFonts w:ascii="Times New Roman" w:hAnsi="Times New Roman" w:eastAsia="宋体" w:cs="Times New Roman"/>
                      <w:sz w:val="21"/>
                      <w:szCs w:val="21"/>
                      <w:lang w:eastAsia="zh-CN"/>
                    </w:rPr>
                    <w:t>151</w:t>
                  </w:r>
                  <w:r>
                    <w:rPr>
                      <w:rFonts w:hint="eastAsia" w:ascii="Times New Roman" w:hAnsi="Times New Roman" w:eastAsia="宋体" w:cs="Times New Roman"/>
                      <w:sz w:val="21"/>
                      <w:szCs w:val="21"/>
                      <w:lang w:eastAsia="zh-CN"/>
                    </w:rPr>
                    <w:t>号）、委托处理合同等，及时足额缴纳污水处理相关费用。四是发生事故致使排放的污水可能危及污水处理厂安全运行时，应当立即启动应急预案，采取应急措施消除危害，通知运营单位并向生态环境部门及相关主管部门报告</w:t>
                  </w:r>
                  <w:r>
                    <w:rPr>
                      <w:rFonts w:hint="eastAsia" w:ascii="Times New Roman" w:hAnsi="Times New Roman" w:eastAsia="宋体" w:cs="Times New Roman"/>
                      <w:sz w:val="21"/>
                      <w:szCs w:val="21"/>
                      <w:lang w:val="en-US" w:eastAsia="zh-CN"/>
                    </w:rPr>
                    <w:t>。</w:t>
                  </w:r>
                </w:p>
              </w:tc>
              <w:tc>
                <w:tcPr>
                  <w:tcW w:w="2256" w:type="dxa"/>
                  <w:vAlign w:val="center"/>
                </w:tcPr>
                <w:p w14:paraId="0F55F60E">
                  <w:pPr>
                    <w:pStyle w:val="55"/>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项目不涉及。</w:t>
                  </w:r>
                </w:p>
              </w:tc>
              <w:tc>
                <w:tcPr>
                  <w:tcW w:w="531" w:type="dxa"/>
                  <w:vMerge w:val="continue"/>
                  <w:vAlign w:val="center"/>
                </w:tcPr>
                <w:p w14:paraId="6FCD3A98">
                  <w:pPr>
                    <w:pStyle w:val="55"/>
                    <w:jc w:val="both"/>
                    <w:rPr>
                      <w:rFonts w:ascii="Times New Roman" w:hAnsi="Times New Roman" w:cs="Times New Roman" w:eastAsiaTheme="minorEastAsia"/>
                      <w:sz w:val="21"/>
                      <w:szCs w:val="21"/>
                      <w:highlight w:val="green"/>
                      <w:lang w:eastAsia="zh-CN"/>
                    </w:rPr>
                  </w:pPr>
                </w:p>
              </w:tc>
            </w:tr>
            <w:tr w14:paraId="0999D1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56A3CC8A">
                  <w:pPr>
                    <w:pStyle w:val="55"/>
                    <w:jc w:val="center"/>
                    <w:rPr>
                      <w:rFonts w:ascii="Times New Roman" w:hAnsi="Times New Roman" w:cs="Times New Roman" w:eastAsiaTheme="minorEastAsia"/>
                      <w:szCs w:val="21"/>
                      <w:highlight w:val="green"/>
                      <w:lang w:eastAsia="zh-CN"/>
                    </w:rPr>
                  </w:pPr>
                </w:p>
              </w:tc>
              <w:tc>
                <w:tcPr>
                  <w:tcW w:w="4790" w:type="dxa"/>
                  <w:vAlign w:val="center"/>
                </w:tcPr>
                <w:p w14:paraId="64EA9BCD">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5、</w:t>
                  </w:r>
                  <w:r>
                    <w:rPr>
                      <w:rFonts w:hint="eastAsia" w:ascii="Times New Roman" w:hAnsi="Times New Roman" w:eastAsia="宋体" w:cs="Times New Roman"/>
                      <w:sz w:val="21"/>
                      <w:szCs w:val="21"/>
                      <w:lang w:val="en-US" w:eastAsia="zh-CN"/>
                    </w:rPr>
                    <w:t>新建、改建、扩建污水处理项目环境影响评价，要将服务范围内污水调查情况作为重要内容。</w:t>
                  </w:r>
                </w:p>
              </w:tc>
              <w:tc>
                <w:tcPr>
                  <w:tcW w:w="2256" w:type="dxa"/>
                  <w:vAlign w:val="center"/>
                </w:tcPr>
                <w:p w14:paraId="1768073A">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项目不属于污水处理项目。</w:t>
                  </w:r>
                </w:p>
              </w:tc>
              <w:tc>
                <w:tcPr>
                  <w:tcW w:w="531" w:type="dxa"/>
                  <w:vMerge w:val="continue"/>
                  <w:vAlign w:val="center"/>
                </w:tcPr>
                <w:p w14:paraId="0CEA0A4D">
                  <w:pPr>
                    <w:pStyle w:val="55"/>
                    <w:jc w:val="both"/>
                    <w:rPr>
                      <w:rFonts w:ascii="Times New Roman" w:hAnsi="Times New Roman" w:cs="Times New Roman" w:eastAsiaTheme="minorEastAsia"/>
                      <w:sz w:val="21"/>
                      <w:szCs w:val="21"/>
                      <w:highlight w:val="green"/>
                      <w:lang w:eastAsia="zh-CN"/>
                    </w:rPr>
                  </w:pPr>
                </w:p>
              </w:tc>
            </w:tr>
            <w:tr w14:paraId="17426D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6D01A8C3">
                  <w:pPr>
                    <w:pStyle w:val="55"/>
                    <w:jc w:val="center"/>
                    <w:rPr>
                      <w:rFonts w:ascii="Times New Roman" w:hAnsi="Times New Roman" w:cs="Times New Roman" w:eastAsiaTheme="minorEastAsia"/>
                      <w:szCs w:val="21"/>
                      <w:highlight w:val="green"/>
                      <w:lang w:eastAsia="zh-CN"/>
                    </w:rPr>
                  </w:pPr>
                </w:p>
              </w:tc>
              <w:tc>
                <w:tcPr>
                  <w:tcW w:w="4790" w:type="dxa"/>
                  <w:vAlign w:val="center"/>
                </w:tcPr>
                <w:p w14:paraId="73B421B8">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6、一般工业固体废物贮存场、填埋场的选址、建设、运行、封场、土地复垦等过程的环境保护要求，以及替代贮存、填埋处置的一般工业固体废物充填及回填利用环境保护要求应执行《一般工业固体废物贮存和填埋</w:t>
                  </w:r>
                  <w:r>
                    <w:rPr>
                      <w:rFonts w:hint="eastAsia" w:ascii="Times New Roman" w:hAnsi="Times New Roman" w:eastAsia="宋体" w:cs="Times New Roman"/>
                      <w:sz w:val="21"/>
                      <w:szCs w:val="21"/>
                      <w:lang w:val="en-US" w:eastAsia="zh-CN"/>
                    </w:rPr>
                    <w:t>污染控制标准》（</w:t>
                  </w:r>
                  <w:r>
                    <w:rPr>
                      <w:rFonts w:ascii="Times New Roman" w:hAnsi="Times New Roman" w:eastAsia="宋体" w:cs="Times New Roman"/>
                      <w:sz w:val="21"/>
                      <w:szCs w:val="21"/>
                      <w:lang w:val="en-US" w:eastAsia="zh-CN"/>
                    </w:rPr>
                    <w:t>GB18599-2020</w:t>
                  </w:r>
                  <w:r>
                    <w:rPr>
                      <w:rFonts w:hint="eastAsia" w:ascii="Times New Roman" w:hAnsi="Times New Roman" w:eastAsia="宋体" w:cs="Times New Roman"/>
                      <w:sz w:val="21"/>
                      <w:szCs w:val="21"/>
                      <w:lang w:val="en-US" w:eastAsia="zh-CN"/>
                    </w:rPr>
                    <w:t>）。</w:t>
                  </w:r>
                </w:p>
              </w:tc>
              <w:tc>
                <w:tcPr>
                  <w:tcW w:w="2256" w:type="dxa"/>
                  <w:vAlign w:val="center"/>
                </w:tcPr>
                <w:p w14:paraId="607E8ACD">
                  <w:pPr>
                    <w:pStyle w:val="55"/>
                    <w:jc w:val="both"/>
                    <w:rPr>
                      <w:rFonts w:ascii="Times New Roman" w:hAnsi="Times New Roman" w:cs="Times New Roman" w:eastAsiaTheme="minorEastAsia"/>
                      <w:sz w:val="21"/>
                      <w:szCs w:val="21"/>
                      <w:lang w:eastAsia="zh-CN"/>
                    </w:rPr>
                  </w:pPr>
                  <w:r>
                    <w:rPr>
                      <w:rFonts w:hint="eastAsia" w:ascii="Times New Roman" w:hAnsi="Times New Roman" w:eastAsia="宋体" w:cs="Times New Roman"/>
                      <w:sz w:val="21"/>
                      <w:szCs w:val="21"/>
                      <w:lang w:eastAsia="zh-CN"/>
                    </w:rPr>
                    <w:t>项目不属于一般工业固体废物贮存场、填埋场。</w:t>
                  </w:r>
                </w:p>
              </w:tc>
              <w:tc>
                <w:tcPr>
                  <w:tcW w:w="531" w:type="dxa"/>
                  <w:vMerge w:val="continue"/>
                  <w:vAlign w:val="center"/>
                </w:tcPr>
                <w:p w14:paraId="719FB728">
                  <w:pPr>
                    <w:pStyle w:val="55"/>
                    <w:jc w:val="both"/>
                    <w:rPr>
                      <w:rFonts w:ascii="Times New Roman" w:hAnsi="Times New Roman" w:cs="Times New Roman" w:eastAsiaTheme="minorEastAsia"/>
                      <w:sz w:val="21"/>
                      <w:szCs w:val="21"/>
                      <w:highlight w:val="green"/>
                      <w:lang w:eastAsia="zh-CN"/>
                    </w:rPr>
                  </w:pPr>
                </w:p>
              </w:tc>
            </w:tr>
            <w:tr w14:paraId="399129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6A7BE787">
                  <w:pPr>
                    <w:pStyle w:val="55"/>
                    <w:jc w:val="center"/>
                    <w:rPr>
                      <w:rFonts w:ascii="Times New Roman" w:hAnsi="Times New Roman" w:cs="Times New Roman" w:eastAsiaTheme="minorEastAsia"/>
                      <w:szCs w:val="21"/>
                      <w:highlight w:val="green"/>
                      <w:lang w:eastAsia="zh-CN"/>
                    </w:rPr>
                  </w:pPr>
                </w:p>
              </w:tc>
              <w:tc>
                <w:tcPr>
                  <w:tcW w:w="4790" w:type="dxa"/>
                  <w:vAlign w:val="center"/>
                </w:tcPr>
                <w:p w14:paraId="2E6E28DF">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7、新建危险废物填埋场的建设、运行、封场及封场后环境管理过程的污染控制，现有危险废物填埋场的入场要求、运行要求、污染物排放要求、封场及封场后环境管理要求应满足《危险废物填埋污染控制标准》（</w:t>
                  </w:r>
                  <w:r>
                    <w:rPr>
                      <w:rFonts w:ascii="Times New Roman" w:hAnsi="Times New Roman" w:eastAsia="宋体" w:cs="Times New Roman"/>
                      <w:sz w:val="21"/>
                      <w:szCs w:val="21"/>
                      <w:lang w:eastAsia="zh-CN"/>
                    </w:rPr>
                    <w:t>GB18598-2019</w:t>
                  </w:r>
                  <w:r>
                    <w:rPr>
                      <w:rFonts w:hint="eastAsia" w:ascii="Times New Roman" w:hAnsi="Times New Roman" w:eastAsia="宋体" w:cs="Times New Roman"/>
                      <w:sz w:val="21"/>
                      <w:szCs w:val="21"/>
                      <w:lang w:eastAsia="zh-CN"/>
                    </w:rPr>
                    <w:t>）。</w:t>
                  </w:r>
                </w:p>
              </w:tc>
              <w:tc>
                <w:tcPr>
                  <w:tcW w:w="2256" w:type="dxa"/>
                  <w:vAlign w:val="center"/>
                </w:tcPr>
                <w:p w14:paraId="5322AC08">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项目不属于危险废物填埋场。</w:t>
                  </w:r>
                </w:p>
              </w:tc>
              <w:tc>
                <w:tcPr>
                  <w:tcW w:w="531" w:type="dxa"/>
                  <w:vMerge w:val="continue"/>
                  <w:vAlign w:val="center"/>
                </w:tcPr>
                <w:p w14:paraId="742E9182">
                  <w:pPr>
                    <w:pStyle w:val="55"/>
                    <w:jc w:val="both"/>
                    <w:rPr>
                      <w:rFonts w:ascii="Times New Roman" w:hAnsi="Times New Roman" w:cs="Times New Roman" w:eastAsiaTheme="minorEastAsia"/>
                      <w:sz w:val="21"/>
                      <w:szCs w:val="21"/>
                      <w:highlight w:val="green"/>
                      <w:lang w:eastAsia="zh-CN"/>
                    </w:rPr>
                  </w:pPr>
                </w:p>
              </w:tc>
            </w:tr>
            <w:tr w14:paraId="59D13C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11025320">
                  <w:pPr>
                    <w:pStyle w:val="55"/>
                    <w:jc w:val="center"/>
                    <w:rPr>
                      <w:rFonts w:ascii="Times New Roman" w:hAnsi="Times New Roman" w:cs="Times New Roman" w:eastAsiaTheme="minorEastAsia"/>
                      <w:szCs w:val="21"/>
                      <w:highlight w:val="green"/>
                      <w:lang w:eastAsia="zh-CN"/>
                    </w:rPr>
                  </w:pPr>
                </w:p>
              </w:tc>
              <w:tc>
                <w:tcPr>
                  <w:tcW w:w="4790" w:type="dxa"/>
                  <w:vAlign w:val="center"/>
                </w:tcPr>
                <w:p w14:paraId="213BA6ED">
                  <w:pPr>
                    <w:pStyle w:val="55"/>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8、将潮河干流流经的古北口镇、高岭镇、太师屯镇、黄旗镇、土城镇、大阁镇、南关蒙古族乡、胡麻营镇、黑山咀镇、天桥镇、虎什哈镇、付家店满族乡、巴克什营镇等乡镇划为重点化肥农药减量区，其他区域划为一般化肥减量区。2025年底前，流域内化肥农药施用总量降低20%以上。</w:t>
                  </w:r>
                </w:p>
              </w:tc>
              <w:tc>
                <w:tcPr>
                  <w:tcW w:w="2256" w:type="dxa"/>
                  <w:vAlign w:val="center"/>
                </w:tcPr>
                <w:p w14:paraId="087FA3B3">
                  <w:pPr>
                    <w:pStyle w:val="55"/>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项目不涉及潮河干流。</w:t>
                  </w:r>
                </w:p>
              </w:tc>
              <w:tc>
                <w:tcPr>
                  <w:tcW w:w="531" w:type="dxa"/>
                  <w:vMerge w:val="continue"/>
                  <w:vAlign w:val="center"/>
                </w:tcPr>
                <w:p w14:paraId="23B7B616">
                  <w:pPr>
                    <w:pStyle w:val="55"/>
                    <w:jc w:val="both"/>
                    <w:rPr>
                      <w:rFonts w:ascii="Times New Roman" w:hAnsi="Times New Roman" w:cs="Times New Roman" w:eastAsiaTheme="minorEastAsia"/>
                      <w:sz w:val="21"/>
                      <w:szCs w:val="21"/>
                      <w:highlight w:val="green"/>
                      <w:lang w:eastAsia="zh-CN"/>
                    </w:rPr>
                  </w:pPr>
                </w:p>
              </w:tc>
            </w:tr>
            <w:tr w14:paraId="19BC0A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4B04A0FC">
                  <w:pPr>
                    <w:pStyle w:val="55"/>
                    <w:jc w:val="center"/>
                    <w:rPr>
                      <w:rFonts w:ascii="Times New Roman" w:hAnsi="Times New Roman" w:cs="Times New Roman" w:eastAsiaTheme="minorEastAsia"/>
                      <w:szCs w:val="21"/>
                      <w:highlight w:val="green"/>
                      <w:lang w:eastAsia="zh-CN"/>
                    </w:rPr>
                  </w:pPr>
                </w:p>
              </w:tc>
              <w:tc>
                <w:tcPr>
                  <w:tcW w:w="4790" w:type="dxa"/>
                  <w:vAlign w:val="center"/>
                </w:tcPr>
                <w:p w14:paraId="0BA0B30D">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9、2025年，承德市化学需氧量重点工程减排量1.27万吨、氨氮重点工程减排量0.041万吨。</w:t>
                  </w:r>
                </w:p>
              </w:tc>
              <w:tc>
                <w:tcPr>
                  <w:tcW w:w="2256" w:type="dxa"/>
                  <w:vAlign w:val="center"/>
                </w:tcPr>
                <w:p w14:paraId="2F01A27C">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项目工程不属于重点工程。</w:t>
                  </w:r>
                </w:p>
              </w:tc>
              <w:tc>
                <w:tcPr>
                  <w:tcW w:w="531" w:type="dxa"/>
                  <w:vMerge w:val="continue"/>
                  <w:vAlign w:val="center"/>
                </w:tcPr>
                <w:p w14:paraId="6CC341B1">
                  <w:pPr>
                    <w:pStyle w:val="55"/>
                    <w:jc w:val="both"/>
                    <w:rPr>
                      <w:rFonts w:ascii="Times New Roman" w:hAnsi="Times New Roman" w:cs="Times New Roman" w:eastAsiaTheme="minorEastAsia"/>
                      <w:sz w:val="21"/>
                      <w:szCs w:val="21"/>
                      <w:highlight w:val="green"/>
                      <w:lang w:eastAsia="zh-CN"/>
                    </w:rPr>
                  </w:pPr>
                </w:p>
              </w:tc>
            </w:tr>
            <w:tr w14:paraId="3EAACA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9" w:hRule="atLeast"/>
                <w:jc w:val="center"/>
              </w:trPr>
              <w:tc>
                <w:tcPr>
                  <w:tcW w:w="664" w:type="dxa"/>
                  <w:vMerge w:val="restart"/>
                  <w:vAlign w:val="center"/>
                </w:tcPr>
                <w:p w14:paraId="2A994066">
                  <w:pPr>
                    <w:pStyle w:val="55"/>
                    <w:jc w:val="center"/>
                    <w:rPr>
                      <w:rFonts w:hint="eastAsia" w:ascii="Times New Roman" w:hAnsi="Times New Roman" w:eastAsia="宋体" w:cs="Times New Roman"/>
                      <w:szCs w:val="21"/>
                      <w:lang w:eastAsia="zh-CN"/>
                    </w:rPr>
                  </w:pPr>
                  <w:r>
                    <w:rPr>
                      <w:rFonts w:ascii="Times New Roman" w:hAnsi="Times New Roman" w:eastAsia="宋体" w:cs="Times New Roman"/>
                      <w:sz w:val="21"/>
                      <w:szCs w:val="21"/>
                      <w:lang w:eastAsia="en-US"/>
                    </w:rPr>
                    <w:t>环境风险防</w:t>
                  </w:r>
                  <w:r>
                    <w:rPr>
                      <w:rFonts w:hint="eastAsia" w:ascii="Times New Roman" w:hAnsi="Times New Roman" w:eastAsia="宋体" w:cs="Times New Roman"/>
                      <w:sz w:val="21"/>
                      <w:szCs w:val="21"/>
                      <w:lang w:eastAsia="zh-CN"/>
                    </w:rPr>
                    <w:t>控</w:t>
                  </w:r>
                </w:p>
              </w:tc>
              <w:tc>
                <w:tcPr>
                  <w:tcW w:w="4790" w:type="dxa"/>
                  <w:vAlign w:val="center"/>
                </w:tcPr>
                <w:p w14:paraId="54484885">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1、限制建设《环境保护综合名录》（20</w:t>
                  </w:r>
                  <w:r>
                    <w:rPr>
                      <w:rFonts w:ascii="Times New Roman" w:hAnsi="Times New Roman" w:eastAsia="宋体" w:cs="Times New Roman"/>
                      <w:sz w:val="21"/>
                      <w:szCs w:val="21"/>
                      <w:lang w:eastAsia="zh-CN"/>
                    </w:rPr>
                    <w:t>21</w:t>
                  </w:r>
                  <w:r>
                    <w:rPr>
                      <w:rFonts w:hint="eastAsia" w:ascii="Times New Roman" w:hAnsi="Times New Roman" w:eastAsia="宋体" w:cs="Times New Roman"/>
                      <w:sz w:val="21"/>
                      <w:szCs w:val="21"/>
                      <w:lang w:eastAsia="zh-CN"/>
                    </w:rPr>
                    <w:t>年版）中“高污染、高环境风险”产品与工艺装备。</w:t>
                  </w:r>
                </w:p>
              </w:tc>
              <w:tc>
                <w:tcPr>
                  <w:tcW w:w="2256" w:type="dxa"/>
                  <w:vAlign w:val="center"/>
                </w:tcPr>
                <w:p w14:paraId="7412EA62">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项目不涉及</w:t>
                  </w:r>
                  <w:r>
                    <w:rPr>
                      <w:rFonts w:ascii="Times New Roman" w:hAnsi="Times New Roman" w:eastAsia="宋体" w:cs="Times New Roman"/>
                      <w:sz w:val="21"/>
                      <w:szCs w:val="21"/>
                      <w:lang w:eastAsia="zh-CN"/>
                    </w:rPr>
                    <w:t>“高污染、高环境风险”产品与工艺装备</w:t>
                  </w:r>
                </w:p>
              </w:tc>
              <w:tc>
                <w:tcPr>
                  <w:tcW w:w="531" w:type="dxa"/>
                  <w:vMerge w:val="restart"/>
                  <w:vAlign w:val="center"/>
                </w:tcPr>
                <w:p w14:paraId="14B6AA2A">
                  <w:pPr>
                    <w:pStyle w:val="55"/>
                    <w:jc w:val="center"/>
                    <w:rPr>
                      <w:rFonts w:ascii="Times New Roman" w:hAnsi="Times New Roman" w:eastAsia="宋体" w:cs="Times New Roman"/>
                      <w:sz w:val="21"/>
                      <w:szCs w:val="21"/>
                      <w:highlight w:val="green"/>
                      <w:lang w:eastAsia="zh-CN"/>
                    </w:rPr>
                  </w:pPr>
                  <w:r>
                    <w:rPr>
                      <w:rFonts w:hint="eastAsia" w:ascii="Times New Roman" w:hAnsi="Times New Roman" w:eastAsia="宋体" w:cs="Times New Roman"/>
                      <w:sz w:val="21"/>
                      <w:szCs w:val="21"/>
                      <w:lang w:eastAsia="zh-CN"/>
                    </w:rPr>
                    <w:t>符合</w:t>
                  </w:r>
                </w:p>
              </w:tc>
            </w:tr>
            <w:tr w14:paraId="15C5A8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8" w:hRule="atLeast"/>
                <w:jc w:val="center"/>
              </w:trPr>
              <w:tc>
                <w:tcPr>
                  <w:tcW w:w="664" w:type="dxa"/>
                  <w:vMerge w:val="continue"/>
                  <w:vAlign w:val="center"/>
                </w:tcPr>
                <w:p w14:paraId="79B1FE90">
                  <w:pPr>
                    <w:pStyle w:val="55"/>
                    <w:jc w:val="center"/>
                    <w:rPr>
                      <w:rFonts w:ascii="Times New Roman" w:hAnsi="Times New Roman" w:cs="Times New Roman" w:eastAsiaTheme="minorEastAsia"/>
                      <w:szCs w:val="21"/>
                      <w:highlight w:val="green"/>
                      <w:lang w:eastAsia="en-US"/>
                    </w:rPr>
                  </w:pPr>
                </w:p>
              </w:tc>
              <w:tc>
                <w:tcPr>
                  <w:tcW w:w="4790" w:type="dxa"/>
                  <w:vAlign w:val="center"/>
                </w:tcPr>
                <w:p w14:paraId="3C7FE5E8">
                  <w:pPr>
                    <w:pStyle w:val="55"/>
                    <w:jc w:val="both"/>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2、</w:t>
                  </w:r>
                  <w:r>
                    <w:rPr>
                      <w:rFonts w:hint="eastAsia" w:ascii="Times New Roman" w:hAnsi="Times New Roman" w:eastAsia="宋体" w:cs="Times New Roman"/>
                      <w:sz w:val="21"/>
                      <w:szCs w:val="21"/>
                      <w:lang w:eastAsia="zh-CN"/>
                    </w:rPr>
                    <w:t>限制建设排放《有毒有害水污染物名录》中所列有毒有害污染物的项目。</w:t>
                  </w:r>
                </w:p>
              </w:tc>
              <w:tc>
                <w:tcPr>
                  <w:tcW w:w="2256" w:type="dxa"/>
                  <w:vAlign w:val="center"/>
                </w:tcPr>
                <w:p w14:paraId="11A3B80C">
                  <w:pPr>
                    <w:pStyle w:val="55"/>
                    <w:jc w:val="both"/>
                    <w:rPr>
                      <w:rFonts w:ascii="Times New Roman" w:hAnsi="Times New Roman" w:cs="Times New Roman" w:eastAsiaTheme="minorEastAsia"/>
                      <w:sz w:val="21"/>
                      <w:szCs w:val="21"/>
                      <w:lang w:eastAsia="zh-CN"/>
                    </w:rPr>
                  </w:pPr>
                  <w:r>
                    <w:rPr>
                      <w:rFonts w:hint="eastAsia" w:ascii="Times New Roman" w:hAnsi="Times New Roman" w:eastAsia="宋体" w:cs="Times New Roman"/>
                      <w:sz w:val="21"/>
                      <w:szCs w:val="21"/>
                      <w:lang w:eastAsia="zh-CN"/>
                    </w:rPr>
                    <w:t>项目不涉及有毒有害污染物的排放。</w:t>
                  </w:r>
                </w:p>
              </w:tc>
              <w:tc>
                <w:tcPr>
                  <w:tcW w:w="531" w:type="dxa"/>
                  <w:vMerge w:val="continue"/>
                  <w:vAlign w:val="center"/>
                </w:tcPr>
                <w:p w14:paraId="50D851C4">
                  <w:pPr>
                    <w:pStyle w:val="55"/>
                    <w:jc w:val="center"/>
                    <w:rPr>
                      <w:rFonts w:ascii="Times New Roman" w:hAnsi="Times New Roman" w:cs="Times New Roman" w:eastAsiaTheme="minorEastAsia"/>
                      <w:sz w:val="21"/>
                      <w:szCs w:val="21"/>
                      <w:highlight w:val="green"/>
                      <w:lang w:eastAsia="zh-CN"/>
                    </w:rPr>
                  </w:pPr>
                </w:p>
              </w:tc>
            </w:tr>
            <w:tr w14:paraId="10EEAF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8" w:hRule="atLeast"/>
                <w:jc w:val="center"/>
              </w:trPr>
              <w:tc>
                <w:tcPr>
                  <w:tcW w:w="664" w:type="dxa"/>
                  <w:vMerge w:val="continue"/>
                  <w:vAlign w:val="center"/>
                </w:tcPr>
                <w:p w14:paraId="5AED00C1">
                  <w:pPr>
                    <w:pStyle w:val="55"/>
                    <w:jc w:val="both"/>
                    <w:rPr>
                      <w:rFonts w:ascii="Times New Roman" w:hAnsi="Times New Roman" w:eastAsia="宋体" w:cs="Times New Roman"/>
                      <w:szCs w:val="21"/>
                      <w:highlight w:val="green"/>
                      <w:lang w:eastAsia="zh-CN"/>
                    </w:rPr>
                  </w:pPr>
                </w:p>
              </w:tc>
              <w:tc>
                <w:tcPr>
                  <w:tcW w:w="4790" w:type="dxa"/>
                  <w:vAlign w:val="center"/>
                </w:tcPr>
                <w:p w14:paraId="5142C25B">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3、矿山企业及尾矿库的运营和管理单位应当加强环境规范化管理，对原料和堆场采取防渗、防风和防洪等措施，防止污染滦河、潮河水环境，尾矿库闭库后应当及时复垦。</w:t>
                  </w:r>
                </w:p>
              </w:tc>
              <w:tc>
                <w:tcPr>
                  <w:tcW w:w="2256" w:type="dxa"/>
                  <w:vAlign w:val="center"/>
                </w:tcPr>
                <w:p w14:paraId="0926F986">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项目企业不属于矿山企业。</w:t>
                  </w:r>
                </w:p>
              </w:tc>
              <w:tc>
                <w:tcPr>
                  <w:tcW w:w="531" w:type="dxa"/>
                  <w:vMerge w:val="continue"/>
                  <w:vAlign w:val="center"/>
                </w:tcPr>
                <w:p w14:paraId="373F42B3">
                  <w:pPr>
                    <w:pStyle w:val="55"/>
                    <w:jc w:val="both"/>
                    <w:rPr>
                      <w:rFonts w:ascii="Times New Roman" w:hAnsi="Times New Roman" w:eastAsia="宋体" w:cs="Times New Roman"/>
                      <w:sz w:val="21"/>
                      <w:szCs w:val="21"/>
                      <w:highlight w:val="green"/>
                      <w:lang w:eastAsia="zh-CN"/>
                    </w:rPr>
                  </w:pPr>
                </w:p>
              </w:tc>
            </w:tr>
            <w:tr w14:paraId="2C780C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8" w:hRule="atLeast"/>
                <w:jc w:val="center"/>
              </w:trPr>
              <w:tc>
                <w:tcPr>
                  <w:tcW w:w="664" w:type="dxa"/>
                  <w:vMerge w:val="continue"/>
                  <w:vAlign w:val="center"/>
                </w:tcPr>
                <w:p w14:paraId="2FD4B531">
                  <w:pPr>
                    <w:pStyle w:val="55"/>
                    <w:jc w:val="both"/>
                    <w:rPr>
                      <w:rFonts w:ascii="Times New Roman" w:hAnsi="Times New Roman" w:eastAsia="宋体" w:cs="Times New Roman"/>
                      <w:szCs w:val="21"/>
                      <w:highlight w:val="green"/>
                      <w:lang w:eastAsia="zh-CN"/>
                    </w:rPr>
                  </w:pPr>
                </w:p>
              </w:tc>
              <w:tc>
                <w:tcPr>
                  <w:tcW w:w="4790" w:type="dxa"/>
                  <w:vAlign w:val="center"/>
                </w:tcPr>
                <w:p w14:paraId="0E37DC64">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4、滦河、潮河流域内从事旅游、运动娱乐项目的经营者应当配备污染物、废弃物的收集和处理设施，防止对水质的污染。</w:t>
                  </w:r>
                </w:p>
              </w:tc>
              <w:tc>
                <w:tcPr>
                  <w:tcW w:w="2256" w:type="dxa"/>
                  <w:vAlign w:val="center"/>
                </w:tcPr>
                <w:p w14:paraId="100E95AA">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项目不属于旅游、运动娱乐项目。</w:t>
                  </w:r>
                </w:p>
              </w:tc>
              <w:tc>
                <w:tcPr>
                  <w:tcW w:w="531" w:type="dxa"/>
                  <w:vMerge w:val="continue"/>
                  <w:vAlign w:val="center"/>
                </w:tcPr>
                <w:p w14:paraId="1A904A1D">
                  <w:pPr>
                    <w:pStyle w:val="55"/>
                    <w:jc w:val="both"/>
                    <w:rPr>
                      <w:rFonts w:ascii="Times New Roman" w:hAnsi="Times New Roman" w:eastAsia="宋体" w:cs="Times New Roman"/>
                      <w:sz w:val="21"/>
                      <w:szCs w:val="21"/>
                      <w:highlight w:val="green"/>
                      <w:lang w:eastAsia="zh-CN"/>
                    </w:rPr>
                  </w:pPr>
                </w:p>
              </w:tc>
            </w:tr>
            <w:tr w14:paraId="0E77AA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8" w:hRule="atLeast"/>
                <w:jc w:val="center"/>
              </w:trPr>
              <w:tc>
                <w:tcPr>
                  <w:tcW w:w="664" w:type="dxa"/>
                  <w:vMerge w:val="restart"/>
                  <w:vAlign w:val="center"/>
                </w:tcPr>
                <w:p w14:paraId="47068E5E">
                  <w:pPr>
                    <w:pStyle w:val="55"/>
                    <w:jc w:val="center"/>
                    <w:rPr>
                      <w:rFonts w:ascii="Times New Roman" w:hAnsi="Times New Roman" w:cs="Times New Roman" w:eastAsiaTheme="minorEastAsia"/>
                      <w:szCs w:val="21"/>
                      <w:lang w:eastAsia="en-US"/>
                    </w:rPr>
                  </w:pPr>
                  <w:r>
                    <w:rPr>
                      <w:rFonts w:hint="eastAsia" w:ascii="Times New Roman" w:hAnsi="Times New Roman" w:eastAsia="宋体" w:cs="Times New Roman"/>
                      <w:sz w:val="21"/>
                      <w:szCs w:val="21"/>
                      <w:lang w:eastAsia="en-US"/>
                    </w:rPr>
                    <w:t>资源利用效率</w:t>
                  </w:r>
                </w:p>
              </w:tc>
              <w:tc>
                <w:tcPr>
                  <w:tcW w:w="4790" w:type="dxa"/>
                  <w:vAlign w:val="center"/>
                </w:tcPr>
                <w:p w14:paraId="61908F5A">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1.到2025年，城市建成区基本实现污水全收集、全处理，县级城市建成区全面消除黑臭水体，建制镇污水收集处理能力明显提升，城市、县城平均污泥无害化处理率保持在97%以上。</w:t>
                  </w:r>
                </w:p>
              </w:tc>
              <w:tc>
                <w:tcPr>
                  <w:tcW w:w="2256" w:type="dxa"/>
                  <w:vAlign w:val="center"/>
                </w:tcPr>
                <w:p w14:paraId="01D85C6C">
                  <w:pPr>
                    <w:pStyle w:val="55"/>
                    <w:jc w:val="both"/>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eastAsia="zh-CN"/>
                    </w:rPr>
                    <w:t>项目位于城市建成区</w:t>
                  </w:r>
                  <w:r>
                    <w:rPr>
                      <w:rFonts w:hint="eastAsia" w:ascii="Times New Roman" w:hAnsi="Times New Roman" w:cs="Times New Roman"/>
                      <w:sz w:val="21"/>
                      <w:szCs w:val="21"/>
                      <w:lang w:eastAsia="zh-CN"/>
                    </w:rPr>
                    <w:t>，</w:t>
                  </w:r>
                  <w:r>
                    <w:rPr>
                      <w:rFonts w:hint="eastAsia" w:ascii="Times New Roman" w:hAnsi="Times New Roman" w:cs="Times New Roman"/>
                      <w:sz w:val="21"/>
                      <w:szCs w:val="21"/>
                      <w:lang w:val="en-US" w:eastAsia="zh-CN"/>
                    </w:rPr>
                    <w:t>但本项目无废水外排</w:t>
                  </w:r>
                </w:p>
              </w:tc>
              <w:tc>
                <w:tcPr>
                  <w:tcW w:w="531" w:type="dxa"/>
                  <w:vMerge w:val="restart"/>
                  <w:vAlign w:val="center"/>
                </w:tcPr>
                <w:p w14:paraId="645E3DD9">
                  <w:pPr>
                    <w:pStyle w:val="55"/>
                    <w:jc w:val="center"/>
                    <w:rPr>
                      <w:rFonts w:ascii="Times New Roman" w:hAnsi="Times New Roman" w:cs="Times New Roman" w:eastAsiaTheme="minorEastAsia"/>
                      <w:sz w:val="21"/>
                      <w:szCs w:val="21"/>
                      <w:highlight w:val="green"/>
                      <w:lang w:eastAsia="zh-CN"/>
                    </w:rPr>
                  </w:pPr>
                  <w:r>
                    <w:rPr>
                      <w:rFonts w:hint="eastAsia" w:ascii="Times New Roman" w:hAnsi="Times New Roman" w:eastAsia="宋体" w:cs="Times New Roman"/>
                      <w:sz w:val="21"/>
                      <w:szCs w:val="21"/>
                      <w:lang w:eastAsia="en-US"/>
                    </w:rPr>
                    <w:t>符合</w:t>
                  </w:r>
                </w:p>
              </w:tc>
            </w:tr>
            <w:tr w14:paraId="300FEB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8" w:hRule="atLeast"/>
                <w:jc w:val="center"/>
              </w:trPr>
              <w:tc>
                <w:tcPr>
                  <w:tcW w:w="664" w:type="dxa"/>
                  <w:vMerge w:val="continue"/>
                  <w:vAlign w:val="center"/>
                </w:tcPr>
                <w:p w14:paraId="1C725759">
                  <w:pPr>
                    <w:pStyle w:val="55"/>
                    <w:jc w:val="both"/>
                    <w:rPr>
                      <w:rFonts w:ascii="Times New Roman" w:hAnsi="Times New Roman" w:cs="Times New Roman" w:eastAsiaTheme="minorEastAsia"/>
                      <w:szCs w:val="21"/>
                      <w:lang w:eastAsia="zh-CN"/>
                    </w:rPr>
                  </w:pPr>
                </w:p>
              </w:tc>
              <w:tc>
                <w:tcPr>
                  <w:tcW w:w="4790" w:type="dxa"/>
                  <w:vAlign w:val="center"/>
                </w:tcPr>
                <w:p w14:paraId="698DC267">
                  <w:pPr>
                    <w:pStyle w:val="55"/>
                    <w:jc w:val="both"/>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2.</w:t>
                  </w:r>
                  <w:r>
                    <w:rPr>
                      <w:rFonts w:hint="eastAsia" w:ascii="Times New Roman" w:hAnsi="Times New Roman" w:eastAsia="宋体" w:cs="Times New Roman"/>
                      <w:sz w:val="21"/>
                      <w:szCs w:val="21"/>
                      <w:lang w:eastAsia="zh-CN"/>
                    </w:rPr>
                    <w:t>到</w:t>
                  </w:r>
                  <w:r>
                    <w:rPr>
                      <w:rFonts w:ascii="Times New Roman" w:hAnsi="Times New Roman" w:eastAsia="宋体" w:cs="Times New Roman"/>
                      <w:sz w:val="21"/>
                      <w:szCs w:val="21"/>
                      <w:lang w:eastAsia="zh-CN"/>
                    </w:rPr>
                    <w:t>2025</w:t>
                  </w:r>
                  <w:r>
                    <w:rPr>
                      <w:rFonts w:hint="eastAsia" w:ascii="Times New Roman" w:hAnsi="Times New Roman" w:eastAsia="宋体" w:cs="Times New Roman"/>
                      <w:sz w:val="21"/>
                      <w:szCs w:val="21"/>
                      <w:lang w:eastAsia="zh-CN"/>
                    </w:rPr>
                    <w:t>年，化肥、农药施用量保持零增长，畜禽粪污综合利用率达</w:t>
                  </w:r>
                  <w:r>
                    <w:rPr>
                      <w:rFonts w:ascii="Times New Roman" w:hAnsi="Times New Roman" w:eastAsia="宋体" w:cs="Times New Roman"/>
                      <w:sz w:val="21"/>
                      <w:szCs w:val="21"/>
                      <w:lang w:eastAsia="zh-CN"/>
                    </w:rPr>
                    <w:t>85%</w:t>
                  </w:r>
                  <w:r>
                    <w:rPr>
                      <w:rFonts w:hint="eastAsia" w:ascii="Times New Roman" w:hAnsi="Times New Roman" w:eastAsia="宋体" w:cs="Times New Roman"/>
                      <w:sz w:val="21"/>
                      <w:szCs w:val="21"/>
                      <w:lang w:eastAsia="zh-CN"/>
                    </w:rPr>
                    <w:t>以上，基本实现废旧农膜全回收。</w:t>
                  </w:r>
                </w:p>
              </w:tc>
              <w:tc>
                <w:tcPr>
                  <w:tcW w:w="2256" w:type="dxa"/>
                  <w:vAlign w:val="center"/>
                </w:tcPr>
                <w:p w14:paraId="7E67D7C9">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项目不涉及化肥、农药的使用，不涉及畜禽粪污。</w:t>
                  </w:r>
                </w:p>
              </w:tc>
              <w:tc>
                <w:tcPr>
                  <w:tcW w:w="531" w:type="dxa"/>
                  <w:vMerge w:val="continue"/>
                  <w:vAlign w:val="center"/>
                </w:tcPr>
                <w:p w14:paraId="70CE2936">
                  <w:pPr>
                    <w:pStyle w:val="55"/>
                    <w:jc w:val="both"/>
                    <w:rPr>
                      <w:rFonts w:ascii="Times New Roman" w:hAnsi="Times New Roman" w:cs="Times New Roman" w:eastAsiaTheme="minorEastAsia"/>
                      <w:sz w:val="21"/>
                      <w:szCs w:val="21"/>
                      <w:highlight w:val="green"/>
                      <w:lang w:eastAsia="zh-CN"/>
                    </w:rPr>
                  </w:pPr>
                </w:p>
              </w:tc>
            </w:tr>
          </w:tbl>
          <w:p w14:paraId="7D4C4E45">
            <w:pPr>
              <w:spacing w:line="360" w:lineRule="auto"/>
              <w:ind w:firstLine="48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c</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大气环境总体要求符合性</w:t>
            </w:r>
          </w:p>
          <w:p w14:paraId="5BA9C16E">
            <w:pPr>
              <w:spacing w:line="360" w:lineRule="auto"/>
              <w:ind w:firstLine="48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w:t>
            </w:r>
            <w:r>
              <w:rPr>
                <w:rFonts w:hint="eastAsia"/>
                <w:color w:val="000000" w:themeColor="text1"/>
                <w:sz w:val="24"/>
                <w:lang w:val="en-US" w:eastAsia="zh-CN"/>
                <w14:textFill>
                  <w14:solidFill>
                    <w14:schemeClr w14:val="tx1"/>
                  </w14:solidFill>
                </w14:textFill>
              </w:rPr>
              <w:t>与</w:t>
            </w:r>
            <w:r>
              <w:rPr>
                <w:rFonts w:hint="eastAsia"/>
                <w:color w:val="000000" w:themeColor="text1"/>
                <w:sz w:val="24"/>
                <w14:textFill>
                  <w14:solidFill>
                    <w14:schemeClr w14:val="tx1"/>
                  </w14:solidFill>
                </w14:textFill>
              </w:rPr>
              <w:t>承德市生态环境分区管控-</w:t>
            </w:r>
            <w:r>
              <w:rPr>
                <w:rFonts w:hint="eastAsia"/>
                <w:color w:val="000000" w:themeColor="text1"/>
                <w:sz w:val="24"/>
                <w:lang w:val="en-US" w:eastAsia="zh-CN"/>
                <w14:textFill>
                  <w14:solidFill>
                    <w14:schemeClr w14:val="tx1"/>
                  </w14:solidFill>
                </w14:textFill>
              </w:rPr>
              <w:t>大气</w:t>
            </w:r>
            <w:r>
              <w:rPr>
                <w:rFonts w:hint="eastAsia"/>
                <w:color w:val="000000" w:themeColor="text1"/>
                <w:sz w:val="24"/>
                <w14:textFill>
                  <w14:solidFill>
                    <w14:schemeClr w14:val="tx1"/>
                  </w14:solidFill>
                </w14:textFill>
              </w:rPr>
              <w:t>环境总体要求</w:t>
            </w:r>
            <w:r>
              <w:rPr>
                <w:rFonts w:hint="eastAsia"/>
                <w:color w:val="000000" w:themeColor="text1"/>
                <w:sz w:val="24"/>
                <w:lang w:val="en-US" w:eastAsia="zh-CN"/>
                <w14:textFill>
                  <w14:solidFill>
                    <w14:schemeClr w14:val="tx1"/>
                  </w14:solidFill>
                </w14:textFill>
              </w:rPr>
              <w:t>符合性分析如下表</w:t>
            </w:r>
            <w:r>
              <w:rPr>
                <w:rFonts w:hint="eastAsia"/>
                <w:color w:val="000000" w:themeColor="text1"/>
                <w:sz w:val="24"/>
                <w14:textFill>
                  <w14:solidFill>
                    <w14:schemeClr w14:val="tx1"/>
                  </w14:solidFill>
                </w14:textFill>
              </w:rPr>
              <w:t>。</w:t>
            </w:r>
          </w:p>
          <w:p w14:paraId="7A5DF0ED">
            <w:pPr>
              <w:pStyle w:val="48"/>
              <w:numPr>
                <w:ilvl w:val="0"/>
                <w:numId w:val="3"/>
              </w:numPr>
              <w:spacing w:line="360" w:lineRule="auto"/>
              <w:ind w:firstLineChars="0"/>
              <w:jc w:val="center"/>
              <w:rPr>
                <w:rFonts w:ascii="Times New Roman" w:hAnsi="Times New Roman" w:eastAsia="宋体"/>
                <w:b/>
                <w:sz w:val="21"/>
                <w:szCs w:val="21"/>
              </w:rPr>
            </w:pPr>
            <w:r>
              <w:rPr>
                <w:rFonts w:hint="eastAsia" w:ascii="Times New Roman" w:hAnsi="Times New Roman" w:eastAsia="宋体"/>
                <w:b/>
                <w:bCs/>
                <w:sz w:val="21"/>
                <w:szCs w:val="21"/>
              </w:rPr>
              <w:t>承德市生态环境分区管控-大气环境总体要求符合性分析一览表</w:t>
            </w:r>
          </w:p>
          <w:tbl>
            <w:tblPr>
              <w:tblStyle w:val="62"/>
              <w:tblW w:w="824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64"/>
              <w:gridCol w:w="4790"/>
              <w:gridCol w:w="2256"/>
              <w:gridCol w:w="531"/>
            </w:tblGrid>
            <w:tr w14:paraId="1431D5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7" w:hRule="atLeast"/>
                <w:jc w:val="center"/>
              </w:trPr>
              <w:tc>
                <w:tcPr>
                  <w:tcW w:w="664" w:type="dxa"/>
                  <w:vAlign w:val="center"/>
                </w:tcPr>
                <w:p w14:paraId="0CACC2F7">
                  <w:pPr>
                    <w:pStyle w:val="55"/>
                    <w:jc w:val="center"/>
                    <w:rPr>
                      <w:rFonts w:ascii="Times New Roman" w:hAnsi="Times New Roman" w:eastAsia="宋体" w:cs="Times New Roman"/>
                      <w:b/>
                      <w:sz w:val="21"/>
                      <w:szCs w:val="21"/>
                      <w:lang w:eastAsia="en-US"/>
                    </w:rPr>
                  </w:pPr>
                  <w:r>
                    <w:rPr>
                      <w:rFonts w:hint="eastAsia" w:ascii="Times New Roman" w:hAnsi="Times New Roman" w:eastAsia="宋体" w:cs="Times New Roman"/>
                      <w:b/>
                      <w:sz w:val="21"/>
                      <w:szCs w:val="21"/>
                      <w:lang w:eastAsia="zh-CN"/>
                    </w:rPr>
                    <w:t>维度</w:t>
                  </w:r>
                </w:p>
              </w:tc>
              <w:tc>
                <w:tcPr>
                  <w:tcW w:w="4790" w:type="dxa"/>
                  <w:vAlign w:val="center"/>
                </w:tcPr>
                <w:p w14:paraId="5AC03B8C">
                  <w:pPr>
                    <w:pStyle w:val="55"/>
                    <w:jc w:val="center"/>
                    <w:rPr>
                      <w:rFonts w:ascii="Times New Roman" w:hAnsi="Times New Roman" w:eastAsia="宋体" w:cs="Times New Roman"/>
                      <w:b/>
                      <w:sz w:val="21"/>
                      <w:szCs w:val="21"/>
                      <w:lang w:eastAsia="en-US"/>
                    </w:rPr>
                  </w:pPr>
                  <w:r>
                    <w:rPr>
                      <w:rFonts w:hint="eastAsia" w:ascii="Times New Roman" w:hAnsi="Times New Roman" w:eastAsia="宋体" w:cs="Times New Roman"/>
                      <w:b/>
                      <w:sz w:val="21"/>
                      <w:szCs w:val="21"/>
                      <w:lang w:eastAsia="zh-CN"/>
                    </w:rPr>
                    <w:t>管控要求</w:t>
                  </w:r>
                </w:p>
              </w:tc>
              <w:tc>
                <w:tcPr>
                  <w:tcW w:w="2256" w:type="dxa"/>
                  <w:vAlign w:val="center"/>
                </w:tcPr>
                <w:p w14:paraId="1BB93E15">
                  <w:pPr>
                    <w:pStyle w:val="55"/>
                    <w:jc w:val="center"/>
                    <w:rPr>
                      <w:rFonts w:ascii="Times New Roman" w:hAnsi="Times New Roman" w:eastAsia="宋体" w:cs="Times New Roman"/>
                      <w:b/>
                      <w:sz w:val="21"/>
                      <w:szCs w:val="21"/>
                      <w:lang w:eastAsia="en-US"/>
                    </w:rPr>
                  </w:pPr>
                  <w:r>
                    <w:rPr>
                      <w:rFonts w:ascii="Times New Roman" w:hAnsi="Times New Roman" w:eastAsia="宋体" w:cs="Times New Roman"/>
                      <w:b/>
                      <w:sz w:val="21"/>
                      <w:szCs w:val="21"/>
                      <w:lang w:eastAsia="zh-CN"/>
                    </w:rPr>
                    <w:t>项目符合性分析</w:t>
                  </w:r>
                </w:p>
              </w:tc>
              <w:tc>
                <w:tcPr>
                  <w:tcW w:w="531" w:type="dxa"/>
                  <w:vAlign w:val="center"/>
                </w:tcPr>
                <w:p w14:paraId="2C8F6566">
                  <w:pPr>
                    <w:pStyle w:val="55"/>
                    <w:jc w:val="center"/>
                    <w:rPr>
                      <w:rFonts w:ascii="Times New Roman" w:hAnsi="Times New Roman" w:eastAsia="宋体" w:cs="Times New Roman"/>
                      <w:b/>
                      <w:sz w:val="21"/>
                      <w:szCs w:val="21"/>
                      <w:lang w:eastAsia="en-US"/>
                    </w:rPr>
                  </w:pPr>
                  <w:r>
                    <w:rPr>
                      <w:rFonts w:ascii="Times New Roman" w:hAnsi="Times New Roman" w:eastAsia="宋体" w:cs="Times New Roman"/>
                      <w:b/>
                      <w:sz w:val="21"/>
                      <w:szCs w:val="21"/>
                      <w:lang w:eastAsia="zh-CN"/>
                    </w:rPr>
                    <w:t>结论</w:t>
                  </w:r>
                </w:p>
              </w:tc>
            </w:tr>
            <w:tr w14:paraId="52F22E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2" w:hRule="atLeast"/>
                <w:jc w:val="center"/>
              </w:trPr>
              <w:tc>
                <w:tcPr>
                  <w:tcW w:w="664" w:type="dxa"/>
                  <w:vMerge w:val="restart"/>
                  <w:vAlign w:val="center"/>
                </w:tcPr>
                <w:p w14:paraId="56DCE6E3">
                  <w:pPr>
                    <w:pStyle w:val="55"/>
                    <w:jc w:val="center"/>
                    <w:rPr>
                      <w:rFonts w:ascii="Times New Roman" w:hAnsi="Times New Roman" w:eastAsia="宋体" w:cs="Times New Roman"/>
                      <w:sz w:val="21"/>
                      <w:szCs w:val="21"/>
                      <w:lang w:eastAsia="en-US"/>
                    </w:rPr>
                  </w:pPr>
                  <w:r>
                    <w:rPr>
                      <w:rFonts w:hint="eastAsia" w:ascii="Times New Roman" w:hAnsi="Times New Roman" w:eastAsia="宋体" w:cs="Times New Roman"/>
                      <w:sz w:val="21"/>
                      <w:szCs w:val="21"/>
                      <w:lang w:eastAsia="zh-CN"/>
                    </w:rPr>
                    <w:t>空间布局约束</w:t>
                  </w:r>
                </w:p>
              </w:tc>
              <w:tc>
                <w:tcPr>
                  <w:tcW w:w="4790" w:type="dxa"/>
                  <w:vAlign w:val="center"/>
                </w:tcPr>
                <w:p w14:paraId="73928028">
                  <w:pPr>
                    <w:pStyle w:val="55"/>
                    <w:jc w:val="both"/>
                    <w:rPr>
                      <w:rFonts w:ascii="Times New Roman" w:hAnsi="Times New Roman" w:eastAsia="宋体" w:cs="Times New Roman"/>
                      <w:sz w:val="21"/>
                      <w:szCs w:val="21"/>
                      <w:lang w:eastAsia="zh-CN"/>
                    </w:rPr>
                  </w:pPr>
                  <w:r>
                    <w:rPr>
                      <w:rFonts w:ascii="Times New Roman" w:hAnsi="Times New Roman" w:eastAsia="宋体" w:cs="Times New Roman"/>
                      <w:sz w:val="21"/>
                      <w:szCs w:val="21"/>
                      <w:lang w:val="en-US" w:eastAsia="zh-CN"/>
                    </w:rPr>
                    <w:t>1.</w:t>
                  </w:r>
                  <w:r>
                    <w:rPr>
                      <w:rFonts w:hint="eastAsia" w:ascii="Times New Roman" w:hAnsi="Times New Roman" w:eastAsia="宋体" w:cs="Times New Roman"/>
                      <w:sz w:val="21"/>
                      <w:szCs w:val="21"/>
                      <w:lang w:val="en-US" w:eastAsia="zh-CN"/>
                    </w:rPr>
                    <w:t>各产业集聚区应限制建设不符合产业聚集区定位的项目。</w:t>
                  </w:r>
                </w:p>
              </w:tc>
              <w:tc>
                <w:tcPr>
                  <w:tcW w:w="2256" w:type="dxa"/>
                  <w:vAlign w:val="center"/>
                </w:tcPr>
                <w:p w14:paraId="564B7BBC">
                  <w:pPr>
                    <w:pStyle w:val="55"/>
                    <w:jc w:val="both"/>
                    <w:rPr>
                      <w:rFonts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项目符合开发区产业定位</w:t>
                  </w:r>
                </w:p>
              </w:tc>
              <w:tc>
                <w:tcPr>
                  <w:tcW w:w="531" w:type="dxa"/>
                  <w:vMerge w:val="restart"/>
                  <w:vAlign w:val="center"/>
                </w:tcPr>
                <w:p w14:paraId="28D6C938">
                  <w:pPr>
                    <w:pStyle w:val="55"/>
                    <w:jc w:val="center"/>
                    <w:rPr>
                      <w:rFonts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符合</w:t>
                  </w:r>
                </w:p>
              </w:tc>
            </w:tr>
            <w:tr w14:paraId="74DF52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664" w:type="dxa"/>
                  <w:vMerge w:val="continue"/>
                  <w:vAlign w:val="center"/>
                </w:tcPr>
                <w:p w14:paraId="2FF7770E">
                  <w:pPr>
                    <w:pStyle w:val="55"/>
                    <w:jc w:val="center"/>
                    <w:rPr>
                      <w:rFonts w:ascii="Times New Roman" w:hAnsi="Times New Roman" w:cs="Times New Roman" w:eastAsiaTheme="minorEastAsia"/>
                      <w:sz w:val="21"/>
                      <w:szCs w:val="21"/>
                      <w:lang w:eastAsia="zh-CN"/>
                    </w:rPr>
                  </w:pPr>
                </w:p>
              </w:tc>
              <w:tc>
                <w:tcPr>
                  <w:tcW w:w="4790" w:type="dxa"/>
                  <w:vAlign w:val="center"/>
                </w:tcPr>
                <w:p w14:paraId="439F13A0">
                  <w:pPr>
                    <w:pStyle w:val="55"/>
                    <w:jc w:val="both"/>
                    <w:rPr>
                      <w:rFonts w:ascii="Times New Roman" w:hAnsi="Times New Roman" w:cs="Times New Roman" w:eastAsiaTheme="minorEastAsia"/>
                      <w:sz w:val="21"/>
                      <w:szCs w:val="21"/>
                      <w:lang w:eastAsia="zh-CN"/>
                    </w:rPr>
                  </w:pPr>
                  <w:r>
                    <w:rPr>
                      <w:rFonts w:hint="eastAsia" w:ascii="Times New Roman" w:hAnsi="Times New Roman" w:eastAsia="宋体" w:cs="Times New Roman"/>
                      <w:sz w:val="21"/>
                      <w:szCs w:val="21"/>
                      <w:lang w:val="en-US" w:eastAsia="zh-CN"/>
                    </w:rPr>
                    <w:t>2.禁止在工业企业和产业集聚区大气污染防护距离内建设居住、学校、医院等环境敏感项目。对城市建成区内重污染企业、不符合安全防护距离和卫生防护距离的危化企业实施有序搬迁改造或依法关闭。引导重点行业向环境容量充足、扩散条件较好区域布局。</w:t>
                  </w:r>
                </w:p>
              </w:tc>
              <w:tc>
                <w:tcPr>
                  <w:tcW w:w="2256" w:type="dxa"/>
                  <w:vAlign w:val="center"/>
                </w:tcPr>
                <w:p w14:paraId="48C0BC2A">
                  <w:pPr>
                    <w:pStyle w:val="55"/>
                    <w:jc w:val="both"/>
                    <w:rPr>
                      <w:rFonts w:ascii="Times New Roman" w:hAnsi="Times New Roman" w:cs="Times New Roman" w:eastAsiaTheme="minorEastAsia"/>
                      <w:sz w:val="21"/>
                      <w:szCs w:val="21"/>
                      <w:lang w:eastAsia="zh-CN"/>
                    </w:rPr>
                  </w:pPr>
                  <w:r>
                    <w:rPr>
                      <w:rFonts w:hint="eastAsia" w:ascii="Times New Roman" w:hAnsi="Times New Roman" w:eastAsia="宋体" w:cs="Times New Roman"/>
                      <w:sz w:val="21"/>
                      <w:szCs w:val="21"/>
                      <w:lang w:val="en-US" w:eastAsia="zh-CN"/>
                    </w:rPr>
                    <w:t>项目不需设大气环境防护距离；项目位于城市建成区</w:t>
                  </w:r>
                  <w:r>
                    <w:rPr>
                      <w:rFonts w:hint="eastAsia" w:ascii="Times New Roman" w:hAnsi="Times New Roman" w:cs="Times New Roman"/>
                      <w:sz w:val="21"/>
                      <w:szCs w:val="21"/>
                      <w:lang w:val="en-US" w:eastAsia="zh-CN"/>
                    </w:rPr>
                    <w:t>，不属于重污染和危化企业</w:t>
                  </w:r>
                  <w:r>
                    <w:rPr>
                      <w:rFonts w:hint="eastAsia" w:ascii="Times New Roman" w:hAnsi="Times New Roman" w:eastAsia="宋体" w:cs="Times New Roman"/>
                      <w:sz w:val="21"/>
                      <w:szCs w:val="21"/>
                      <w:lang w:val="en-US" w:eastAsia="zh-CN"/>
                    </w:rPr>
                    <w:t>；项目行业不属于重点行业。</w:t>
                  </w:r>
                </w:p>
              </w:tc>
              <w:tc>
                <w:tcPr>
                  <w:tcW w:w="531" w:type="dxa"/>
                  <w:vMerge w:val="continue"/>
                  <w:vAlign w:val="center"/>
                </w:tcPr>
                <w:p w14:paraId="24FF6556">
                  <w:pPr>
                    <w:pStyle w:val="55"/>
                    <w:jc w:val="center"/>
                    <w:rPr>
                      <w:rFonts w:ascii="Times New Roman" w:hAnsi="Times New Roman" w:cs="Times New Roman" w:eastAsiaTheme="minorEastAsia"/>
                      <w:sz w:val="21"/>
                      <w:szCs w:val="21"/>
                      <w:lang w:eastAsia="zh-CN"/>
                    </w:rPr>
                  </w:pPr>
                </w:p>
              </w:tc>
            </w:tr>
            <w:tr w14:paraId="06F24B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5" w:hRule="atLeast"/>
                <w:jc w:val="center"/>
              </w:trPr>
              <w:tc>
                <w:tcPr>
                  <w:tcW w:w="664" w:type="dxa"/>
                  <w:vMerge w:val="continue"/>
                  <w:vAlign w:val="center"/>
                </w:tcPr>
                <w:p w14:paraId="365BDDAB">
                  <w:pPr>
                    <w:pStyle w:val="55"/>
                    <w:jc w:val="center"/>
                    <w:rPr>
                      <w:rFonts w:ascii="Times New Roman" w:hAnsi="Times New Roman" w:cs="Times New Roman" w:eastAsiaTheme="minorEastAsia"/>
                      <w:sz w:val="21"/>
                      <w:szCs w:val="21"/>
                      <w:lang w:eastAsia="zh-CN"/>
                    </w:rPr>
                  </w:pPr>
                </w:p>
              </w:tc>
              <w:tc>
                <w:tcPr>
                  <w:tcW w:w="4790" w:type="dxa"/>
                  <w:vAlign w:val="center"/>
                </w:tcPr>
                <w:p w14:paraId="7D53C940">
                  <w:pPr>
                    <w:pStyle w:val="55"/>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3.依法依规划定实施移动源低排放控制区，制定中心城区重型柴油货车绕行方案划定绕行路线，减少重型货车穿城。</w:t>
                  </w:r>
                </w:p>
              </w:tc>
              <w:tc>
                <w:tcPr>
                  <w:tcW w:w="2256" w:type="dxa"/>
                  <w:vAlign w:val="center"/>
                </w:tcPr>
                <w:p w14:paraId="125C9E2E">
                  <w:pPr>
                    <w:pStyle w:val="55"/>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项目不位于中心城区。</w:t>
                  </w:r>
                </w:p>
              </w:tc>
              <w:tc>
                <w:tcPr>
                  <w:tcW w:w="531" w:type="dxa"/>
                  <w:vMerge w:val="continue"/>
                  <w:vAlign w:val="center"/>
                </w:tcPr>
                <w:p w14:paraId="062CFCFE">
                  <w:pPr>
                    <w:pStyle w:val="55"/>
                    <w:jc w:val="center"/>
                    <w:rPr>
                      <w:rFonts w:ascii="Times New Roman" w:hAnsi="Times New Roman" w:cs="Times New Roman" w:eastAsiaTheme="minorEastAsia"/>
                      <w:sz w:val="21"/>
                      <w:szCs w:val="21"/>
                      <w:lang w:eastAsia="zh-CN"/>
                    </w:rPr>
                  </w:pPr>
                </w:p>
              </w:tc>
            </w:tr>
            <w:tr w14:paraId="37BA534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 w:hRule="atLeast"/>
                <w:jc w:val="center"/>
              </w:trPr>
              <w:tc>
                <w:tcPr>
                  <w:tcW w:w="664" w:type="dxa"/>
                  <w:vMerge w:val="restart"/>
                  <w:vAlign w:val="center"/>
                </w:tcPr>
                <w:p w14:paraId="0CABF2A5">
                  <w:pPr>
                    <w:pStyle w:val="55"/>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污染物排放管控</w:t>
                  </w:r>
                </w:p>
              </w:tc>
              <w:tc>
                <w:tcPr>
                  <w:tcW w:w="4790" w:type="dxa"/>
                  <w:vAlign w:val="center"/>
                </w:tcPr>
                <w:p w14:paraId="3B884F7A">
                  <w:pPr>
                    <w:pStyle w:val="55"/>
                    <w:jc w:val="both"/>
                    <w:rPr>
                      <w:rFonts w:ascii="Times New Roman" w:hAnsi="Times New Roman" w:eastAsia="宋体" w:cs="Times New Roman"/>
                      <w:sz w:val="21"/>
                      <w:szCs w:val="21"/>
                      <w:lang w:eastAsia="zh-CN"/>
                    </w:rPr>
                  </w:pPr>
                  <w:r>
                    <w:rPr>
                      <w:rFonts w:ascii="Times New Roman" w:hAnsi="Times New Roman" w:eastAsia="宋体" w:cs="Times New Roman"/>
                      <w:sz w:val="21"/>
                      <w:szCs w:val="21"/>
                      <w:lang w:val="en-US" w:eastAsia="zh-CN"/>
                    </w:rPr>
                    <w:t>1.</w:t>
                  </w:r>
                  <w:r>
                    <w:rPr>
                      <w:rFonts w:hint="eastAsia" w:ascii="Times New Roman" w:hAnsi="Times New Roman" w:eastAsia="宋体" w:cs="Times New Roman"/>
                      <w:sz w:val="21"/>
                      <w:szCs w:val="21"/>
                      <w:lang w:val="en-US" w:eastAsia="zh-CN"/>
                    </w:rPr>
                    <w:t>严格执行河北省生态环境准入要求，禁止建设不符合国家产业政策和行业准入条件的工业项目。</w:t>
                  </w:r>
                </w:p>
              </w:tc>
              <w:tc>
                <w:tcPr>
                  <w:tcW w:w="2256" w:type="dxa"/>
                  <w:vAlign w:val="center"/>
                </w:tcPr>
                <w:p w14:paraId="775DC340">
                  <w:pPr>
                    <w:pStyle w:val="55"/>
                    <w:jc w:val="both"/>
                    <w:rPr>
                      <w:rFonts w:ascii="Times New Roman" w:hAnsi="Times New Roman" w:eastAsia="宋体" w:cs="Times New Roman"/>
                      <w:sz w:val="21"/>
                      <w:szCs w:val="21"/>
                      <w:highlight w:val="green"/>
                      <w:lang w:eastAsia="zh-CN"/>
                    </w:rPr>
                  </w:pPr>
                  <w:r>
                    <w:rPr>
                      <w:rFonts w:hint="eastAsia" w:ascii="Times New Roman" w:hAnsi="Times New Roman" w:eastAsia="宋体" w:cs="Times New Roman"/>
                      <w:sz w:val="21"/>
                      <w:szCs w:val="21"/>
                      <w:lang w:eastAsia="zh-CN"/>
                    </w:rPr>
                    <w:t>项目属于《产业结构调整指导目录（2024年本）》中的允许类项目，</w:t>
                  </w:r>
                  <w:r>
                    <w:rPr>
                      <w:rFonts w:hint="eastAsia" w:ascii="Times New Roman" w:hAnsi="Times New Roman" w:eastAsia="宋体" w:cs="Times New Roman"/>
                      <w:sz w:val="21"/>
                      <w:szCs w:val="21"/>
                      <w:highlight w:val="none"/>
                      <w:lang w:eastAsia="zh-CN"/>
                    </w:rPr>
                    <w:t>已取得宽城满族自治县数据和政务服务局出具的备案文件（宽数政备字〔2024〕</w:t>
                  </w:r>
                  <w:r>
                    <w:rPr>
                      <w:rFonts w:hint="eastAsia" w:ascii="Times New Roman" w:hAnsi="Times New Roman" w:cs="Times New Roman"/>
                      <w:sz w:val="21"/>
                      <w:szCs w:val="21"/>
                      <w:highlight w:val="none"/>
                      <w:lang w:val="en-US" w:eastAsia="zh-CN"/>
                    </w:rPr>
                    <w:t>204</w:t>
                  </w:r>
                  <w:r>
                    <w:rPr>
                      <w:rFonts w:hint="eastAsia" w:ascii="Times New Roman" w:hAnsi="Times New Roman" w:eastAsia="宋体" w:cs="Times New Roman"/>
                      <w:sz w:val="21"/>
                      <w:szCs w:val="21"/>
                      <w:highlight w:val="none"/>
                      <w:lang w:eastAsia="zh-CN"/>
                    </w:rPr>
                    <w:t>号），</w:t>
                  </w:r>
                  <w:r>
                    <w:rPr>
                      <w:rFonts w:hint="eastAsia" w:ascii="Times New Roman" w:hAnsi="Times New Roman" w:eastAsia="宋体" w:cs="Times New Roman"/>
                      <w:sz w:val="21"/>
                      <w:szCs w:val="21"/>
                      <w:lang w:eastAsia="zh-CN"/>
                    </w:rPr>
                    <w:t>符合产业政策要求</w:t>
                  </w:r>
                </w:p>
              </w:tc>
              <w:tc>
                <w:tcPr>
                  <w:tcW w:w="531" w:type="dxa"/>
                  <w:vMerge w:val="restart"/>
                  <w:vAlign w:val="center"/>
                </w:tcPr>
                <w:p w14:paraId="63185679">
                  <w:pPr>
                    <w:pStyle w:val="55"/>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符合</w:t>
                  </w:r>
                </w:p>
              </w:tc>
            </w:tr>
            <w:tr w14:paraId="77209B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02196CD1">
                  <w:pPr>
                    <w:pStyle w:val="55"/>
                    <w:jc w:val="center"/>
                    <w:rPr>
                      <w:rFonts w:ascii="Times New Roman" w:hAnsi="Times New Roman" w:cs="Times New Roman" w:eastAsiaTheme="minorEastAsia"/>
                      <w:sz w:val="21"/>
                      <w:szCs w:val="21"/>
                      <w:lang w:eastAsia="zh-CN"/>
                    </w:rPr>
                  </w:pPr>
                </w:p>
              </w:tc>
              <w:tc>
                <w:tcPr>
                  <w:tcW w:w="4790" w:type="dxa"/>
                  <w:vAlign w:val="center"/>
                </w:tcPr>
                <w:p w14:paraId="24702CE0">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2.现有及新建企业污染排放应满足排污许可证要求。未发放排污许可证工业企业满足行业排放标准与总量控制要求。规定期限内未获得排污许可证的企业应关停退出。</w:t>
                  </w:r>
                </w:p>
              </w:tc>
              <w:tc>
                <w:tcPr>
                  <w:tcW w:w="2256" w:type="dxa"/>
                  <w:vAlign w:val="center"/>
                </w:tcPr>
                <w:p w14:paraId="7E764186">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项目污染物排放满足行业排放标准与总量控制要求</w:t>
                  </w:r>
                </w:p>
              </w:tc>
              <w:tc>
                <w:tcPr>
                  <w:tcW w:w="531" w:type="dxa"/>
                  <w:vMerge w:val="continue"/>
                  <w:vAlign w:val="center"/>
                </w:tcPr>
                <w:p w14:paraId="19BCB2B5">
                  <w:pPr>
                    <w:pStyle w:val="55"/>
                    <w:jc w:val="both"/>
                    <w:rPr>
                      <w:rFonts w:ascii="Times New Roman" w:hAnsi="Times New Roman" w:cs="Times New Roman" w:eastAsiaTheme="minorEastAsia"/>
                      <w:sz w:val="21"/>
                      <w:szCs w:val="21"/>
                      <w:lang w:eastAsia="zh-CN"/>
                    </w:rPr>
                  </w:pPr>
                </w:p>
              </w:tc>
            </w:tr>
            <w:tr w14:paraId="63812E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38FA5DDC">
                  <w:pPr>
                    <w:pStyle w:val="55"/>
                    <w:jc w:val="center"/>
                    <w:rPr>
                      <w:rFonts w:ascii="Times New Roman" w:hAnsi="Times New Roman" w:cs="Times New Roman" w:eastAsiaTheme="minorEastAsia"/>
                      <w:sz w:val="21"/>
                      <w:szCs w:val="21"/>
                      <w:lang w:eastAsia="zh-CN"/>
                    </w:rPr>
                  </w:pPr>
                </w:p>
              </w:tc>
              <w:tc>
                <w:tcPr>
                  <w:tcW w:w="4790" w:type="dxa"/>
                  <w:vAlign w:val="center"/>
                </w:tcPr>
                <w:p w14:paraId="77EF8B2C">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3.巩固钢铁、水泥、焦化等重点行业和燃煤锅炉超低排放改造成效。以重点区域、高排放企业为重点，实施“一厂一策”企业减排工程，提升工业企业污染防治水平，促进企业绩效评价“晋B升A”。</w:t>
                  </w:r>
                </w:p>
              </w:tc>
              <w:tc>
                <w:tcPr>
                  <w:tcW w:w="2256" w:type="dxa"/>
                  <w:vAlign w:val="center"/>
                </w:tcPr>
                <w:p w14:paraId="3BBB1769">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项目行业不属于钢铁、水泥、焦化等重点行业，项目不涉及燃煤锅炉。</w:t>
                  </w:r>
                </w:p>
              </w:tc>
              <w:tc>
                <w:tcPr>
                  <w:tcW w:w="531" w:type="dxa"/>
                  <w:vMerge w:val="continue"/>
                  <w:vAlign w:val="center"/>
                </w:tcPr>
                <w:p w14:paraId="137DFDE0">
                  <w:pPr>
                    <w:pStyle w:val="55"/>
                    <w:jc w:val="both"/>
                    <w:rPr>
                      <w:rFonts w:ascii="Times New Roman" w:hAnsi="Times New Roman" w:cs="Times New Roman" w:eastAsiaTheme="minorEastAsia"/>
                      <w:sz w:val="21"/>
                      <w:szCs w:val="21"/>
                      <w:lang w:eastAsia="zh-CN"/>
                    </w:rPr>
                  </w:pPr>
                </w:p>
              </w:tc>
            </w:tr>
            <w:tr w14:paraId="1BC96B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6DF3F3ED">
                  <w:pPr>
                    <w:pStyle w:val="55"/>
                    <w:jc w:val="center"/>
                    <w:rPr>
                      <w:rFonts w:ascii="Times New Roman" w:hAnsi="Times New Roman" w:cs="Times New Roman" w:eastAsiaTheme="minorEastAsia"/>
                      <w:sz w:val="21"/>
                      <w:szCs w:val="21"/>
                      <w:lang w:eastAsia="zh-CN"/>
                    </w:rPr>
                  </w:pPr>
                </w:p>
              </w:tc>
              <w:tc>
                <w:tcPr>
                  <w:tcW w:w="4790" w:type="dxa"/>
                  <w:vAlign w:val="center"/>
                </w:tcPr>
                <w:p w14:paraId="42E1B366">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4.严格执行质量、环保、能耗、安全等法规标准，加大重点行业低效和过剩产能压减力度，淘汰4.3米焦炉，关停部分1000立方米以下高炉和100吨以下转炉。</w:t>
                  </w:r>
                </w:p>
              </w:tc>
              <w:tc>
                <w:tcPr>
                  <w:tcW w:w="2256" w:type="dxa"/>
                  <w:vAlign w:val="center"/>
                </w:tcPr>
                <w:p w14:paraId="67AC23E6">
                  <w:pPr>
                    <w:pStyle w:val="55"/>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项目不涉及。</w:t>
                  </w:r>
                </w:p>
              </w:tc>
              <w:tc>
                <w:tcPr>
                  <w:tcW w:w="531" w:type="dxa"/>
                  <w:vMerge w:val="continue"/>
                  <w:vAlign w:val="center"/>
                </w:tcPr>
                <w:p w14:paraId="51EA1235">
                  <w:pPr>
                    <w:pStyle w:val="55"/>
                    <w:jc w:val="both"/>
                    <w:rPr>
                      <w:rFonts w:ascii="Times New Roman" w:hAnsi="Times New Roman" w:cs="Times New Roman" w:eastAsiaTheme="minorEastAsia"/>
                      <w:sz w:val="21"/>
                      <w:szCs w:val="21"/>
                      <w:lang w:eastAsia="zh-CN"/>
                    </w:rPr>
                  </w:pPr>
                </w:p>
              </w:tc>
            </w:tr>
            <w:tr w14:paraId="26973E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192AE4DB">
                  <w:pPr>
                    <w:pStyle w:val="55"/>
                    <w:jc w:val="center"/>
                    <w:rPr>
                      <w:rFonts w:ascii="Times New Roman" w:hAnsi="Times New Roman" w:cs="Times New Roman" w:eastAsiaTheme="minorEastAsia"/>
                      <w:sz w:val="21"/>
                      <w:szCs w:val="21"/>
                      <w:lang w:eastAsia="zh-CN"/>
                    </w:rPr>
                  </w:pPr>
                </w:p>
              </w:tc>
              <w:tc>
                <w:tcPr>
                  <w:tcW w:w="4790" w:type="dxa"/>
                  <w:vAlign w:val="center"/>
                </w:tcPr>
                <w:p w14:paraId="5ED8D359">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5.现有、新改扩建医药制造工业、石油炼制工业、石油化学工业、有机化工业、炼焦工业、钢铁冶炼和压延加工业、木材加工业、家具制造业、交通运输设备制造业、表面涂装业、印刷工业项目挥发性有机物排放应满足《工业企业挥发性有机物排放控制标准》（DB13/2322-2016）要求，现有项目应限期完成升级改造。</w:t>
                  </w:r>
                </w:p>
                <w:p w14:paraId="3F30F884">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现有、新改扩建钢铁工业项目执行《钢铁工业大气污染物超低排放标准》（DB13/2169-2018）要求。</w:t>
                  </w:r>
                </w:p>
                <w:p w14:paraId="54BAC21C">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现有、新改扩建水泥工业项目执行《水泥工业大气污染物超低排放标准》（DB13/2167-2020）要求。</w:t>
                  </w:r>
                </w:p>
                <w:p w14:paraId="1BB58411">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现有、新改扩建平板玻璃工业项目执行《平板玻璃工业大气污染物超低排放标准》（DB13/2168-2020）要求。</w:t>
                  </w:r>
                </w:p>
                <w:p w14:paraId="73613B12">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现有、新改扩建非发电锅炉执行《锅炉大气污染物排放标准》（DB13/5161-2020）要求，现有项目应限期完成升级改造。</w:t>
                  </w:r>
                </w:p>
                <w:p w14:paraId="74240C62">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现有、新改扩建陶瓷工业项目执行《陶瓷工业大气污染物排放标准》（DB13∕5214-2020）要求。</w:t>
                  </w:r>
                </w:p>
                <w:p w14:paraId="25FC0CB4">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现有、新改扩建燃煤电厂项目执行《燃煤电厂大气污染物排放标准》（DB13/2209-2015）要求。</w:t>
                  </w:r>
                </w:p>
                <w:p w14:paraId="3D72BE2D">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现有、新改扩建生物和化学制药行业项目挥发性有机物与恶臭气体污染执行《生物和化学制药行业挥发性有机物与恶臭气体污染控制技术指南》（DB13/T5363-2021）要求。</w:t>
                  </w:r>
                </w:p>
                <w:p w14:paraId="1D9A5823">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现有、新改扩建青霉素类制药企业或生产设施建设项目挥发性有机物与和恶臭特征污染物排放执行《青霉素类制药挥发性有机物和恶臭特征污染物排放标准》（DB13/2208-2015）要求。</w:t>
                  </w:r>
                </w:p>
              </w:tc>
              <w:tc>
                <w:tcPr>
                  <w:tcW w:w="2256" w:type="dxa"/>
                  <w:vAlign w:val="center"/>
                </w:tcPr>
                <w:p w14:paraId="4534017E">
                  <w:pPr>
                    <w:rPr>
                      <w:rFonts w:ascii="Times New Roman" w:hAnsi="Times New Roman" w:eastAsia="宋体" w:cs="Times New Roman"/>
                      <w:szCs w:val="21"/>
                      <w:lang w:eastAsia="zh-CN"/>
                    </w:rPr>
                  </w:pPr>
                  <w:r>
                    <w:rPr>
                      <w:rFonts w:hint="eastAsia" w:ascii="Times New Roman" w:hAnsi="Times New Roman" w:eastAsia="宋体" w:cs="Times New Roman"/>
                      <w:szCs w:val="21"/>
                      <w:lang w:eastAsia="zh-CN"/>
                    </w:rPr>
                    <w:t>项目不属于：“医药制造工业、石油炼制工业、石油化学工业、有机化工业、炼焦工业、钢铁冶炼和压延加工业、木材加工业、家具制造业、交通运输设备制造业、表面涂装业、印刷工业项目、钢铁工业项目、水泥工业项目、平板玻璃工业项目、非发电锅炉、陶瓷工业项目、燃煤电厂项目、生物和化学制药行业项目、青霉素类制药企业或生产设施建设项目”等项目。</w:t>
                  </w:r>
                </w:p>
              </w:tc>
              <w:tc>
                <w:tcPr>
                  <w:tcW w:w="531" w:type="dxa"/>
                  <w:vMerge w:val="continue"/>
                  <w:vAlign w:val="center"/>
                </w:tcPr>
                <w:p w14:paraId="772A2340">
                  <w:pPr>
                    <w:pStyle w:val="55"/>
                    <w:jc w:val="both"/>
                    <w:rPr>
                      <w:rFonts w:ascii="Times New Roman" w:hAnsi="Times New Roman" w:cs="Times New Roman" w:eastAsiaTheme="minorEastAsia"/>
                      <w:sz w:val="21"/>
                      <w:szCs w:val="21"/>
                      <w:lang w:eastAsia="zh-CN"/>
                    </w:rPr>
                  </w:pPr>
                </w:p>
              </w:tc>
            </w:tr>
            <w:tr w14:paraId="2E0295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133F859F">
                  <w:pPr>
                    <w:pStyle w:val="55"/>
                    <w:jc w:val="center"/>
                    <w:rPr>
                      <w:rFonts w:ascii="Times New Roman" w:hAnsi="Times New Roman" w:cs="Times New Roman" w:eastAsiaTheme="minorEastAsia"/>
                      <w:szCs w:val="21"/>
                      <w:lang w:eastAsia="zh-CN"/>
                    </w:rPr>
                  </w:pPr>
                </w:p>
              </w:tc>
              <w:tc>
                <w:tcPr>
                  <w:tcW w:w="4790" w:type="dxa"/>
                  <w:vAlign w:val="center"/>
                </w:tcPr>
                <w:p w14:paraId="06F5DB77">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6.有序推动合法生产露天矿山综合治理，对标现代化矿山开采模式，推动矿山资源规范开采、集约开采、绿色开采。严格落实矿产资源开采、运输和加工过程防尘、除尘措施，各种物料入棚进仓，运输通道硬化防尘，进出车辆苫盖冲洗，开采、加工作业区污染物达标排放。</w:t>
                  </w:r>
                </w:p>
              </w:tc>
              <w:tc>
                <w:tcPr>
                  <w:tcW w:w="2256" w:type="dxa"/>
                  <w:vAlign w:val="center"/>
                </w:tcPr>
                <w:p w14:paraId="20F10846">
                  <w:pPr>
                    <w:pStyle w:val="55"/>
                    <w:jc w:val="both"/>
                    <w:rPr>
                      <w:rFonts w:eastAsia="宋体" w:cs="Times New Roman"/>
                      <w:sz w:val="21"/>
                      <w:szCs w:val="21"/>
                      <w:lang w:eastAsia="zh-CN"/>
                    </w:rPr>
                  </w:pPr>
                  <w:r>
                    <w:rPr>
                      <w:rFonts w:hint="eastAsia" w:eastAsia="宋体" w:cs="Times New Roman"/>
                      <w:sz w:val="21"/>
                      <w:szCs w:val="21"/>
                      <w:lang w:eastAsia="zh-CN"/>
                    </w:rPr>
                    <w:t>项目不涉及矿产资源开采</w:t>
                  </w:r>
                </w:p>
              </w:tc>
              <w:tc>
                <w:tcPr>
                  <w:tcW w:w="531" w:type="dxa"/>
                  <w:vMerge w:val="continue"/>
                  <w:vAlign w:val="center"/>
                </w:tcPr>
                <w:p w14:paraId="59D72711">
                  <w:pPr>
                    <w:pStyle w:val="55"/>
                    <w:jc w:val="both"/>
                    <w:rPr>
                      <w:rFonts w:ascii="Times New Roman" w:hAnsi="Times New Roman" w:cs="Times New Roman" w:eastAsiaTheme="minorEastAsia"/>
                      <w:sz w:val="21"/>
                      <w:szCs w:val="21"/>
                      <w:lang w:eastAsia="zh-CN"/>
                    </w:rPr>
                  </w:pPr>
                </w:p>
              </w:tc>
            </w:tr>
            <w:tr w14:paraId="64EAD4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342E905E">
                  <w:pPr>
                    <w:pStyle w:val="55"/>
                    <w:jc w:val="center"/>
                    <w:rPr>
                      <w:rFonts w:ascii="Times New Roman" w:hAnsi="Times New Roman" w:cs="Times New Roman" w:eastAsiaTheme="minorEastAsia"/>
                      <w:szCs w:val="21"/>
                      <w:lang w:eastAsia="zh-CN"/>
                    </w:rPr>
                  </w:pPr>
                </w:p>
              </w:tc>
              <w:tc>
                <w:tcPr>
                  <w:tcW w:w="4790" w:type="dxa"/>
                  <w:vAlign w:val="center"/>
                </w:tcPr>
                <w:p w14:paraId="79652E73">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7.建筑施工严格贯彻《河北省扬尘污染防治办法》《河北省施工场地扬尘排放标准》《河北省建筑施工扬尘防治强化措施18条》，压实企业主体责任，建筑施工现场落实“六个百分之百”和“两个全覆盖”，强化督查执法，对扬尘管控不到位的，依法予以严惩，对建筑市场主体的不良行为信息依法依规纳入建筑市场信用管理体系，情节严重的，列入“黑名单”。</w:t>
                  </w:r>
                </w:p>
              </w:tc>
              <w:tc>
                <w:tcPr>
                  <w:tcW w:w="2256" w:type="dxa"/>
                  <w:vAlign w:val="center"/>
                </w:tcPr>
                <w:p w14:paraId="39B3FCD8">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项目严格按照《河北省建筑施工扬尘防治标准》等要求进行建设施工。</w:t>
                  </w:r>
                </w:p>
              </w:tc>
              <w:tc>
                <w:tcPr>
                  <w:tcW w:w="531" w:type="dxa"/>
                  <w:vMerge w:val="continue"/>
                  <w:vAlign w:val="center"/>
                </w:tcPr>
                <w:p w14:paraId="48F7C91A">
                  <w:pPr>
                    <w:pStyle w:val="55"/>
                    <w:jc w:val="both"/>
                    <w:rPr>
                      <w:rFonts w:ascii="Times New Roman" w:hAnsi="Times New Roman" w:cs="Times New Roman" w:eastAsiaTheme="minorEastAsia"/>
                      <w:sz w:val="21"/>
                      <w:szCs w:val="21"/>
                      <w:lang w:eastAsia="zh-CN"/>
                    </w:rPr>
                  </w:pPr>
                </w:p>
              </w:tc>
            </w:tr>
            <w:tr w14:paraId="51C06D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1FD77AE8">
                  <w:pPr>
                    <w:pStyle w:val="55"/>
                    <w:jc w:val="center"/>
                    <w:rPr>
                      <w:rFonts w:ascii="Times New Roman" w:hAnsi="Times New Roman" w:cs="Times New Roman" w:eastAsiaTheme="minorEastAsia"/>
                      <w:szCs w:val="21"/>
                      <w:lang w:eastAsia="zh-CN"/>
                    </w:rPr>
                  </w:pPr>
                </w:p>
              </w:tc>
              <w:tc>
                <w:tcPr>
                  <w:tcW w:w="4790" w:type="dxa"/>
                  <w:vAlign w:val="center"/>
                </w:tcPr>
                <w:p w14:paraId="2892D61F">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8.深入实施清洁柴油车（机）行动，基本淘汰国一及以下排放标准或使用15年以上的工程机械，具备条件的更换国三及以上排放标准的发动机。全面实施非道路移动机械第四阶段排放标准，落实非道路移动机械使用登记管理制度，对超标排放车辆全链条环境监管。严格执行国六车用乙醇汽油质量标准，加强劣质油品整治，坚决取缔黑加油站（点）、黑油罐车。</w:t>
                  </w:r>
                </w:p>
              </w:tc>
              <w:tc>
                <w:tcPr>
                  <w:tcW w:w="2256" w:type="dxa"/>
                  <w:vAlign w:val="center"/>
                </w:tcPr>
                <w:p w14:paraId="242D33D0">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项目拟使用清洁柴油车（机）</w:t>
                  </w:r>
                </w:p>
              </w:tc>
              <w:tc>
                <w:tcPr>
                  <w:tcW w:w="531" w:type="dxa"/>
                  <w:vMerge w:val="continue"/>
                  <w:vAlign w:val="center"/>
                </w:tcPr>
                <w:p w14:paraId="75297027">
                  <w:pPr>
                    <w:pStyle w:val="55"/>
                    <w:jc w:val="both"/>
                    <w:rPr>
                      <w:rFonts w:ascii="Times New Roman" w:hAnsi="Times New Roman" w:cs="Times New Roman" w:eastAsiaTheme="minorEastAsia"/>
                      <w:sz w:val="21"/>
                      <w:szCs w:val="21"/>
                      <w:lang w:eastAsia="zh-CN"/>
                    </w:rPr>
                  </w:pPr>
                </w:p>
              </w:tc>
            </w:tr>
            <w:tr w14:paraId="4F399B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18F0B9EE">
                  <w:pPr>
                    <w:pStyle w:val="55"/>
                    <w:jc w:val="center"/>
                    <w:rPr>
                      <w:rFonts w:ascii="Times New Roman" w:hAnsi="Times New Roman" w:cs="Times New Roman" w:eastAsiaTheme="minorEastAsia"/>
                      <w:szCs w:val="21"/>
                      <w:lang w:eastAsia="zh-CN"/>
                    </w:rPr>
                  </w:pPr>
                </w:p>
              </w:tc>
              <w:tc>
                <w:tcPr>
                  <w:tcW w:w="4790" w:type="dxa"/>
                  <w:vAlign w:val="center"/>
                </w:tcPr>
                <w:p w14:paraId="6619B0D5">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9.大力开展国土绿化，实施城镇裸露地面绿化、硬化，推动城市和县城、重要集镇“黄土不见天”，有效减少本地尘源，降低扬尘污染。</w:t>
                  </w:r>
                </w:p>
              </w:tc>
              <w:tc>
                <w:tcPr>
                  <w:tcW w:w="2256" w:type="dxa"/>
                  <w:vAlign w:val="center"/>
                </w:tcPr>
                <w:p w14:paraId="02A1BF43">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项目厂区实现“非硬即绿”</w:t>
                  </w:r>
                </w:p>
              </w:tc>
              <w:tc>
                <w:tcPr>
                  <w:tcW w:w="531" w:type="dxa"/>
                  <w:vMerge w:val="continue"/>
                  <w:vAlign w:val="center"/>
                </w:tcPr>
                <w:p w14:paraId="123325B0">
                  <w:pPr>
                    <w:pStyle w:val="55"/>
                    <w:jc w:val="both"/>
                    <w:rPr>
                      <w:rFonts w:ascii="Times New Roman" w:hAnsi="Times New Roman" w:cs="Times New Roman" w:eastAsiaTheme="minorEastAsia"/>
                      <w:sz w:val="21"/>
                      <w:szCs w:val="21"/>
                      <w:lang w:eastAsia="zh-CN"/>
                    </w:rPr>
                  </w:pPr>
                </w:p>
              </w:tc>
            </w:tr>
            <w:tr w14:paraId="6E56AC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7E3F048A">
                  <w:pPr>
                    <w:pStyle w:val="55"/>
                    <w:jc w:val="center"/>
                    <w:rPr>
                      <w:rFonts w:ascii="Times New Roman" w:hAnsi="Times New Roman" w:cs="Times New Roman" w:eastAsiaTheme="minorEastAsia"/>
                      <w:szCs w:val="21"/>
                      <w:lang w:eastAsia="zh-CN"/>
                    </w:rPr>
                  </w:pPr>
                </w:p>
              </w:tc>
              <w:tc>
                <w:tcPr>
                  <w:tcW w:w="4790" w:type="dxa"/>
                  <w:vAlign w:val="center"/>
                </w:tcPr>
                <w:p w14:paraId="529E0F01">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10.禁止露天焚烧农作物秸秆等行为，切实加强秸秆焚烧、烧荒烧垃圾等露天焚烧问题监督管理，开展重点时段秸秆禁烧专项整治，完善秸秆焚烧视频监控系统点位建设。</w:t>
                  </w:r>
                </w:p>
              </w:tc>
              <w:tc>
                <w:tcPr>
                  <w:tcW w:w="2256" w:type="dxa"/>
                  <w:vAlign w:val="center"/>
                </w:tcPr>
                <w:p w14:paraId="14B2705C">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项目不涉及焚烧农作物秸秆等行为</w:t>
                  </w:r>
                </w:p>
              </w:tc>
              <w:tc>
                <w:tcPr>
                  <w:tcW w:w="531" w:type="dxa"/>
                  <w:vMerge w:val="continue"/>
                  <w:vAlign w:val="center"/>
                </w:tcPr>
                <w:p w14:paraId="1C8D287B">
                  <w:pPr>
                    <w:pStyle w:val="55"/>
                    <w:jc w:val="both"/>
                    <w:rPr>
                      <w:rFonts w:ascii="Times New Roman" w:hAnsi="Times New Roman" w:cs="Times New Roman" w:eastAsiaTheme="minorEastAsia"/>
                      <w:sz w:val="21"/>
                      <w:szCs w:val="21"/>
                      <w:lang w:eastAsia="zh-CN"/>
                    </w:rPr>
                  </w:pPr>
                </w:p>
              </w:tc>
            </w:tr>
            <w:tr w14:paraId="2839FC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422367FF">
                  <w:pPr>
                    <w:pStyle w:val="55"/>
                    <w:jc w:val="center"/>
                    <w:rPr>
                      <w:rFonts w:ascii="Times New Roman" w:hAnsi="Times New Roman" w:cs="Times New Roman" w:eastAsiaTheme="minorEastAsia"/>
                      <w:szCs w:val="21"/>
                      <w:lang w:eastAsia="zh-CN"/>
                    </w:rPr>
                  </w:pPr>
                </w:p>
              </w:tc>
              <w:tc>
                <w:tcPr>
                  <w:tcW w:w="4790" w:type="dxa"/>
                  <w:vAlign w:val="center"/>
                </w:tcPr>
                <w:p w14:paraId="63598417">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11.严格落实《承德市人民政府关于全域禁止销售和中心城区、重点区域禁止燃放烟花爆竹的通告》，实行全区域、全时段、常态化禁燃禁放烟花爆竹。</w:t>
                  </w:r>
                </w:p>
              </w:tc>
              <w:tc>
                <w:tcPr>
                  <w:tcW w:w="2256" w:type="dxa"/>
                  <w:vAlign w:val="center"/>
                </w:tcPr>
                <w:p w14:paraId="7C2D5A1E">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项目不涉及燃放烟花爆竹</w:t>
                  </w:r>
                </w:p>
              </w:tc>
              <w:tc>
                <w:tcPr>
                  <w:tcW w:w="531" w:type="dxa"/>
                  <w:vMerge w:val="continue"/>
                  <w:vAlign w:val="center"/>
                </w:tcPr>
                <w:p w14:paraId="72E72316">
                  <w:pPr>
                    <w:pStyle w:val="55"/>
                    <w:jc w:val="both"/>
                    <w:rPr>
                      <w:rFonts w:ascii="Times New Roman" w:hAnsi="Times New Roman" w:cs="Times New Roman" w:eastAsiaTheme="minorEastAsia"/>
                      <w:sz w:val="21"/>
                      <w:szCs w:val="21"/>
                      <w:lang w:eastAsia="zh-CN"/>
                    </w:rPr>
                  </w:pPr>
                </w:p>
              </w:tc>
            </w:tr>
            <w:tr w14:paraId="7EC6C5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25916729">
                  <w:pPr>
                    <w:pStyle w:val="55"/>
                    <w:jc w:val="center"/>
                    <w:rPr>
                      <w:rFonts w:ascii="Times New Roman" w:hAnsi="Times New Roman" w:cs="Times New Roman" w:eastAsiaTheme="minorEastAsia"/>
                      <w:szCs w:val="21"/>
                      <w:lang w:eastAsia="zh-CN"/>
                    </w:rPr>
                  </w:pPr>
                </w:p>
              </w:tc>
              <w:tc>
                <w:tcPr>
                  <w:tcW w:w="4790" w:type="dxa"/>
                  <w:vAlign w:val="center"/>
                </w:tcPr>
                <w:p w14:paraId="562F4997">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12.加强城市和县城建成区餐饮企业、经营商户油烟排放监督管理，各县（市、区）要建立餐饮油烟治理工作台账，定期开展餐饮油烟集中整治行动。</w:t>
                  </w:r>
                </w:p>
              </w:tc>
              <w:tc>
                <w:tcPr>
                  <w:tcW w:w="2256" w:type="dxa"/>
                  <w:vAlign w:val="center"/>
                </w:tcPr>
                <w:p w14:paraId="6F26FA72">
                  <w:pPr>
                    <w:pStyle w:val="55"/>
                    <w:jc w:val="both"/>
                    <w:rPr>
                      <w:rFonts w:ascii="Times New Roman" w:hAnsi="Times New Roman" w:eastAsia="宋体" w:cs="Times New Roman"/>
                      <w:sz w:val="21"/>
                      <w:szCs w:val="21"/>
                      <w:lang w:eastAsia="zh-CN"/>
                    </w:rPr>
                  </w:pPr>
                  <w:r>
                    <w:rPr>
                      <w:rFonts w:hint="eastAsia" w:ascii="Times New Roman" w:hAnsi="Times New Roman" w:cs="Times New Roman"/>
                      <w:sz w:val="21"/>
                      <w:szCs w:val="21"/>
                      <w:lang w:val="en-US" w:eastAsia="zh-CN"/>
                    </w:rPr>
                    <w:t>不涉及</w:t>
                  </w:r>
                </w:p>
              </w:tc>
              <w:tc>
                <w:tcPr>
                  <w:tcW w:w="531" w:type="dxa"/>
                  <w:vMerge w:val="continue"/>
                  <w:vAlign w:val="center"/>
                </w:tcPr>
                <w:p w14:paraId="4562EA64">
                  <w:pPr>
                    <w:pStyle w:val="55"/>
                    <w:jc w:val="both"/>
                    <w:rPr>
                      <w:rFonts w:ascii="Times New Roman" w:hAnsi="Times New Roman" w:cs="Times New Roman" w:eastAsiaTheme="minorEastAsia"/>
                      <w:sz w:val="21"/>
                      <w:szCs w:val="21"/>
                      <w:lang w:eastAsia="zh-CN"/>
                    </w:rPr>
                  </w:pPr>
                </w:p>
              </w:tc>
            </w:tr>
            <w:tr w14:paraId="298A4B7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5E42E40A">
                  <w:pPr>
                    <w:pStyle w:val="55"/>
                    <w:jc w:val="center"/>
                    <w:rPr>
                      <w:rFonts w:ascii="Times New Roman" w:hAnsi="Times New Roman" w:cs="Times New Roman" w:eastAsiaTheme="minorEastAsia"/>
                      <w:szCs w:val="21"/>
                      <w:lang w:eastAsia="zh-CN"/>
                    </w:rPr>
                  </w:pPr>
                </w:p>
              </w:tc>
              <w:tc>
                <w:tcPr>
                  <w:tcW w:w="4790" w:type="dxa"/>
                  <w:vAlign w:val="center"/>
                </w:tcPr>
                <w:p w14:paraId="4733350A">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13.统筹加强减污降碳协同控制，开展重点行业资源利用效率、能源消耗、污染物排放对标行动，加大氮氧化物、挥发性有机物（VOCs）以及温室气体协同减排力度，加快补齐臭氧治理短板，严格落实国家和我省产品VOCs含量限值标准，有序推进企业产品切换。</w:t>
                  </w:r>
                </w:p>
              </w:tc>
              <w:tc>
                <w:tcPr>
                  <w:tcW w:w="2256" w:type="dxa"/>
                  <w:vAlign w:val="center"/>
                </w:tcPr>
                <w:p w14:paraId="12869F92">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项目行业不属于重点行业</w:t>
                  </w:r>
                </w:p>
              </w:tc>
              <w:tc>
                <w:tcPr>
                  <w:tcW w:w="531" w:type="dxa"/>
                  <w:vMerge w:val="continue"/>
                  <w:vAlign w:val="center"/>
                </w:tcPr>
                <w:p w14:paraId="51A45CD5">
                  <w:pPr>
                    <w:pStyle w:val="55"/>
                    <w:jc w:val="both"/>
                    <w:rPr>
                      <w:rFonts w:ascii="Times New Roman" w:hAnsi="Times New Roman" w:cs="Times New Roman" w:eastAsiaTheme="minorEastAsia"/>
                      <w:sz w:val="21"/>
                      <w:szCs w:val="21"/>
                      <w:lang w:eastAsia="zh-CN"/>
                    </w:rPr>
                  </w:pPr>
                </w:p>
              </w:tc>
            </w:tr>
            <w:tr w14:paraId="76501F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9" w:hRule="atLeast"/>
                <w:jc w:val="center"/>
              </w:trPr>
              <w:tc>
                <w:tcPr>
                  <w:tcW w:w="664" w:type="dxa"/>
                  <w:vMerge w:val="restart"/>
                  <w:vAlign w:val="center"/>
                </w:tcPr>
                <w:p w14:paraId="397D15C1">
                  <w:pPr>
                    <w:pStyle w:val="55"/>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环境风险防控</w:t>
                  </w:r>
                </w:p>
              </w:tc>
              <w:tc>
                <w:tcPr>
                  <w:tcW w:w="4790" w:type="dxa"/>
                  <w:vAlign w:val="center"/>
                </w:tcPr>
                <w:p w14:paraId="0EB84F94">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1.健全完善重污染天气应急预案，在重污染天气情况下按照预警等级及时启动相应的应急预案和应急措施。</w:t>
                  </w:r>
                </w:p>
              </w:tc>
              <w:tc>
                <w:tcPr>
                  <w:tcW w:w="2256" w:type="dxa"/>
                  <w:vAlign w:val="center"/>
                </w:tcPr>
                <w:p w14:paraId="4FD198A9">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项目按要求落实重污染天气应急预案要求</w:t>
                  </w:r>
                </w:p>
              </w:tc>
              <w:tc>
                <w:tcPr>
                  <w:tcW w:w="531" w:type="dxa"/>
                  <w:vMerge w:val="restart"/>
                  <w:vAlign w:val="center"/>
                </w:tcPr>
                <w:p w14:paraId="36DA7891">
                  <w:pPr>
                    <w:pStyle w:val="55"/>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符合</w:t>
                  </w:r>
                </w:p>
              </w:tc>
            </w:tr>
            <w:tr w14:paraId="5E100D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8" w:hRule="atLeast"/>
                <w:jc w:val="center"/>
              </w:trPr>
              <w:tc>
                <w:tcPr>
                  <w:tcW w:w="664" w:type="dxa"/>
                  <w:vMerge w:val="continue"/>
                  <w:vAlign w:val="center"/>
                </w:tcPr>
                <w:p w14:paraId="7AC60CC5">
                  <w:pPr>
                    <w:pStyle w:val="55"/>
                    <w:jc w:val="center"/>
                    <w:rPr>
                      <w:rFonts w:ascii="Times New Roman" w:hAnsi="Times New Roman" w:cs="Times New Roman" w:eastAsiaTheme="minorEastAsia"/>
                      <w:sz w:val="21"/>
                      <w:szCs w:val="21"/>
                      <w:lang w:eastAsia="zh-CN"/>
                    </w:rPr>
                  </w:pPr>
                </w:p>
              </w:tc>
              <w:tc>
                <w:tcPr>
                  <w:tcW w:w="4790" w:type="dxa"/>
                  <w:vAlign w:val="center"/>
                </w:tcPr>
                <w:p w14:paraId="1AE4EA2A">
                  <w:pPr>
                    <w:pStyle w:val="55"/>
                    <w:jc w:val="both"/>
                    <w:rPr>
                      <w:rFonts w:ascii="Times New Roman" w:hAnsi="Times New Roman" w:cs="Times New Roman" w:eastAsiaTheme="minorEastAsia"/>
                      <w:sz w:val="21"/>
                      <w:szCs w:val="21"/>
                      <w:lang w:eastAsia="zh-CN"/>
                    </w:rPr>
                  </w:pPr>
                  <w:r>
                    <w:rPr>
                      <w:rFonts w:ascii="Times New Roman" w:hAnsi="Times New Roman" w:eastAsia="宋体" w:cs="Times New Roman"/>
                      <w:sz w:val="21"/>
                      <w:szCs w:val="21"/>
                      <w:lang w:eastAsia="zh-CN"/>
                    </w:rPr>
                    <w:t>2.</w:t>
                  </w:r>
                  <w:r>
                    <w:rPr>
                      <w:rFonts w:hint="eastAsia" w:ascii="Times New Roman" w:hAnsi="Times New Roman" w:eastAsia="宋体" w:cs="Times New Roman"/>
                      <w:sz w:val="21"/>
                      <w:szCs w:val="21"/>
                      <w:lang w:eastAsia="zh-CN"/>
                    </w:rPr>
                    <w:t>严格化学品生产准入和行业准入，调整优化高风险化学品企业布局，提高区域环境风险防范能力。加强对排放二噁英等持久性有机污染物企业的日常监管。</w:t>
                  </w:r>
                </w:p>
              </w:tc>
              <w:tc>
                <w:tcPr>
                  <w:tcW w:w="2256" w:type="dxa"/>
                  <w:vAlign w:val="center"/>
                </w:tcPr>
                <w:p w14:paraId="5AF805D4">
                  <w:pPr>
                    <w:pStyle w:val="55"/>
                    <w:jc w:val="both"/>
                    <w:rPr>
                      <w:rFonts w:ascii="Times New Roman" w:hAnsi="Times New Roman" w:cs="Times New Roman" w:eastAsiaTheme="minorEastAsia"/>
                      <w:sz w:val="21"/>
                      <w:szCs w:val="21"/>
                      <w:lang w:eastAsia="zh-CN"/>
                    </w:rPr>
                  </w:pPr>
                  <w:r>
                    <w:rPr>
                      <w:rFonts w:hint="eastAsia" w:ascii="Times New Roman" w:hAnsi="Times New Roman" w:eastAsia="宋体" w:cs="Times New Roman"/>
                      <w:sz w:val="21"/>
                      <w:szCs w:val="21"/>
                      <w:lang w:eastAsia="zh-CN"/>
                    </w:rPr>
                    <w:t>项目不涉及化学品生产</w:t>
                  </w:r>
                </w:p>
              </w:tc>
              <w:tc>
                <w:tcPr>
                  <w:tcW w:w="531" w:type="dxa"/>
                  <w:vMerge w:val="continue"/>
                  <w:vAlign w:val="center"/>
                </w:tcPr>
                <w:p w14:paraId="7804752C">
                  <w:pPr>
                    <w:pStyle w:val="55"/>
                    <w:jc w:val="center"/>
                    <w:rPr>
                      <w:rFonts w:ascii="Times New Roman" w:hAnsi="Times New Roman" w:cs="Times New Roman" w:eastAsiaTheme="minorEastAsia"/>
                      <w:sz w:val="21"/>
                      <w:szCs w:val="21"/>
                      <w:lang w:eastAsia="zh-CN"/>
                    </w:rPr>
                  </w:pPr>
                </w:p>
              </w:tc>
            </w:tr>
            <w:tr w14:paraId="59A480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8" w:hRule="atLeast"/>
                <w:jc w:val="center"/>
              </w:trPr>
              <w:tc>
                <w:tcPr>
                  <w:tcW w:w="664" w:type="dxa"/>
                  <w:vMerge w:val="continue"/>
                  <w:vAlign w:val="center"/>
                </w:tcPr>
                <w:p w14:paraId="2B1127E5">
                  <w:pPr>
                    <w:pStyle w:val="55"/>
                    <w:jc w:val="both"/>
                    <w:rPr>
                      <w:rFonts w:ascii="Times New Roman" w:hAnsi="Times New Roman" w:eastAsia="宋体" w:cs="Times New Roman"/>
                      <w:sz w:val="21"/>
                      <w:szCs w:val="21"/>
                      <w:lang w:eastAsia="zh-CN"/>
                    </w:rPr>
                  </w:pPr>
                </w:p>
              </w:tc>
              <w:tc>
                <w:tcPr>
                  <w:tcW w:w="4790" w:type="dxa"/>
                  <w:vAlign w:val="center"/>
                </w:tcPr>
                <w:p w14:paraId="4C3440D3">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3.全面开展消耗臭氧层物质（ODS）排放治理，实施含氢氯氟烃（HCFCs）淘汰和替代，推动三氟甲烷（HFC-23）的销毁和转化。</w:t>
                  </w:r>
                </w:p>
              </w:tc>
              <w:tc>
                <w:tcPr>
                  <w:tcW w:w="2256" w:type="dxa"/>
                  <w:vAlign w:val="center"/>
                </w:tcPr>
                <w:p w14:paraId="0BA7C72E">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项目不涉及消耗臭氧层物质的使用</w:t>
                  </w:r>
                </w:p>
              </w:tc>
              <w:tc>
                <w:tcPr>
                  <w:tcW w:w="531" w:type="dxa"/>
                  <w:vMerge w:val="continue"/>
                  <w:vAlign w:val="center"/>
                </w:tcPr>
                <w:p w14:paraId="3E90F219">
                  <w:pPr>
                    <w:pStyle w:val="55"/>
                    <w:jc w:val="both"/>
                    <w:rPr>
                      <w:rFonts w:ascii="Times New Roman" w:hAnsi="Times New Roman" w:eastAsia="宋体" w:cs="Times New Roman"/>
                      <w:sz w:val="21"/>
                      <w:szCs w:val="21"/>
                      <w:lang w:eastAsia="zh-CN"/>
                    </w:rPr>
                  </w:pPr>
                </w:p>
              </w:tc>
            </w:tr>
            <w:tr w14:paraId="75A196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8" w:hRule="atLeast"/>
                <w:jc w:val="center"/>
              </w:trPr>
              <w:tc>
                <w:tcPr>
                  <w:tcW w:w="664" w:type="dxa"/>
                  <w:vAlign w:val="center"/>
                </w:tcPr>
                <w:p w14:paraId="16DDADCE">
                  <w:pPr>
                    <w:pStyle w:val="55"/>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资源利用效率</w:t>
                  </w:r>
                </w:p>
              </w:tc>
              <w:tc>
                <w:tcPr>
                  <w:tcW w:w="4790" w:type="dxa"/>
                  <w:vAlign w:val="center"/>
                </w:tcPr>
                <w:p w14:paraId="516183E3">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1.强化散煤治理，推动煤炭清洁高效利用，有序推进清洁取暖。城市建成区集中供热覆盖范围以外，因地制宜、多能互补，大力推广天然气、热泵、中深层地热、生物质、太阳能等清洁供热技术。到2025年，除不具备改造条件的偏远山区和坝上地区外，其他农村地区实现清洁取暖全覆盖。</w:t>
                  </w:r>
                </w:p>
              </w:tc>
              <w:tc>
                <w:tcPr>
                  <w:tcW w:w="2256" w:type="dxa"/>
                  <w:vAlign w:val="center"/>
                </w:tcPr>
                <w:p w14:paraId="250D8351">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项目不涉及煤炭的使用</w:t>
                  </w:r>
                </w:p>
              </w:tc>
              <w:tc>
                <w:tcPr>
                  <w:tcW w:w="531" w:type="dxa"/>
                  <w:vAlign w:val="center"/>
                </w:tcPr>
                <w:p w14:paraId="12738AD4">
                  <w:pPr>
                    <w:pStyle w:val="55"/>
                    <w:jc w:val="center"/>
                    <w:rPr>
                      <w:rFonts w:ascii="Times New Roman" w:hAnsi="Times New Roman" w:cs="Times New Roman" w:eastAsiaTheme="minorEastAsia"/>
                      <w:sz w:val="21"/>
                      <w:szCs w:val="21"/>
                      <w:lang w:eastAsia="zh-CN"/>
                    </w:rPr>
                  </w:pPr>
                  <w:r>
                    <w:rPr>
                      <w:rFonts w:hint="eastAsia" w:ascii="Times New Roman" w:hAnsi="Times New Roman" w:eastAsia="宋体" w:cs="Times New Roman"/>
                      <w:sz w:val="21"/>
                      <w:szCs w:val="21"/>
                      <w:lang w:eastAsia="zh-CN"/>
                    </w:rPr>
                    <w:t>符合</w:t>
                  </w:r>
                </w:p>
              </w:tc>
            </w:tr>
          </w:tbl>
          <w:p w14:paraId="5AB39289">
            <w:pPr>
              <w:spacing w:line="360" w:lineRule="auto"/>
              <w:ind w:firstLine="48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d</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土壤环境总体要求符合性</w:t>
            </w:r>
          </w:p>
          <w:p w14:paraId="7BADFBE2">
            <w:pPr>
              <w:spacing w:before="120" w:beforeLines="50" w:line="360" w:lineRule="auto"/>
              <w:ind w:firstLine="482"/>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w:t>
            </w:r>
            <w:r>
              <w:rPr>
                <w:rFonts w:hint="eastAsia"/>
                <w:color w:val="000000" w:themeColor="text1"/>
                <w:sz w:val="24"/>
                <w:lang w:val="en-US" w:eastAsia="zh-CN"/>
                <w14:textFill>
                  <w14:solidFill>
                    <w14:schemeClr w14:val="tx1"/>
                  </w14:solidFill>
                </w14:textFill>
              </w:rPr>
              <w:t>与</w:t>
            </w:r>
            <w:r>
              <w:rPr>
                <w:rFonts w:hint="eastAsia"/>
                <w:color w:val="000000" w:themeColor="text1"/>
                <w:sz w:val="24"/>
                <w14:textFill>
                  <w14:solidFill>
                    <w14:schemeClr w14:val="tx1"/>
                  </w14:solidFill>
                </w14:textFill>
              </w:rPr>
              <w:t>承德市生态环境分区管控-</w:t>
            </w:r>
            <w:r>
              <w:rPr>
                <w:rFonts w:hint="eastAsia"/>
                <w:color w:val="000000" w:themeColor="text1"/>
                <w:sz w:val="24"/>
                <w:lang w:val="en-US" w:eastAsia="zh-CN"/>
                <w14:textFill>
                  <w14:solidFill>
                    <w14:schemeClr w14:val="tx1"/>
                  </w14:solidFill>
                </w14:textFill>
              </w:rPr>
              <w:t>土壤</w:t>
            </w:r>
            <w:r>
              <w:rPr>
                <w:rFonts w:hint="eastAsia"/>
                <w:color w:val="000000" w:themeColor="text1"/>
                <w:sz w:val="24"/>
                <w14:textFill>
                  <w14:solidFill>
                    <w14:schemeClr w14:val="tx1"/>
                  </w14:solidFill>
                </w14:textFill>
              </w:rPr>
              <w:t>环境总体要求</w:t>
            </w:r>
            <w:r>
              <w:rPr>
                <w:rFonts w:hint="eastAsia"/>
                <w:color w:val="000000" w:themeColor="text1"/>
                <w:sz w:val="24"/>
                <w:lang w:val="en-US" w:eastAsia="zh-CN"/>
                <w14:textFill>
                  <w14:solidFill>
                    <w14:schemeClr w14:val="tx1"/>
                  </w14:solidFill>
                </w14:textFill>
              </w:rPr>
              <w:t>符合性分析如下表</w:t>
            </w:r>
            <w:r>
              <w:rPr>
                <w:rFonts w:hint="eastAsia" w:ascii="Times New Roman" w:hAnsi="Times New Roman" w:cs="Times New Roman"/>
                <w:sz w:val="24"/>
                <w:szCs w:val="24"/>
                <w:lang w:val="en-US" w:eastAsia="zh-CN"/>
              </w:rPr>
              <w:t>。</w:t>
            </w:r>
          </w:p>
          <w:p w14:paraId="0E152991">
            <w:pPr>
              <w:pStyle w:val="48"/>
              <w:numPr>
                <w:ilvl w:val="0"/>
                <w:numId w:val="3"/>
              </w:numPr>
              <w:spacing w:line="360" w:lineRule="auto"/>
              <w:ind w:firstLineChars="0"/>
              <w:jc w:val="center"/>
              <w:rPr>
                <w:rFonts w:ascii="Times New Roman" w:hAnsi="Times New Roman" w:eastAsia="宋体"/>
                <w:b/>
                <w:sz w:val="21"/>
                <w:szCs w:val="21"/>
              </w:rPr>
            </w:pPr>
            <w:r>
              <w:rPr>
                <w:rFonts w:hint="eastAsia" w:ascii="Times New Roman" w:hAnsi="Times New Roman" w:eastAsia="宋体"/>
                <w:b/>
                <w:bCs/>
                <w:sz w:val="21"/>
                <w:szCs w:val="21"/>
              </w:rPr>
              <w:t>承德市生态环境分区管控-土壤环境总体要求符合性分析一览表</w:t>
            </w:r>
          </w:p>
          <w:tbl>
            <w:tblPr>
              <w:tblStyle w:val="62"/>
              <w:tblW w:w="824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64"/>
              <w:gridCol w:w="4790"/>
              <w:gridCol w:w="2256"/>
              <w:gridCol w:w="531"/>
            </w:tblGrid>
            <w:tr w14:paraId="290299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7" w:hRule="atLeast"/>
                <w:jc w:val="center"/>
              </w:trPr>
              <w:tc>
                <w:tcPr>
                  <w:tcW w:w="664" w:type="dxa"/>
                  <w:vAlign w:val="center"/>
                </w:tcPr>
                <w:p w14:paraId="398749B0">
                  <w:pPr>
                    <w:pStyle w:val="55"/>
                    <w:jc w:val="center"/>
                    <w:rPr>
                      <w:rFonts w:ascii="Times New Roman" w:hAnsi="Times New Roman" w:eastAsia="宋体" w:cs="Times New Roman"/>
                      <w:b/>
                      <w:sz w:val="21"/>
                      <w:szCs w:val="21"/>
                      <w:lang w:eastAsia="en-US"/>
                    </w:rPr>
                  </w:pPr>
                  <w:r>
                    <w:rPr>
                      <w:rFonts w:hint="eastAsia" w:ascii="Times New Roman" w:hAnsi="Times New Roman" w:eastAsia="宋体" w:cs="Times New Roman"/>
                      <w:b/>
                      <w:sz w:val="21"/>
                      <w:szCs w:val="21"/>
                      <w:lang w:eastAsia="zh-CN"/>
                    </w:rPr>
                    <w:t>维度</w:t>
                  </w:r>
                </w:p>
              </w:tc>
              <w:tc>
                <w:tcPr>
                  <w:tcW w:w="4790" w:type="dxa"/>
                  <w:vAlign w:val="center"/>
                </w:tcPr>
                <w:p w14:paraId="1622AB73">
                  <w:pPr>
                    <w:pStyle w:val="55"/>
                    <w:jc w:val="center"/>
                    <w:rPr>
                      <w:rFonts w:ascii="Times New Roman" w:hAnsi="Times New Roman" w:eastAsia="宋体" w:cs="Times New Roman"/>
                      <w:b/>
                      <w:sz w:val="21"/>
                      <w:szCs w:val="21"/>
                      <w:lang w:eastAsia="en-US"/>
                    </w:rPr>
                  </w:pPr>
                  <w:r>
                    <w:rPr>
                      <w:rFonts w:hint="eastAsia" w:ascii="Times New Roman" w:hAnsi="Times New Roman" w:eastAsia="宋体" w:cs="Times New Roman"/>
                      <w:b/>
                      <w:sz w:val="21"/>
                      <w:szCs w:val="21"/>
                      <w:lang w:eastAsia="zh-CN"/>
                    </w:rPr>
                    <w:t>管控要求</w:t>
                  </w:r>
                </w:p>
              </w:tc>
              <w:tc>
                <w:tcPr>
                  <w:tcW w:w="2256" w:type="dxa"/>
                  <w:vAlign w:val="center"/>
                </w:tcPr>
                <w:p w14:paraId="4B180B55">
                  <w:pPr>
                    <w:pStyle w:val="55"/>
                    <w:jc w:val="center"/>
                    <w:rPr>
                      <w:rFonts w:ascii="Times New Roman" w:hAnsi="Times New Roman" w:eastAsia="宋体" w:cs="Times New Roman"/>
                      <w:b/>
                      <w:sz w:val="21"/>
                      <w:szCs w:val="21"/>
                      <w:lang w:eastAsia="en-US"/>
                    </w:rPr>
                  </w:pPr>
                  <w:r>
                    <w:rPr>
                      <w:rFonts w:ascii="Times New Roman" w:hAnsi="Times New Roman" w:eastAsia="宋体" w:cs="Times New Roman"/>
                      <w:b/>
                      <w:sz w:val="21"/>
                      <w:szCs w:val="21"/>
                      <w:lang w:eastAsia="zh-CN"/>
                    </w:rPr>
                    <w:t>项目符合性分析</w:t>
                  </w:r>
                </w:p>
              </w:tc>
              <w:tc>
                <w:tcPr>
                  <w:tcW w:w="531" w:type="dxa"/>
                  <w:vAlign w:val="center"/>
                </w:tcPr>
                <w:p w14:paraId="74778A53">
                  <w:pPr>
                    <w:pStyle w:val="55"/>
                    <w:jc w:val="center"/>
                    <w:rPr>
                      <w:rFonts w:ascii="Times New Roman" w:hAnsi="Times New Roman" w:eastAsia="宋体" w:cs="Times New Roman"/>
                      <w:b/>
                      <w:sz w:val="21"/>
                      <w:szCs w:val="21"/>
                      <w:lang w:eastAsia="en-US"/>
                    </w:rPr>
                  </w:pPr>
                  <w:r>
                    <w:rPr>
                      <w:rFonts w:ascii="Times New Roman" w:hAnsi="Times New Roman" w:eastAsia="宋体" w:cs="Times New Roman"/>
                      <w:b/>
                      <w:sz w:val="21"/>
                      <w:szCs w:val="21"/>
                      <w:lang w:eastAsia="zh-CN"/>
                    </w:rPr>
                    <w:t>结论</w:t>
                  </w:r>
                </w:p>
              </w:tc>
            </w:tr>
            <w:tr w14:paraId="16ADBE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2" w:hRule="atLeast"/>
                <w:jc w:val="center"/>
              </w:trPr>
              <w:tc>
                <w:tcPr>
                  <w:tcW w:w="664" w:type="dxa"/>
                  <w:vMerge w:val="restart"/>
                  <w:vAlign w:val="center"/>
                </w:tcPr>
                <w:p w14:paraId="63BB131C">
                  <w:pPr>
                    <w:pStyle w:val="55"/>
                    <w:jc w:val="center"/>
                    <w:rPr>
                      <w:rFonts w:ascii="Times New Roman" w:hAnsi="Times New Roman" w:eastAsia="宋体" w:cs="Times New Roman"/>
                      <w:sz w:val="21"/>
                      <w:szCs w:val="21"/>
                      <w:lang w:eastAsia="en-US"/>
                    </w:rPr>
                  </w:pPr>
                  <w:r>
                    <w:rPr>
                      <w:rFonts w:hint="eastAsia" w:ascii="Times New Roman" w:hAnsi="Times New Roman" w:eastAsia="宋体" w:cs="Times New Roman"/>
                      <w:sz w:val="21"/>
                      <w:szCs w:val="21"/>
                      <w:lang w:eastAsia="zh-CN"/>
                    </w:rPr>
                    <w:t>空间布局约束</w:t>
                  </w:r>
                </w:p>
              </w:tc>
              <w:tc>
                <w:tcPr>
                  <w:tcW w:w="4790" w:type="dxa"/>
                  <w:vAlign w:val="center"/>
                </w:tcPr>
                <w:p w14:paraId="1AD9091E">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1、农用地优先保护区内实行严格保护，确保其土壤环境质量不下降。在永久基本农田集中区域，不得新建可能造成土壤污染的建设项目；已经建成的，应当限期关闭拆除。</w:t>
                  </w:r>
                </w:p>
              </w:tc>
              <w:tc>
                <w:tcPr>
                  <w:tcW w:w="2256" w:type="dxa"/>
                  <w:vAlign w:val="center"/>
                </w:tcPr>
                <w:p w14:paraId="133F859D">
                  <w:pPr>
                    <w:pStyle w:val="55"/>
                    <w:jc w:val="both"/>
                    <w:rPr>
                      <w:rFonts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项目不涉及农用地优先保护区、不涉及永久基本农田集中区域</w:t>
                  </w:r>
                </w:p>
              </w:tc>
              <w:tc>
                <w:tcPr>
                  <w:tcW w:w="531" w:type="dxa"/>
                  <w:vMerge w:val="restart"/>
                  <w:vAlign w:val="center"/>
                </w:tcPr>
                <w:p w14:paraId="06F596FB">
                  <w:pPr>
                    <w:pStyle w:val="55"/>
                    <w:jc w:val="center"/>
                    <w:rPr>
                      <w:rFonts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符合</w:t>
                  </w:r>
                </w:p>
              </w:tc>
            </w:tr>
            <w:tr w14:paraId="499DEF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664" w:type="dxa"/>
                  <w:vMerge w:val="continue"/>
                  <w:vAlign w:val="center"/>
                </w:tcPr>
                <w:p w14:paraId="22711701">
                  <w:pPr>
                    <w:pStyle w:val="55"/>
                    <w:jc w:val="center"/>
                    <w:rPr>
                      <w:rFonts w:ascii="Times New Roman" w:hAnsi="Times New Roman" w:cs="Times New Roman" w:eastAsiaTheme="minorEastAsia"/>
                      <w:sz w:val="21"/>
                      <w:szCs w:val="21"/>
                      <w:lang w:eastAsia="zh-CN"/>
                    </w:rPr>
                  </w:pPr>
                </w:p>
              </w:tc>
              <w:tc>
                <w:tcPr>
                  <w:tcW w:w="4790" w:type="dxa"/>
                  <w:vAlign w:val="center"/>
                </w:tcPr>
                <w:p w14:paraId="678C3C2E">
                  <w:pPr>
                    <w:pStyle w:val="55"/>
                    <w:jc w:val="both"/>
                    <w:rPr>
                      <w:rFonts w:ascii="Times New Roman" w:hAnsi="Times New Roman" w:cs="Times New Roman" w:eastAsiaTheme="minorEastAsia"/>
                      <w:sz w:val="21"/>
                      <w:szCs w:val="21"/>
                      <w:lang w:eastAsia="zh-CN"/>
                    </w:rPr>
                  </w:pPr>
                  <w:r>
                    <w:rPr>
                      <w:rFonts w:hint="eastAsia" w:ascii="Times New Roman" w:hAnsi="Times New Roman" w:eastAsia="宋体" w:cs="Times New Roman"/>
                      <w:sz w:val="21"/>
                      <w:szCs w:val="21"/>
                      <w:lang w:eastAsia="zh-CN"/>
                    </w:rPr>
                    <w:t>2、加强特定农产品严格管控区管理，严禁种植特定食用农产品和饲草；重度污染耕地应纳入退耕还林还草实施范围，重度污染的牧草地纳入禁牧休牧实施范围。</w:t>
                  </w:r>
                </w:p>
              </w:tc>
              <w:tc>
                <w:tcPr>
                  <w:tcW w:w="2256" w:type="dxa"/>
                  <w:vAlign w:val="center"/>
                </w:tcPr>
                <w:p w14:paraId="09EDA11B">
                  <w:pPr>
                    <w:pStyle w:val="55"/>
                    <w:jc w:val="both"/>
                    <w:rPr>
                      <w:rFonts w:ascii="Times New Roman" w:hAnsi="Times New Roman" w:cs="Times New Roman" w:eastAsiaTheme="minorEastAsia"/>
                      <w:sz w:val="21"/>
                      <w:szCs w:val="21"/>
                      <w:lang w:eastAsia="zh-CN"/>
                    </w:rPr>
                  </w:pPr>
                  <w:r>
                    <w:rPr>
                      <w:rFonts w:hint="eastAsia" w:ascii="Times New Roman" w:hAnsi="Times New Roman" w:eastAsia="宋体" w:cs="Times New Roman"/>
                      <w:sz w:val="21"/>
                      <w:szCs w:val="21"/>
                      <w:lang w:val="en-US" w:eastAsia="zh-CN"/>
                    </w:rPr>
                    <w:t>项目不涉及种植农产品，项目不涉及耕地、牧草地</w:t>
                  </w:r>
                </w:p>
              </w:tc>
              <w:tc>
                <w:tcPr>
                  <w:tcW w:w="531" w:type="dxa"/>
                  <w:vMerge w:val="continue"/>
                  <w:vAlign w:val="center"/>
                </w:tcPr>
                <w:p w14:paraId="7C4A4DF7">
                  <w:pPr>
                    <w:pStyle w:val="55"/>
                    <w:jc w:val="center"/>
                    <w:rPr>
                      <w:rFonts w:ascii="Times New Roman" w:hAnsi="Times New Roman" w:cs="Times New Roman" w:eastAsiaTheme="minorEastAsia"/>
                      <w:sz w:val="21"/>
                      <w:szCs w:val="21"/>
                      <w:lang w:eastAsia="zh-CN"/>
                    </w:rPr>
                  </w:pPr>
                </w:p>
              </w:tc>
            </w:tr>
            <w:tr w14:paraId="061A49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664" w:type="dxa"/>
                  <w:vMerge w:val="continue"/>
                  <w:vAlign w:val="center"/>
                </w:tcPr>
                <w:p w14:paraId="288C98F7">
                  <w:pPr>
                    <w:pStyle w:val="55"/>
                    <w:jc w:val="center"/>
                    <w:rPr>
                      <w:rFonts w:ascii="Times New Roman" w:hAnsi="Times New Roman" w:cs="Times New Roman" w:eastAsiaTheme="minorEastAsia"/>
                      <w:sz w:val="21"/>
                      <w:szCs w:val="21"/>
                      <w:lang w:eastAsia="zh-CN"/>
                    </w:rPr>
                  </w:pPr>
                </w:p>
              </w:tc>
              <w:tc>
                <w:tcPr>
                  <w:tcW w:w="4790" w:type="dxa"/>
                  <w:vAlign w:val="center"/>
                </w:tcPr>
                <w:p w14:paraId="34D4F307">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3、禁止企业向滩涂、沼泽、荒地等未利用地非法排污、倾倒有毒有害物质</w:t>
                  </w:r>
                </w:p>
              </w:tc>
              <w:tc>
                <w:tcPr>
                  <w:tcW w:w="2256" w:type="dxa"/>
                  <w:vAlign w:val="center"/>
                </w:tcPr>
                <w:p w14:paraId="687C2F54">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项目不涉及非法排污、倾倒有毒有害物质</w:t>
                  </w:r>
                </w:p>
              </w:tc>
              <w:tc>
                <w:tcPr>
                  <w:tcW w:w="531" w:type="dxa"/>
                  <w:vMerge w:val="continue"/>
                  <w:vAlign w:val="center"/>
                </w:tcPr>
                <w:p w14:paraId="7F3096E8">
                  <w:pPr>
                    <w:pStyle w:val="55"/>
                    <w:jc w:val="center"/>
                    <w:rPr>
                      <w:rFonts w:ascii="Times New Roman" w:hAnsi="Times New Roman" w:cs="Times New Roman" w:eastAsiaTheme="minorEastAsia"/>
                      <w:sz w:val="21"/>
                      <w:szCs w:val="21"/>
                      <w:lang w:eastAsia="zh-CN"/>
                    </w:rPr>
                  </w:pPr>
                </w:p>
              </w:tc>
            </w:tr>
            <w:tr w14:paraId="3ACA98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664" w:type="dxa"/>
                  <w:vMerge w:val="continue"/>
                  <w:vAlign w:val="center"/>
                </w:tcPr>
                <w:p w14:paraId="7A45ADAF">
                  <w:pPr>
                    <w:pStyle w:val="55"/>
                    <w:jc w:val="center"/>
                    <w:rPr>
                      <w:rFonts w:ascii="Times New Roman" w:hAnsi="Times New Roman" w:cs="Times New Roman" w:eastAsiaTheme="minorEastAsia"/>
                      <w:sz w:val="21"/>
                      <w:szCs w:val="21"/>
                      <w:lang w:eastAsia="zh-CN"/>
                    </w:rPr>
                  </w:pPr>
                </w:p>
              </w:tc>
              <w:tc>
                <w:tcPr>
                  <w:tcW w:w="4790" w:type="dxa"/>
                  <w:vAlign w:val="center"/>
                </w:tcPr>
                <w:p w14:paraId="5E251D91">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4、禁止在居民区和学校、医院、疗养院、养老院等单位周边新建、改建、扩建有色金属冶炼、石油加工、焦化、化工、电镀、制革等可能造成土壤污染的建设项目。</w:t>
                  </w:r>
                </w:p>
              </w:tc>
              <w:tc>
                <w:tcPr>
                  <w:tcW w:w="2256" w:type="dxa"/>
                  <w:vAlign w:val="center"/>
                </w:tcPr>
                <w:p w14:paraId="50EC1B6B">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项目不属于“有色金属冶炼、石油加工、焦化、化工、电镀、制革等”项目</w:t>
                  </w:r>
                </w:p>
              </w:tc>
              <w:tc>
                <w:tcPr>
                  <w:tcW w:w="531" w:type="dxa"/>
                  <w:vMerge w:val="continue"/>
                  <w:vAlign w:val="center"/>
                </w:tcPr>
                <w:p w14:paraId="0CE4A640">
                  <w:pPr>
                    <w:pStyle w:val="55"/>
                    <w:jc w:val="center"/>
                    <w:rPr>
                      <w:rFonts w:ascii="Times New Roman" w:hAnsi="Times New Roman" w:cs="Times New Roman" w:eastAsiaTheme="minorEastAsia"/>
                      <w:sz w:val="21"/>
                      <w:szCs w:val="21"/>
                      <w:lang w:eastAsia="zh-CN"/>
                    </w:rPr>
                  </w:pPr>
                </w:p>
              </w:tc>
            </w:tr>
            <w:tr w14:paraId="7CC6AC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664" w:type="dxa"/>
                  <w:vMerge w:val="continue"/>
                  <w:vAlign w:val="center"/>
                </w:tcPr>
                <w:p w14:paraId="01BF28C5">
                  <w:pPr>
                    <w:pStyle w:val="55"/>
                    <w:jc w:val="center"/>
                    <w:rPr>
                      <w:rFonts w:ascii="Times New Roman" w:hAnsi="Times New Roman" w:cs="Times New Roman" w:eastAsiaTheme="minorEastAsia"/>
                      <w:sz w:val="21"/>
                      <w:szCs w:val="21"/>
                      <w:lang w:eastAsia="zh-CN"/>
                    </w:rPr>
                  </w:pPr>
                </w:p>
              </w:tc>
              <w:tc>
                <w:tcPr>
                  <w:tcW w:w="4790" w:type="dxa"/>
                  <w:vAlign w:val="center"/>
                </w:tcPr>
                <w:p w14:paraId="1D8BCB3C">
                  <w:pPr>
                    <w:pStyle w:val="55"/>
                    <w:jc w:val="both"/>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5</w:t>
                  </w:r>
                  <w:r>
                    <w:rPr>
                      <w:rFonts w:hint="eastAsia" w:ascii="Times New Roman" w:hAnsi="Times New Roman" w:eastAsia="宋体" w:cs="Times New Roman"/>
                      <w:sz w:val="21"/>
                      <w:szCs w:val="21"/>
                      <w:lang w:eastAsia="zh-CN"/>
                    </w:rPr>
                    <w:t>、未利用地、复垦土地等拟开垦为耕地的，要进行土壤污染状况调查，依法进行分类管理，原则上禁止曾用于生产、使用、贮存、回收、处置有毒有害物质的工矿用地开垦为种植食用农产品的耕地。</w:t>
                  </w:r>
                </w:p>
              </w:tc>
              <w:tc>
                <w:tcPr>
                  <w:tcW w:w="2256" w:type="dxa"/>
                  <w:vAlign w:val="center"/>
                </w:tcPr>
                <w:p w14:paraId="17008316">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项目所在位置属于河北</w:t>
                  </w:r>
                  <w:r>
                    <w:rPr>
                      <w:rFonts w:hint="eastAsia" w:ascii="Times New Roman" w:hAnsi="Times New Roman" w:cs="Times New Roman"/>
                      <w:sz w:val="21"/>
                      <w:szCs w:val="21"/>
                      <w:lang w:val="en-US" w:eastAsia="zh-CN"/>
                    </w:rPr>
                    <w:t>宽城</w:t>
                  </w:r>
                  <w:r>
                    <w:rPr>
                      <w:rFonts w:hint="eastAsia" w:ascii="Times New Roman" w:hAnsi="Times New Roman" w:eastAsia="宋体" w:cs="Times New Roman"/>
                      <w:sz w:val="21"/>
                      <w:szCs w:val="21"/>
                      <w:lang w:eastAsia="zh-CN"/>
                    </w:rPr>
                    <w:t>经济开发区的工业用地，不属于未利用地、复垦土地等拟开垦为耕地的</w:t>
                  </w:r>
                </w:p>
              </w:tc>
              <w:tc>
                <w:tcPr>
                  <w:tcW w:w="531" w:type="dxa"/>
                  <w:vMerge w:val="continue"/>
                  <w:vAlign w:val="center"/>
                </w:tcPr>
                <w:p w14:paraId="09B195A6">
                  <w:pPr>
                    <w:pStyle w:val="55"/>
                    <w:jc w:val="center"/>
                    <w:rPr>
                      <w:rFonts w:ascii="Times New Roman" w:hAnsi="Times New Roman" w:cs="Times New Roman" w:eastAsiaTheme="minorEastAsia"/>
                      <w:sz w:val="21"/>
                      <w:szCs w:val="21"/>
                      <w:lang w:eastAsia="zh-CN"/>
                    </w:rPr>
                  </w:pPr>
                </w:p>
              </w:tc>
            </w:tr>
            <w:tr w14:paraId="47844B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664" w:type="dxa"/>
                  <w:vMerge w:val="continue"/>
                  <w:vAlign w:val="center"/>
                </w:tcPr>
                <w:p w14:paraId="1D6E6ABD">
                  <w:pPr>
                    <w:pStyle w:val="55"/>
                    <w:jc w:val="center"/>
                    <w:rPr>
                      <w:rFonts w:ascii="Times New Roman" w:hAnsi="Times New Roman" w:cs="Times New Roman" w:eastAsiaTheme="minorEastAsia"/>
                      <w:sz w:val="21"/>
                      <w:szCs w:val="21"/>
                      <w:lang w:eastAsia="zh-CN"/>
                    </w:rPr>
                  </w:pPr>
                </w:p>
              </w:tc>
              <w:tc>
                <w:tcPr>
                  <w:tcW w:w="4790" w:type="dxa"/>
                  <w:vAlign w:val="center"/>
                </w:tcPr>
                <w:p w14:paraId="300187EA">
                  <w:pPr>
                    <w:pStyle w:val="55"/>
                    <w:jc w:val="both"/>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6</w:t>
                  </w:r>
                  <w:r>
                    <w:rPr>
                      <w:rFonts w:hint="eastAsia" w:ascii="Times New Roman" w:hAnsi="Times New Roman" w:eastAsia="宋体" w:cs="Times New Roman"/>
                      <w:sz w:val="21"/>
                      <w:szCs w:val="21"/>
                      <w:lang w:eastAsia="zh-CN"/>
                    </w:rPr>
                    <w:t>、工矿企业中，涉及排放有毒有害物质可能造成土壤污染的新（改、扩）建项目，依法进行环境影响评价，提出并落实防腐蚀、防渗漏、防遗撒等土壤防治具体措施。</w:t>
                  </w:r>
                </w:p>
              </w:tc>
              <w:tc>
                <w:tcPr>
                  <w:tcW w:w="2256" w:type="dxa"/>
                  <w:vAlign w:val="center"/>
                </w:tcPr>
                <w:p w14:paraId="45C7D8C6">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项目不涉及排放有毒有害物质</w:t>
                  </w:r>
                </w:p>
              </w:tc>
              <w:tc>
                <w:tcPr>
                  <w:tcW w:w="531" w:type="dxa"/>
                  <w:vMerge w:val="continue"/>
                  <w:vAlign w:val="center"/>
                </w:tcPr>
                <w:p w14:paraId="1ED409AF">
                  <w:pPr>
                    <w:pStyle w:val="55"/>
                    <w:jc w:val="center"/>
                    <w:rPr>
                      <w:rFonts w:ascii="Times New Roman" w:hAnsi="Times New Roman" w:cs="Times New Roman" w:eastAsiaTheme="minorEastAsia"/>
                      <w:sz w:val="21"/>
                      <w:szCs w:val="21"/>
                      <w:lang w:eastAsia="zh-CN"/>
                    </w:rPr>
                  </w:pPr>
                </w:p>
              </w:tc>
            </w:tr>
            <w:tr w14:paraId="6DCE22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664" w:type="dxa"/>
                  <w:vMerge w:val="continue"/>
                  <w:vAlign w:val="center"/>
                </w:tcPr>
                <w:p w14:paraId="0174EA95">
                  <w:pPr>
                    <w:pStyle w:val="55"/>
                    <w:jc w:val="center"/>
                    <w:rPr>
                      <w:rFonts w:ascii="Times New Roman" w:hAnsi="Times New Roman" w:cs="Times New Roman" w:eastAsiaTheme="minorEastAsia"/>
                      <w:sz w:val="21"/>
                      <w:szCs w:val="21"/>
                      <w:lang w:eastAsia="zh-CN"/>
                    </w:rPr>
                  </w:pPr>
                </w:p>
              </w:tc>
              <w:tc>
                <w:tcPr>
                  <w:tcW w:w="4790" w:type="dxa"/>
                  <w:vAlign w:val="center"/>
                </w:tcPr>
                <w:p w14:paraId="7D5804CE">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7、禁止在环境敏感区域新建或扩建危险化学品项目，新建危险化学品企业必须全部进入符合要求的化工园区，开展化工园区整体安全风险评估，加强和规范化工园区的安全管理。</w:t>
                  </w:r>
                </w:p>
              </w:tc>
              <w:tc>
                <w:tcPr>
                  <w:tcW w:w="2256" w:type="dxa"/>
                  <w:vAlign w:val="center"/>
                </w:tcPr>
                <w:p w14:paraId="34BD5942">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项目不属于危险化学品项目</w:t>
                  </w:r>
                </w:p>
              </w:tc>
              <w:tc>
                <w:tcPr>
                  <w:tcW w:w="531" w:type="dxa"/>
                  <w:vMerge w:val="continue"/>
                  <w:vAlign w:val="center"/>
                </w:tcPr>
                <w:p w14:paraId="5F16191C">
                  <w:pPr>
                    <w:pStyle w:val="55"/>
                    <w:jc w:val="center"/>
                    <w:rPr>
                      <w:rFonts w:ascii="Times New Roman" w:hAnsi="Times New Roman" w:cs="Times New Roman" w:eastAsiaTheme="minorEastAsia"/>
                      <w:sz w:val="21"/>
                      <w:szCs w:val="21"/>
                      <w:lang w:eastAsia="zh-CN"/>
                    </w:rPr>
                  </w:pPr>
                </w:p>
              </w:tc>
            </w:tr>
            <w:tr w14:paraId="225E0E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5" w:hRule="atLeast"/>
                <w:jc w:val="center"/>
              </w:trPr>
              <w:tc>
                <w:tcPr>
                  <w:tcW w:w="664" w:type="dxa"/>
                  <w:vMerge w:val="continue"/>
                  <w:vAlign w:val="center"/>
                </w:tcPr>
                <w:p w14:paraId="4B006589">
                  <w:pPr>
                    <w:pStyle w:val="55"/>
                    <w:jc w:val="center"/>
                    <w:rPr>
                      <w:rFonts w:ascii="Times New Roman" w:hAnsi="Times New Roman" w:cs="Times New Roman" w:eastAsiaTheme="minorEastAsia"/>
                      <w:sz w:val="21"/>
                      <w:szCs w:val="21"/>
                      <w:lang w:eastAsia="zh-CN"/>
                    </w:rPr>
                  </w:pPr>
                </w:p>
              </w:tc>
              <w:tc>
                <w:tcPr>
                  <w:tcW w:w="4790" w:type="dxa"/>
                  <w:vAlign w:val="center"/>
                </w:tcPr>
                <w:p w14:paraId="6944209E">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8、严防土壤污染风险不明地块进入用地程序。列入建设用地土壤污染风险管控和修复名录的地块，严格土地征收、收回、收购、土地供应以及转让、改变土地用途等环节监管，原则上不得办理相关手续。依法应当开展土壤污染状况调查或风险评估而未开展或尚未完成的地块，以及未达到土壤污染风险评估报告确定的风险管控、修复目标的地块，不得开工建设与风险管控、修复无关的项目。</w:t>
                  </w:r>
                </w:p>
              </w:tc>
              <w:tc>
                <w:tcPr>
                  <w:tcW w:w="2256" w:type="dxa"/>
                  <w:vAlign w:val="center"/>
                </w:tcPr>
                <w:p w14:paraId="75A44428">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项目位置不属于土壤污染风险不明地块</w:t>
                  </w:r>
                </w:p>
              </w:tc>
              <w:tc>
                <w:tcPr>
                  <w:tcW w:w="531" w:type="dxa"/>
                  <w:vMerge w:val="continue"/>
                  <w:vAlign w:val="center"/>
                </w:tcPr>
                <w:p w14:paraId="39D7AEEA">
                  <w:pPr>
                    <w:pStyle w:val="55"/>
                    <w:jc w:val="center"/>
                    <w:rPr>
                      <w:rFonts w:ascii="Times New Roman" w:hAnsi="Times New Roman" w:cs="Times New Roman" w:eastAsiaTheme="minorEastAsia"/>
                      <w:sz w:val="21"/>
                      <w:szCs w:val="21"/>
                      <w:lang w:eastAsia="zh-CN"/>
                    </w:rPr>
                  </w:pPr>
                </w:p>
              </w:tc>
            </w:tr>
            <w:tr w14:paraId="39A5F4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 w:hRule="atLeast"/>
                <w:jc w:val="center"/>
              </w:trPr>
              <w:tc>
                <w:tcPr>
                  <w:tcW w:w="664" w:type="dxa"/>
                  <w:vMerge w:val="restart"/>
                  <w:vAlign w:val="center"/>
                </w:tcPr>
                <w:p w14:paraId="0D619610">
                  <w:pPr>
                    <w:pStyle w:val="55"/>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污染物排放管控</w:t>
                  </w:r>
                </w:p>
              </w:tc>
              <w:tc>
                <w:tcPr>
                  <w:tcW w:w="4790" w:type="dxa"/>
                  <w:vAlign w:val="center"/>
                </w:tcPr>
                <w:p w14:paraId="73C69EEE">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1、对区域土壤环境质量下降的县（市、区），依法采取环评限批等措施。</w:t>
                  </w:r>
                </w:p>
              </w:tc>
              <w:tc>
                <w:tcPr>
                  <w:tcW w:w="2256" w:type="dxa"/>
                  <w:vAlign w:val="center"/>
                </w:tcPr>
                <w:p w14:paraId="25CBF65E">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经调查，项目区域不属于环评限批区域</w:t>
                  </w:r>
                </w:p>
              </w:tc>
              <w:tc>
                <w:tcPr>
                  <w:tcW w:w="531" w:type="dxa"/>
                  <w:vMerge w:val="restart"/>
                  <w:vAlign w:val="center"/>
                </w:tcPr>
                <w:p w14:paraId="1CB728D3">
                  <w:pPr>
                    <w:pStyle w:val="55"/>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符合</w:t>
                  </w:r>
                </w:p>
              </w:tc>
            </w:tr>
            <w:tr w14:paraId="1153E9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2EAA67C0">
                  <w:pPr>
                    <w:pStyle w:val="55"/>
                    <w:jc w:val="center"/>
                    <w:rPr>
                      <w:rFonts w:ascii="Times New Roman" w:hAnsi="Times New Roman" w:cs="Times New Roman" w:eastAsiaTheme="minorEastAsia"/>
                      <w:sz w:val="21"/>
                      <w:szCs w:val="21"/>
                      <w:lang w:eastAsia="zh-CN"/>
                    </w:rPr>
                  </w:pPr>
                </w:p>
              </w:tc>
              <w:tc>
                <w:tcPr>
                  <w:tcW w:w="4790" w:type="dxa"/>
                  <w:vAlign w:val="center"/>
                </w:tcPr>
                <w:p w14:paraId="5A5B04F8">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2、新、改、扩建项目选址用地应当达到工业用地土壤环境质量要求。超过国家土壤污染风险管控有关工业类建设用地筛选值标准的工业地块，未经治理修复或者治理修复不符合相关标准的，不得新、改、扩建项目。</w:t>
                  </w:r>
                </w:p>
              </w:tc>
              <w:tc>
                <w:tcPr>
                  <w:tcW w:w="2256" w:type="dxa"/>
                  <w:vAlign w:val="center"/>
                </w:tcPr>
                <w:p w14:paraId="70DA7E39">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项目位置满足工业用地土壤环境质量要求</w:t>
                  </w:r>
                </w:p>
              </w:tc>
              <w:tc>
                <w:tcPr>
                  <w:tcW w:w="531" w:type="dxa"/>
                  <w:vMerge w:val="continue"/>
                  <w:vAlign w:val="center"/>
                </w:tcPr>
                <w:p w14:paraId="092952A3">
                  <w:pPr>
                    <w:pStyle w:val="55"/>
                    <w:jc w:val="both"/>
                    <w:rPr>
                      <w:rFonts w:ascii="Times New Roman" w:hAnsi="Times New Roman" w:cs="Times New Roman" w:eastAsiaTheme="minorEastAsia"/>
                      <w:sz w:val="21"/>
                      <w:szCs w:val="21"/>
                      <w:lang w:eastAsia="zh-CN"/>
                    </w:rPr>
                  </w:pPr>
                </w:p>
              </w:tc>
            </w:tr>
            <w:tr w14:paraId="775008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5B315C0A">
                  <w:pPr>
                    <w:pStyle w:val="55"/>
                    <w:jc w:val="center"/>
                    <w:rPr>
                      <w:rFonts w:ascii="Times New Roman" w:hAnsi="Times New Roman" w:cs="Times New Roman" w:eastAsiaTheme="minorEastAsia"/>
                      <w:sz w:val="21"/>
                      <w:szCs w:val="21"/>
                      <w:lang w:eastAsia="zh-CN"/>
                    </w:rPr>
                  </w:pPr>
                </w:p>
              </w:tc>
              <w:tc>
                <w:tcPr>
                  <w:tcW w:w="4790" w:type="dxa"/>
                  <w:vAlign w:val="center"/>
                </w:tcPr>
                <w:p w14:paraId="0FA4E099">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3、严控新增重金属排放量，遵循“减量置换”或“等量置换”原则对全市所有新、改、扩建涉重金属重点行业项目进行审批审核。</w:t>
                  </w:r>
                </w:p>
              </w:tc>
              <w:tc>
                <w:tcPr>
                  <w:tcW w:w="2256" w:type="dxa"/>
                  <w:vAlign w:val="center"/>
                </w:tcPr>
                <w:p w14:paraId="434915D0">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项目不涉及重金属排放</w:t>
                  </w:r>
                </w:p>
              </w:tc>
              <w:tc>
                <w:tcPr>
                  <w:tcW w:w="531" w:type="dxa"/>
                  <w:vMerge w:val="continue"/>
                  <w:vAlign w:val="center"/>
                </w:tcPr>
                <w:p w14:paraId="65D6AA4C">
                  <w:pPr>
                    <w:pStyle w:val="55"/>
                    <w:jc w:val="both"/>
                    <w:rPr>
                      <w:rFonts w:ascii="Times New Roman" w:hAnsi="Times New Roman" w:cs="Times New Roman" w:eastAsiaTheme="minorEastAsia"/>
                      <w:sz w:val="21"/>
                      <w:szCs w:val="21"/>
                      <w:lang w:eastAsia="zh-CN"/>
                    </w:rPr>
                  </w:pPr>
                </w:p>
              </w:tc>
            </w:tr>
            <w:tr w14:paraId="100350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545DC10F">
                  <w:pPr>
                    <w:pStyle w:val="55"/>
                    <w:jc w:val="center"/>
                    <w:rPr>
                      <w:rFonts w:ascii="Times New Roman" w:hAnsi="Times New Roman" w:cs="Times New Roman" w:eastAsiaTheme="minorEastAsia"/>
                      <w:sz w:val="21"/>
                      <w:szCs w:val="21"/>
                      <w:lang w:eastAsia="zh-CN"/>
                    </w:rPr>
                  </w:pPr>
                </w:p>
              </w:tc>
              <w:tc>
                <w:tcPr>
                  <w:tcW w:w="4790" w:type="dxa"/>
                  <w:vAlign w:val="center"/>
                </w:tcPr>
                <w:p w14:paraId="2BC43E3B">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4、未利用地的开发应符合土地整治规划，经科学论证与评估，依法批准后方可进行。拟开发为农用地的，有关县（市、区）政府要组织开展土壤环境质量状况评估，达不到相关标准的，不得种植食用农产品和饲草。拟开发为建设用地的未利用地，符合土壤环境质量要求的地块，方可进入用地程序；不符合土壤环境质量要求的，由所在地县（市、区）政府组织划定管控区域，按照相关规定采取环境风险管控措施。</w:t>
                  </w:r>
                </w:p>
              </w:tc>
              <w:tc>
                <w:tcPr>
                  <w:tcW w:w="2256" w:type="dxa"/>
                  <w:vAlign w:val="center"/>
                </w:tcPr>
                <w:p w14:paraId="229438D9">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项目所在位置属于河北</w:t>
                  </w:r>
                  <w:r>
                    <w:rPr>
                      <w:rFonts w:hint="eastAsia" w:ascii="Times New Roman" w:hAnsi="Times New Roman" w:cs="Times New Roman"/>
                      <w:sz w:val="21"/>
                      <w:szCs w:val="21"/>
                      <w:lang w:val="en-US" w:eastAsia="zh-CN"/>
                    </w:rPr>
                    <w:t>宽城</w:t>
                  </w:r>
                  <w:r>
                    <w:rPr>
                      <w:rFonts w:hint="eastAsia" w:ascii="Times New Roman" w:hAnsi="Times New Roman" w:eastAsia="宋体" w:cs="Times New Roman"/>
                      <w:sz w:val="21"/>
                      <w:szCs w:val="21"/>
                      <w:lang w:eastAsia="zh-CN"/>
                    </w:rPr>
                    <w:t>经济开发区的工业用地，不属于未利用地</w:t>
                  </w:r>
                </w:p>
              </w:tc>
              <w:tc>
                <w:tcPr>
                  <w:tcW w:w="531" w:type="dxa"/>
                  <w:vMerge w:val="continue"/>
                  <w:vAlign w:val="center"/>
                </w:tcPr>
                <w:p w14:paraId="2B55A763">
                  <w:pPr>
                    <w:pStyle w:val="55"/>
                    <w:jc w:val="both"/>
                    <w:rPr>
                      <w:rFonts w:ascii="Times New Roman" w:hAnsi="Times New Roman" w:cs="Times New Roman" w:eastAsiaTheme="minorEastAsia"/>
                      <w:sz w:val="21"/>
                      <w:szCs w:val="21"/>
                      <w:lang w:eastAsia="zh-CN"/>
                    </w:rPr>
                  </w:pPr>
                </w:p>
              </w:tc>
            </w:tr>
            <w:tr w14:paraId="12A1F9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6A359439">
                  <w:pPr>
                    <w:pStyle w:val="55"/>
                    <w:jc w:val="center"/>
                    <w:rPr>
                      <w:rFonts w:ascii="Times New Roman" w:hAnsi="Times New Roman" w:cs="Times New Roman" w:eastAsiaTheme="minorEastAsia"/>
                      <w:sz w:val="21"/>
                      <w:szCs w:val="21"/>
                      <w:lang w:eastAsia="zh-CN"/>
                    </w:rPr>
                  </w:pPr>
                </w:p>
              </w:tc>
              <w:tc>
                <w:tcPr>
                  <w:tcW w:w="4790" w:type="dxa"/>
                  <w:vAlign w:val="center"/>
                </w:tcPr>
                <w:p w14:paraId="786B0690">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5、严格控制高毒高残留高风险农药使用；严格落实农膜管理制度，推广地膜科学使用回收；开展秸秆资源台账填报，落实秸秆还田离田支持政策。</w:t>
                  </w:r>
                </w:p>
              </w:tc>
              <w:tc>
                <w:tcPr>
                  <w:tcW w:w="2256" w:type="dxa"/>
                  <w:vAlign w:val="center"/>
                </w:tcPr>
                <w:p w14:paraId="3CE7BC72">
                  <w:pPr>
                    <w:rPr>
                      <w:rFonts w:ascii="Times New Roman" w:hAnsi="Times New Roman" w:eastAsia="宋体" w:cs="Times New Roman"/>
                      <w:szCs w:val="21"/>
                      <w:lang w:eastAsia="zh-CN"/>
                    </w:rPr>
                  </w:pPr>
                  <w:r>
                    <w:rPr>
                      <w:rFonts w:hint="eastAsia" w:ascii="Times New Roman" w:hAnsi="Times New Roman" w:eastAsia="宋体" w:cs="Times New Roman"/>
                      <w:szCs w:val="21"/>
                      <w:lang w:eastAsia="zh-CN"/>
                    </w:rPr>
                    <w:t>项目不涉及高毒高残留高风险农药</w:t>
                  </w:r>
                </w:p>
              </w:tc>
              <w:tc>
                <w:tcPr>
                  <w:tcW w:w="531" w:type="dxa"/>
                  <w:vMerge w:val="continue"/>
                  <w:vAlign w:val="center"/>
                </w:tcPr>
                <w:p w14:paraId="21353E41">
                  <w:pPr>
                    <w:pStyle w:val="55"/>
                    <w:jc w:val="both"/>
                    <w:rPr>
                      <w:rFonts w:ascii="Times New Roman" w:hAnsi="Times New Roman" w:cs="Times New Roman" w:eastAsiaTheme="minorEastAsia"/>
                      <w:sz w:val="21"/>
                      <w:szCs w:val="21"/>
                      <w:lang w:eastAsia="zh-CN"/>
                    </w:rPr>
                  </w:pPr>
                </w:p>
              </w:tc>
            </w:tr>
            <w:tr w14:paraId="7A3087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6ADE9B89">
                  <w:pPr>
                    <w:pStyle w:val="55"/>
                    <w:jc w:val="center"/>
                    <w:rPr>
                      <w:rFonts w:ascii="Times New Roman" w:hAnsi="Times New Roman" w:cs="Times New Roman" w:eastAsiaTheme="minorEastAsia"/>
                      <w:sz w:val="21"/>
                      <w:szCs w:val="21"/>
                      <w:lang w:eastAsia="zh-CN"/>
                    </w:rPr>
                  </w:pPr>
                </w:p>
              </w:tc>
              <w:tc>
                <w:tcPr>
                  <w:tcW w:w="4790" w:type="dxa"/>
                  <w:vAlign w:val="center"/>
                </w:tcPr>
                <w:p w14:paraId="7901B3FA">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6、健全粪污收储体系，强化粪污资源化利用计划和台账管理；落实畜禽规模养殖场环境影响评价及排污许可制度，依法规范畜禽养殖禁养区管理，防止粪污偷排漏排。</w:t>
                  </w:r>
                </w:p>
              </w:tc>
              <w:tc>
                <w:tcPr>
                  <w:tcW w:w="2256" w:type="dxa"/>
                  <w:vAlign w:val="center"/>
                </w:tcPr>
                <w:p w14:paraId="51627C86">
                  <w:pPr>
                    <w:pStyle w:val="55"/>
                    <w:jc w:val="both"/>
                    <w:rPr>
                      <w:rFonts w:eastAsia="宋体" w:cs="Times New Roman"/>
                      <w:sz w:val="21"/>
                      <w:szCs w:val="21"/>
                      <w:lang w:eastAsia="zh-CN"/>
                    </w:rPr>
                  </w:pPr>
                  <w:r>
                    <w:rPr>
                      <w:rFonts w:hint="eastAsia" w:eastAsia="宋体" w:cs="Times New Roman"/>
                      <w:sz w:val="21"/>
                      <w:szCs w:val="21"/>
                      <w:lang w:eastAsia="zh-CN"/>
                    </w:rPr>
                    <w:t>项目不属于畜禽规模养殖场项目</w:t>
                  </w:r>
                </w:p>
              </w:tc>
              <w:tc>
                <w:tcPr>
                  <w:tcW w:w="531" w:type="dxa"/>
                  <w:vMerge w:val="continue"/>
                  <w:vAlign w:val="center"/>
                </w:tcPr>
                <w:p w14:paraId="4A500083">
                  <w:pPr>
                    <w:pStyle w:val="55"/>
                    <w:jc w:val="both"/>
                    <w:rPr>
                      <w:rFonts w:ascii="Times New Roman" w:hAnsi="Times New Roman" w:cs="Times New Roman" w:eastAsiaTheme="minorEastAsia"/>
                      <w:sz w:val="21"/>
                      <w:szCs w:val="21"/>
                      <w:lang w:eastAsia="zh-CN"/>
                    </w:rPr>
                  </w:pPr>
                </w:p>
              </w:tc>
            </w:tr>
            <w:tr w14:paraId="49D39C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9" w:hRule="atLeast"/>
                <w:jc w:val="center"/>
              </w:trPr>
              <w:tc>
                <w:tcPr>
                  <w:tcW w:w="664" w:type="dxa"/>
                  <w:vMerge w:val="restart"/>
                  <w:vAlign w:val="center"/>
                </w:tcPr>
                <w:p w14:paraId="632EFD05">
                  <w:pPr>
                    <w:pStyle w:val="55"/>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环境风险防控</w:t>
                  </w:r>
                </w:p>
              </w:tc>
              <w:tc>
                <w:tcPr>
                  <w:tcW w:w="4790" w:type="dxa"/>
                  <w:vAlign w:val="center"/>
                </w:tcPr>
                <w:p w14:paraId="1CAD95B1">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1、严禁向农田施用重金属不达标肥料等农业投入品；涉及严格管控类耕地的县（市、区）制定风险管控实施方案，因地施策采取种植结构调整、轮作休耕、退耕还林还草还湿等措施，降低环境风险。</w:t>
                  </w:r>
                </w:p>
              </w:tc>
              <w:tc>
                <w:tcPr>
                  <w:tcW w:w="2256" w:type="dxa"/>
                  <w:vAlign w:val="center"/>
                </w:tcPr>
                <w:p w14:paraId="4A5457DB">
                  <w:pPr>
                    <w:pStyle w:val="55"/>
                    <w:jc w:val="both"/>
                    <w:rPr>
                      <w:rFonts w:ascii="Times New Roman" w:hAnsi="Times New Roman" w:eastAsia="宋体" w:cs="Times New Roman"/>
                      <w:szCs w:val="21"/>
                      <w:lang w:eastAsia="zh-CN"/>
                    </w:rPr>
                  </w:pPr>
                  <w:r>
                    <w:rPr>
                      <w:rFonts w:hint="eastAsia" w:ascii="Times New Roman" w:hAnsi="Times New Roman" w:eastAsia="宋体" w:cs="Times New Roman"/>
                      <w:sz w:val="21"/>
                      <w:szCs w:val="21"/>
                      <w:lang w:eastAsia="zh-CN"/>
                    </w:rPr>
                    <w:t>项目不涉及农业投入品</w:t>
                  </w:r>
                </w:p>
              </w:tc>
              <w:tc>
                <w:tcPr>
                  <w:tcW w:w="531" w:type="dxa"/>
                  <w:vMerge w:val="restart"/>
                  <w:vAlign w:val="center"/>
                </w:tcPr>
                <w:p w14:paraId="20BB3B03">
                  <w:pPr>
                    <w:pStyle w:val="55"/>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符合</w:t>
                  </w:r>
                </w:p>
              </w:tc>
            </w:tr>
            <w:tr w14:paraId="4BB7C1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8" w:hRule="atLeast"/>
                <w:jc w:val="center"/>
              </w:trPr>
              <w:tc>
                <w:tcPr>
                  <w:tcW w:w="664" w:type="dxa"/>
                  <w:vMerge w:val="continue"/>
                  <w:vAlign w:val="center"/>
                </w:tcPr>
                <w:p w14:paraId="56234194">
                  <w:pPr>
                    <w:pStyle w:val="55"/>
                    <w:jc w:val="center"/>
                    <w:rPr>
                      <w:rFonts w:ascii="Times New Roman" w:hAnsi="Times New Roman" w:cs="Times New Roman" w:eastAsiaTheme="minorEastAsia"/>
                      <w:sz w:val="21"/>
                      <w:szCs w:val="21"/>
                      <w:lang w:eastAsia="zh-CN"/>
                    </w:rPr>
                  </w:pPr>
                </w:p>
              </w:tc>
              <w:tc>
                <w:tcPr>
                  <w:tcW w:w="4790" w:type="dxa"/>
                  <w:vAlign w:val="center"/>
                </w:tcPr>
                <w:p w14:paraId="52CBF1E2">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2、严格控制在农用地优先保护区边界800米缓冲区范围内新建有色金属冶炼、石油加工、化工、焦化、电镀、制革、制药、铅酸蓄电池行业企业。严格控制在农用地优先保护区边界800米缓冲区范围内布局城乡生活垃圾处理、危险废物处置、废旧资源再生利用等设施和场所，合理确定畜禽养殖布局和规模。</w:t>
                  </w:r>
                </w:p>
              </w:tc>
              <w:tc>
                <w:tcPr>
                  <w:tcW w:w="2256" w:type="dxa"/>
                  <w:vAlign w:val="center"/>
                </w:tcPr>
                <w:p w14:paraId="750B4FA7">
                  <w:pPr>
                    <w:pStyle w:val="55"/>
                    <w:jc w:val="both"/>
                    <w:rPr>
                      <w:rFonts w:ascii="Times New Roman" w:hAnsi="Times New Roman" w:eastAsia="宋体" w:cs="Times New Roman"/>
                      <w:szCs w:val="21"/>
                      <w:lang w:eastAsia="zh-CN"/>
                    </w:rPr>
                  </w:pPr>
                  <w:r>
                    <w:rPr>
                      <w:rFonts w:hint="eastAsia" w:ascii="Times New Roman" w:hAnsi="Times New Roman" w:eastAsia="宋体" w:cs="Times New Roman"/>
                      <w:sz w:val="21"/>
                      <w:szCs w:val="21"/>
                      <w:lang w:eastAsia="zh-CN"/>
                    </w:rPr>
                    <w:t>项目所属行业不属于有色金属冶炼、石油加工、化工、焦化、电镀、制革、制药、铅酸蓄电池行业企业。项目不涉及城乡生活垃圾处理、危险废物处置、废旧资源再生利用等，也不涉及畜禽养殖。</w:t>
                  </w:r>
                </w:p>
              </w:tc>
              <w:tc>
                <w:tcPr>
                  <w:tcW w:w="531" w:type="dxa"/>
                  <w:vMerge w:val="continue"/>
                  <w:vAlign w:val="center"/>
                </w:tcPr>
                <w:p w14:paraId="4DFBB0BA">
                  <w:pPr>
                    <w:pStyle w:val="55"/>
                    <w:jc w:val="center"/>
                    <w:rPr>
                      <w:rFonts w:ascii="Times New Roman" w:hAnsi="Times New Roman" w:cs="Times New Roman" w:eastAsiaTheme="minorEastAsia"/>
                      <w:sz w:val="21"/>
                      <w:szCs w:val="21"/>
                      <w:lang w:eastAsia="zh-CN"/>
                    </w:rPr>
                  </w:pPr>
                </w:p>
              </w:tc>
            </w:tr>
            <w:tr w14:paraId="640880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8" w:hRule="atLeast"/>
                <w:jc w:val="center"/>
              </w:trPr>
              <w:tc>
                <w:tcPr>
                  <w:tcW w:w="664" w:type="dxa"/>
                  <w:vMerge w:val="continue"/>
                  <w:vAlign w:val="center"/>
                </w:tcPr>
                <w:p w14:paraId="3E2578B8">
                  <w:pPr>
                    <w:pStyle w:val="55"/>
                    <w:jc w:val="center"/>
                    <w:rPr>
                      <w:rFonts w:ascii="Times New Roman" w:hAnsi="Times New Roman" w:cs="Times New Roman" w:eastAsiaTheme="minorEastAsia"/>
                      <w:sz w:val="21"/>
                      <w:szCs w:val="21"/>
                      <w:lang w:eastAsia="zh-CN"/>
                    </w:rPr>
                  </w:pPr>
                </w:p>
              </w:tc>
              <w:tc>
                <w:tcPr>
                  <w:tcW w:w="4790" w:type="dxa"/>
                  <w:vAlign w:val="center"/>
                </w:tcPr>
                <w:p w14:paraId="3E9506B5">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3、经风险评估对人体健康有严重影响的被污染场地，未经治理修复或者治理修复不符合相关标准的，不得用于居民住宅、学校、幼儿园、医院、养老场所等项目开发。</w:t>
                  </w:r>
                </w:p>
              </w:tc>
              <w:tc>
                <w:tcPr>
                  <w:tcW w:w="2256" w:type="dxa"/>
                  <w:vAlign w:val="center"/>
                </w:tcPr>
                <w:p w14:paraId="762F1BC0">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项目地不属于对人体健康有严重影响的污染场地。</w:t>
                  </w:r>
                </w:p>
              </w:tc>
              <w:tc>
                <w:tcPr>
                  <w:tcW w:w="531" w:type="dxa"/>
                  <w:vMerge w:val="continue"/>
                  <w:vAlign w:val="center"/>
                </w:tcPr>
                <w:p w14:paraId="08489854">
                  <w:pPr>
                    <w:pStyle w:val="55"/>
                    <w:jc w:val="center"/>
                    <w:rPr>
                      <w:rFonts w:ascii="Times New Roman" w:hAnsi="Times New Roman" w:cs="Times New Roman" w:eastAsiaTheme="minorEastAsia"/>
                      <w:sz w:val="21"/>
                      <w:szCs w:val="21"/>
                      <w:lang w:eastAsia="zh-CN"/>
                    </w:rPr>
                  </w:pPr>
                </w:p>
              </w:tc>
            </w:tr>
            <w:tr w14:paraId="11C0E5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8" w:hRule="atLeast"/>
                <w:jc w:val="center"/>
              </w:trPr>
              <w:tc>
                <w:tcPr>
                  <w:tcW w:w="664" w:type="dxa"/>
                  <w:vMerge w:val="continue"/>
                  <w:vAlign w:val="center"/>
                </w:tcPr>
                <w:p w14:paraId="15D6E25E">
                  <w:pPr>
                    <w:pStyle w:val="55"/>
                    <w:jc w:val="center"/>
                    <w:rPr>
                      <w:rFonts w:ascii="Times New Roman" w:hAnsi="Times New Roman" w:cs="Times New Roman" w:eastAsiaTheme="minorEastAsia"/>
                      <w:sz w:val="21"/>
                      <w:szCs w:val="21"/>
                      <w:lang w:eastAsia="zh-CN"/>
                    </w:rPr>
                  </w:pPr>
                </w:p>
              </w:tc>
              <w:tc>
                <w:tcPr>
                  <w:tcW w:w="4790" w:type="dxa"/>
                  <w:vAlign w:val="center"/>
                </w:tcPr>
                <w:p w14:paraId="6FB6F84D">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4、企业事业单位拆除设施、设备或者建筑物、构筑物的，应当采取相应的土壤污染防治措施，安全处置残留物料、污染物、污染设施和设备，防范拆除活动污染土壤。</w:t>
                  </w:r>
                </w:p>
              </w:tc>
              <w:tc>
                <w:tcPr>
                  <w:tcW w:w="2256" w:type="dxa"/>
                  <w:vAlign w:val="center"/>
                </w:tcPr>
                <w:p w14:paraId="59609F1A">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项目不涉及拆除设施、设备或者建筑物、构筑物</w:t>
                  </w:r>
                </w:p>
              </w:tc>
              <w:tc>
                <w:tcPr>
                  <w:tcW w:w="531" w:type="dxa"/>
                  <w:vMerge w:val="continue"/>
                  <w:vAlign w:val="center"/>
                </w:tcPr>
                <w:p w14:paraId="6AC48F78">
                  <w:pPr>
                    <w:pStyle w:val="55"/>
                    <w:jc w:val="center"/>
                    <w:rPr>
                      <w:rFonts w:ascii="Times New Roman" w:hAnsi="Times New Roman" w:cs="Times New Roman" w:eastAsiaTheme="minorEastAsia"/>
                      <w:sz w:val="21"/>
                      <w:szCs w:val="21"/>
                      <w:lang w:eastAsia="zh-CN"/>
                    </w:rPr>
                  </w:pPr>
                </w:p>
              </w:tc>
            </w:tr>
            <w:tr w14:paraId="1AB3CE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8" w:hRule="atLeast"/>
                <w:jc w:val="center"/>
              </w:trPr>
              <w:tc>
                <w:tcPr>
                  <w:tcW w:w="664" w:type="dxa"/>
                  <w:vMerge w:val="continue"/>
                  <w:vAlign w:val="center"/>
                </w:tcPr>
                <w:p w14:paraId="5F279604">
                  <w:pPr>
                    <w:pStyle w:val="55"/>
                    <w:jc w:val="center"/>
                    <w:rPr>
                      <w:rFonts w:ascii="Times New Roman" w:hAnsi="Times New Roman" w:cs="Times New Roman" w:eastAsiaTheme="minorEastAsia"/>
                      <w:sz w:val="21"/>
                      <w:szCs w:val="21"/>
                      <w:lang w:eastAsia="zh-CN"/>
                    </w:rPr>
                  </w:pPr>
                </w:p>
              </w:tc>
              <w:tc>
                <w:tcPr>
                  <w:tcW w:w="4790" w:type="dxa"/>
                  <w:vAlign w:val="center"/>
                </w:tcPr>
                <w:p w14:paraId="0CB2F903">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5、尾矿库运营、管理单位应当按照规定加强尾矿库的安全管理，采取措施防止土壤污染。危库、险库、病库以及其他需要重点监管的尾矿库运营、管理单位应当按照规定进行土壤污染状况监测和定期评估。</w:t>
                  </w:r>
                </w:p>
              </w:tc>
              <w:tc>
                <w:tcPr>
                  <w:tcW w:w="2256" w:type="dxa"/>
                  <w:vAlign w:val="center"/>
                </w:tcPr>
                <w:p w14:paraId="4907AE99">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项目不涉及尾矿库</w:t>
                  </w:r>
                </w:p>
              </w:tc>
              <w:tc>
                <w:tcPr>
                  <w:tcW w:w="531" w:type="dxa"/>
                  <w:vMerge w:val="continue"/>
                  <w:vAlign w:val="center"/>
                </w:tcPr>
                <w:p w14:paraId="46C1FA80">
                  <w:pPr>
                    <w:pStyle w:val="55"/>
                    <w:jc w:val="center"/>
                    <w:rPr>
                      <w:rFonts w:ascii="Times New Roman" w:hAnsi="Times New Roman" w:cs="Times New Roman" w:eastAsiaTheme="minorEastAsia"/>
                      <w:sz w:val="21"/>
                      <w:szCs w:val="21"/>
                      <w:lang w:eastAsia="zh-CN"/>
                    </w:rPr>
                  </w:pPr>
                </w:p>
              </w:tc>
            </w:tr>
            <w:tr w14:paraId="35CB0F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8" w:hRule="atLeast"/>
                <w:jc w:val="center"/>
              </w:trPr>
              <w:tc>
                <w:tcPr>
                  <w:tcW w:w="664" w:type="dxa"/>
                  <w:vMerge w:val="continue"/>
                  <w:vAlign w:val="center"/>
                </w:tcPr>
                <w:p w14:paraId="6388892C">
                  <w:pPr>
                    <w:pStyle w:val="55"/>
                    <w:jc w:val="both"/>
                    <w:rPr>
                      <w:rFonts w:ascii="Times New Roman" w:hAnsi="Times New Roman" w:eastAsia="宋体" w:cs="Times New Roman"/>
                      <w:sz w:val="21"/>
                      <w:szCs w:val="21"/>
                      <w:lang w:eastAsia="zh-CN"/>
                    </w:rPr>
                  </w:pPr>
                </w:p>
              </w:tc>
              <w:tc>
                <w:tcPr>
                  <w:tcW w:w="4790" w:type="dxa"/>
                  <w:vAlign w:val="center"/>
                </w:tcPr>
                <w:p w14:paraId="0803461D">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6、开展尾矿库和历史遗留重金属废渣环境风险隐患排查评估，建立尾矿库分级分类环境管理制度，加强环境风险隐患排查。</w:t>
                  </w:r>
                </w:p>
              </w:tc>
              <w:tc>
                <w:tcPr>
                  <w:tcW w:w="2256" w:type="dxa"/>
                  <w:vAlign w:val="center"/>
                </w:tcPr>
                <w:p w14:paraId="00A573F2">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项目不涉及尾矿库</w:t>
                  </w:r>
                </w:p>
              </w:tc>
              <w:tc>
                <w:tcPr>
                  <w:tcW w:w="531" w:type="dxa"/>
                  <w:vMerge w:val="continue"/>
                  <w:vAlign w:val="center"/>
                </w:tcPr>
                <w:p w14:paraId="665DC13C">
                  <w:pPr>
                    <w:pStyle w:val="55"/>
                    <w:jc w:val="both"/>
                    <w:rPr>
                      <w:rFonts w:ascii="Times New Roman" w:hAnsi="Times New Roman" w:eastAsia="宋体" w:cs="Times New Roman"/>
                      <w:sz w:val="21"/>
                      <w:szCs w:val="21"/>
                      <w:lang w:eastAsia="zh-CN"/>
                    </w:rPr>
                  </w:pPr>
                </w:p>
              </w:tc>
            </w:tr>
            <w:tr w14:paraId="2AD51D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8" w:hRule="atLeast"/>
                <w:jc w:val="center"/>
              </w:trPr>
              <w:tc>
                <w:tcPr>
                  <w:tcW w:w="664" w:type="dxa"/>
                  <w:vAlign w:val="center"/>
                </w:tcPr>
                <w:p w14:paraId="4A0EA0B3">
                  <w:pPr>
                    <w:pStyle w:val="55"/>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资源利用效率</w:t>
                  </w:r>
                </w:p>
              </w:tc>
              <w:tc>
                <w:tcPr>
                  <w:tcW w:w="4790" w:type="dxa"/>
                  <w:vAlign w:val="center"/>
                </w:tcPr>
                <w:p w14:paraId="2E37C779">
                  <w:pPr>
                    <w:pStyle w:val="55"/>
                    <w:jc w:val="both"/>
                    <w:rPr>
                      <w:rFonts w:ascii="Times New Roman" w:hAnsi="Times New Roman" w:eastAsia="宋体" w:cs="Times New Roman"/>
                      <w:szCs w:val="21"/>
                      <w:lang w:eastAsia="zh-CN"/>
                    </w:rPr>
                  </w:pPr>
                  <w:r>
                    <w:rPr>
                      <w:rFonts w:hint="eastAsia" w:ascii="Times New Roman" w:hAnsi="Times New Roman" w:eastAsia="宋体" w:cs="Times New Roman"/>
                      <w:szCs w:val="21"/>
                      <w:lang w:eastAsia="zh-CN"/>
                    </w:rPr>
                    <w:t>/</w:t>
                  </w:r>
                </w:p>
              </w:tc>
              <w:tc>
                <w:tcPr>
                  <w:tcW w:w="2256" w:type="dxa"/>
                  <w:vAlign w:val="center"/>
                </w:tcPr>
                <w:p w14:paraId="2CEC3BA2">
                  <w:pPr>
                    <w:pStyle w:val="55"/>
                    <w:jc w:val="both"/>
                    <w:rPr>
                      <w:rFonts w:ascii="Times New Roman" w:hAnsi="Times New Roman" w:eastAsia="宋体" w:cs="Times New Roman"/>
                      <w:szCs w:val="21"/>
                      <w:lang w:eastAsia="zh-CN"/>
                    </w:rPr>
                  </w:pPr>
                  <w:r>
                    <w:rPr>
                      <w:rFonts w:hint="eastAsia" w:ascii="Times New Roman" w:hAnsi="Times New Roman" w:eastAsia="宋体" w:cs="Times New Roman"/>
                      <w:szCs w:val="21"/>
                      <w:lang w:eastAsia="zh-CN"/>
                    </w:rPr>
                    <w:t>/</w:t>
                  </w:r>
                </w:p>
              </w:tc>
              <w:tc>
                <w:tcPr>
                  <w:tcW w:w="531" w:type="dxa"/>
                  <w:vAlign w:val="center"/>
                </w:tcPr>
                <w:p w14:paraId="7DB8850C">
                  <w:pPr>
                    <w:pStyle w:val="55"/>
                    <w:jc w:val="center"/>
                    <w:rPr>
                      <w:rFonts w:ascii="Times New Roman" w:hAnsi="Times New Roman" w:cs="Times New Roman" w:eastAsiaTheme="minorEastAsia"/>
                      <w:sz w:val="21"/>
                      <w:szCs w:val="21"/>
                      <w:lang w:eastAsia="zh-CN"/>
                    </w:rPr>
                  </w:pPr>
                  <w:r>
                    <w:rPr>
                      <w:rFonts w:hint="eastAsia" w:ascii="Times New Roman" w:hAnsi="Times New Roman" w:cs="Times New Roman" w:eastAsiaTheme="minorEastAsia"/>
                      <w:sz w:val="21"/>
                      <w:szCs w:val="21"/>
                      <w:lang w:eastAsia="zh-CN"/>
                    </w:rPr>
                    <w:t>/</w:t>
                  </w:r>
                </w:p>
              </w:tc>
            </w:tr>
          </w:tbl>
          <w:p w14:paraId="36BDA000">
            <w:pPr>
              <w:spacing w:line="360" w:lineRule="auto"/>
              <w:ind w:firstLine="48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d</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资源利用总体要求符合性</w:t>
            </w:r>
          </w:p>
          <w:p w14:paraId="0661717C">
            <w:pPr>
              <w:spacing w:line="360" w:lineRule="auto"/>
              <w:ind w:firstLine="480"/>
              <w:rPr>
                <w:rFonts w:hint="eastAsia" w:eastAsia="宋体"/>
                <w:color w:val="000000" w:themeColor="text1"/>
                <w:sz w:val="24"/>
                <w:lang w:eastAsia="zh-CN"/>
                <w14:textFill>
                  <w14:solidFill>
                    <w14:schemeClr w14:val="tx1"/>
                  </w14:solidFill>
                </w14:textFill>
              </w:rPr>
            </w:pPr>
            <w:r>
              <w:rPr>
                <w:rFonts w:hint="eastAsia"/>
                <w:color w:val="000000" w:themeColor="text1"/>
                <w:sz w:val="24"/>
                <w14:textFill>
                  <w14:solidFill>
                    <w14:schemeClr w14:val="tx1"/>
                  </w14:solidFill>
                </w14:textFill>
              </w:rPr>
              <w:t>项目</w:t>
            </w:r>
            <w:r>
              <w:rPr>
                <w:rFonts w:hint="eastAsia"/>
                <w:color w:val="000000" w:themeColor="text1"/>
                <w:sz w:val="24"/>
                <w:lang w:val="en-US" w:eastAsia="zh-CN"/>
                <w14:textFill>
                  <w14:solidFill>
                    <w14:schemeClr w14:val="tx1"/>
                  </w14:solidFill>
                </w14:textFill>
              </w:rPr>
              <w:t>与</w:t>
            </w:r>
            <w:r>
              <w:rPr>
                <w:rFonts w:hint="eastAsia"/>
                <w:color w:val="000000" w:themeColor="text1"/>
                <w:sz w:val="24"/>
                <w14:textFill>
                  <w14:solidFill>
                    <w14:schemeClr w14:val="tx1"/>
                  </w14:solidFill>
                </w14:textFill>
              </w:rPr>
              <w:t>承德市生态环境分区管控-</w:t>
            </w:r>
            <w:r>
              <w:rPr>
                <w:rFonts w:hint="eastAsia"/>
                <w:color w:val="000000" w:themeColor="text1"/>
                <w:sz w:val="24"/>
                <w:lang w:val="en-US" w:eastAsia="zh-CN"/>
                <w14:textFill>
                  <w14:solidFill>
                    <w14:schemeClr w14:val="tx1"/>
                  </w14:solidFill>
                </w14:textFill>
              </w:rPr>
              <w:t>资源利用</w:t>
            </w:r>
            <w:r>
              <w:rPr>
                <w:rFonts w:hint="eastAsia"/>
                <w:color w:val="000000" w:themeColor="text1"/>
                <w:sz w:val="24"/>
                <w14:textFill>
                  <w14:solidFill>
                    <w14:schemeClr w14:val="tx1"/>
                  </w14:solidFill>
                </w14:textFill>
              </w:rPr>
              <w:t>总体要求</w:t>
            </w:r>
            <w:r>
              <w:rPr>
                <w:rFonts w:hint="eastAsia"/>
                <w:color w:val="000000" w:themeColor="text1"/>
                <w:sz w:val="24"/>
                <w:lang w:val="en-US" w:eastAsia="zh-CN"/>
                <w14:textFill>
                  <w14:solidFill>
                    <w14:schemeClr w14:val="tx1"/>
                  </w14:solidFill>
                </w14:textFill>
              </w:rPr>
              <w:t>符合性分析如下表</w:t>
            </w:r>
            <w:r>
              <w:rPr>
                <w:rFonts w:hint="eastAsia"/>
                <w:color w:val="000000" w:themeColor="text1"/>
                <w:sz w:val="24"/>
                <w:lang w:eastAsia="zh-CN"/>
                <w14:textFill>
                  <w14:solidFill>
                    <w14:schemeClr w14:val="tx1"/>
                  </w14:solidFill>
                </w14:textFill>
              </w:rPr>
              <w:t>。</w:t>
            </w:r>
          </w:p>
          <w:p w14:paraId="23AFFB44">
            <w:pPr>
              <w:pStyle w:val="48"/>
              <w:numPr>
                <w:ilvl w:val="0"/>
                <w:numId w:val="3"/>
              </w:numPr>
              <w:spacing w:line="360" w:lineRule="auto"/>
              <w:ind w:left="902" w:firstLineChars="0"/>
              <w:jc w:val="center"/>
              <w:rPr>
                <w:rFonts w:ascii="Times New Roman" w:hAnsi="Times New Roman" w:eastAsia="宋体"/>
                <w:b/>
                <w:sz w:val="21"/>
                <w:szCs w:val="21"/>
              </w:rPr>
            </w:pPr>
            <w:r>
              <w:rPr>
                <w:rFonts w:hint="eastAsia" w:ascii="Times New Roman" w:hAnsi="Times New Roman" w:eastAsia="宋体"/>
                <w:b/>
                <w:bCs/>
                <w:sz w:val="21"/>
                <w:szCs w:val="21"/>
              </w:rPr>
              <w:t>承德市生态环境分区管控-资源利用总体要求符合性分析一览表</w:t>
            </w:r>
          </w:p>
          <w:tbl>
            <w:tblPr>
              <w:tblStyle w:val="62"/>
              <w:tblW w:w="8241"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64"/>
              <w:gridCol w:w="4790"/>
              <w:gridCol w:w="2256"/>
              <w:gridCol w:w="531"/>
            </w:tblGrid>
            <w:tr w14:paraId="465C1C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7" w:hRule="atLeast"/>
                <w:jc w:val="center"/>
              </w:trPr>
              <w:tc>
                <w:tcPr>
                  <w:tcW w:w="664" w:type="dxa"/>
                  <w:vAlign w:val="center"/>
                </w:tcPr>
                <w:p w14:paraId="5C31A998">
                  <w:pPr>
                    <w:pStyle w:val="55"/>
                    <w:jc w:val="center"/>
                    <w:rPr>
                      <w:rFonts w:ascii="Times New Roman" w:hAnsi="Times New Roman" w:eastAsia="宋体" w:cs="Times New Roman"/>
                      <w:b/>
                      <w:sz w:val="21"/>
                      <w:szCs w:val="21"/>
                      <w:lang w:eastAsia="en-US"/>
                    </w:rPr>
                  </w:pPr>
                  <w:r>
                    <w:rPr>
                      <w:rFonts w:hint="eastAsia" w:ascii="Times New Roman" w:hAnsi="Times New Roman" w:eastAsia="宋体" w:cs="Times New Roman"/>
                      <w:b/>
                      <w:sz w:val="21"/>
                      <w:szCs w:val="21"/>
                      <w:lang w:eastAsia="zh-CN"/>
                    </w:rPr>
                    <w:t>维度</w:t>
                  </w:r>
                </w:p>
              </w:tc>
              <w:tc>
                <w:tcPr>
                  <w:tcW w:w="4790" w:type="dxa"/>
                  <w:vAlign w:val="center"/>
                </w:tcPr>
                <w:p w14:paraId="78441BDC">
                  <w:pPr>
                    <w:pStyle w:val="55"/>
                    <w:jc w:val="center"/>
                    <w:rPr>
                      <w:rFonts w:ascii="Times New Roman" w:hAnsi="Times New Roman" w:eastAsia="宋体" w:cs="Times New Roman"/>
                      <w:b/>
                      <w:sz w:val="21"/>
                      <w:szCs w:val="21"/>
                      <w:lang w:eastAsia="en-US"/>
                    </w:rPr>
                  </w:pPr>
                  <w:r>
                    <w:rPr>
                      <w:rFonts w:hint="eastAsia" w:ascii="Times New Roman" w:hAnsi="Times New Roman" w:eastAsia="宋体" w:cs="Times New Roman"/>
                      <w:b/>
                      <w:sz w:val="21"/>
                      <w:szCs w:val="21"/>
                      <w:lang w:eastAsia="zh-CN"/>
                    </w:rPr>
                    <w:t>管控要求</w:t>
                  </w:r>
                </w:p>
              </w:tc>
              <w:tc>
                <w:tcPr>
                  <w:tcW w:w="2256" w:type="dxa"/>
                  <w:vAlign w:val="center"/>
                </w:tcPr>
                <w:p w14:paraId="67EDB97C">
                  <w:pPr>
                    <w:pStyle w:val="55"/>
                    <w:jc w:val="center"/>
                    <w:rPr>
                      <w:rFonts w:ascii="Times New Roman" w:hAnsi="Times New Roman" w:eastAsia="宋体" w:cs="Times New Roman"/>
                      <w:b/>
                      <w:sz w:val="21"/>
                      <w:szCs w:val="21"/>
                      <w:lang w:eastAsia="en-US"/>
                    </w:rPr>
                  </w:pPr>
                  <w:r>
                    <w:rPr>
                      <w:rFonts w:ascii="Times New Roman" w:hAnsi="Times New Roman" w:eastAsia="宋体" w:cs="Times New Roman"/>
                      <w:b/>
                      <w:sz w:val="21"/>
                      <w:szCs w:val="21"/>
                      <w:lang w:eastAsia="zh-CN"/>
                    </w:rPr>
                    <w:t>项目符合性分析</w:t>
                  </w:r>
                </w:p>
              </w:tc>
              <w:tc>
                <w:tcPr>
                  <w:tcW w:w="531" w:type="dxa"/>
                  <w:vAlign w:val="center"/>
                </w:tcPr>
                <w:p w14:paraId="25F1BFE9">
                  <w:pPr>
                    <w:pStyle w:val="55"/>
                    <w:jc w:val="center"/>
                    <w:rPr>
                      <w:rFonts w:ascii="Times New Roman" w:hAnsi="Times New Roman" w:eastAsia="宋体" w:cs="Times New Roman"/>
                      <w:b/>
                      <w:sz w:val="21"/>
                      <w:szCs w:val="21"/>
                      <w:lang w:eastAsia="en-US"/>
                    </w:rPr>
                  </w:pPr>
                  <w:r>
                    <w:rPr>
                      <w:rFonts w:ascii="Times New Roman" w:hAnsi="Times New Roman" w:eastAsia="宋体" w:cs="Times New Roman"/>
                      <w:b/>
                      <w:sz w:val="21"/>
                      <w:szCs w:val="21"/>
                      <w:lang w:eastAsia="zh-CN"/>
                    </w:rPr>
                    <w:t>结论</w:t>
                  </w:r>
                </w:p>
              </w:tc>
            </w:tr>
            <w:tr w14:paraId="0ED433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92" w:hRule="atLeast"/>
                <w:jc w:val="center"/>
              </w:trPr>
              <w:tc>
                <w:tcPr>
                  <w:tcW w:w="664" w:type="dxa"/>
                  <w:vMerge w:val="restart"/>
                  <w:vAlign w:val="center"/>
                </w:tcPr>
                <w:p w14:paraId="56C88436">
                  <w:pPr>
                    <w:pStyle w:val="55"/>
                    <w:jc w:val="center"/>
                    <w:rPr>
                      <w:rFonts w:ascii="Times New Roman" w:hAnsi="Times New Roman" w:eastAsia="宋体" w:cs="Times New Roman"/>
                      <w:sz w:val="21"/>
                      <w:szCs w:val="21"/>
                      <w:lang w:eastAsia="en-US"/>
                    </w:rPr>
                  </w:pPr>
                  <w:r>
                    <w:rPr>
                      <w:rFonts w:hint="eastAsia" w:ascii="Times New Roman" w:hAnsi="Times New Roman" w:eastAsia="宋体" w:cs="Times New Roman"/>
                      <w:sz w:val="21"/>
                      <w:szCs w:val="21"/>
                      <w:lang w:eastAsia="zh-CN"/>
                    </w:rPr>
                    <w:t>水资源</w:t>
                  </w:r>
                </w:p>
              </w:tc>
              <w:tc>
                <w:tcPr>
                  <w:tcW w:w="4790" w:type="dxa"/>
                  <w:vAlign w:val="center"/>
                </w:tcPr>
                <w:p w14:paraId="6584F2DE">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1.禁止新建、改扩建《高耗水工艺、技术和装备淘汰目录》中项目，现有企业应限期关停退出。</w:t>
                  </w:r>
                </w:p>
              </w:tc>
              <w:tc>
                <w:tcPr>
                  <w:tcW w:w="2256" w:type="dxa"/>
                  <w:vAlign w:val="center"/>
                </w:tcPr>
                <w:p w14:paraId="38661407">
                  <w:pPr>
                    <w:pStyle w:val="55"/>
                    <w:jc w:val="both"/>
                    <w:rPr>
                      <w:rFonts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项目不属于</w:t>
                  </w:r>
                  <w:r>
                    <w:rPr>
                      <w:rFonts w:hint="eastAsia" w:ascii="Times New Roman" w:hAnsi="Times New Roman" w:eastAsia="宋体" w:cs="Times New Roman"/>
                      <w:sz w:val="21"/>
                      <w:szCs w:val="21"/>
                      <w:lang w:eastAsia="zh-CN"/>
                    </w:rPr>
                    <w:t>《高耗水工艺、技术和装备淘汰目录》中项目</w:t>
                  </w:r>
                </w:p>
              </w:tc>
              <w:tc>
                <w:tcPr>
                  <w:tcW w:w="531" w:type="dxa"/>
                  <w:vMerge w:val="restart"/>
                  <w:vAlign w:val="center"/>
                </w:tcPr>
                <w:p w14:paraId="3F1B212B">
                  <w:pPr>
                    <w:pStyle w:val="55"/>
                    <w:jc w:val="center"/>
                    <w:rPr>
                      <w:rFonts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符合</w:t>
                  </w:r>
                </w:p>
              </w:tc>
            </w:tr>
            <w:tr w14:paraId="5021E2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664" w:type="dxa"/>
                  <w:vMerge w:val="continue"/>
                  <w:vAlign w:val="center"/>
                </w:tcPr>
                <w:p w14:paraId="7DBC4D44">
                  <w:pPr>
                    <w:pStyle w:val="55"/>
                    <w:jc w:val="center"/>
                    <w:rPr>
                      <w:rFonts w:ascii="Times New Roman" w:hAnsi="Times New Roman" w:cs="Times New Roman" w:eastAsiaTheme="minorEastAsia"/>
                      <w:sz w:val="21"/>
                      <w:szCs w:val="21"/>
                      <w:lang w:eastAsia="zh-CN"/>
                    </w:rPr>
                  </w:pPr>
                </w:p>
              </w:tc>
              <w:tc>
                <w:tcPr>
                  <w:tcW w:w="4790" w:type="dxa"/>
                  <w:vAlign w:val="center"/>
                </w:tcPr>
                <w:p w14:paraId="3BED1693">
                  <w:pPr>
                    <w:pStyle w:val="55"/>
                    <w:jc w:val="both"/>
                    <w:rPr>
                      <w:rFonts w:ascii="Times New Roman" w:hAnsi="Times New Roman" w:cs="Times New Roman" w:eastAsiaTheme="minorEastAsia"/>
                      <w:sz w:val="21"/>
                      <w:szCs w:val="21"/>
                      <w:lang w:eastAsia="zh-CN"/>
                    </w:rPr>
                  </w:pPr>
                  <w:r>
                    <w:rPr>
                      <w:rFonts w:hint="eastAsia" w:ascii="Times New Roman" w:hAnsi="Times New Roman" w:eastAsia="宋体" w:cs="Times New Roman"/>
                      <w:sz w:val="21"/>
                      <w:szCs w:val="21"/>
                      <w:lang w:eastAsia="zh-CN"/>
                    </w:rPr>
                    <w:t>2.禁止建设不符合河北省《工业取水定额》（DB13/T5448-2021）标准的产品，位于公共供水管网覆盖范围内且水量、水质能够满足要求的，不予批准取用地下水。</w:t>
                  </w:r>
                </w:p>
              </w:tc>
              <w:tc>
                <w:tcPr>
                  <w:tcW w:w="2256" w:type="dxa"/>
                  <w:vAlign w:val="center"/>
                </w:tcPr>
                <w:p w14:paraId="1187DC66">
                  <w:pPr>
                    <w:pStyle w:val="55"/>
                    <w:jc w:val="both"/>
                    <w:rPr>
                      <w:rFonts w:hint="default" w:ascii="Times New Roman" w:hAnsi="Times New Roman" w:cs="Times New Roman" w:eastAsiaTheme="minorEastAsia"/>
                      <w:sz w:val="21"/>
                      <w:szCs w:val="21"/>
                      <w:lang w:val="en-US" w:eastAsia="zh-CN"/>
                    </w:rPr>
                  </w:pPr>
                  <w:r>
                    <w:rPr>
                      <w:rFonts w:hint="eastAsia" w:ascii="Times New Roman" w:hAnsi="Times New Roman" w:cs="Times New Roman"/>
                      <w:sz w:val="21"/>
                      <w:szCs w:val="21"/>
                      <w:lang w:val="en-US" w:eastAsia="zh-CN"/>
                    </w:rPr>
                    <w:t>本项目不涉及生产用水</w:t>
                  </w:r>
                </w:p>
              </w:tc>
              <w:tc>
                <w:tcPr>
                  <w:tcW w:w="531" w:type="dxa"/>
                  <w:vMerge w:val="continue"/>
                  <w:vAlign w:val="center"/>
                </w:tcPr>
                <w:p w14:paraId="241EE41D">
                  <w:pPr>
                    <w:pStyle w:val="55"/>
                    <w:jc w:val="center"/>
                    <w:rPr>
                      <w:rFonts w:ascii="Times New Roman" w:hAnsi="Times New Roman" w:cs="Times New Roman" w:eastAsiaTheme="minorEastAsia"/>
                      <w:sz w:val="21"/>
                      <w:szCs w:val="21"/>
                      <w:lang w:eastAsia="zh-CN"/>
                    </w:rPr>
                  </w:pPr>
                </w:p>
              </w:tc>
            </w:tr>
            <w:tr w14:paraId="20A5F4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664" w:type="dxa"/>
                  <w:vMerge w:val="continue"/>
                  <w:vAlign w:val="center"/>
                </w:tcPr>
                <w:p w14:paraId="3F03201B">
                  <w:pPr>
                    <w:pStyle w:val="55"/>
                    <w:jc w:val="center"/>
                    <w:rPr>
                      <w:rFonts w:ascii="Times New Roman" w:hAnsi="Times New Roman" w:cs="Times New Roman" w:eastAsiaTheme="minorEastAsia"/>
                      <w:sz w:val="21"/>
                      <w:szCs w:val="21"/>
                      <w:lang w:eastAsia="zh-CN"/>
                    </w:rPr>
                  </w:pPr>
                </w:p>
              </w:tc>
              <w:tc>
                <w:tcPr>
                  <w:tcW w:w="4790" w:type="dxa"/>
                  <w:vAlign w:val="center"/>
                </w:tcPr>
                <w:p w14:paraId="75F38A4A">
                  <w:pPr>
                    <w:pStyle w:val="55"/>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3.到2025年，钢铁、食品、医药等高耗水行业用水效率达到国内先进水平，万元国内生产总值用水量、万元工业增加值用水量较2020年分别下降11.2%和17.3%。</w:t>
                  </w:r>
                </w:p>
              </w:tc>
              <w:tc>
                <w:tcPr>
                  <w:tcW w:w="2256" w:type="dxa"/>
                  <w:vAlign w:val="center"/>
                </w:tcPr>
                <w:p w14:paraId="1B0D3AF6">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项目行业不属于钢铁、食品、医药等高耗水行业</w:t>
                  </w:r>
                </w:p>
              </w:tc>
              <w:tc>
                <w:tcPr>
                  <w:tcW w:w="531" w:type="dxa"/>
                  <w:vMerge w:val="continue"/>
                  <w:vAlign w:val="center"/>
                </w:tcPr>
                <w:p w14:paraId="659BAF6E">
                  <w:pPr>
                    <w:pStyle w:val="55"/>
                    <w:jc w:val="center"/>
                    <w:rPr>
                      <w:rFonts w:ascii="Times New Roman" w:hAnsi="Times New Roman" w:cs="Times New Roman" w:eastAsiaTheme="minorEastAsia"/>
                      <w:sz w:val="21"/>
                      <w:szCs w:val="21"/>
                      <w:lang w:eastAsia="zh-CN"/>
                    </w:rPr>
                  </w:pPr>
                </w:p>
              </w:tc>
            </w:tr>
            <w:tr w14:paraId="0C2E69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664" w:type="dxa"/>
                  <w:vMerge w:val="continue"/>
                  <w:vAlign w:val="center"/>
                </w:tcPr>
                <w:p w14:paraId="199E5E1A">
                  <w:pPr>
                    <w:pStyle w:val="55"/>
                    <w:jc w:val="center"/>
                    <w:rPr>
                      <w:rFonts w:ascii="Times New Roman" w:hAnsi="Times New Roman" w:cs="Times New Roman" w:eastAsiaTheme="minorEastAsia"/>
                      <w:sz w:val="21"/>
                      <w:szCs w:val="21"/>
                      <w:lang w:eastAsia="zh-CN"/>
                    </w:rPr>
                  </w:pPr>
                </w:p>
              </w:tc>
              <w:tc>
                <w:tcPr>
                  <w:tcW w:w="4790" w:type="dxa"/>
                  <w:vAlign w:val="center"/>
                </w:tcPr>
                <w:p w14:paraId="6B8CCBE2">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4.2025年前，公共管网覆盖范围内年取水量5万立方米以上的重点监控用水单位基本实现监测全覆盖，已安装在线监控设施的用水单位，实现与水行政主管部门的监控系统联网，保存原有监测记录；未安装计量设施的用水单位，由省级统一组织，市、县具体实施。</w:t>
                  </w:r>
                </w:p>
              </w:tc>
              <w:tc>
                <w:tcPr>
                  <w:tcW w:w="2256" w:type="dxa"/>
                  <w:vAlign w:val="center"/>
                </w:tcPr>
                <w:p w14:paraId="13767F09">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项目年取水量在5万立方米以下</w:t>
                  </w:r>
                </w:p>
              </w:tc>
              <w:tc>
                <w:tcPr>
                  <w:tcW w:w="531" w:type="dxa"/>
                  <w:vMerge w:val="continue"/>
                  <w:vAlign w:val="center"/>
                </w:tcPr>
                <w:p w14:paraId="43F43F55">
                  <w:pPr>
                    <w:pStyle w:val="55"/>
                    <w:jc w:val="center"/>
                    <w:rPr>
                      <w:rFonts w:ascii="Times New Roman" w:hAnsi="Times New Roman" w:cs="Times New Roman" w:eastAsiaTheme="minorEastAsia"/>
                      <w:sz w:val="21"/>
                      <w:szCs w:val="21"/>
                      <w:lang w:eastAsia="zh-CN"/>
                    </w:rPr>
                  </w:pPr>
                </w:p>
              </w:tc>
            </w:tr>
            <w:tr w14:paraId="3890E1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664" w:type="dxa"/>
                  <w:vMerge w:val="continue"/>
                  <w:vAlign w:val="center"/>
                </w:tcPr>
                <w:p w14:paraId="6B851618">
                  <w:pPr>
                    <w:pStyle w:val="55"/>
                    <w:jc w:val="center"/>
                    <w:rPr>
                      <w:rFonts w:ascii="Times New Roman" w:hAnsi="Times New Roman" w:cs="Times New Roman" w:eastAsiaTheme="minorEastAsia"/>
                      <w:sz w:val="21"/>
                      <w:szCs w:val="21"/>
                      <w:lang w:eastAsia="zh-CN"/>
                    </w:rPr>
                  </w:pPr>
                </w:p>
              </w:tc>
              <w:tc>
                <w:tcPr>
                  <w:tcW w:w="4790" w:type="dxa"/>
                  <w:vAlign w:val="center"/>
                </w:tcPr>
                <w:p w14:paraId="6BAD8C81">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5.产业集聚区工业用水重复利用与资源产出水平应在2025年前达到循环经济园区标准要求。</w:t>
                  </w:r>
                </w:p>
              </w:tc>
              <w:tc>
                <w:tcPr>
                  <w:tcW w:w="2256" w:type="dxa"/>
                  <w:vAlign w:val="center"/>
                </w:tcPr>
                <w:p w14:paraId="7BF41F61">
                  <w:pPr>
                    <w:pStyle w:val="55"/>
                    <w:jc w:val="both"/>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本项目无工业用水</w:t>
                  </w:r>
                </w:p>
              </w:tc>
              <w:tc>
                <w:tcPr>
                  <w:tcW w:w="531" w:type="dxa"/>
                  <w:vMerge w:val="continue"/>
                  <w:vAlign w:val="center"/>
                </w:tcPr>
                <w:p w14:paraId="5F64C971">
                  <w:pPr>
                    <w:pStyle w:val="55"/>
                    <w:jc w:val="center"/>
                    <w:rPr>
                      <w:rFonts w:ascii="Times New Roman" w:hAnsi="Times New Roman" w:cs="Times New Roman" w:eastAsiaTheme="minorEastAsia"/>
                      <w:sz w:val="21"/>
                      <w:szCs w:val="21"/>
                      <w:lang w:eastAsia="zh-CN"/>
                    </w:rPr>
                  </w:pPr>
                </w:p>
              </w:tc>
            </w:tr>
            <w:tr w14:paraId="32A40C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664" w:type="dxa"/>
                  <w:vMerge w:val="continue"/>
                  <w:vAlign w:val="center"/>
                </w:tcPr>
                <w:p w14:paraId="2939D2D8">
                  <w:pPr>
                    <w:pStyle w:val="55"/>
                    <w:jc w:val="center"/>
                    <w:rPr>
                      <w:rFonts w:ascii="Times New Roman" w:hAnsi="Times New Roman" w:cs="Times New Roman" w:eastAsiaTheme="minorEastAsia"/>
                      <w:sz w:val="21"/>
                      <w:szCs w:val="21"/>
                      <w:lang w:eastAsia="zh-CN"/>
                    </w:rPr>
                  </w:pPr>
                </w:p>
              </w:tc>
              <w:tc>
                <w:tcPr>
                  <w:tcW w:w="4790" w:type="dxa"/>
                  <w:vAlign w:val="center"/>
                </w:tcPr>
                <w:p w14:paraId="2A5A6397">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6.2025年承德市潮河流域用水总量控制在9371万立方米、流域内实施高效节水灌溉14.98万亩；2025年底前，流域内万元工业增加值用水量较2017年下降15%。</w:t>
                  </w:r>
                </w:p>
              </w:tc>
              <w:tc>
                <w:tcPr>
                  <w:tcW w:w="2256" w:type="dxa"/>
                  <w:tcBorders>
                    <w:bottom w:val="single" w:color="auto" w:sz="4" w:space="0"/>
                  </w:tcBorders>
                  <w:vAlign w:val="center"/>
                </w:tcPr>
                <w:p w14:paraId="68AB5764">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项目不涉及潮河流域</w:t>
                  </w:r>
                </w:p>
              </w:tc>
              <w:tc>
                <w:tcPr>
                  <w:tcW w:w="531" w:type="dxa"/>
                  <w:vMerge w:val="continue"/>
                  <w:vAlign w:val="center"/>
                </w:tcPr>
                <w:p w14:paraId="104498BC">
                  <w:pPr>
                    <w:pStyle w:val="55"/>
                    <w:jc w:val="center"/>
                    <w:rPr>
                      <w:rFonts w:ascii="Times New Roman" w:hAnsi="Times New Roman" w:cs="Times New Roman" w:eastAsiaTheme="minorEastAsia"/>
                      <w:sz w:val="21"/>
                      <w:szCs w:val="21"/>
                      <w:lang w:eastAsia="zh-CN"/>
                    </w:rPr>
                  </w:pPr>
                </w:p>
              </w:tc>
            </w:tr>
            <w:tr w14:paraId="489856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664" w:type="dxa"/>
                  <w:vMerge w:val="continue"/>
                  <w:vAlign w:val="center"/>
                </w:tcPr>
                <w:p w14:paraId="5A6D8CE8">
                  <w:pPr>
                    <w:pStyle w:val="55"/>
                    <w:jc w:val="center"/>
                    <w:rPr>
                      <w:rFonts w:ascii="Times New Roman" w:hAnsi="Times New Roman" w:cs="Times New Roman" w:eastAsiaTheme="minorEastAsia"/>
                      <w:sz w:val="21"/>
                      <w:szCs w:val="21"/>
                      <w:lang w:eastAsia="zh-CN"/>
                    </w:rPr>
                  </w:pPr>
                </w:p>
              </w:tc>
              <w:tc>
                <w:tcPr>
                  <w:tcW w:w="4790" w:type="dxa"/>
                  <w:tcBorders>
                    <w:right w:val="single" w:color="auto" w:sz="4" w:space="0"/>
                  </w:tcBorders>
                  <w:vAlign w:val="center"/>
                </w:tcPr>
                <w:p w14:paraId="37C37480">
                  <w:pPr>
                    <w:pStyle w:val="55"/>
                    <w:jc w:val="both"/>
                    <w:rPr>
                      <w:rFonts w:ascii="Times New Roman" w:hAnsi="Times New Roman" w:eastAsia="宋体" w:cs="Times New Roman"/>
                      <w:sz w:val="21"/>
                      <w:szCs w:val="21"/>
                      <w:lang w:eastAsia="zh-CN"/>
                    </w:rPr>
                  </w:pPr>
                  <w:r>
                    <w:rPr>
                      <w:rFonts w:ascii="Times New Roman" w:hAnsi="Times New Roman" w:eastAsia="宋体" w:cs="Times New Roman"/>
                      <w:sz w:val="21"/>
                      <w:szCs w:val="21"/>
                      <w:lang w:eastAsia="zh-CN"/>
                    </w:rPr>
                    <w:t>7.2025年承德市滦河流域，用水总量控制在88000万立方米、万元工业增加值用水量控制在27.5立方米。</w:t>
                  </w:r>
                </w:p>
              </w:tc>
              <w:tc>
                <w:tcPr>
                  <w:tcW w:w="2256" w:type="dxa"/>
                  <w:tcBorders>
                    <w:top w:val="single" w:color="auto" w:sz="4" w:space="0"/>
                    <w:left w:val="single" w:color="auto" w:sz="4" w:space="0"/>
                    <w:bottom w:val="single" w:color="auto" w:sz="4" w:space="0"/>
                    <w:right w:val="single" w:color="auto" w:sz="4" w:space="0"/>
                  </w:tcBorders>
                  <w:shd w:val="clear" w:color="auto" w:fill="auto"/>
                  <w:vAlign w:val="center"/>
                </w:tcPr>
                <w:p w14:paraId="605932A2">
                  <w:pPr>
                    <w:pStyle w:val="55"/>
                    <w:jc w:val="both"/>
                    <w:rPr>
                      <w:rFonts w:hint="eastAsia" w:ascii="Times New Roman" w:hAnsi="Times New Roman" w:eastAsia="宋体" w:cs="Times New Roman"/>
                      <w:sz w:val="21"/>
                      <w:szCs w:val="21"/>
                      <w:highlight w:val="none"/>
                      <w:lang w:eastAsia="zh-CN"/>
                    </w:rPr>
                  </w:pPr>
                  <w:r>
                    <w:rPr>
                      <w:rFonts w:hint="eastAsia" w:ascii="Times New Roman" w:hAnsi="Times New Roman" w:eastAsia="宋体" w:cs="Times New Roman"/>
                      <w:sz w:val="21"/>
                      <w:szCs w:val="21"/>
                      <w:highlight w:val="none"/>
                      <w:lang w:val="en-US" w:eastAsia="zh-CN"/>
                    </w:rPr>
                    <w:t>根据工程分析，项目新鲜水用量为</w:t>
                  </w:r>
                  <w:r>
                    <w:rPr>
                      <w:rFonts w:hint="eastAsia" w:ascii="Times New Roman" w:hAnsi="Times New Roman" w:cs="Times New Roman"/>
                      <w:sz w:val="21"/>
                      <w:szCs w:val="21"/>
                      <w:highlight w:val="none"/>
                      <w:lang w:val="en-US" w:eastAsia="zh-CN"/>
                    </w:rPr>
                    <w:t>327.07</w:t>
                  </w:r>
                  <w:r>
                    <w:rPr>
                      <w:rFonts w:hint="eastAsia" w:ascii="Times New Roman" w:hAnsi="Times New Roman" w:eastAsia="宋体" w:cs="Times New Roman"/>
                      <w:sz w:val="21"/>
                      <w:szCs w:val="21"/>
                      <w:highlight w:val="none"/>
                      <w:lang w:val="en-US" w:eastAsia="zh-CN"/>
                    </w:rPr>
                    <w:t>m</w:t>
                  </w:r>
                  <w:r>
                    <w:rPr>
                      <w:rFonts w:hint="eastAsia" w:ascii="Times New Roman" w:hAnsi="Times New Roman" w:eastAsia="宋体" w:cs="Times New Roman"/>
                      <w:sz w:val="21"/>
                      <w:szCs w:val="21"/>
                      <w:highlight w:val="none"/>
                      <w:vertAlign w:val="superscript"/>
                      <w:lang w:val="en-US" w:eastAsia="zh-CN"/>
                    </w:rPr>
                    <w:t>3</w:t>
                  </w:r>
                  <w:r>
                    <w:rPr>
                      <w:rFonts w:hint="eastAsia" w:ascii="Times New Roman" w:hAnsi="Times New Roman" w:eastAsia="宋体" w:cs="Times New Roman"/>
                      <w:sz w:val="21"/>
                      <w:szCs w:val="21"/>
                      <w:highlight w:val="none"/>
                      <w:lang w:val="en-US" w:eastAsia="zh-CN"/>
                    </w:rPr>
                    <w:t>/a，用水量不大，不会突破水资源利用上线。</w:t>
                  </w:r>
                </w:p>
              </w:tc>
              <w:tc>
                <w:tcPr>
                  <w:tcW w:w="531" w:type="dxa"/>
                  <w:vMerge w:val="continue"/>
                  <w:tcBorders>
                    <w:left w:val="single" w:color="auto" w:sz="4" w:space="0"/>
                  </w:tcBorders>
                  <w:vAlign w:val="center"/>
                </w:tcPr>
                <w:p w14:paraId="58F84C6A">
                  <w:pPr>
                    <w:pStyle w:val="55"/>
                    <w:jc w:val="center"/>
                    <w:rPr>
                      <w:rFonts w:ascii="Times New Roman" w:hAnsi="Times New Roman" w:cs="Times New Roman" w:eastAsiaTheme="minorEastAsia"/>
                      <w:sz w:val="21"/>
                      <w:szCs w:val="21"/>
                      <w:lang w:eastAsia="zh-CN"/>
                    </w:rPr>
                  </w:pPr>
                </w:p>
              </w:tc>
            </w:tr>
            <w:tr w14:paraId="7E2C12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88" w:hRule="atLeast"/>
                <w:jc w:val="center"/>
              </w:trPr>
              <w:tc>
                <w:tcPr>
                  <w:tcW w:w="664" w:type="dxa"/>
                  <w:vMerge w:val="continue"/>
                  <w:vAlign w:val="center"/>
                </w:tcPr>
                <w:p w14:paraId="36CD0B4C">
                  <w:pPr>
                    <w:pStyle w:val="55"/>
                    <w:jc w:val="center"/>
                    <w:rPr>
                      <w:rFonts w:ascii="Times New Roman" w:hAnsi="Times New Roman" w:cs="Times New Roman" w:eastAsiaTheme="minorEastAsia"/>
                      <w:sz w:val="21"/>
                      <w:szCs w:val="21"/>
                      <w:lang w:eastAsia="zh-CN"/>
                    </w:rPr>
                  </w:pPr>
                </w:p>
              </w:tc>
              <w:tc>
                <w:tcPr>
                  <w:tcW w:w="4790" w:type="dxa"/>
                  <w:tcBorders>
                    <w:right w:val="single" w:color="auto" w:sz="4" w:space="0"/>
                  </w:tcBorders>
                  <w:vAlign w:val="center"/>
                </w:tcPr>
                <w:p w14:paraId="73373CAC">
                  <w:pPr>
                    <w:pStyle w:val="55"/>
                    <w:jc w:val="both"/>
                    <w:rPr>
                      <w:rFonts w:ascii="Times New Roman" w:hAnsi="Times New Roman" w:cs="Times New Roman" w:eastAsiaTheme="minorEastAsia"/>
                      <w:sz w:val="21"/>
                      <w:szCs w:val="21"/>
                      <w:lang w:eastAsia="zh-CN"/>
                    </w:rPr>
                  </w:pPr>
                  <w:r>
                    <w:rPr>
                      <w:rFonts w:hint="eastAsia" w:ascii="Times New Roman" w:hAnsi="Times New Roman" w:eastAsia="宋体" w:cs="Times New Roman"/>
                      <w:sz w:val="21"/>
                      <w:szCs w:val="21"/>
                      <w:lang w:eastAsia="zh-CN"/>
                    </w:rPr>
                    <w:t>8.2025年，全市用水总量控制在9.50亿立方米以内，其中地下水总量控制在5.95亿立方米以内，万元国内生产总值用水量和万元工业增加值用水量分别下降至44立方米和27.5立方米，降幅分别为11.1%和17.2%。</w:t>
                  </w:r>
                </w:p>
              </w:tc>
              <w:tc>
                <w:tcPr>
                  <w:tcW w:w="2256" w:type="dxa"/>
                  <w:tcBorders>
                    <w:top w:val="single" w:color="auto" w:sz="4" w:space="0"/>
                    <w:left w:val="single" w:color="auto" w:sz="4" w:space="0"/>
                    <w:bottom w:val="single" w:color="auto" w:sz="4" w:space="0"/>
                    <w:right w:val="single" w:color="auto" w:sz="4" w:space="0"/>
                  </w:tcBorders>
                  <w:shd w:val="clear" w:color="auto" w:fill="auto"/>
                  <w:vAlign w:val="center"/>
                </w:tcPr>
                <w:p w14:paraId="291F7910">
                  <w:pPr>
                    <w:pStyle w:val="55"/>
                    <w:jc w:val="both"/>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根据工程分析，项目新鲜水用量为</w:t>
                  </w:r>
                  <w:r>
                    <w:rPr>
                      <w:rFonts w:hint="eastAsia" w:ascii="Times New Roman" w:hAnsi="Times New Roman" w:cs="Times New Roman"/>
                      <w:sz w:val="21"/>
                      <w:szCs w:val="21"/>
                      <w:highlight w:val="none"/>
                      <w:lang w:val="en-US" w:eastAsia="zh-CN"/>
                    </w:rPr>
                    <w:t>327.07</w:t>
                  </w:r>
                  <w:r>
                    <w:rPr>
                      <w:rFonts w:hint="eastAsia" w:ascii="Times New Roman" w:hAnsi="Times New Roman" w:eastAsia="宋体" w:cs="Times New Roman"/>
                      <w:sz w:val="21"/>
                      <w:szCs w:val="21"/>
                      <w:highlight w:val="none"/>
                      <w:lang w:val="en-US" w:eastAsia="zh-CN"/>
                    </w:rPr>
                    <w:t>m</w:t>
                  </w:r>
                  <w:r>
                    <w:rPr>
                      <w:rFonts w:hint="eastAsia" w:ascii="Times New Roman" w:hAnsi="Times New Roman" w:eastAsia="宋体" w:cs="Times New Roman"/>
                      <w:sz w:val="21"/>
                      <w:szCs w:val="21"/>
                      <w:highlight w:val="none"/>
                      <w:vertAlign w:val="superscript"/>
                      <w:lang w:val="en-US" w:eastAsia="zh-CN"/>
                    </w:rPr>
                    <w:t>3</w:t>
                  </w:r>
                  <w:r>
                    <w:rPr>
                      <w:rFonts w:hint="eastAsia" w:ascii="Times New Roman" w:hAnsi="Times New Roman" w:eastAsia="宋体" w:cs="Times New Roman"/>
                      <w:sz w:val="21"/>
                      <w:szCs w:val="21"/>
                      <w:highlight w:val="none"/>
                      <w:lang w:val="en-US" w:eastAsia="zh-CN"/>
                    </w:rPr>
                    <w:t>/a，用水量不大，不会突破水资源利用上线。</w:t>
                  </w:r>
                </w:p>
              </w:tc>
              <w:tc>
                <w:tcPr>
                  <w:tcW w:w="531" w:type="dxa"/>
                  <w:vMerge w:val="continue"/>
                  <w:tcBorders>
                    <w:left w:val="single" w:color="auto" w:sz="4" w:space="0"/>
                  </w:tcBorders>
                  <w:vAlign w:val="center"/>
                </w:tcPr>
                <w:p w14:paraId="377427EA">
                  <w:pPr>
                    <w:pStyle w:val="55"/>
                    <w:jc w:val="center"/>
                    <w:rPr>
                      <w:rFonts w:ascii="Times New Roman" w:hAnsi="Times New Roman" w:cs="Times New Roman" w:eastAsiaTheme="minorEastAsia"/>
                      <w:sz w:val="21"/>
                      <w:szCs w:val="21"/>
                      <w:lang w:eastAsia="zh-CN"/>
                    </w:rPr>
                  </w:pPr>
                </w:p>
              </w:tc>
            </w:tr>
            <w:tr w14:paraId="019467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65" w:hRule="atLeast"/>
                <w:jc w:val="center"/>
              </w:trPr>
              <w:tc>
                <w:tcPr>
                  <w:tcW w:w="664" w:type="dxa"/>
                  <w:vMerge w:val="continue"/>
                  <w:vAlign w:val="center"/>
                </w:tcPr>
                <w:p w14:paraId="174E6256">
                  <w:pPr>
                    <w:pStyle w:val="55"/>
                    <w:jc w:val="center"/>
                    <w:rPr>
                      <w:rFonts w:ascii="Times New Roman" w:hAnsi="Times New Roman" w:cs="Times New Roman" w:eastAsiaTheme="minorEastAsia"/>
                      <w:sz w:val="21"/>
                      <w:szCs w:val="21"/>
                      <w:lang w:eastAsia="zh-CN"/>
                    </w:rPr>
                  </w:pPr>
                </w:p>
              </w:tc>
              <w:tc>
                <w:tcPr>
                  <w:tcW w:w="4790" w:type="dxa"/>
                  <w:vAlign w:val="center"/>
                </w:tcPr>
                <w:p w14:paraId="351F2DB9">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9.2025年，规划解决农村集中供水人口60.47万人，自来水普及率达到88%。</w:t>
                  </w:r>
                </w:p>
              </w:tc>
              <w:tc>
                <w:tcPr>
                  <w:tcW w:w="2256" w:type="dxa"/>
                  <w:tcBorders>
                    <w:top w:val="single" w:color="auto" w:sz="4" w:space="0"/>
                  </w:tcBorders>
                  <w:vAlign w:val="center"/>
                </w:tcPr>
                <w:p w14:paraId="0829D9B1">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项目不涉及农村集中供水</w:t>
                  </w:r>
                </w:p>
              </w:tc>
              <w:tc>
                <w:tcPr>
                  <w:tcW w:w="531" w:type="dxa"/>
                  <w:vMerge w:val="continue"/>
                  <w:vAlign w:val="center"/>
                </w:tcPr>
                <w:p w14:paraId="489119B7">
                  <w:pPr>
                    <w:pStyle w:val="55"/>
                    <w:jc w:val="center"/>
                    <w:rPr>
                      <w:rFonts w:ascii="Times New Roman" w:hAnsi="Times New Roman" w:cs="Times New Roman" w:eastAsiaTheme="minorEastAsia"/>
                      <w:sz w:val="21"/>
                      <w:szCs w:val="21"/>
                      <w:lang w:eastAsia="zh-CN"/>
                    </w:rPr>
                  </w:pPr>
                </w:p>
              </w:tc>
            </w:tr>
            <w:tr w14:paraId="30748E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3" w:hRule="atLeast"/>
                <w:jc w:val="center"/>
              </w:trPr>
              <w:tc>
                <w:tcPr>
                  <w:tcW w:w="664" w:type="dxa"/>
                  <w:vMerge w:val="restart"/>
                  <w:vAlign w:val="center"/>
                </w:tcPr>
                <w:p w14:paraId="35437628">
                  <w:pPr>
                    <w:pStyle w:val="55"/>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能源重点管控</w:t>
                  </w:r>
                </w:p>
              </w:tc>
              <w:tc>
                <w:tcPr>
                  <w:tcW w:w="4790" w:type="dxa"/>
                  <w:vAlign w:val="center"/>
                </w:tcPr>
                <w:p w14:paraId="7818BB17">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1.到2025年，全市重点区域和行业能源利用效率显著提高，单位地区生产总值能耗比2020年下降17.5%。加强能耗总量和强度双控、煤炭消费和污染物排放总量控制，提高非化石能源占比，降低煤炭在能源消费中的比重。强化市场准入约束，抑制高碳投资，坚决遏制高耗能、高排放、低水平项目盲目发展。</w:t>
                  </w:r>
                </w:p>
              </w:tc>
              <w:tc>
                <w:tcPr>
                  <w:tcW w:w="2256" w:type="dxa"/>
                  <w:vAlign w:val="center"/>
                </w:tcPr>
                <w:p w14:paraId="67CE4F89">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项目不属于重点区域和行业，不属于高耗能、高排放、低水平项目，项目不涉及煤炭资源的使用</w:t>
                  </w:r>
                </w:p>
              </w:tc>
              <w:tc>
                <w:tcPr>
                  <w:tcW w:w="531" w:type="dxa"/>
                  <w:vMerge w:val="restart"/>
                  <w:vAlign w:val="center"/>
                </w:tcPr>
                <w:p w14:paraId="70CE2BD5">
                  <w:pPr>
                    <w:pStyle w:val="55"/>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符合</w:t>
                  </w:r>
                </w:p>
              </w:tc>
            </w:tr>
            <w:tr w14:paraId="3450F3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02822178">
                  <w:pPr>
                    <w:pStyle w:val="55"/>
                    <w:jc w:val="center"/>
                    <w:rPr>
                      <w:rFonts w:ascii="Times New Roman" w:hAnsi="Times New Roman" w:cs="Times New Roman" w:eastAsiaTheme="minorEastAsia"/>
                      <w:sz w:val="21"/>
                      <w:szCs w:val="21"/>
                      <w:lang w:eastAsia="zh-CN"/>
                    </w:rPr>
                  </w:pPr>
                </w:p>
              </w:tc>
              <w:tc>
                <w:tcPr>
                  <w:tcW w:w="4790" w:type="dxa"/>
                  <w:vAlign w:val="center"/>
                </w:tcPr>
                <w:p w14:paraId="554AA181">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2.高污染燃料禁燃区内执行《高污染燃料目录》中的Ⅱ类（较严）要求，不得新建燃烧煤炭、重油、渣油等高污染燃料的设施，禁止原煤散烧；现有燃烧高污染燃料的设施，应当限期改用清洁能源；未改用清洁能源替代的高污染燃料设施，应当配套建设先进工艺的脱硫、脱硝、除尘装置或者采取其他措施，控制二氧化硫、氮氧化物和烟尘等排放；仍未达到大气污染物排放标准的，应当停止使用。</w:t>
                  </w:r>
                </w:p>
              </w:tc>
              <w:tc>
                <w:tcPr>
                  <w:tcW w:w="2256" w:type="dxa"/>
                  <w:vAlign w:val="center"/>
                </w:tcPr>
                <w:p w14:paraId="2B22B273">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项目选址位于高污染燃料禁燃区，但项目不涉及燃烧煤炭、重油、渣油等高污染燃料的设施，符合管控要求。</w:t>
                  </w:r>
                </w:p>
              </w:tc>
              <w:tc>
                <w:tcPr>
                  <w:tcW w:w="531" w:type="dxa"/>
                  <w:vMerge w:val="continue"/>
                  <w:vAlign w:val="center"/>
                </w:tcPr>
                <w:p w14:paraId="6D24B56C">
                  <w:pPr>
                    <w:pStyle w:val="55"/>
                    <w:jc w:val="both"/>
                    <w:rPr>
                      <w:rFonts w:ascii="Times New Roman" w:hAnsi="Times New Roman" w:cs="Times New Roman" w:eastAsiaTheme="minorEastAsia"/>
                      <w:sz w:val="21"/>
                      <w:szCs w:val="21"/>
                      <w:lang w:eastAsia="zh-CN"/>
                    </w:rPr>
                  </w:pPr>
                </w:p>
              </w:tc>
            </w:tr>
            <w:tr w14:paraId="4F6BB8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20A064F3">
                  <w:pPr>
                    <w:pStyle w:val="55"/>
                    <w:jc w:val="center"/>
                    <w:rPr>
                      <w:rFonts w:ascii="Times New Roman" w:hAnsi="Times New Roman" w:cs="Times New Roman" w:eastAsiaTheme="minorEastAsia"/>
                      <w:sz w:val="21"/>
                      <w:szCs w:val="21"/>
                      <w:lang w:eastAsia="zh-CN"/>
                    </w:rPr>
                  </w:pPr>
                </w:p>
              </w:tc>
              <w:tc>
                <w:tcPr>
                  <w:tcW w:w="4790" w:type="dxa"/>
                  <w:vAlign w:val="center"/>
                </w:tcPr>
                <w:p w14:paraId="444D8DDA">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3.严把环境准入关口，新建项目单位产品能耗达到《河北省主要产品能耗限额和设备能效限定值》准入值要求，严格执行煤炭减量替代。产业集聚区能源利用效率达到循环经济园区标准。在省级以上园区全面推行能源梯级利用和资源综合利用，依法推进强制性清洁生产审核。</w:t>
                  </w:r>
                </w:p>
              </w:tc>
              <w:tc>
                <w:tcPr>
                  <w:tcW w:w="2256" w:type="dxa"/>
                  <w:vAlign w:val="center"/>
                </w:tcPr>
                <w:p w14:paraId="6E47BA49">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项目不涉及煤炭，项目能源利用效率满足循环经济园区标准，项目满足能源梯级利用和资源综合利用</w:t>
                  </w:r>
                </w:p>
              </w:tc>
              <w:tc>
                <w:tcPr>
                  <w:tcW w:w="531" w:type="dxa"/>
                  <w:vMerge w:val="continue"/>
                  <w:vAlign w:val="center"/>
                </w:tcPr>
                <w:p w14:paraId="50C27768">
                  <w:pPr>
                    <w:pStyle w:val="55"/>
                    <w:jc w:val="both"/>
                    <w:rPr>
                      <w:rFonts w:ascii="Times New Roman" w:hAnsi="Times New Roman" w:cs="Times New Roman" w:eastAsiaTheme="minorEastAsia"/>
                      <w:sz w:val="21"/>
                      <w:szCs w:val="21"/>
                      <w:lang w:eastAsia="zh-CN"/>
                    </w:rPr>
                  </w:pPr>
                </w:p>
              </w:tc>
            </w:tr>
            <w:tr w14:paraId="442E2E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728E4FA3">
                  <w:pPr>
                    <w:pStyle w:val="55"/>
                    <w:jc w:val="center"/>
                    <w:rPr>
                      <w:rFonts w:ascii="Times New Roman" w:hAnsi="Times New Roman" w:cs="Times New Roman" w:eastAsiaTheme="minorEastAsia"/>
                      <w:sz w:val="21"/>
                      <w:szCs w:val="21"/>
                      <w:lang w:eastAsia="zh-CN"/>
                    </w:rPr>
                  </w:pPr>
                </w:p>
              </w:tc>
              <w:tc>
                <w:tcPr>
                  <w:tcW w:w="4790" w:type="dxa"/>
                  <w:vAlign w:val="center"/>
                </w:tcPr>
                <w:p w14:paraId="58920298">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4.严禁新增钢铁、焦化、水泥熟料、平板玻璃、煤化工产能，合理控制煤制油气产能规模。严格落实钢铁、焦化、水泥等重点行业产能置换政策，推动钢铁行业短流程改造，严格控制新增煤电装机规模，严禁新增化工园区。</w:t>
                  </w:r>
                </w:p>
              </w:tc>
              <w:tc>
                <w:tcPr>
                  <w:tcW w:w="2256" w:type="dxa"/>
                  <w:vAlign w:val="center"/>
                </w:tcPr>
                <w:p w14:paraId="747A6E16">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项目不属于“钢铁、焦化、水泥熟料、平板玻璃、煤化工、煤制油气”等项目，项目不属于新增化工园区项目</w:t>
                  </w:r>
                </w:p>
              </w:tc>
              <w:tc>
                <w:tcPr>
                  <w:tcW w:w="531" w:type="dxa"/>
                  <w:vMerge w:val="continue"/>
                  <w:vAlign w:val="center"/>
                </w:tcPr>
                <w:p w14:paraId="17DE3F46">
                  <w:pPr>
                    <w:pStyle w:val="55"/>
                    <w:jc w:val="both"/>
                    <w:rPr>
                      <w:rFonts w:ascii="Times New Roman" w:hAnsi="Times New Roman" w:cs="Times New Roman" w:eastAsiaTheme="minorEastAsia"/>
                      <w:sz w:val="21"/>
                      <w:szCs w:val="21"/>
                      <w:lang w:eastAsia="zh-CN"/>
                    </w:rPr>
                  </w:pPr>
                </w:p>
              </w:tc>
            </w:tr>
            <w:tr w14:paraId="1220D9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3AC94E65">
                  <w:pPr>
                    <w:pStyle w:val="55"/>
                    <w:jc w:val="center"/>
                    <w:rPr>
                      <w:rFonts w:ascii="Times New Roman" w:hAnsi="Times New Roman" w:cs="Times New Roman" w:eastAsiaTheme="minorEastAsia"/>
                      <w:sz w:val="21"/>
                      <w:szCs w:val="21"/>
                      <w:lang w:eastAsia="zh-CN"/>
                    </w:rPr>
                  </w:pPr>
                </w:p>
              </w:tc>
              <w:tc>
                <w:tcPr>
                  <w:tcW w:w="4790" w:type="dxa"/>
                  <w:vAlign w:val="center"/>
                </w:tcPr>
                <w:p w14:paraId="57D15EAB">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5.严格执行质量、环保、能耗、安全等法规标准，加大重点行业低效和过剩产能压减力度，淘汰4.3米焦炉、1000立方米以下高炉、100吨以下转炉、步进式烧结机和球团竖炉，推广高效精馏系统、高温高压干熄焦、富氧强化熔炼等节能技术。</w:t>
                  </w:r>
                </w:p>
              </w:tc>
              <w:tc>
                <w:tcPr>
                  <w:tcW w:w="2256" w:type="dxa"/>
                  <w:vAlign w:val="center"/>
                </w:tcPr>
                <w:p w14:paraId="1629A821">
                  <w:pPr>
                    <w:rPr>
                      <w:rFonts w:ascii="Times New Roman" w:hAnsi="Times New Roman" w:eastAsia="宋体" w:cs="Times New Roman"/>
                      <w:szCs w:val="21"/>
                      <w:lang w:eastAsia="zh-CN"/>
                    </w:rPr>
                  </w:pPr>
                  <w:r>
                    <w:rPr>
                      <w:rFonts w:hint="eastAsia" w:ascii="Times New Roman" w:hAnsi="Times New Roman" w:eastAsia="宋体" w:cs="Times New Roman"/>
                      <w:szCs w:val="21"/>
                      <w:lang w:eastAsia="zh-CN"/>
                    </w:rPr>
                    <w:t>项目行业不属于重点行业，项目不涉及低效和过剩产能</w:t>
                  </w:r>
                </w:p>
              </w:tc>
              <w:tc>
                <w:tcPr>
                  <w:tcW w:w="531" w:type="dxa"/>
                  <w:vMerge w:val="continue"/>
                  <w:vAlign w:val="center"/>
                </w:tcPr>
                <w:p w14:paraId="5723C3F1">
                  <w:pPr>
                    <w:pStyle w:val="55"/>
                    <w:jc w:val="both"/>
                    <w:rPr>
                      <w:rFonts w:ascii="Times New Roman" w:hAnsi="Times New Roman" w:cs="Times New Roman" w:eastAsiaTheme="minorEastAsia"/>
                      <w:sz w:val="21"/>
                      <w:szCs w:val="21"/>
                      <w:lang w:eastAsia="zh-CN"/>
                    </w:rPr>
                  </w:pPr>
                </w:p>
              </w:tc>
            </w:tr>
            <w:tr w14:paraId="28F3D2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0D1A1A42">
                  <w:pPr>
                    <w:pStyle w:val="55"/>
                    <w:jc w:val="center"/>
                    <w:rPr>
                      <w:rFonts w:ascii="Times New Roman" w:hAnsi="Times New Roman" w:cs="Times New Roman" w:eastAsiaTheme="minorEastAsia"/>
                      <w:sz w:val="21"/>
                      <w:szCs w:val="21"/>
                      <w:lang w:eastAsia="zh-CN"/>
                    </w:rPr>
                  </w:pPr>
                </w:p>
              </w:tc>
              <w:tc>
                <w:tcPr>
                  <w:tcW w:w="4790" w:type="dxa"/>
                  <w:vAlign w:val="center"/>
                </w:tcPr>
                <w:p w14:paraId="3D6E0050">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6.严格控制煤炭消费总量，对新增耗煤项目实施减量替代，严格控制燃煤机组新增装机规模，新增用电量主要依靠区域内非化石能源发电和外送电满足。</w:t>
                  </w:r>
                </w:p>
              </w:tc>
              <w:tc>
                <w:tcPr>
                  <w:tcW w:w="2256" w:type="dxa"/>
                  <w:vAlign w:val="center"/>
                </w:tcPr>
                <w:p w14:paraId="400EC897">
                  <w:pPr>
                    <w:rPr>
                      <w:rFonts w:ascii="Times New Roman" w:hAnsi="Times New Roman" w:eastAsia="宋体" w:cs="Times New Roman"/>
                      <w:kern w:val="0"/>
                      <w:szCs w:val="21"/>
                      <w:lang w:val="zh-CN" w:eastAsia="zh-CN" w:bidi="zh-CN"/>
                    </w:rPr>
                  </w:pPr>
                  <w:r>
                    <w:rPr>
                      <w:rFonts w:hint="eastAsia" w:ascii="Times New Roman" w:hAnsi="Times New Roman" w:eastAsia="宋体" w:cs="Times New Roman"/>
                      <w:kern w:val="0"/>
                      <w:szCs w:val="21"/>
                      <w:lang w:val="zh-CN" w:eastAsia="zh-CN" w:bidi="zh-CN"/>
                    </w:rPr>
                    <w:t>项目不涉及煤炭</w:t>
                  </w:r>
                </w:p>
              </w:tc>
              <w:tc>
                <w:tcPr>
                  <w:tcW w:w="531" w:type="dxa"/>
                  <w:vMerge w:val="continue"/>
                  <w:vAlign w:val="center"/>
                </w:tcPr>
                <w:p w14:paraId="1232264B">
                  <w:pPr>
                    <w:pStyle w:val="55"/>
                    <w:jc w:val="both"/>
                    <w:rPr>
                      <w:rFonts w:ascii="Times New Roman" w:hAnsi="Times New Roman" w:cs="Times New Roman" w:eastAsiaTheme="minorEastAsia"/>
                      <w:sz w:val="21"/>
                      <w:szCs w:val="21"/>
                      <w:lang w:eastAsia="zh-CN"/>
                    </w:rPr>
                  </w:pPr>
                </w:p>
              </w:tc>
            </w:tr>
            <w:tr w14:paraId="1BB9DC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459DC052">
                  <w:pPr>
                    <w:pStyle w:val="55"/>
                    <w:jc w:val="center"/>
                    <w:rPr>
                      <w:rFonts w:ascii="Times New Roman" w:hAnsi="Times New Roman" w:cs="Times New Roman" w:eastAsiaTheme="minorEastAsia"/>
                      <w:sz w:val="21"/>
                      <w:szCs w:val="21"/>
                      <w:lang w:eastAsia="zh-CN"/>
                    </w:rPr>
                  </w:pPr>
                </w:p>
              </w:tc>
              <w:tc>
                <w:tcPr>
                  <w:tcW w:w="4790" w:type="dxa"/>
                  <w:vAlign w:val="center"/>
                </w:tcPr>
                <w:p w14:paraId="4FE7D46B">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7.稳步实施冬季清洁取暖，保障天然气和电力供应，有序推进“电代煤、气代煤”改造工程。全面推行清洁取暖和增加集中供热面积，实施农村清洁取暖农户动态管理，完成种养殖业及农副产品加工业燃煤设施清洁能源替代，有序推进清洁能源发展。全面推进城镇绿色规划、绿色建设、绿色运行管理，到2025年，新建装配式建筑占当年新建建筑比例达30%以上。</w:t>
                  </w:r>
                </w:p>
              </w:tc>
              <w:tc>
                <w:tcPr>
                  <w:tcW w:w="2256" w:type="dxa"/>
                  <w:vAlign w:val="center"/>
                </w:tcPr>
                <w:p w14:paraId="0BCCE36B">
                  <w:pPr>
                    <w:rPr>
                      <w:rFonts w:ascii="Times New Roman" w:hAnsi="Times New Roman" w:eastAsia="宋体" w:cs="Times New Roman"/>
                      <w:kern w:val="0"/>
                      <w:szCs w:val="21"/>
                      <w:lang w:val="zh-CN" w:eastAsia="zh-CN" w:bidi="zh-CN"/>
                    </w:rPr>
                  </w:pPr>
                  <w:r>
                    <w:rPr>
                      <w:rFonts w:hint="eastAsia" w:ascii="Times New Roman" w:hAnsi="Times New Roman" w:eastAsia="宋体" w:cs="Times New Roman"/>
                      <w:kern w:val="0"/>
                      <w:szCs w:val="21"/>
                      <w:lang w:val="zh-CN" w:eastAsia="zh-CN" w:bidi="zh-CN"/>
                    </w:rPr>
                    <w:t>项目不涉及</w:t>
                  </w:r>
                  <w:r>
                    <w:rPr>
                      <w:rFonts w:hint="eastAsia" w:ascii="Times New Roman" w:hAnsi="Times New Roman" w:eastAsia="宋体" w:cs="Times New Roman"/>
                      <w:szCs w:val="21"/>
                      <w:lang w:eastAsia="zh-CN"/>
                    </w:rPr>
                    <w:t>“电代煤、气代煤”</w:t>
                  </w:r>
                </w:p>
              </w:tc>
              <w:tc>
                <w:tcPr>
                  <w:tcW w:w="531" w:type="dxa"/>
                  <w:vMerge w:val="continue"/>
                  <w:vAlign w:val="center"/>
                </w:tcPr>
                <w:p w14:paraId="4E3D2B7B">
                  <w:pPr>
                    <w:pStyle w:val="55"/>
                    <w:jc w:val="both"/>
                    <w:rPr>
                      <w:rFonts w:ascii="Times New Roman" w:hAnsi="Times New Roman" w:cs="Times New Roman" w:eastAsiaTheme="minorEastAsia"/>
                      <w:sz w:val="21"/>
                      <w:szCs w:val="21"/>
                      <w:lang w:eastAsia="zh-CN"/>
                    </w:rPr>
                  </w:pPr>
                </w:p>
              </w:tc>
            </w:tr>
            <w:tr w14:paraId="475A63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6FECE6BA">
                  <w:pPr>
                    <w:pStyle w:val="55"/>
                    <w:jc w:val="center"/>
                    <w:rPr>
                      <w:rFonts w:ascii="Times New Roman" w:hAnsi="Times New Roman" w:cs="Times New Roman" w:eastAsiaTheme="minorEastAsia"/>
                      <w:sz w:val="21"/>
                      <w:szCs w:val="21"/>
                      <w:lang w:eastAsia="zh-CN"/>
                    </w:rPr>
                  </w:pPr>
                </w:p>
              </w:tc>
              <w:tc>
                <w:tcPr>
                  <w:tcW w:w="4790" w:type="dxa"/>
                  <w:vAlign w:val="center"/>
                </w:tcPr>
                <w:p w14:paraId="6E5C67B3">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8.统筹能源安全和绿色低碳发展，推动能源供给体系清洁化低碳化。实施可再生能源替代行动大力发展风能、太阳能、生物质能、地热能等，积极推进储能氢能产业，推动抽水蓄能电站建设，加大力度规划建设配套电网项目，提高可再生能源消纳能力。</w:t>
                  </w:r>
                </w:p>
              </w:tc>
              <w:tc>
                <w:tcPr>
                  <w:tcW w:w="2256" w:type="dxa"/>
                  <w:vAlign w:val="center"/>
                </w:tcPr>
                <w:p w14:paraId="6A034139">
                  <w:pPr>
                    <w:rPr>
                      <w:rFonts w:ascii="Times New Roman" w:hAnsi="Times New Roman" w:eastAsia="宋体" w:cs="Times New Roman"/>
                      <w:kern w:val="0"/>
                      <w:szCs w:val="21"/>
                      <w:lang w:val="zh-CN" w:eastAsia="zh-CN" w:bidi="zh-CN"/>
                    </w:rPr>
                  </w:pPr>
                  <w:r>
                    <w:rPr>
                      <w:rFonts w:hint="eastAsia" w:ascii="Times New Roman" w:hAnsi="Times New Roman" w:eastAsia="宋体" w:cs="Times New Roman"/>
                      <w:kern w:val="0"/>
                      <w:szCs w:val="21"/>
                      <w:lang w:val="zh-CN" w:eastAsia="zh-CN" w:bidi="zh-CN"/>
                    </w:rPr>
                    <w:t>项目符合能源安全和绿色低碳发展要求</w:t>
                  </w:r>
                </w:p>
              </w:tc>
              <w:tc>
                <w:tcPr>
                  <w:tcW w:w="531" w:type="dxa"/>
                  <w:vMerge w:val="continue"/>
                  <w:vAlign w:val="center"/>
                </w:tcPr>
                <w:p w14:paraId="19EA2A03">
                  <w:pPr>
                    <w:pStyle w:val="55"/>
                    <w:jc w:val="both"/>
                    <w:rPr>
                      <w:rFonts w:ascii="Times New Roman" w:hAnsi="Times New Roman" w:cs="Times New Roman" w:eastAsiaTheme="minorEastAsia"/>
                      <w:sz w:val="21"/>
                      <w:szCs w:val="21"/>
                      <w:lang w:eastAsia="zh-CN"/>
                    </w:rPr>
                  </w:pPr>
                </w:p>
              </w:tc>
            </w:tr>
            <w:tr w14:paraId="21AF67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36E2215E">
                  <w:pPr>
                    <w:pStyle w:val="55"/>
                    <w:jc w:val="center"/>
                    <w:rPr>
                      <w:rFonts w:ascii="Times New Roman" w:hAnsi="Times New Roman" w:cs="Times New Roman" w:eastAsiaTheme="minorEastAsia"/>
                      <w:sz w:val="21"/>
                      <w:szCs w:val="21"/>
                      <w:lang w:eastAsia="zh-CN"/>
                    </w:rPr>
                  </w:pPr>
                </w:p>
              </w:tc>
              <w:tc>
                <w:tcPr>
                  <w:tcW w:w="4790" w:type="dxa"/>
                  <w:vAlign w:val="center"/>
                </w:tcPr>
                <w:p w14:paraId="1C26E233">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9.禁止生产高耗能落后设备产品，现有工业企业应限期关停退出</w:t>
                  </w:r>
                </w:p>
              </w:tc>
              <w:tc>
                <w:tcPr>
                  <w:tcW w:w="2256" w:type="dxa"/>
                  <w:vAlign w:val="center"/>
                </w:tcPr>
                <w:p w14:paraId="1AC08A35">
                  <w:pPr>
                    <w:rPr>
                      <w:rFonts w:ascii="Times New Roman" w:hAnsi="Times New Roman" w:eastAsia="宋体" w:cs="Times New Roman"/>
                      <w:kern w:val="0"/>
                      <w:szCs w:val="21"/>
                      <w:lang w:val="zh-CN" w:eastAsia="zh-CN" w:bidi="zh-CN"/>
                    </w:rPr>
                  </w:pPr>
                  <w:r>
                    <w:rPr>
                      <w:rFonts w:hint="eastAsia" w:ascii="Times New Roman" w:hAnsi="Times New Roman" w:eastAsia="宋体" w:cs="Times New Roman"/>
                      <w:kern w:val="0"/>
                      <w:szCs w:val="21"/>
                      <w:lang w:val="zh-CN" w:eastAsia="zh-CN" w:bidi="zh-CN"/>
                    </w:rPr>
                    <w:t>项目不生产高耗能落后设备产品</w:t>
                  </w:r>
                </w:p>
              </w:tc>
              <w:tc>
                <w:tcPr>
                  <w:tcW w:w="531" w:type="dxa"/>
                  <w:vMerge w:val="continue"/>
                  <w:vAlign w:val="center"/>
                </w:tcPr>
                <w:p w14:paraId="6782D843">
                  <w:pPr>
                    <w:pStyle w:val="55"/>
                    <w:jc w:val="both"/>
                    <w:rPr>
                      <w:rFonts w:ascii="Times New Roman" w:hAnsi="Times New Roman" w:cs="Times New Roman" w:eastAsiaTheme="minorEastAsia"/>
                      <w:sz w:val="21"/>
                      <w:szCs w:val="21"/>
                      <w:lang w:eastAsia="zh-CN"/>
                    </w:rPr>
                  </w:pPr>
                </w:p>
              </w:tc>
            </w:tr>
            <w:tr w14:paraId="5A63D7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 w:hRule="atLeast"/>
                <w:jc w:val="center"/>
              </w:trPr>
              <w:tc>
                <w:tcPr>
                  <w:tcW w:w="664" w:type="dxa"/>
                  <w:vMerge w:val="continue"/>
                  <w:vAlign w:val="center"/>
                </w:tcPr>
                <w:p w14:paraId="1135B182">
                  <w:pPr>
                    <w:pStyle w:val="55"/>
                    <w:jc w:val="center"/>
                    <w:rPr>
                      <w:rFonts w:ascii="Times New Roman" w:hAnsi="Times New Roman" w:cs="Times New Roman" w:eastAsiaTheme="minorEastAsia"/>
                      <w:sz w:val="21"/>
                      <w:szCs w:val="21"/>
                      <w:lang w:eastAsia="zh-CN"/>
                    </w:rPr>
                  </w:pPr>
                </w:p>
              </w:tc>
              <w:tc>
                <w:tcPr>
                  <w:tcW w:w="4790" w:type="dxa"/>
                  <w:vAlign w:val="center"/>
                </w:tcPr>
                <w:p w14:paraId="53E793C1">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10.新建项目能效应不低于国内平均水平。</w:t>
                  </w:r>
                </w:p>
              </w:tc>
              <w:tc>
                <w:tcPr>
                  <w:tcW w:w="2256" w:type="dxa"/>
                  <w:vAlign w:val="center"/>
                </w:tcPr>
                <w:p w14:paraId="761C308C">
                  <w:pPr>
                    <w:pStyle w:val="55"/>
                    <w:jc w:val="both"/>
                    <w:rPr>
                      <w:rFonts w:eastAsia="宋体" w:cs="Times New Roman"/>
                      <w:sz w:val="21"/>
                      <w:szCs w:val="21"/>
                      <w:lang w:eastAsia="zh-CN"/>
                    </w:rPr>
                  </w:pPr>
                  <w:r>
                    <w:rPr>
                      <w:rFonts w:hint="eastAsia" w:eastAsia="宋体" w:cs="Times New Roman"/>
                      <w:sz w:val="21"/>
                      <w:szCs w:val="21"/>
                      <w:lang w:eastAsia="zh-CN"/>
                    </w:rPr>
                    <w:t>项目</w:t>
                  </w:r>
                  <w:r>
                    <w:rPr>
                      <w:rFonts w:hint="eastAsia" w:ascii="Times New Roman" w:hAnsi="Times New Roman" w:eastAsia="宋体" w:cs="Times New Roman"/>
                      <w:sz w:val="21"/>
                      <w:szCs w:val="21"/>
                      <w:lang w:eastAsia="zh-CN"/>
                    </w:rPr>
                    <w:t>能效不低于国内平均水平。</w:t>
                  </w:r>
                </w:p>
              </w:tc>
              <w:tc>
                <w:tcPr>
                  <w:tcW w:w="531" w:type="dxa"/>
                  <w:vMerge w:val="continue"/>
                  <w:vAlign w:val="center"/>
                </w:tcPr>
                <w:p w14:paraId="327F581B">
                  <w:pPr>
                    <w:pStyle w:val="55"/>
                    <w:jc w:val="both"/>
                    <w:rPr>
                      <w:rFonts w:ascii="Times New Roman" w:hAnsi="Times New Roman" w:cs="Times New Roman" w:eastAsiaTheme="minorEastAsia"/>
                      <w:sz w:val="21"/>
                      <w:szCs w:val="21"/>
                      <w:lang w:eastAsia="zh-CN"/>
                    </w:rPr>
                  </w:pPr>
                </w:p>
              </w:tc>
            </w:tr>
            <w:tr w14:paraId="6DDC1B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9" w:hRule="atLeast"/>
                <w:jc w:val="center"/>
              </w:trPr>
              <w:tc>
                <w:tcPr>
                  <w:tcW w:w="664" w:type="dxa"/>
                  <w:vMerge w:val="restart"/>
                  <w:vAlign w:val="center"/>
                </w:tcPr>
                <w:p w14:paraId="434985D7">
                  <w:pPr>
                    <w:pStyle w:val="55"/>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土地资源</w:t>
                  </w:r>
                </w:p>
              </w:tc>
              <w:tc>
                <w:tcPr>
                  <w:tcW w:w="4790" w:type="dxa"/>
                  <w:vAlign w:val="center"/>
                </w:tcPr>
                <w:p w14:paraId="76A06364">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1.产业集聚区开发建设应达到《河北省开发区建设用地控制指标实施细则（试行）》（冀国土资发</w:t>
                  </w:r>
                  <w:r>
                    <w:rPr>
                      <w:rFonts w:hint="eastAsia" w:ascii="Times New Roman" w:hAnsi="Times New Roman" w:cs="Times New Roman"/>
                      <w:sz w:val="21"/>
                      <w:szCs w:val="21"/>
                      <w:lang w:eastAsia="zh-CN"/>
                    </w:rPr>
                    <w:t>〔2015〕11号</w:t>
                  </w:r>
                  <w:r>
                    <w:rPr>
                      <w:rFonts w:hint="eastAsia" w:ascii="Times New Roman" w:hAnsi="Times New Roman" w:eastAsia="宋体" w:cs="Times New Roman"/>
                      <w:sz w:val="21"/>
                      <w:szCs w:val="21"/>
                      <w:lang w:eastAsia="zh-CN"/>
                    </w:rPr>
                    <w:t>）要求，对不符合要求的工业项目，原则上不得建设，因安全生产、地形地貌、工艺技术等有特殊要求确需突破控制指标的应遵循相关规定执行。</w:t>
                  </w:r>
                </w:p>
              </w:tc>
              <w:tc>
                <w:tcPr>
                  <w:tcW w:w="2256" w:type="dxa"/>
                  <w:vAlign w:val="center"/>
                </w:tcPr>
                <w:p w14:paraId="0211EED0">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项目不属于产业集聚区开发建设项目</w:t>
                  </w:r>
                </w:p>
              </w:tc>
              <w:tc>
                <w:tcPr>
                  <w:tcW w:w="531" w:type="dxa"/>
                  <w:vMerge w:val="restart"/>
                  <w:vAlign w:val="center"/>
                </w:tcPr>
                <w:p w14:paraId="0503623B">
                  <w:pPr>
                    <w:pStyle w:val="55"/>
                    <w:jc w:val="center"/>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符合</w:t>
                  </w:r>
                </w:p>
              </w:tc>
            </w:tr>
            <w:tr w14:paraId="4A1EBF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8" w:hRule="atLeast"/>
                <w:jc w:val="center"/>
              </w:trPr>
              <w:tc>
                <w:tcPr>
                  <w:tcW w:w="664" w:type="dxa"/>
                  <w:vMerge w:val="continue"/>
                  <w:vAlign w:val="center"/>
                </w:tcPr>
                <w:p w14:paraId="3019977A">
                  <w:pPr>
                    <w:pStyle w:val="55"/>
                    <w:jc w:val="center"/>
                    <w:rPr>
                      <w:rFonts w:ascii="Times New Roman" w:hAnsi="Times New Roman" w:cs="Times New Roman" w:eastAsiaTheme="minorEastAsia"/>
                      <w:sz w:val="21"/>
                      <w:szCs w:val="21"/>
                      <w:lang w:eastAsia="zh-CN"/>
                    </w:rPr>
                  </w:pPr>
                </w:p>
              </w:tc>
              <w:tc>
                <w:tcPr>
                  <w:tcW w:w="4790" w:type="dxa"/>
                  <w:vAlign w:val="center"/>
                </w:tcPr>
                <w:p w14:paraId="60D4F4EA">
                  <w:pPr>
                    <w:pStyle w:val="55"/>
                    <w:jc w:val="both"/>
                    <w:rPr>
                      <w:rFonts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2.承德高新技术产业开发区、河北省承德县高新技术产业开发区、河北承德双滦经济开发区、河北宽城经济开发区土地资源节约利用指标应于2025年前达到《国家生态工业示范园区标准》（HJ274-2015）。其他园区应于2030年前达到《国家生态工业示范园区标准》（HJ274-2015）。</w:t>
                  </w:r>
                </w:p>
              </w:tc>
              <w:tc>
                <w:tcPr>
                  <w:tcW w:w="2256" w:type="dxa"/>
                  <w:vAlign w:val="center"/>
                </w:tcPr>
                <w:p w14:paraId="64C4ADCA">
                  <w:pPr>
                    <w:pStyle w:val="55"/>
                    <w:jc w:val="both"/>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项目不新增占地，租用承德坤元环保科技有限公司厂房和场地进行建设</w:t>
                  </w:r>
                </w:p>
              </w:tc>
              <w:tc>
                <w:tcPr>
                  <w:tcW w:w="531" w:type="dxa"/>
                  <w:vMerge w:val="continue"/>
                  <w:vAlign w:val="center"/>
                </w:tcPr>
                <w:p w14:paraId="684C1717">
                  <w:pPr>
                    <w:pStyle w:val="55"/>
                    <w:jc w:val="center"/>
                    <w:rPr>
                      <w:rFonts w:ascii="Times New Roman" w:hAnsi="Times New Roman" w:cs="Times New Roman" w:eastAsiaTheme="minorEastAsia"/>
                      <w:sz w:val="21"/>
                      <w:szCs w:val="21"/>
                      <w:lang w:eastAsia="zh-CN"/>
                    </w:rPr>
                  </w:pPr>
                </w:p>
              </w:tc>
            </w:tr>
          </w:tbl>
          <w:p w14:paraId="4ED9D982">
            <w:pPr>
              <w:spacing w:line="360" w:lineRule="auto"/>
              <w:ind w:firstLine="48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f</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符合性分析结论</w:t>
            </w:r>
          </w:p>
          <w:p w14:paraId="7F516CE2">
            <w:pPr>
              <w:spacing w:line="360" w:lineRule="auto"/>
              <w:ind w:firstLine="48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综上，项目符合承德市生态环境分区管控准入清单（2023年版）中的总体要求。</w:t>
            </w:r>
          </w:p>
          <w:p w14:paraId="3D97294F">
            <w:pPr>
              <w:spacing w:line="360" w:lineRule="auto"/>
              <w:ind w:firstLine="480"/>
              <w:rPr>
                <w:color w:val="000000" w:themeColor="text1"/>
                <w:sz w:val="24"/>
                <w14:textFill>
                  <w14:solidFill>
                    <w14:schemeClr w14:val="tx1"/>
                  </w14:solidFill>
                </w14:textFill>
              </w:rPr>
            </w:pPr>
            <w:r>
              <w:rPr>
                <w:color w:val="000000" w:themeColor="text1"/>
                <w:sz w:val="24"/>
                <w14:textFill>
                  <w14:solidFill>
                    <w14:schemeClr w14:val="tx1"/>
                  </w14:solidFill>
                </w14:textFill>
              </w:rPr>
              <w:t>B</w:t>
            </w:r>
            <w:r>
              <w:rPr>
                <w:rFonts w:hint="eastAsia"/>
                <w:color w:val="000000" w:themeColor="text1"/>
                <w:sz w:val="24"/>
                <w14:textFill>
                  <w14:solidFill>
                    <w14:schemeClr w14:val="tx1"/>
                  </w14:solidFill>
                </w14:textFill>
              </w:rPr>
              <w:t>、承德市环境管控单元生态准入清单符合性分析</w:t>
            </w:r>
          </w:p>
          <w:p w14:paraId="37A039F1">
            <w:pPr>
              <w:spacing w:line="360" w:lineRule="auto"/>
              <w:ind w:firstLine="48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项目的建设地点</w:t>
            </w:r>
            <w:r>
              <w:rPr>
                <w:rFonts w:hint="eastAsia"/>
                <w:color w:val="000000" w:themeColor="text1"/>
                <w:sz w:val="24"/>
                <w:highlight w:val="none"/>
                <w14:textFill>
                  <w14:solidFill>
                    <w14:schemeClr w14:val="tx1"/>
                  </w14:solidFill>
                </w14:textFill>
              </w:rPr>
              <w:t>位于河北省承德市</w:t>
            </w:r>
            <w:r>
              <w:rPr>
                <w:rFonts w:hint="eastAsia"/>
                <w:color w:val="000000" w:themeColor="text1"/>
                <w:sz w:val="24"/>
                <w:highlight w:val="none"/>
                <w:lang w:val="en-US" w:eastAsia="zh-CN"/>
                <w14:textFill>
                  <w14:solidFill>
                    <w14:schemeClr w14:val="tx1"/>
                  </w14:solidFill>
                </w14:textFill>
              </w:rPr>
              <w:t>宽城满族自治县经济开发区</w:t>
            </w:r>
            <w:r>
              <w:rPr>
                <w:rFonts w:hint="eastAsia"/>
                <w:color w:val="000000" w:themeColor="text1"/>
                <w:sz w:val="24"/>
                <w:highlight w:val="none"/>
                <w14:textFill>
                  <w14:solidFill>
                    <w14:schemeClr w14:val="tx1"/>
                  </w14:solidFill>
                </w14:textFill>
              </w:rPr>
              <w:t>。根</w:t>
            </w:r>
            <w:r>
              <w:rPr>
                <w:rFonts w:hint="eastAsia"/>
                <w:color w:val="000000" w:themeColor="text1"/>
                <w:sz w:val="24"/>
                <w14:textFill>
                  <w14:solidFill>
                    <w14:schemeClr w14:val="tx1"/>
                  </w14:solidFill>
                </w14:textFill>
              </w:rPr>
              <w:t>据《承德市人民政府关于发布承德市生态环境分区管控准入清单（2</w:t>
            </w:r>
            <w:r>
              <w:rPr>
                <w:color w:val="000000" w:themeColor="text1"/>
                <w:sz w:val="24"/>
                <w14:textFill>
                  <w14:solidFill>
                    <w14:schemeClr w14:val="tx1"/>
                  </w14:solidFill>
                </w14:textFill>
              </w:rPr>
              <w:t>023</w:t>
            </w:r>
            <w:r>
              <w:rPr>
                <w:rFonts w:hint="eastAsia"/>
                <w:color w:val="000000" w:themeColor="text1"/>
                <w:sz w:val="24"/>
                <w14:textFill>
                  <w14:solidFill>
                    <w14:schemeClr w14:val="tx1"/>
                  </w14:solidFill>
                </w14:textFill>
              </w:rPr>
              <w:t>年版）的通知》可知，项目所在区域编号为：ZH1308</w:t>
            </w:r>
            <w:r>
              <w:rPr>
                <w:rFonts w:hint="eastAsia"/>
                <w:color w:val="000000" w:themeColor="text1"/>
                <w:sz w:val="24"/>
                <w:lang w:val="en-US" w:eastAsia="zh-CN"/>
                <w14:textFill>
                  <w14:solidFill>
                    <w14:schemeClr w14:val="tx1"/>
                  </w14:solidFill>
                </w14:textFill>
              </w:rPr>
              <w:t>27</w:t>
            </w:r>
            <w:r>
              <w:rPr>
                <w:rFonts w:hint="eastAsia"/>
                <w:color w:val="000000" w:themeColor="text1"/>
                <w:sz w:val="24"/>
                <w14:textFill>
                  <w14:solidFill>
                    <w14:schemeClr w14:val="tx1"/>
                  </w14:solidFill>
                </w14:textFill>
              </w:rPr>
              <w:t>2000</w:t>
            </w:r>
            <w:r>
              <w:rPr>
                <w:rFonts w:hint="eastAsia"/>
                <w:color w:val="000000" w:themeColor="text1"/>
                <w:sz w:val="24"/>
                <w:lang w:val="en-US" w:eastAsia="zh-CN"/>
                <w14:textFill>
                  <w14:solidFill>
                    <w14:schemeClr w14:val="tx1"/>
                  </w14:solidFill>
                </w14:textFill>
              </w:rPr>
              <w:t>1</w:t>
            </w:r>
            <w:r>
              <w:rPr>
                <w:rFonts w:hint="eastAsia"/>
                <w:color w:val="000000" w:themeColor="text1"/>
                <w:sz w:val="24"/>
                <w14:textFill>
                  <w14:solidFill>
                    <w14:schemeClr w14:val="tx1"/>
                  </w14:solidFill>
                </w14:textFill>
              </w:rPr>
              <w:t>，环境管控类别为重点管控单元。该区域的</w:t>
            </w:r>
            <w:r>
              <w:rPr>
                <w:rFonts w:hint="eastAsia"/>
                <w:color w:val="000000" w:themeColor="text1"/>
                <w:sz w:val="24"/>
                <w:lang w:eastAsia="zh-CN"/>
                <w14:textFill>
                  <w14:solidFill>
                    <w14:schemeClr w14:val="tx1"/>
                  </w14:solidFill>
                </w14:textFill>
              </w:rPr>
              <w:t>宽城满族自治县</w:t>
            </w:r>
            <w:r>
              <w:rPr>
                <w:rFonts w:hint="eastAsia"/>
                <w:color w:val="000000" w:themeColor="text1"/>
                <w:sz w:val="24"/>
                <w14:textFill>
                  <w14:solidFill>
                    <w14:schemeClr w14:val="tx1"/>
                  </w14:solidFill>
                </w14:textFill>
              </w:rPr>
              <w:t>环境管控单元生态准入清单符合性分析列表如下：</w:t>
            </w:r>
          </w:p>
          <w:p w14:paraId="12C8EE49">
            <w:pPr>
              <w:pStyle w:val="48"/>
              <w:numPr>
                <w:ilvl w:val="0"/>
                <w:numId w:val="3"/>
              </w:numPr>
              <w:spacing w:line="360" w:lineRule="auto"/>
              <w:ind w:firstLineChars="0"/>
              <w:jc w:val="center"/>
              <w:rPr>
                <w:rFonts w:ascii="Times New Roman" w:hAnsi="Times New Roman" w:eastAsia="宋体"/>
                <w:b/>
                <w:sz w:val="21"/>
                <w:szCs w:val="21"/>
              </w:rPr>
            </w:pPr>
            <w:r>
              <w:rPr>
                <w:rFonts w:hint="eastAsia" w:ascii="Times New Roman" w:hAnsi="Times New Roman" w:eastAsia="宋体"/>
                <w:b/>
                <w:bCs/>
                <w:sz w:val="21"/>
                <w:szCs w:val="21"/>
              </w:rPr>
              <w:t>环境管控单元生态准入清单符合性分析一览表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5"/>
              <w:gridCol w:w="663"/>
              <w:gridCol w:w="706"/>
              <w:gridCol w:w="677"/>
              <w:gridCol w:w="3734"/>
              <w:gridCol w:w="1642"/>
            </w:tblGrid>
            <w:tr w14:paraId="2B7F91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5" w:type="dxa"/>
                  <w:tcBorders>
                    <w:top w:val="single" w:color="auto" w:sz="4" w:space="0"/>
                    <w:left w:val="single" w:color="auto" w:sz="4" w:space="0"/>
                    <w:bottom w:val="single" w:color="auto" w:sz="4" w:space="0"/>
                    <w:right w:val="single" w:color="auto" w:sz="4" w:space="0"/>
                  </w:tcBorders>
                  <w:vAlign w:val="center"/>
                </w:tcPr>
                <w:p w14:paraId="2ED6750A">
                  <w:pPr>
                    <w:jc w:val="center"/>
                    <w:rPr>
                      <w:b/>
                      <w:bCs/>
                      <w:szCs w:val="21"/>
                    </w:rPr>
                  </w:pPr>
                  <w:r>
                    <w:rPr>
                      <w:rFonts w:hint="eastAsia"/>
                      <w:b/>
                      <w:bCs/>
                      <w:szCs w:val="21"/>
                    </w:rPr>
                    <w:t>编号</w:t>
                  </w:r>
                </w:p>
              </w:tc>
              <w:tc>
                <w:tcPr>
                  <w:tcW w:w="663" w:type="dxa"/>
                  <w:tcBorders>
                    <w:top w:val="single" w:color="auto" w:sz="4" w:space="0"/>
                    <w:left w:val="single" w:color="auto" w:sz="4" w:space="0"/>
                    <w:bottom w:val="single" w:color="auto" w:sz="4" w:space="0"/>
                    <w:right w:val="single" w:color="auto" w:sz="4" w:space="0"/>
                  </w:tcBorders>
                  <w:vAlign w:val="center"/>
                </w:tcPr>
                <w:p w14:paraId="7454D885">
                  <w:pPr>
                    <w:jc w:val="center"/>
                    <w:rPr>
                      <w:b/>
                      <w:bCs/>
                      <w:szCs w:val="21"/>
                    </w:rPr>
                  </w:pPr>
                  <w:r>
                    <w:rPr>
                      <w:rFonts w:hint="eastAsia"/>
                      <w:b/>
                      <w:bCs/>
                      <w:szCs w:val="21"/>
                    </w:rPr>
                    <w:t>管控类别</w:t>
                  </w:r>
                </w:p>
              </w:tc>
              <w:tc>
                <w:tcPr>
                  <w:tcW w:w="706" w:type="dxa"/>
                  <w:tcBorders>
                    <w:top w:val="single" w:color="auto" w:sz="4" w:space="0"/>
                    <w:left w:val="single" w:color="auto" w:sz="4" w:space="0"/>
                    <w:bottom w:val="single" w:color="auto" w:sz="4" w:space="0"/>
                    <w:right w:val="single" w:color="auto" w:sz="4" w:space="0"/>
                  </w:tcBorders>
                  <w:vAlign w:val="center"/>
                </w:tcPr>
                <w:p w14:paraId="760368FD">
                  <w:pPr>
                    <w:jc w:val="center"/>
                    <w:rPr>
                      <w:b/>
                      <w:bCs/>
                      <w:szCs w:val="21"/>
                    </w:rPr>
                  </w:pPr>
                  <w:r>
                    <w:rPr>
                      <w:rFonts w:hint="eastAsia"/>
                      <w:b/>
                      <w:bCs/>
                      <w:szCs w:val="21"/>
                    </w:rPr>
                    <w:t>环境要素类别</w:t>
                  </w:r>
                </w:p>
              </w:tc>
              <w:tc>
                <w:tcPr>
                  <w:tcW w:w="677" w:type="dxa"/>
                  <w:tcBorders>
                    <w:top w:val="single" w:color="auto" w:sz="4" w:space="0"/>
                    <w:left w:val="single" w:color="auto" w:sz="4" w:space="0"/>
                    <w:bottom w:val="single" w:color="auto" w:sz="4" w:space="0"/>
                    <w:right w:val="single" w:color="auto" w:sz="4" w:space="0"/>
                  </w:tcBorders>
                  <w:vAlign w:val="center"/>
                </w:tcPr>
                <w:p w14:paraId="7BDFA9B8">
                  <w:pPr>
                    <w:jc w:val="center"/>
                    <w:rPr>
                      <w:b/>
                      <w:bCs/>
                      <w:szCs w:val="21"/>
                    </w:rPr>
                  </w:pPr>
                  <w:r>
                    <w:rPr>
                      <w:rFonts w:hint="eastAsia"/>
                      <w:b/>
                      <w:bCs/>
                      <w:szCs w:val="21"/>
                    </w:rPr>
                    <w:t>维度</w:t>
                  </w:r>
                </w:p>
              </w:tc>
              <w:tc>
                <w:tcPr>
                  <w:tcW w:w="3734" w:type="dxa"/>
                  <w:tcBorders>
                    <w:top w:val="single" w:color="auto" w:sz="4" w:space="0"/>
                    <w:left w:val="single" w:color="auto" w:sz="4" w:space="0"/>
                    <w:bottom w:val="single" w:color="auto" w:sz="4" w:space="0"/>
                    <w:right w:val="single" w:color="auto" w:sz="4" w:space="0"/>
                  </w:tcBorders>
                  <w:vAlign w:val="center"/>
                </w:tcPr>
                <w:p w14:paraId="4E7EE2C4">
                  <w:pPr>
                    <w:jc w:val="center"/>
                    <w:rPr>
                      <w:b/>
                      <w:bCs/>
                      <w:szCs w:val="21"/>
                    </w:rPr>
                  </w:pPr>
                  <w:r>
                    <w:rPr>
                      <w:rFonts w:hint="eastAsia"/>
                      <w:b/>
                      <w:bCs/>
                      <w:szCs w:val="21"/>
                    </w:rPr>
                    <w:t>管控措施</w:t>
                  </w:r>
                </w:p>
              </w:tc>
              <w:tc>
                <w:tcPr>
                  <w:tcW w:w="1642" w:type="dxa"/>
                  <w:tcBorders>
                    <w:top w:val="single" w:color="auto" w:sz="4" w:space="0"/>
                    <w:left w:val="single" w:color="auto" w:sz="4" w:space="0"/>
                    <w:bottom w:val="single" w:color="auto" w:sz="4" w:space="0"/>
                    <w:right w:val="single" w:color="auto" w:sz="4" w:space="0"/>
                  </w:tcBorders>
                  <w:vAlign w:val="center"/>
                </w:tcPr>
                <w:p w14:paraId="74CE5AD5">
                  <w:pPr>
                    <w:jc w:val="center"/>
                    <w:rPr>
                      <w:b/>
                      <w:bCs/>
                      <w:szCs w:val="21"/>
                    </w:rPr>
                  </w:pPr>
                  <w:r>
                    <w:rPr>
                      <w:rFonts w:hint="eastAsia"/>
                      <w:b/>
                      <w:bCs/>
                      <w:szCs w:val="21"/>
                    </w:rPr>
                    <w:t>项目情况</w:t>
                  </w:r>
                </w:p>
              </w:tc>
            </w:tr>
            <w:tr w14:paraId="53698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5" w:type="dxa"/>
                  <w:vMerge w:val="restart"/>
                  <w:tcBorders>
                    <w:top w:val="single" w:color="auto" w:sz="4" w:space="0"/>
                    <w:left w:val="single" w:color="auto" w:sz="4" w:space="0"/>
                    <w:bottom w:val="single" w:color="auto" w:sz="4" w:space="0"/>
                    <w:right w:val="single" w:color="auto" w:sz="4" w:space="0"/>
                  </w:tcBorders>
                  <w:vAlign w:val="center"/>
                </w:tcPr>
                <w:p w14:paraId="7CD06C07">
                  <w:pPr>
                    <w:jc w:val="center"/>
                    <w:rPr>
                      <w:rFonts w:hint="eastAsia" w:eastAsia="宋体"/>
                      <w:szCs w:val="21"/>
                      <w:lang w:val="en-US" w:eastAsia="zh-CN"/>
                    </w:rPr>
                  </w:pPr>
                  <w:r>
                    <w:rPr>
                      <w:szCs w:val="21"/>
                    </w:rPr>
                    <w:t>ZH1308</w:t>
                  </w:r>
                  <w:r>
                    <w:rPr>
                      <w:rFonts w:hint="eastAsia"/>
                      <w:szCs w:val="21"/>
                      <w:lang w:val="en-US" w:eastAsia="zh-CN"/>
                    </w:rPr>
                    <w:t>27</w:t>
                  </w:r>
                  <w:r>
                    <w:rPr>
                      <w:szCs w:val="21"/>
                    </w:rPr>
                    <w:t>2000</w:t>
                  </w:r>
                  <w:r>
                    <w:rPr>
                      <w:rFonts w:hint="eastAsia"/>
                      <w:szCs w:val="21"/>
                      <w:lang w:val="en-US" w:eastAsia="zh-CN"/>
                    </w:rPr>
                    <w:t>1</w:t>
                  </w:r>
                </w:p>
              </w:tc>
              <w:tc>
                <w:tcPr>
                  <w:tcW w:w="663" w:type="dxa"/>
                  <w:vMerge w:val="restart"/>
                  <w:tcBorders>
                    <w:top w:val="single" w:color="auto" w:sz="4" w:space="0"/>
                    <w:left w:val="single" w:color="auto" w:sz="4" w:space="0"/>
                    <w:bottom w:val="single" w:color="auto" w:sz="4" w:space="0"/>
                    <w:right w:val="single" w:color="auto" w:sz="4" w:space="0"/>
                  </w:tcBorders>
                  <w:vAlign w:val="center"/>
                </w:tcPr>
                <w:p w14:paraId="62CD3FD4">
                  <w:pPr>
                    <w:jc w:val="center"/>
                    <w:rPr>
                      <w:szCs w:val="21"/>
                    </w:rPr>
                  </w:pPr>
                  <w:r>
                    <w:rPr>
                      <w:rFonts w:hint="eastAsia"/>
                      <w:szCs w:val="21"/>
                    </w:rPr>
                    <w:t>重点管控单元</w:t>
                  </w:r>
                </w:p>
              </w:tc>
              <w:tc>
                <w:tcPr>
                  <w:tcW w:w="706" w:type="dxa"/>
                  <w:vMerge w:val="restart"/>
                  <w:tcBorders>
                    <w:top w:val="single" w:color="auto" w:sz="4" w:space="0"/>
                    <w:left w:val="single" w:color="auto" w:sz="4" w:space="0"/>
                    <w:bottom w:val="single" w:color="auto" w:sz="4" w:space="0"/>
                    <w:right w:val="single" w:color="auto" w:sz="4" w:space="0"/>
                  </w:tcBorders>
                  <w:vAlign w:val="center"/>
                </w:tcPr>
                <w:p w14:paraId="77168872">
                  <w:pPr>
                    <w:jc w:val="center"/>
                    <w:rPr>
                      <w:szCs w:val="21"/>
                    </w:rPr>
                  </w:pPr>
                  <w:r>
                    <w:rPr>
                      <w:rFonts w:hint="eastAsia"/>
                      <w:szCs w:val="21"/>
                      <w:lang w:val="en-US" w:eastAsia="zh-CN"/>
                    </w:rPr>
                    <w:t>宽城经济</w:t>
                  </w:r>
                  <w:r>
                    <w:rPr>
                      <w:rFonts w:hint="eastAsia"/>
                      <w:szCs w:val="21"/>
                    </w:rPr>
                    <w:t>开发区</w:t>
                  </w:r>
                </w:p>
              </w:tc>
              <w:tc>
                <w:tcPr>
                  <w:tcW w:w="677" w:type="dxa"/>
                  <w:tcBorders>
                    <w:top w:val="single" w:color="auto" w:sz="4" w:space="0"/>
                    <w:left w:val="single" w:color="auto" w:sz="4" w:space="0"/>
                    <w:bottom w:val="single" w:color="auto" w:sz="4" w:space="0"/>
                    <w:right w:val="single" w:color="auto" w:sz="4" w:space="0"/>
                  </w:tcBorders>
                  <w:vAlign w:val="center"/>
                </w:tcPr>
                <w:p w14:paraId="367D74DA">
                  <w:pPr>
                    <w:jc w:val="center"/>
                    <w:rPr>
                      <w:szCs w:val="21"/>
                    </w:rPr>
                  </w:pPr>
                  <w:r>
                    <w:rPr>
                      <w:rFonts w:hint="eastAsia"/>
                      <w:szCs w:val="21"/>
                    </w:rPr>
                    <w:t>空间布局</w:t>
                  </w:r>
                </w:p>
              </w:tc>
              <w:tc>
                <w:tcPr>
                  <w:tcW w:w="3734" w:type="dxa"/>
                  <w:tcBorders>
                    <w:top w:val="single" w:color="auto" w:sz="4" w:space="0"/>
                    <w:left w:val="single" w:color="auto" w:sz="4" w:space="0"/>
                    <w:bottom w:val="single" w:color="auto" w:sz="4" w:space="0"/>
                    <w:right w:val="single" w:color="auto" w:sz="4" w:space="0"/>
                  </w:tcBorders>
                  <w:vAlign w:val="center"/>
                </w:tcPr>
                <w:p w14:paraId="05F8975B">
                  <w:pPr>
                    <w:rPr>
                      <w:szCs w:val="21"/>
                    </w:rPr>
                  </w:pPr>
                  <w:r>
                    <w:rPr>
                      <w:szCs w:val="21"/>
                    </w:rPr>
                    <w:t>1</w:t>
                  </w:r>
                  <w:r>
                    <w:rPr>
                      <w:rFonts w:hint="eastAsia"/>
                      <w:szCs w:val="21"/>
                    </w:rPr>
                    <w:t>、执行承德市生态环境总体准入清单要求。</w:t>
                  </w:r>
                </w:p>
                <w:p w14:paraId="2CD32E77">
                  <w:pPr>
                    <w:rPr>
                      <w:rFonts w:hint="eastAsia" w:eastAsia="宋体"/>
                      <w:szCs w:val="21"/>
                      <w:lang w:eastAsia="zh-CN"/>
                    </w:rPr>
                  </w:pPr>
                  <w:r>
                    <w:rPr>
                      <w:szCs w:val="21"/>
                    </w:rPr>
                    <w:t>2</w:t>
                  </w:r>
                  <w:r>
                    <w:rPr>
                      <w:rFonts w:hint="eastAsia"/>
                      <w:szCs w:val="21"/>
                    </w:rPr>
                    <w:t>、严格执行国家产业政策和准入标准。</w:t>
                  </w:r>
                </w:p>
                <w:p w14:paraId="3CAA4BBF">
                  <w:pPr>
                    <w:rPr>
                      <w:szCs w:val="21"/>
                    </w:rPr>
                  </w:pPr>
                  <w:r>
                    <w:rPr>
                      <w:szCs w:val="21"/>
                    </w:rPr>
                    <w:t>3</w:t>
                  </w:r>
                  <w:r>
                    <w:rPr>
                      <w:rFonts w:hint="eastAsia"/>
                      <w:szCs w:val="21"/>
                    </w:rPr>
                    <w:t>、执行经开区规划环评及其批复文件相关要求；规划环评依法依规发生调整的，执行其最新的管理要求。</w:t>
                  </w:r>
                </w:p>
                <w:p w14:paraId="6C28A0EC">
                  <w:pPr>
                    <w:rPr>
                      <w:rFonts w:hint="default" w:eastAsia="宋体"/>
                      <w:szCs w:val="21"/>
                      <w:lang w:val="en-US" w:eastAsia="zh-CN"/>
                    </w:rPr>
                  </w:pPr>
                  <w:r>
                    <w:rPr>
                      <w:szCs w:val="21"/>
                    </w:rPr>
                    <w:t>4</w:t>
                  </w:r>
                  <w:r>
                    <w:rPr>
                      <w:rFonts w:hint="eastAsia"/>
                      <w:szCs w:val="21"/>
                    </w:rPr>
                    <w:t>、</w:t>
                  </w:r>
                  <w:r>
                    <w:rPr>
                      <w:rFonts w:hint="eastAsia"/>
                      <w:szCs w:val="21"/>
                      <w:lang w:val="en-US" w:eastAsia="zh-CN"/>
                    </w:rPr>
                    <w:t>村庄及规划的居住区范围内禁止新建工业企业</w:t>
                  </w:r>
                  <w:r>
                    <w:rPr>
                      <w:rFonts w:hint="eastAsia"/>
                      <w:szCs w:val="21"/>
                    </w:rPr>
                    <w:t>。</w:t>
                  </w:r>
                  <w:r>
                    <w:rPr>
                      <w:rFonts w:hint="eastAsia"/>
                      <w:szCs w:val="21"/>
                      <w:lang w:val="en-US" w:eastAsia="zh-CN"/>
                    </w:rPr>
                    <w:t>合理布置区内企业，将风险较大企业布置在远离村庄、学校、医院等环境敏感点位置。</w:t>
                  </w:r>
                </w:p>
                <w:p w14:paraId="6DB262F6">
                  <w:pPr>
                    <w:rPr>
                      <w:szCs w:val="21"/>
                    </w:rPr>
                  </w:pPr>
                  <w:r>
                    <w:rPr>
                      <w:szCs w:val="21"/>
                    </w:rPr>
                    <w:t>5</w:t>
                  </w:r>
                  <w:r>
                    <w:rPr>
                      <w:rFonts w:hint="eastAsia"/>
                      <w:szCs w:val="21"/>
                    </w:rPr>
                    <w:t>、禁止</w:t>
                  </w:r>
                  <w:r>
                    <w:rPr>
                      <w:rFonts w:hint="eastAsia"/>
                      <w:szCs w:val="21"/>
                      <w:lang w:val="en-US" w:eastAsia="zh-CN"/>
                    </w:rPr>
                    <w:t>在公园绿地、广场绿地等规划绿地范围内开展与绿地无关的建设活动</w:t>
                  </w:r>
                  <w:r>
                    <w:rPr>
                      <w:rFonts w:hint="eastAsia"/>
                      <w:szCs w:val="21"/>
                    </w:rPr>
                    <w:t>。</w:t>
                  </w:r>
                </w:p>
              </w:tc>
              <w:tc>
                <w:tcPr>
                  <w:tcW w:w="1642" w:type="dxa"/>
                  <w:tcBorders>
                    <w:top w:val="single" w:color="auto" w:sz="4" w:space="0"/>
                    <w:left w:val="single" w:color="auto" w:sz="4" w:space="0"/>
                    <w:bottom w:val="single" w:color="auto" w:sz="4" w:space="0"/>
                    <w:right w:val="single" w:color="auto" w:sz="4" w:space="0"/>
                  </w:tcBorders>
                  <w:vAlign w:val="center"/>
                </w:tcPr>
                <w:p w14:paraId="6F8B607D">
                  <w:pPr>
                    <w:rPr>
                      <w:szCs w:val="21"/>
                    </w:rPr>
                  </w:pPr>
                  <w:r>
                    <w:rPr>
                      <w:szCs w:val="21"/>
                    </w:rPr>
                    <w:t>1</w:t>
                  </w:r>
                  <w:r>
                    <w:rPr>
                      <w:rFonts w:hint="eastAsia"/>
                      <w:szCs w:val="21"/>
                    </w:rPr>
                    <w:t>、项目符合承德市生态环境总体准入清单要求；</w:t>
                  </w:r>
                </w:p>
                <w:p w14:paraId="5101959E">
                  <w:pPr>
                    <w:rPr>
                      <w:szCs w:val="21"/>
                    </w:rPr>
                  </w:pPr>
                  <w:r>
                    <w:rPr>
                      <w:szCs w:val="21"/>
                    </w:rPr>
                    <w:t>2</w:t>
                  </w:r>
                  <w:r>
                    <w:rPr>
                      <w:rFonts w:hint="eastAsia"/>
                      <w:szCs w:val="21"/>
                    </w:rPr>
                    <w:t>、根据前文分析，项目符合国家产业政策；</w:t>
                  </w:r>
                </w:p>
                <w:p w14:paraId="44D5B221">
                  <w:pPr>
                    <w:rPr>
                      <w:szCs w:val="21"/>
                    </w:rPr>
                  </w:pPr>
                  <w:r>
                    <w:rPr>
                      <w:szCs w:val="21"/>
                    </w:rPr>
                    <w:t>3</w:t>
                  </w:r>
                  <w:r>
                    <w:rPr>
                      <w:rFonts w:hint="eastAsia"/>
                      <w:szCs w:val="21"/>
                    </w:rPr>
                    <w:t>、符合经开区规划环评及其批复文件相关要求；</w:t>
                  </w:r>
                </w:p>
                <w:p w14:paraId="551F6CC3">
                  <w:pPr>
                    <w:rPr>
                      <w:szCs w:val="21"/>
                    </w:rPr>
                  </w:pPr>
                  <w:r>
                    <w:rPr>
                      <w:szCs w:val="21"/>
                    </w:rPr>
                    <w:t>4</w:t>
                  </w:r>
                  <w:r>
                    <w:rPr>
                      <w:rFonts w:hint="eastAsia"/>
                      <w:szCs w:val="21"/>
                    </w:rPr>
                    <w:t>、</w:t>
                  </w:r>
                  <w:r>
                    <w:rPr>
                      <w:rFonts w:hint="eastAsia"/>
                      <w:kern w:val="21"/>
                      <w:szCs w:val="21"/>
                      <w:lang w:val="en-US" w:eastAsia="zh-CN"/>
                    </w:rPr>
                    <w:t>本项目占地为工业用地，租用承德坤元环保科技有限公司厂房和场地进行建设；不涉及</w:t>
                  </w:r>
                  <w:r>
                    <w:rPr>
                      <w:rFonts w:hint="eastAsia"/>
                      <w:szCs w:val="21"/>
                      <w:lang w:val="en-US" w:eastAsia="zh-CN"/>
                    </w:rPr>
                    <w:t>村庄及规划的居住区</w:t>
                  </w:r>
                  <w:r>
                    <w:rPr>
                      <w:rFonts w:hint="eastAsia"/>
                      <w:szCs w:val="21"/>
                    </w:rPr>
                    <w:t>；</w:t>
                  </w:r>
                </w:p>
                <w:p w14:paraId="319C4756">
                  <w:pPr>
                    <w:rPr>
                      <w:szCs w:val="21"/>
                    </w:rPr>
                  </w:pPr>
                  <w:r>
                    <w:rPr>
                      <w:szCs w:val="21"/>
                    </w:rPr>
                    <w:t>5</w:t>
                  </w:r>
                  <w:r>
                    <w:rPr>
                      <w:rFonts w:hint="eastAsia"/>
                      <w:szCs w:val="21"/>
                    </w:rPr>
                    <w:t>、</w:t>
                  </w:r>
                  <w:r>
                    <w:rPr>
                      <w:rFonts w:hint="eastAsia"/>
                      <w:szCs w:val="21"/>
                      <w:lang w:val="en-US" w:eastAsia="zh-CN"/>
                    </w:rPr>
                    <w:t>本项目不占用公园绿地、广场绿地等规划</w:t>
                  </w:r>
                  <w:bookmarkStart w:id="5" w:name="_GoBack"/>
                  <w:bookmarkEnd w:id="5"/>
                  <w:r>
                    <w:rPr>
                      <w:rFonts w:hint="eastAsia"/>
                      <w:szCs w:val="21"/>
                      <w:lang w:val="en-US" w:eastAsia="zh-CN"/>
                    </w:rPr>
                    <w:t>绿地</w:t>
                  </w:r>
                  <w:r>
                    <w:rPr>
                      <w:rFonts w:hint="eastAsia"/>
                      <w:szCs w:val="21"/>
                    </w:rPr>
                    <w:t>。</w:t>
                  </w:r>
                </w:p>
              </w:tc>
            </w:tr>
            <w:tr w14:paraId="3D98CD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5" w:type="dxa"/>
                  <w:vMerge w:val="continue"/>
                  <w:tcBorders>
                    <w:top w:val="single" w:color="auto" w:sz="4" w:space="0"/>
                    <w:left w:val="single" w:color="auto" w:sz="4" w:space="0"/>
                    <w:bottom w:val="single" w:color="auto" w:sz="4" w:space="0"/>
                    <w:right w:val="single" w:color="auto" w:sz="4" w:space="0"/>
                  </w:tcBorders>
                  <w:vAlign w:val="center"/>
                </w:tcPr>
                <w:p w14:paraId="12824036">
                  <w:pPr>
                    <w:jc w:val="center"/>
                    <w:rPr>
                      <w:rFonts w:eastAsiaTheme="minorEastAsia"/>
                      <w:szCs w:val="21"/>
                      <w:highlight w:val="green"/>
                    </w:rPr>
                  </w:pPr>
                </w:p>
              </w:tc>
              <w:tc>
                <w:tcPr>
                  <w:tcW w:w="663" w:type="dxa"/>
                  <w:vMerge w:val="continue"/>
                  <w:tcBorders>
                    <w:top w:val="single" w:color="auto" w:sz="4" w:space="0"/>
                    <w:left w:val="single" w:color="auto" w:sz="4" w:space="0"/>
                    <w:bottom w:val="single" w:color="auto" w:sz="4" w:space="0"/>
                    <w:right w:val="single" w:color="auto" w:sz="4" w:space="0"/>
                  </w:tcBorders>
                  <w:vAlign w:val="center"/>
                </w:tcPr>
                <w:p w14:paraId="29E60121">
                  <w:pPr>
                    <w:jc w:val="center"/>
                    <w:rPr>
                      <w:rFonts w:eastAsiaTheme="minorEastAsia"/>
                      <w:szCs w:val="21"/>
                      <w:highlight w:val="green"/>
                    </w:rPr>
                  </w:pPr>
                </w:p>
              </w:tc>
              <w:tc>
                <w:tcPr>
                  <w:tcW w:w="706" w:type="dxa"/>
                  <w:vMerge w:val="continue"/>
                  <w:tcBorders>
                    <w:top w:val="single" w:color="auto" w:sz="4" w:space="0"/>
                    <w:left w:val="single" w:color="auto" w:sz="4" w:space="0"/>
                    <w:bottom w:val="single" w:color="auto" w:sz="4" w:space="0"/>
                    <w:right w:val="single" w:color="auto" w:sz="4" w:space="0"/>
                  </w:tcBorders>
                  <w:vAlign w:val="center"/>
                </w:tcPr>
                <w:p w14:paraId="77C61A96">
                  <w:pPr>
                    <w:jc w:val="center"/>
                    <w:rPr>
                      <w:rFonts w:eastAsiaTheme="minorEastAsia"/>
                      <w:szCs w:val="21"/>
                      <w:highlight w:val="green"/>
                    </w:rPr>
                  </w:pPr>
                </w:p>
              </w:tc>
              <w:tc>
                <w:tcPr>
                  <w:tcW w:w="677" w:type="dxa"/>
                  <w:tcBorders>
                    <w:top w:val="single" w:color="auto" w:sz="4" w:space="0"/>
                    <w:left w:val="single" w:color="auto" w:sz="4" w:space="0"/>
                    <w:bottom w:val="single" w:color="auto" w:sz="4" w:space="0"/>
                    <w:right w:val="single" w:color="auto" w:sz="4" w:space="0"/>
                  </w:tcBorders>
                  <w:vAlign w:val="center"/>
                </w:tcPr>
                <w:p w14:paraId="05F6F743">
                  <w:pPr>
                    <w:jc w:val="center"/>
                    <w:rPr>
                      <w:szCs w:val="21"/>
                    </w:rPr>
                  </w:pPr>
                  <w:r>
                    <w:rPr>
                      <w:rFonts w:hint="eastAsia"/>
                      <w:szCs w:val="21"/>
                    </w:rPr>
                    <w:t>污染物排放管控</w:t>
                  </w:r>
                </w:p>
              </w:tc>
              <w:tc>
                <w:tcPr>
                  <w:tcW w:w="3734" w:type="dxa"/>
                  <w:tcBorders>
                    <w:top w:val="single" w:color="auto" w:sz="4" w:space="0"/>
                    <w:left w:val="single" w:color="auto" w:sz="4" w:space="0"/>
                    <w:bottom w:val="single" w:color="auto" w:sz="4" w:space="0"/>
                    <w:right w:val="single" w:color="auto" w:sz="4" w:space="0"/>
                  </w:tcBorders>
                  <w:vAlign w:val="center"/>
                </w:tcPr>
                <w:p w14:paraId="724970C0">
                  <w:pPr>
                    <w:rPr>
                      <w:rFonts w:hint="eastAsia" w:ascii="Times New Roman" w:hAnsi="Times New Roman" w:eastAsia="宋体" w:cs="Times New Roman"/>
                      <w:szCs w:val="21"/>
                    </w:rPr>
                  </w:pPr>
                  <w:r>
                    <w:rPr>
                      <w:rFonts w:hint="eastAsia" w:ascii="Times New Roman" w:hAnsi="Times New Roman" w:eastAsia="宋体" w:cs="Times New Roman"/>
                      <w:szCs w:val="21"/>
                    </w:rPr>
                    <w:t>1、入区项目各污染物排放满足国家、河北省特别排放限值及地方特别要求，其中燃气锅炉需满足河北省地方标准《锅炉大气污染物排放标准》（DB13/5161-2020），球团执行《钢铁工业大气污染物超低排放标准》（DB132169-2018）相关要求。</w:t>
                  </w:r>
                </w:p>
                <w:p w14:paraId="24307B3E">
                  <w:pPr>
                    <w:rPr>
                      <w:rFonts w:hint="eastAsia" w:ascii="Times New Roman" w:hAnsi="Times New Roman" w:eastAsia="宋体" w:cs="Times New Roman"/>
                      <w:szCs w:val="21"/>
                    </w:rPr>
                  </w:pPr>
                  <w:r>
                    <w:rPr>
                      <w:rFonts w:hint="eastAsia" w:ascii="Times New Roman" w:hAnsi="Times New Roman" w:eastAsia="宋体" w:cs="Times New Roman"/>
                      <w:szCs w:val="21"/>
                    </w:rPr>
                    <w:t>2、固体废物零排放，危险废物收集</w:t>
                  </w:r>
                  <w:r>
                    <w:rPr>
                      <w:rFonts w:hint="eastAsia" w:ascii="Times New Roman" w:hAnsi="Times New Roman" w:eastAsia="宋体" w:cs="Times New Roman"/>
                      <w:szCs w:val="21"/>
                      <w:lang w:eastAsia="zh-CN"/>
                    </w:rPr>
                    <w:t>、</w:t>
                  </w:r>
                  <w:r>
                    <w:rPr>
                      <w:rFonts w:hint="eastAsia" w:ascii="Times New Roman" w:hAnsi="Times New Roman" w:eastAsia="宋体" w:cs="Times New Roman"/>
                      <w:szCs w:val="21"/>
                    </w:rPr>
                    <w:t>贮存、运输、处置、利用等须满足《中华人民共和国固体废物污染环境防治法》等相关法律法规。</w:t>
                  </w:r>
                </w:p>
                <w:p w14:paraId="7485B0EA">
                  <w:pPr>
                    <w:rPr>
                      <w:rFonts w:hint="eastAsia" w:ascii="Times New Roman" w:hAnsi="Times New Roman" w:eastAsia="宋体" w:cs="Times New Roman"/>
                      <w:szCs w:val="21"/>
                    </w:rPr>
                  </w:pPr>
                  <w:r>
                    <w:rPr>
                      <w:rFonts w:hint="eastAsia" w:ascii="Times New Roman" w:hAnsi="Times New Roman" w:eastAsia="宋体" w:cs="Times New Roman"/>
                      <w:szCs w:val="21"/>
                    </w:rPr>
                    <w:t>3、坚决遏制高耗能、高排放、低水平项目盲目发展，提升高耗能项目能耗准入标准，能耗、物耗、水耗要达到清洁生产先进水平。</w:t>
                  </w:r>
                </w:p>
                <w:p w14:paraId="213F6D49">
                  <w:pPr>
                    <w:rPr>
                      <w:szCs w:val="21"/>
                    </w:rPr>
                  </w:pPr>
                  <w:r>
                    <w:rPr>
                      <w:rFonts w:hint="eastAsia" w:ascii="Times New Roman" w:hAnsi="Times New Roman" w:eastAsia="宋体" w:cs="Times New Roman"/>
                      <w:szCs w:val="21"/>
                      <w:lang w:val="en-US" w:eastAsia="zh-CN"/>
                    </w:rPr>
                    <w:t>4、加快产业园区和集群污染综合整治，推进园区供热、供电、污水处理、再生水回用等公共基础设施共建共享。</w:t>
                  </w:r>
                </w:p>
              </w:tc>
              <w:tc>
                <w:tcPr>
                  <w:tcW w:w="1642" w:type="dxa"/>
                  <w:tcBorders>
                    <w:top w:val="single" w:color="auto" w:sz="4" w:space="0"/>
                    <w:left w:val="single" w:color="auto" w:sz="4" w:space="0"/>
                    <w:bottom w:val="single" w:color="auto" w:sz="4" w:space="0"/>
                    <w:right w:val="single" w:color="auto" w:sz="4" w:space="0"/>
                  </w:tcBorders>
                  <w:vAlign w:val="center"/>
                </w:tcPr>
                <w:p w14:paraId="43841C92">
                  <w:pPr>
                    <w:rPr>
                      <w:szCs w:val="21"/>
                    </w:rPr>
                  </w:pPr>
                  <w:r>
                    <w:rPr>
                      <w:szCs w:val="21"/>
                    </w:rPr>
                    <w:t>1</w:t>
                  </w:r>
                  <w:r>
                    <w:rPr>
                      <w:rFonts w:hint="eastAsia"/>
                      <w:szCs w:val="21"/>
                    </w:rPr>
                    <w:t>、</w:t>
                  </w:r>
                  <w:r>
                    <w:rPr>
                      <w:rFonts w:hint="eastAsia"/>
                      <w:szCs w:val="21"/>
                      <w:highlight w:val="none"/>
                      <w:lang w:val="en-US" w:eastAsia="zh-CN"/>
                    </w:rPr>
                    <w:t>本项目各污染物排放满足标准要求</w:t>
                  </w:r>
                  <w:r>
                    <w:rPr>
                      <w:rFonts w:hint="eastAsia"/>
                      <w:szCs w:val="21"/>
                    </w:rPr>
                    <w:t>；</w:t>
                  </w:r>
                </w:p>
                <w:p w14:paraId="71C2B7E8">
                  <w:pPr>
                    <w:rPr>
                      <w:szCs w:val="21"/>
                    </w:rPr>
                  </w:pPr>
                  <w:r>
                    <w:rPr>
                      <w:szCs w:val="21"/>
                    </w:rPr>
                    <w:t>2</w:t>
                  </w:r>
                  <w:r>
                    <w:rPr>
                      <w:rFonts w:hint="eastAsia"/>
                      <w:szCs w:val="21"/>
                    </w:rPr>
                    <w:t>、</w:t>
                  </w:r>
                  <w:r>
                    <w:rPr>
                      <w:rFonts w:hint="eastAsia"/>
                      <w:kern w:val="21"/>
                      <w:szCs w:val="21"/>
                      <w:lang w:val="en-US" w:eastAsia="zh-CN"/>
                    </w:rPr>
                    <w:t>本项目所属行业为N7724危险废物治理，新建危险废物收集贮存库，服务范围为承德市范围内工业企业，满足相关法律法规</w:t>
                  </w:r>
                  <w:r>
                    <w:rPr>
                      <w:rFonts w:hint="eastAsia"/>
                      <w:szCs w:val="21"/>
                    </w:rPr>
                    <w:t>；</w:t>
                  </w:r>
                </w:p>
                <w:p w14:paraId="118B46E8">
                  <w:pPr>
                    <w:rPr>
                      <w:rFonts w:hint="eastAsia" w:ascii="Times New Roman" w:hAnsi="Times New Roman" w:eastAsia="宋体" w:cs="Times New Roman"/>
                      <w:szCs w:val="21"/>
                    </w:rPr>
                  </w:pPr>
                  <w:r>
                    <w:rPr>
                      <w:szCs w:val="21"/>
                    </w:rPr>
                    <w:t>3</w:t>
                  </w:r>
                  <w:r>
                    <w:rPr>
                      <w:rFonts w:hint="eastAsia"/>
                      <w:szCs w:val="21"/>
                    </w:rPr>
                    <w:t>、</w:t>
                  </w:r>
                  <w:r>
                    <w:rPr>
                      <w:rFonts w:hint="eastAsia"/>
                      <w:szCs w:val="21"/>
                      <w:lang w:val="en-US" w:eastAsia="zh-CN"/>
                    </w:rPr>
                    <w:t>本项目不属于</w:t>
                  </w:r>
                  <w:r>
                    <w:rPr>
                      <w:rFonts w:hint="eastAsia" w:ascii="Times New Roman" w:hAnsi="Times New Roman" w:eastAsia="宋体" w:cs="Times New Roman"/>
                      <w:szCs w:val="21"/>
                    </w:rPr>
                    <w:t>高耗能、高排放、低水平项目。</w:t>
                  </w:r>
                </w:p>
                <w:p w14:paraId="120027E2">
                  <w:pPr>
                    <w:rPr>
                      <w:rFonts w:hint="default"/>
                      <w:szCs w:val="21"/>
                      <w:lang w:val="en-US"/>
                    </w:rPr>
                  </w:pPr>
                  <w:r>
                    <w:rPr>
                      <w:rFonts w:hint="eastAsia" w:ascii="Times New Roman" w:hAnsi="Times New Roman" w:eastAsia="宋体" w:cs="Times New Roman"/>
                      <w:szCs w:val="21"/>
                      <w:highlight w:val="none"/>
                      <w:lang w:val="en-US" w:eastAsia="zh-CN"/>
                    </w:rPr>
                    <w:t>4、</w:t>
                  </w:r>
                  <w:r>
                    <w:rPr>
                      <w:rFonts w:hint="eastAsia" w:cs="Times New Roman"/>
                      <w:szCs w:val="21"/>
                      <w:highlight w:val="none"/>
                      <w:lang w:val="en-US" w:eastAsia="zh-CN"/>
                    </w:rPr>
                    <w:t>本企业在逐渐推进园区公共基础设施共建共享。</w:t>
                  </w:r>
                </w:p>
              </w:tc>
            </w:tr>
            <w:tr w14:paraId="1F4F72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5" w:type="dxa"/>
                  <w:vMerge w:val="continue"/>
                  <w:tcBorders>
                    <w:top w:val="single" w:color="auto" w:sz="4" w:space="0"/>
                    <w:left w:val="single" w:color="auto" w:sz="4" w:space="0"/>
                    <w:bottom w:val="single" w:color="auto" w:sz="4" w:space="0"/>
                    <w:right w:val="single" w:color="auto" w:sz="4" w:space="0"/>
                  </w:tcBorders>
                  <w:vAlign w:val="center"/>
                </w:tcPr>
                <w:p w14:paraId="2A212DDB">
                  <w:pPr>
                    <w:jc w:val="center"/>
                    <w:rPr>
                      <w:rFonts w:eastAsiaTheme="minorEastAsia"/>
                      <w:szCs w:val="21"/>
                      <w:highlight w:val="green"/>
                    </w:rPr>
                  </w:pPr>
                </w:p>
              </w:tc>
              <w:tc>
                <w:tcPr>
                  <w:tcW w:w="663" w:type="dxa"/>
                  <w:vMerge w:val="continue"/>
                  <w:tcBorders>
                    <w:top w:val="single" w:color="auto" w:sz="4" w:space="0"/>
                    <w:left w:val="single" w:color="auto" w:sz="4" w:space="0"/>
                    <w:bottom w:val="single" w:color="auto" w:sz="4" w:space="0"/>
                    <w:right w:val="single" w:color="auto" w:sz="4" w:space="0"/>
                  </w:tcBorders>
                  <w:vAlign w:val="center"/>
                </w:tcPr>
                <w:p w14:paraId="55E8F0D7">
                  <w:pPr>
                    <w:jc w:val="center"/>
                    <w:rPr>
                      <w:rFonts w:eastAsiaTheme="minorEastAsia"/>
                      <w:szCs w:val="21"/>
                      <w:highlight w:val="green"/>
                    </w:rPr>
                  </w:pPr>
                </w:p>
              </w:tc>
              <w:tc>
                <w:tcPr>
                  <w:tcW w:w="706" w:type="dxa"/>
                  <w:vMerge w:val="continue"/>
                  <w:tcBorders>
                    <w:top w:val="single" w:color="auto" w:sz="4" w:space="0"/>
                    <w:left w:val="single" w:color="auto" w:sz="4" w:space="0"/>
                    <w:bottom w:val="single" w:color="auto" w:sz="4" w:space="0"/>
                    <w:right w:val="single" w:color="auto" w:sz="4" w:space="0"/>
                  </w:tcBorders>
                  <w:vAlign w:val="center"/>
                </w:tcPr>
                <w:p w14:paraId="646C507B">
                  <w:pPr>
                    <w:jc w:val="center"/>
                    <w:rPr>
                      <w:rFonts w:eastAsiaTheme="minorEastAsia"/>
                      <w:szCs w:val="21"/>
                      <w:highlight w:val="green"/>
                    </w:rPr>
                  </w:pPr>
                </w:p>
              </w:tc>
              <w:tc>
                <w:tcPr>
                  <w:tcW w:w="677" w:type="dxa"/>
                  <w:tcBorders>
                    <w:top w:val="single" w:color="auto" w:sz="4" w:space="0"/>
                    <w:left w:val="single" w:color="auto" w:sz="4" w:space="0"/>
                    <w:bottom w:val="single" w:color="auto" w:sz="4" w:space="0"/>
                    <w:right w:val="single" w:color="auto" w:sz="4" w:space="0"/>
                  </w:tcBorders>
                  <w:vAlign w:val="center"/>
                </w:tcPr>
                <w:p w14:paraId="2A585980">
                  <w:pPr>
                    <w:rPr>
                      <w:rFonts w:hint="eastAsia" w:ascii="Times New Roman" w:hAnsi="Times New Roman" w:eastAsia="宋体" w:cs="Times New Roman"/>
                      <w:szCs w:val="21"/>
                    </w:rPr>
                  </w:pPr>
                  <w:r>
                    <w:rPr>
                      <w:rFonts w:hint="eastAsia" w:ascii="Times New Roman" w:hAnsi="Times New Roman" w:eastAsia="宋体" w:cs="Times New Roman"/>
                      <w:szCs w:val="21"/>
                    </w:rPr>
                    <w:t>环境风险防控</w:t>
                  </w:r>
                </w:p>
              </w:tc>
              <w:tc>
                <w:tcPr>
                  <w:tcW w:w="3734" w:type="dxa"/>
                  <w:tcBorders>
                    <w:top w:val="single" w:color="auto" w:sz="4" w:space="0"/>
                    <w:left w:val="single" w:color="auto" w:sz="4" w:space="0"/>
                    <w:bottom w:val="single" w:color="auto" w:sz="4" w:space="0"/>
                    <w:right w:val="single" w:color="auto" w:sz="4" w:space="0"/>
                  </w:tcBorders>
                  <w:vAlign w:val="center"/>
                </w:tcPr>
                <w:p w14:paraId="1A6E3CAC">
                  <w:pPr>
                    <w:rPr>
                      <w:rFonts w:hint="eastAsia" w:ascii="Times New Roman" w:hAnsi="Times New Roman" w:eastAsia="宋体" w:cs="Times New Roman"/>
                      <w:szCs w:val="21"/>
                    </w:rPr>
                  </w:pPr>
                  <w:r>
                    <w:rPr>
                      <w:rFonts w:hint="eastAsia" w:ascii="Times New Roman" w:hAnsi="Times New Roman" w:eastAsia="宋体" w:cs="Times New Roman"/>
                      <w:szCs w:val="21"/>
                    </w:rPr>
                    <w:t>1、严格落实规划环评及其批复文件制定的环境风险防范措施，并随规划环评及其批复文件的更新及时调整。</w:t>
                  </w:r>
                </w:p>
                <w:p w14:paraId="20BB9934">
                  <w:pPr>
                    <w:rPr>
                      <w:rFonts w:hint="eastAsia" w:ascii="Times New Roman" w:hAnsi="Times New Roman" w:eastAsia="宋体" w:cs="Times New Roman"/>
                      <w:szCs w:val="21"/>
                    </w:rPr>
                  </w:pPr>
                  <w:r>
                    <w:rPr>
                      <w:rFonts w:hint="eastAsia" w:ascii="Times New Roman" w:hAnsi="Times New Roman" w:eastAsia="宋体" w:cs="Times New Roman"/>
                      <w:szCs w:val="21"/>
                    </w:rPr>
                    <w:t>2、开发区及入区企业需组织编制《突发环境事件应急预案》，成立应急组织机构，定期开展应急演练，建立有效的</w:t>
                  </w:r>
                </w:p>
                <w:p w14:paraId="121A5CAB">
                  <w:pPr>
                    <w:rPr>
                      <w:rFonts w:hint="eastAsia" w:ascii="Times New Roman" w:hAnsi="Times New Roman" w:eastAsia="宋体" w:cs="Times New Roman"/>
                      <w:szCs w:val="21"/>
                    </w:rPr>
                  </w:pPr>
                  <w:r>
                    <w:rPr>
                      <w:rFonts w:hint="eastAsia" w:ascii="Times New Roman" w:hAnsi="Times New Roman" w:eastAsia="宋体" w:cs="Times New Roman"/>
                      <w:szCs w:val="21"/>
                    </w:rPr>
                    <w:t>事故风险防范体系，提高区域环境风险防范能力。</w:t>
                  </w:r>
                </w:p>
                <w:p w14:paraId="1861B8DB">
                  <w:pPr>
                    <w:rPr>
                      <w:rFonts w:hint="eastAsia" w:ascii="Times New Roman" w:hAnsi="Times New Roman" w:eastAsia="宋体" w:cs="Times New Roman"/>
                      <w:szCs w:val="21"/>
                    </w:rPr>
                  </w:pPr>
                  <w:r>
                    <w:rPr>
                      <w:rFonts w:hint="eastAsia" w:ascii="Times New Roman" w:hAnsi="Times New Roman" w:eastAsia="宋体" w:cs="Times New Roman"/>
                      <w:szCs w:val="21"/>
                    </w:rPr>
                    <w:t>3、加强园区与周边敏感区生态防护设施建设。</w:t>
                  </w:r>
                </w:p>
                <w:p w14:paraId="7D409767">
                  <w:pP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4、重点监管企业和工业园区周边土壤环境，定期开展监督性监测，重点监测重金属和持久性有机污染物。</w:t>
                  </w:r>
                </w:p>
              </w:tc>
              <w:tc>
                <w:tcPr>
                  <w:tcW w:w="1642" w:type="dxa"/>
                  <w:tcBorders>
                    <w:top w:val="single" w:color="auto" w:sz="4" w:space="0"/>
                    <w:left w:val="single" w:color="auto" w:sz="4" w:space="0"/>
                    <w:bottom w:val="single" w:color="auto" w:sz="4" w:space="0"/>
                    <w:right w:val="single" w:color="auto" w:sz="4" w:space="0"/>
                  </w:tcBorders>
                  <w:vAlign w:val="center"/>
                </w:tcPr>
                <w:p w14:paraId="77FD6DE4">
                  <w:pPr>
                    <w:rPr>
                      <w:szCs w:val="21"/>
                    </w:rPr>
                  </w:pPr>
                  <w:r>
                    <w:rPr>
                      <w:szCs w:val="21"/>
                    </w:rPr>
                    <w:t>1</w:t>
                  </w:r>
                  <w:r>
                    <w:rPr>
                      <w:rFonts w:hint="eastAsia"/>
                      <w:szCs w:val="21"/>
                    </w:rPr>
                    <w:t>、</w:t>
                  </w:r>
                  <w:r>
                    <w:rPr>
                      <w:rFonts w:hint="eastAsia"/>
                      <w:szCs w:val="21"/>
                      <w:highlight w:val="none"/>
                    </w:rPr>
                    <w:t>项目落实规划环评及其批复文件制定的环境风险防范措施</w:t>
                  </w:r>
                  <w:r>
                    <w:rPr>
                      <w:rFonts w:hint="eastAsia"/>
                      <w:szCs w:val="21"/>
                    </w:rPr>
                    <w:t>；</w:t>
                  </w:r>
                </w:p>
                <w:p w14:paraId="506DB6D8">
                  <w:pPr>
                    <w:rPr>
                      <w:szCs w:val="21"/>
                    </w:rPr>
                  </w:pPr>
                  <w:r>
                    <w:rPr>
                      <w:szCs w:val="21"/>
                    </w:rPr>
                    <w:t>2</w:t>
                  </w:r>
                  <w:r>
                    <w:rPr>
                      <w:rFonts w:hint="eastAsia"/>
                      <w:szCs w:val="21"/>
                    </w:rPr>
                    <w:t>、</w:t>
                  </w:r>
                  <w:r>
                    <w:rPr>
                      <w:rFonts w:hint="eastAsia"/>
                      <w:kern w:val="21"/>
                      <w:szCs w:val="21"/>
                      <w:lang w:val="en-US" w:eastAsia="zh-CN"/>
                    </w:rPr>
                    <w:t>本项目运营期后编制</w:t>
                  </w:r>
                  <w:r>
                    <w:rPr>
                      <w:rFonts w:hint="eastAsia" w:ascii="Times New Roman" w:hAnsi="Times New Roman" w:eastAsia="宋体" w:cs="Times New Roman"/>
                      <w:szCs w:val="21"/>
                    </w:rPr>
                    <w:t>《突发环境事件应急预案》，成立应急组织机构，定期开展应急演练</w:t>
                  </w:r>
                  <w:r>
                    <w:rPr>
                      <w:rFonts w:hint="eastAsia"/>
                      <w:szCs w:val="21"/>
                    </w:rPr>
                    <w:t>；</w:t>
                  </w:r>
                </w:p>
                <w:p w14:paraId="1C0C4F6B">
                  <w:pPr>
                    <w:rPr>
                      <w:rFonts w:hint="eastAsia" w:ascii="Times New Roman" w:hAnsi="Times New Roman" w:eastAsia="宋体" w:cs="Times New Roman"/>
                      <w:szCs w:val="21"/>
                      <w:highlight w:val="none"/>
                    </w:rPr>
                  </w:pPr>
                  <w:r>
                    <w:rPr>
                      <w:szCs w:val="21"/>
                      <w:highlight w:val="none"/>
                    </w:rPr>
                    <w:t>3</w:t>
                  </w:r>
                  <w:r>
                    <w:rPr>
                      <w:rFonts w:hint="eastAsia"/>
                      <w:szCs w:val="21"/>
                      <w:highlight w:val="none"/>
                    </w:rPr>
                    <w:t>、</w:t>
                  </w:r>
                  <w:r>
                    <w:rPr>
                      <w:rFonts w:hint="eastAsia"/>
                      <w:szCs w:val="21"/>
                      <w:highlight w:val="none"/>
                      <w:lang w:val="en-US" w:eastAsia="zh-CN"/>
                    </w:rPr>
                    <w:t>不涉及</w:t>
                  </w:r>
                  <w:r>
                    <w:rPr>
                      <w:rFonts w:hint="eastAsia" w:ascii="Times New Roman" w:hAnsi="Times New Roman" w:eastAsia="宋体" w:cs="Times New Roman"/>
                      <w:szCs w:val="21"/>
                      <w:highlight w:val="none"/>
                    </w:rPr>
                    <w:t>。</w:t>
                  </w:r>
                </w:p>
                <w:p w14:paraId="54E5D5DA">
                  <w:pPr>
                    <w:rPr>
                      <w:rFonts w:hint="default" w:eastAsia="宋体"/>
                      <w:lang w:val="en-US" w:eastAsia="zh-CN"/>
                    </w:rPr>
                  </w:pPr>
                  <w:r>
                    <w:rPr>
                      <w:rFonts w:hint="eastAsia" w:ascii="Times New Roman" w:hAnsi="Times New Roman" w:eastAsia="宋体" w:cs="Times New Roman"/>
                      <w:szCs w:val="21"/>
                      <w:highlight w:val="none"/>
                      <w:lang w:val="en-US" w:eastAsia="zh-CN"/>
                    </w:rPr>
                    <w:t>4、不涉及。</w:t>
                  </w:r>
                </w:p>
              </w:tc>
            </w:tr>
            <w:tr w14:paraId="6B6286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5" w:type="dxa"/>
                  <w:vMerge w:val="continue"/>
                  <w:tcBorders>
                    <w:top w:val="single" w:color="auto" w:sz="4" w:space="0"/>
                    <w:left w:val="single" w:color="auto" w:sz="4" w:space="0"/>
                    <w:bottom w:val="single" w:color="auto" w:sz="4" w:space="0"/>
                    <w:right w:val="single" w:color="auto" w:sz="4" w:space="0"/>
                  </w:tcBorders>
                  <w:vAlign w:val="center"/>
                </w:tcPr>
                <w:p w14:paraId="45DF95F6">
                  <w:pPr>
                    <w:jc w:val="center"/>
                    <w:rPr>
                      <w:rFonts w:eastAsiaTheme="minorEastAsia"/>
                      <w:szCs w:val="21"/>
                      <w:highlight w:val="green"/>
                    </w:rPr>
                  </w:pPr>
                </w:p>
              </w:tc>
              <w:tc>
                <w:tcPr>
                  <w:tcW w:w="663" w:type="dxa"/>
                  <w:vMerge w:val="continue"/>
                  <w:tcBorders>
                    <w:top w:val="single" w:color="auto" w:sz="4" w:space="0"/>
                    <w:left w:val="single" w:color="auto" w:sz="4" w:space="0"/>
                    <w:bottom w:val="single" w:color="auto" w:sz="4" w:space="0"/>
                    <w:right w:val="single" w:color="auto" w:sz="4" w:space="0"/>
                  </w:tcBorders>
                  <w:vAlign w:val="center"/>
                </w:tcPr>
                <w:p w14:paraId="2D88D07D">
                  <w:pPr>
                    <w:jc w:val="center"/>
                    <w:rPr>
                      <w:rFonts w:eastAsiaTheme="minorEastAsia"/>
                      <w:szCs w:val="21"/>
                      <w:highlight w:val="green"/>
                    </w:rPr>
                  </w:pPr>
                </w:p>
              </w:tc>
              <w:tc>
                <w:tcPr>
                  <w:tcW w:w="706" w:type="dxa"/>
                  <w:vMerge w:val="continue"/>
                  <w:tcBorders>
                    <w:top w:val="single" w:color="auto" w:sz="4" w:space="0"/>
                    <w:left w:val="single" w:color="auto" w:sz="4" w:space="0"/>
                    <w:bottom w:val="single" w:color="auto" w:sz="4" w:space="0"/>
                    <w:right w:val="single" w:color="auto" w:sz="4" w:space="0"/>
                  </w:tcBorders>
                  <w:vAlign w:val="center"/>
                </w:tcPr>
                <w:p w14:paraId="74B3283E">
                  <w:pPr>
                    <w:jc w:val="center"/>
                    <w:rPr>
                      <w:rFonts w:eastAsiaTheme="minorEastAsia"/>
                      <w:szCs w:val="21"/>
                      <w:highlight w:val="green"/>
                    </w:rPr>
                  </w:pPr>
                </w:p>
              </w:tc>
              <w:tc>
                <w:tcPr>
                  <w:tcW w:w="677" w:type="dxa"/>
                  <w:tcBorders>
                    <w:top w:val="single" w:color="auto" w:sz="4" w:space="0"/>
                    <w:left w:val="single" w:color="auto" w:sz="4" w:space="0"/>
                    <w:bottom w:val="single" w:color="auto" w:sz="4" w:space="0"/>
                    <w:right w:val="single" w:color="auto" w:sz="4" w:space="0"/>
                  </w:tcBorders>
                  <w:vAlign w:val="center"/>
                </w:tcPr>
                <w:p w14:paraId="181BD4C0">
                  <w:pPr>
                    <w:jc w:val="center"/>
                    <w:rPr>
                      <w:szCs w:val="21"/>
                    </w:rPr>
                  </w:pPr>
                  <w:r>
                    <w:rPr>
                      <w:rFonts w:hint="eastAsia"/>
                      <w:szCs w:val="21"/>
                    </w:rPr>
                    <w:t>资源利用效率</w:t>
                  </w:r>
                </w:p>
              </w:tc>
              <w:tc>
                <w:tcPr>
                  <w:tcW w:w="3734" w:type="dxa"/>
                  <w:tcBorders>
                    <w:top w:val="single" w:color="auto" w:sz="4" w:space="0"/>
                    <w:left w:val="single" w:color="auto" w:sz="4" w:space="0"/>
                    <w:bottom w:val="single" w:color="auto" w:sz="4" w:space="0"/>
                    <w:right w:val="single" w:color="auto" w:sz="4" w:space="0"/>
                  </w:tcBorders>
                  <w:vAlign w:val="center"/>
                </w:tcPr>
                <w:p w14:paraId="7EBD97E6">
                  <w:pPr>
                    <w:rPr>
                      <w:szCs w:val="21"/>
                    </w:rPr>
                  </w:pPr>
                  <w:r>
                    <w:rPr>
                      <w:szCs w:val="21"/>
                    </w:rPr>
                    <w:t>1</w:t>
                  </w:r>
                  <w:r>
                    <w:rPr>
                      <w:rFonts w:hint="eastAsia"/>
                      <w:szCs w:val="21"/>
                    </w:rPr>
                    <w:t>、宽城经济开发区内各片区供热优先利用区域企业余热，禁止企业自建燃煤锅炉。</w:t>
                  </w:r>
                </w:p>
                <w:p w14:paraId="4A793DB4">
                  <w:pPr>
                    <w:rPr>
                      <w:szCs w:val="21"/>
                    </w:rPr>
                  </w:pPr>
                  <w:r>
                    <w:rPr>
                      <w:szCs w:val="21"/>
                    </w:rPr>
                    <w:t>2</w:t>
                  </w:r>
                  <w:r>
                    <w:rPr>
                      <w:rFonts w:hint="eastAsia"/>
                      <w:szCs w:val="21"/>
                    </w:rPr>
                    <w:t>、严格控制煤炭消费总量。</w:t>
                  </w:r>
                </w:p>
                <w:p w14:paraId="5EA945A8">
                  <w:pPr>
                    <w:rPr>
                      <w:szCs w:val="21"/>
                    </w:rPr>
                  </w:pPr>
                </w:p>
              </w:tc>
              <w:tc>
                <w:tcPr>
                  <w:tcW w:w="1642" w:type="dxa"/>
                  <w:tcBorders>
                    <w:top w:val="single" w:color="auto" w:sz="4" w:space="0"/>
                    <w:left w:val="single" w:color="auto" w:sz="4" w:space="0"/>
                    <w:bottom w:val="single" w:color="auto" w:sz="4" w:space="0"/>
                    <w:right w:val="single" w:color="auto" w:sz="4" w:space="0"/>
                  </w:tcBorders>
                  <w:vAlign w:val="center"/>
                </w:tcPr>
                <w:p w14:paraId="1EE23432">
                  <w:pPr>
                    <w:rPr>
                      <w:szCs w:val="21"/>
                    </w:rPr>
                  </w:pPr>
                  <w:r>
                    <w:rPr>
                      <w:szCs w:val="21"/>
                    </w:rPr>
                    <w:t>1</w:t>
                  </w:r>
                  <w:r>
                    <w:rPr>
                      <w:rFonts w:hint="eastAsia"/>
                      <w:szCs w:val="21"/>
                    </w:rPr>
                    <w:t>、</w:t>
                  </w:r>
                  <w:r>
                    <w:rPr>
                      <w:rFonts w:hint="eastAsia"/>
                      <w:szCs w:val="21"/>
                      <w:lang w:val="en-US" w:eastAsia="zh-CN"/>
                    </w:rPr>
                    <w:t>本项目采用电取暖</w:t>
                  </w:r>
                  <w:r>
                    <w:rPr>
                      <w:rFonts w:hint="eastAsia"/>
                      <w:szCs w:val="21"/>
                    </w:rPr>
                    <w:t>；</w:t>
                  </w:r>
                </w:p>
                <w:p w14:paraId="12B9579B">
                  <w:pPr>
                    <w:rPr>
                      <w:szCs w:val="21"/>
                    </w:rPr>
                  </w:pPr>
                  <w:r>
                    <w:rPr>
                      <w:szCs w:val="21"/>
                    </w:rPr>
                    <w:t>2</w:t>
                  </w:r>
                  <w:r>
                    <w:rPr>
                      <w:rFonts w:hint="eastAsia"/>
                      <w:szCs w:val="21"/>
                      <w:highlight w:val="none"/>
                    </w:rPr>
                    <w:t>、</w:t>
                  </w:r>
                  <w:r>
                    <w:rPr>
                      <w:rFonts w:hint="eastAsia"/>
                      <w:szCs w:val="21"/>
                    </w:rPr>
                    <w:t>不涉及。</w:t>
                  </w:r>
                </w:p>
              </w:tc>
            </w:tr>
          </w:tbl>
          <w:p w14:paraId="227EE25F">
            <w:pPr>
              <w:spacing w:before="120" w:beforeLines="50" w:line="360" w:lineRule="auto"/>
              <w:ind w:firstLine="482"/>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项目所在区域环境管控单元图见下图：</w:t>
            </w:r>
          </w:p>
          <w:p w14:paraId="5554CB03">
            <w:pPr>
              <w:spacing w:line="360" w:lineRule="auto"/>
              <w:jc w:val="center"/>
              <w:rPr>
                <w:rFonts w:hint="eastAsia" w:eastAsia="宋体"/>
                <w:color w:val="000000" w:themeColor="text1"/>
                <w:sz w:val="24"/>
                <w:lang w:eastAsia="zh-CN"/>
                <w14:textFill>
                  <w14:solidFill>
                    <w14:schemeClr w14:val="tx1"/>
                  </w14:solidFill>
                </w14:textFill>
              </w:rPr>
            </w:pPr>
            <w:r>
              <w:rPr>
                <w:rFonts w:hint="eastAsia" w:eastAsia="宋体"/>
                <w:color w:val="000000" w:themeColor="text1"/>
                <w:sz w:val="24"/>
                <w:lang w:eastAsia="zh-CN"/>
                <w14:textFill>
                  <w14:solidFill>
                    <w14:schemeClr w14:val="tx1"/>
                  </w14:solidFill>
                </w14:textFill>
              </w:rPr>
              <w:drawing>
                <wp:inline distT="0" distB="0" distL="114300" distR="114300">
                  <wp:extent cx="5132070" cy="3628390"/>
                  <wp:effectExtent l="0" t="0" r="11430" b="10160"/>
                  <wp:docPr id="71" name="图片 71" descr="三线一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三线一单"/>
                          <pic:cNvPicPr>
                            <a:picLocks noChangeAspect="1"/>
                          </pic:cNvPicPr>
                        </pic:nvPicPr>
                        <pic:blipFill>
                          <a:blip r:embed="rId12"/>
                          <a:stretch>
                            <a:fillRect/>
                          </a:stretch>
                        </pic:blipFill>
                        <pic:spPr>
                          <a:xfrm>
                            <a:off x="0" y="0"/>
                            <a:ext cx="5132070" cy="3628390"/>
                          </a:xfrm>
                          <a:prstGeom prst="rect">
                            <a:avLst/>
                          </a:prstGeom>
                        </pic:spPr>
                      </pic:pic>
                    </a:graphicData>
                  </a:graphic>
                </wp:inline>
              </w:drawing>
            </w:r>
          </w:p>
          <w:p w14:paraId="22883FAE">
            <w:pPr>
              <w:pStyle w:val="48"/>
              <w:widowControl w:val="0"/>
              <w:numPr>
                <w:ilvl w:val="0"/>
                <w:numId w:val="2"/>
              </w:numPr>
              <w:spacing w:line="360" w:lineRule="auto"/>
              <w:ind w:left="0" w:firstLine="0" w:firstLineChars="0"/>
              <w:jc w:val="center"/>
              <w:rPr>
                <w:rFonts w:ascii="宋体" w:hAnsi="宋体" w:eastAsia="宋体"/>
                <w:b/>
                <w:color w:val="000000" w:themeColor="text1"/>
                <w:sz w:val="21"/>
                <w14:textFill>
                  <w14:solidFill>
                    <w14:schemeClr w14:val="tx1"/>
                  </w14:solidFill>
                </w14:textFill>
              </w:rPr>
            </w:pPr>
            <w:r>
              <w:rPr>
                <w:rFonts w:hint="eastAsia" w:ascii="宋体" w:hAnsi="宋体" w:eastAsia="宋体"/>
                <w:b/>
                <w:color w:val="000000" w:themeColor="text1"/>
                <w:sz w:val="21"/>
                <w14:textFill>
                  <w14:solidFill>
                    <w14:schemeClr w14:val="tx1"/>
                  </w14:solidFill>
                </w14:textFill>
              </w:rPr>
              <w:t>项目所在区域环境管控单元图</w:t>
            </w:r>
          </w:p>
          <w:p w14:paraId="6EBF471C">
            <w:pPr>
              <w:spacing w:line="360" w:lineRule="auto"/>
              <w:ind w:firstLine="482"/>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综上，项目符合</w:t>
            </w:r>
            <w:r>
              <w:rPr>
                <w:rFonts w:hint="eastAsia"/>
                <w:color w:val="000000" w:themeColor="text1"/>
                <w:sz w:val="24"/>
                <w:lang w:eastAsia="zh-CN"/>
                <w14:textFill>
                  <w14:solidFill>
                    <w14:schemeClr w14:val="tx1"/>
                  </w14:solidFill>
                </w14:textFill>
              </w:rPr>
              <w:t>宽城满族自治县</w:t>
            </w:r>
            <w:r>
              <w:rPr>
                <w:rFonts w:hint="eastAsia"/>
                <w:color w:val="000000" w:themeColor="text1"/>
                <w:sz w:val="24"/>
                <w14:textFill>
                  <w14:solidFill>
                    <w14:schemeClr w14:val="tx1"/>
                  </w14:solidFill>
                </w14:textFill>
              </w:rPr>
              <w:t>环境管控单元生态准入清单的要求。</w:t>
            </w:r>
          </w:p>
          <w:p w14:paraId="2217AF7D">
            <w:pPr>
              <w:spacing w:line="360" w:lineRule="auto"/>
              <w:ind w:firstLine="480"/>
              <w:rPr>
                <w:color w:val="000000" w:themeColor="text1"/>
                <w:sz w:val="24"/>
                <w14:textFill>
                  <w14:solidFill>
                    <w14:schemeClr w14:val="tx1"/>
                  </w14:solidFill>
                </w14:textFill>
              </w:rPr>
            </w:pPr>
            <w:r>
              <w:rPr>
                <w:color w:val="000000" w:themeColor="text1"/>
                <w:sz w:val="24"/>
                <w14:textFill>
                  <w14:solidFill>
                    <w14:schemeClr w14:val="tx1"/>
                  </w14:solidFill>
                </w14:textFill>
              </w:rPr>
              <w:t>C</w:t>
            </w:r>
            <w:r>
              <w:rPr>
                <w:rFonts w:hint="eastAsia"/>
                <w:color w:val="000000" w:themeColor="text1"/>
                <w:sz w:val="24"/>
                <w14:textFill>
                  <w14:solidFill>
                    <w14:schemeClr w14:val="tx1"/>
                  </w14:solidFill>
                </w14:textFill>
              </w:rPr>
              <w:t>、符合性分析结论</w:t>
            </w:r>
          </w:p>
          <w:p w14:paraId="0E17EC3F">
            <w:pPr>
              <w:spacing w:line="360" w:lineRule="auto"/>
              <w:ind w:firstLine="48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综上所述，项目符合</w:t>
            </w:r>
            <w:r>
              <w:rPr>
                <w:rFonts w:hint="eastAsia"/>
                <w:color w:val="000000" w:themeColor="text1"/>
                <w:sz w:val="24"/>
                <w:lang w:eastAsia="zh-CN"/>
                <w14:textFill>
                  <w14:solidFill>
                    <w14:schemeClr w14:val="tx1"/>
                  </w14:solidFill>
                </w14:textFill>
              </w:rPr>
              <w:t>《</w:t>
            </w:r>
            <w:r>
              <w:rPr>
                <w:rFonts w:hint="eastAsia"/>
                <w:bCs/>
                <w:color w:val="000000" w:themeColor="text1"/>
                <w:sz w:val="24"/>
                <w14:textFill>
                  <w14:solidFill>
                    <w14:schemeClr w14:val="tx1"/>
                  </w14:solidFill>
                </w14:textFill>
              </w:rPr>
              <w:t>承德市生态环境分区管控准入清单（2023年版）</w:t>
            </w:r>
            <w:r>
              <w:rPr>
                <w:rFonts w:hint="eastAsia"/>
                <w:color w:val="000000" w:themeColor="text1"/>
                <w:sz w:val="24"/>
                <w:lang w:eastAsia="zh-CN"/>
                <w14:textFill>
                  <w14:solidFill>
                    <w14:schemeClr w14:val="tx1"/>
                  </w14:solidFill>
                </w14:textFill>
              </w:rPr>
              <w:t>》</w:t>
            </w:r>
            <w:r>
              <w:rPr>
                <w:rFonts w:hint="eastAsia"/>
                <w:bCs/>
                <w:color w:val="000000" w:themeColor="text1"/>
                <w:sz w:val="24"/>
                <w14:textFill>
                  <w14:solidFill>
                    <w14:schemeClr w14:val="tx1"/>
                  </w14:solidFill>
                </w14:textFill>
              </w:rPr>
              <w:t>的要求。</w:t>
            </w:r>
          </w:p>
          <w:p w14:paraId="40AAD7EB">
            <w:pPr>
              <w:spacing w:line="360" w:lineRule="auto"/>
              <w:ind w:firstLine="482"/>
              <w:rPr>
                <w:color w:val="000000" w:themeColor="text1"/>
                <w:sz w:val="24"/>
                <w14:textFill>
                  <w14:solidFill>
                    <w14:schemeClr w14:val="tx1"/>
                  </w14:solidFill>
                </w14:textFill>
              </w:rPr>
            </w:pPr>
            <w:r>
              <w:rPr>
                <w:color w:val="000000" w:themeColor="text1"/>
                <w:sz w:val="24"/>
                <w14:textFill>
                  <w14:solidFill>
                    <w14:schemeClr w14:val="tx1"/>
                  </w14:solidFill>
                </w14:textFill>
              </w:rPr>
              <w:t>③</w:t>
            </w:r>
            <w:r>
              <w:rPr>
                <w:rFonts w:hint="eastAsia"/>
                <w:color w:val="000000" w:themeColor="text1"/>
                <w:sz w:val="24"/>
                <w14:textFill>
                  <w14:solidFill>
                    <w14:schemeClr w14:val="tx1"/>
                  </w14:solidFill>
                </w14:textFill>
              </w:rPr>
              <w:t>环境准入符合性结论</w:t>
            </w:r>
          </w:p>
          <w:p w14:paraId="752A2743">
            <w:pPr>
              <w:spacing w:line="360" w:lineRule="auto"/>
              <w:ind w:firstLine="482"/>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综上，项目的建设与运行符合环境准入的要求。</w:t>
            </w:r>
          </w:p>
          <w:p w14:paraId="61D8C981">
            <w:pPr>
              <w:pStyle w:val="2"/>
              <w:ind w:left="0" w:leftChars="0" w:firstLine="480" w:firstLineChars="200"/>
              <w:jc w:val="both"/>
              <w:rPr>
                <w:color w:val="000000" w:themeColor="text1"/>
                <w:w w:val="100"/>
                <w:sz w:val="24"/>
                <w14:textFill>
                  <w14:solidFill>
                    <w14:schemeClr w14:val="tx1"/>
                  </w14:solidFill>
                </w14:textFill>
              </w:rPr>
            </w:pPr>
            <w:r>
              <w:rPr>
                <w:rFonts w:hint="eastAsia"/>
                <w:color w:val="000000" w:themeColor="text1"/>
                <w:w w:val="100"/>
                <w:sz w:val="24"/>
                <w14:textFill>
                  <w14:solidFill>
                    <w14:schemeClr w14:val="tx1"/>
                  </w14:solidFill>
                </w14:textFill>
              </w:rPr>
              <w:t>（5）“三线一单”符合性结论</w:t>
            </w:r>
          </w:p>
          <w:p w14:paraId="54B747C8">
            <w:pPr>
              <w:pStyle w:val="2"/>
              <w:ind w:left="0" w:leftChars="0" w:firstLine="480" w:firstLineChars="200"/>
              <w:jc w:val="both"/>
              <w:rPr>
                <w:color w:val="000000" w:themeColor="text1"/>
                <w:w w:val="100"/>
                <w:sz w:val="24"/>
                <w14:textFill>
                  <w14:solidFill>
                    <w14:schemeClr w14:val="tx1"/>
                  </w14:solidFill>
                </w14:textFill>
              </w:rPr>
            </w:pPr>
            <w:r>
              <w:rPr>
                <w:rFonts w:hint="eastAsia"/>
                <w:color w:val="000000" w:themeColor="text1"/>
                <w:w w:val="100"/>
                <w:sz w:val="24"/>
                <w14:textFill>
                  <w14:solidFill>
                    <w14:schemeClr w14:val="tx1"/>
                  </w14:solidFill>
                </w14:textFill>
              </w:rPr>
              <w:t>由以上分析结果可知，</w:t>
            </w:r>
            <w:r>
              <w:rPr>
                <w:color w:val="000000" w:themeColor="text1"/>
                <w:w w:val="100"/>
                <w:sz w:val="24"/>
                <w14:textFill>
                  <w14:solidFill>
                    <w14:schemeClr w14:val="tx1"/>
                  </w14:solidFill>
                </w14:textFill>
              </w:rPr>
              <w:t>项目符合</w:t>
            </w:r>
            <w:r>
              <w:rPr>
                <w:rFonts w:hint="eastAsia"/>
                <w:color w:val="000000" w:themeColor="text1"/>
                <w:w w:val="100"/>
                <w:sz w:val="24"/>
                <w14:textFill>
                  <w14:solidFill>
                    <w14:schemeClr w14:val="tx1"/>
                  </w14:solidFill>
                </w14:textFill>
              </w:rPr>
              <w:t>“三线一单”的相关要求。</w:t>
            </w:r>
          </w:p>
          <w:p w14:paraId="66E34A3F">
            <w:pPr>
              <w:autoSpaceDE w:val="0"/>
              <w:autoSpaceDN w:val="0"/>
              <w:adjustRightInd w:val="0"/>
              <w:snapToGrid w:val="0"/>
              <w:spacing w:line="360" w:lineRule="auto"/>
              <w:ind w:firstLine="482" w:firstLineChars="200"/>
              <w:rPr>
                <w:sz w:val="24"/>
              </w:rPr>
            </w:pPr>
            <w:r>
              <w:rPr>
                <w:b/>
                <w:sz w:val="24"/>
              </w:rPr>
              <w:t>4</w:t>
            </w:r>
            <w:r>
              <w:rPr>
                <w:rFonts w:hint="eastAsia"/>
                <w:b/>
                <w:sz w:val="24"/>
              </w:rPr>
              <w:t>、空间规划符合性分析</w:t>
            </w:r>
          </w:p>
          <w:p w14:paraId="3873006F">
            <w:pPr>
              <w:autoSpaceDE w:val="0"/>
              <w:autoSpaceDN w:val="0"/>
              <w:adjustRightInd w:val="0"/>
              <w:snapToGrid w:val="0"/>
              <w:spacing w:line="360" w:lineRule="auto"/>
              <w:ind w:firstLine="480" w:firstLineChars="200"/>
              <w:rPr>
                <w:rFonts w:hint="eastAsia"/>
                <w:sz w:val="24"/>
              </w:rPr>
            </w:pPr>
            <w:r>
              <w:rPr>
                <w:rFonts w:hint="eastAsia"/>
                <w:sz w:val="24"/>
              </w:rPr>
              <w:t>根据《宽城县国土空间总体规划（</w:t>
            </w:r>
            <w:r>
              <w:rPr>
                <w:sz w:val="24"/>
              </w:rPr>
              <w:t>2021-2035</w:t>
            </w:r>
            <w:r>
              <w:rPr>
                <w:rFonts w:hint="eastAsia"/>
                <w:sz w:val="24"/>
              </w:rPr>
              <w:t>年）》，</w:t>
            </w:r>
            <w:r>
              <w:rPr>
                <w:rFonts w:hint="eastAsia"/>
                <w:sz w:val="24"/>
                <w:lang w:eastAsia="zh-CN"/>
              </w:rPr>
              <w:t>优先</w:t>
            </w:r>
            <w:r>
              <w:rPr>
                <w:rFonts w:hint="eastAsia"/>
                <w:sz w:val="24"/>
              </w:rPr>
              <w:t>构建“一心·两带·三区·多点”的国土空间开发保护总体格局</w:t>
            </w:r>
            <w:r>
              <w:rPr>
                <w:rFonts w:hint="eastAsia"/>
                <w:sz w:val="24"/>
                <w:lang w:eastAsia="zh-CN"/>
              </w:rPr>
              <w:t>。以国土空间开发保护底线为基础，统筹“山水林田湖草”等保护类要素和城乡建设、产业、交通等发展类要素布局，体现全域分区差异化发展策略。</w:t>
            </w:r>
            <w:r>
              <w:rPr>
                <w:rFonts w:hint="eastAsia"/>
                <w:sz w:val="24"/>
                <w:lang w:val="en-US" w:eastAsia="zh-CN"/>
              </w:rPr>
              <w:t>一心：“以县城为核心，建设繁荣活力、生态宜居、满族风情、安全韧性的现代化城市，辐射带动全域发展，两带：生态农业文旅融合发展带和钒钛新材料循环经济发展带，三区：生态旅游区、绿色矿业示范区、生态农业区，多点：点状培育产业特色鲜明、人文气息浓厚、生态环境优美的特色小镇”</w:t>
            </w:r>
            <w:r>
              <w:rPr>
                <w:rFonts w:hint="eastAsia"/>
                <w:sz w:val="24"/>
              </w:rPr>
              <w:t>。</w:t>
            </w:r>
          </w:p>
          <w:p w14:paraId="79CD6585">
            <w:pPr>
              <w:autoSpaceDE w:val="0"/>
              <w:autoSpaceDN w:val="0"/>
              <w:adjustRightInd w:val="0"/>
              <w:snapToGrid w:val="0"/>
              <w:spacing w:line="360" w:lineRule="auto"/>
              <w:ind w:firstLine="480" w:firstLineChars="200"/>
              <w:rPr>
                <w:sz w:val="24"/>
              </w:rPr>
            </w:pPr>
            <w:r>
              <w:rPr>
                <w:rFonts w:hint="eastAsia"/>
                <w:sz w:val="24"/>
              </w:rPr>
              <w:t>项目</w:t>
            </w:r>
            <w:r>
              <w:rPr>
                <w:rFonts w:hint="eastAsia"/>
                <w:sz w:val="24"/>
                <w:lang w:val="en-US" w:eastAsia="zh-CN"/>
              </w:rPr>
              <w:t>选址位于宽城满族自治县龙须门镇经济开发区，属于三区中的绿色矿业示范区</w:t>
            </w:r>
            <w:r>
              <w:rPr>
                <w:rFonts w:hint="eastAsia" w:ascii="Times New Roman" w:hAnsi="Times New Roman" w:eastAsia="宋体" w:cs="Times New Roman"/>
                <w:sz w:val="24"/>
              </w:rPr>
              <w:t>，</w:t>
            </w:r>
            <w:r>
              <w:rPr>
                <w:rFonts w:hint="eastAsia" w:ascii="Times New Roman" w:hAnsi="Times New Roman" w:eastAsia="宋体" w:cs="Times New Roman"/>
                <w:sz w:val="24"/>
                <w:lang w:val="en-US" w:eastAsia="zh-CN"/>
              </w:rPr>
              <w:t>所属行业为N7724危险废物治理</w:t>
            </w:r>
            <w:r>
              <w:rPr>
                <w:rFonts w:hint="eastAsia" w:ascii="Times New Roman" w:hAnsi="Times New Roman" w:eastAsia="宋体" w:cs="Times New Roman"/>
                <w:sz w:val="24"/>
              </w:rPr>
              <w:t>，</w:t>
            </w:r>
            <w:r>
              <w:rPr>
                <w:rFonts w:hint="eastAsia" w:eastAsia="宋体"/>
                <w:sz w:val="24"/>
                <w:lang w:val="en-US" w:eastAsia="zh-CN"/>
              </w:rPr>
              <w:t>为</w:t>
            </w:r>
            <w:r>
              <w:rPr>
                <w:rFonts w:hint="eastAsia"/>
                <w:sz w:val="24"/>
                <w:lang w:val="en-US" w:eastAsia="zh-CN"/>
              </w:rPr>
              <w:t>绿色矿业示范区的发展提供基础设施保障</w:t>
            </w:r>
            <w:r>
              <w:rPr>
                <w:rFonts w:hint="eastAsia"/>
                <w:sz w:val="24"/>
              </w:rPr>
              <w:t>，综上，项目符合《宽城县国土空间总体规划（</w:t>
            </w:r>
            <w:r>
              <w:rPr>
                <w:sz w:val="24"/>
              </w:rPr>
              <w:t>2021-2035</w:t>
            </w:r>
            <w:r>
              <w:rPr>
                <w:rFonts w:hint="eastAsia"/>
                <w:sz w:val="24"/>
              </w:rPr>
              <w:t>年）》的要求。</w:t>
            </w:r>
          </w:p>
          <w:p w14:paraId="7EB766BA">
            <w:pPr>
              <w:autoSpaceDE w:val="0"/>
              <w:autoSpaceDN w:val="0"/>
              <w:adjustRightInd w:val="0"/>
              <w:snapToGrid w:val="0"/>
              <w:spacing w:line="360" w:lineRule="auto"/>
              <w:ind w:firstLine="482" w:firstLineChars="200"/>
              <w:rPr>
                <w:b/>
                <w:bCs/>
                <w:kern w:val="0"/>
                <w:sz w:val="24"/>
              </w:rPr>
            </w:pPr>
            <w:r>
              <w:rPr>
                <w:b/>
                <w:sz w:val="24"/>
              </w:rPr>
              <w:t>5</w:t>
            </w:r>
            <w:r>
              <w:rPr>
                <w:rFonts w:hint="eastAsia"/>
                <w:b/>
                <w:sz w:val="24"/>
              </w:rPr>
              <w:t>、生态环境保护规划符合性分析</w:t>
            </w:r>
          </w:p>
          <w:p w14:paraId="2C4C3F32">
            <w:pPr>
              <w:spacing w:line="360" w:lineRule="auto"/>
              <w:ind w:firstLine="482" w:firstLineChars="200"/>
              <w:rPr>
                <w:b/>
                <w:sz w:val="24"/>
              </w:rPr>
            </w:pPr>
            <w:r>
              <w:rPr>
                <w:rFonts w:hint="eastAsia"/>
                <w:b/>
                <w:sz w:val="24"/>
              </w:rPr>
              <w:t>（1）与《承德市城市总体规划（2016-2030年）》符合性分析</w:t>
            </w:r>
          </w:p>
          <w:p w14:paraId="4F251E70">
            <w:pPr>
              <w:autoSpaceDE w:val="0"/>
              <w:autoSpaceDN w:val="0"/>
              <w:adjustRightInd w:val="0"/>
              <w:snapToGrid w:val="0"/>
              <w:spacing w:line="360" w:lineRule="auto"/>
              <w:ind w:firstLine="480" w:firstLineChars="200"/>
              <w:rPr>
                <w:sz w:val="24"/>
              </w:rPr>
            </w:pPr>
            <w:r>
              <w:rPr>
                <w:rFonts w:hint="eastAsia"/>
                <w:sz w:val="24"/>
              </w:rPr>
              <w:t>《承德市城市总体规划》（</w:t>
            </w:r>
            <w:r>
              <w:rPr>
                <w:sz w:val="24"/>
              </w:rPr>
              <w:t>2016-2030</w:t>
            </w:r>
            <w:r>
              <w:rPr>
                <w:rFonts w:hint="eastAsia"/>
                <w:sz w:val="24"/>
              </w:rPr>
              <w:t>年）将承德市划分出一级区两个，即坝上高原生态区、冀北及燕山山地生态区；生态亚区六个，即坝上高原西部草原生态亚区、坝上高原东部森林草原生态亚区、冀北山地森林生态亚区、七老图山森林灌草生态亚区、燕山山地南部林果生态亚区、城市规划发展生态亚区。</w:t>
            </w:r>
          </w:p>
          <w:p w14:paraId="6ED7D867">
            <w:pPr>
              <w:autoSpaceDE w:val="0"/>
              <w:autoSpaceDN w:val="0"/>
              <w:adjustRightInd w:val="0"/>
              <w:snapToGrid w:val="0"/>
              <w:spacing w:line="360" w:lineRule="auto"/>
              <w:ind w:firstLine="480" w:firstLineChars="200"/>
              <w:rPr>
                <w:sz w:val="24"/>
              </w:rPr>
            </w:pPr>
            <w:r>
              <w:rPr>
                <w:rFonts w:hint="eastAsia"/>
                <w:sz w:val="24"/>
              </w:rPr>
              <w:t>项目所在区域为</w:t>
            </w:r>
            <w:r>
              <w:rPr>
                <w:rFonts w:hint="eastAsia"/>
                <w:sz w:val="24"/>
                <w:lang w:val="en-US" w:eastAsia="zh-CN"/>
              </w:rPr>
              <w:t>宽城满族自治县经济开发区</w:t>
            </w:r>
            <w:r>
              <w:rPr>
                <w:rFonts w:hint="eastAsia"/>
                <w:sz w:val="24"/>
              </w:rPr>
              <w:t>，根据承德市总体规划，属于</w:t>
            </w:r>
            <w:r>
              <w:rPr>
                <w:sz w:val="24"/>
              </w:rPr>
              <w:t>“</w:t>
            </w:r>
            <w:r>
              <w:rPr>
                <w:rFonts w:hint="eastAsia"/>
                <w:sz w:val="24"/>
              </w:rPr>
              <w:t>冀北及燕山山地生态区（</w:t>
            </w:r>
            <w:r>
              <w:rPr>
                <w:sz w:val="24"/>
              </w:rPr>
              <w:t>Ⅱ</w:t>
            </w:r>
            <w:r>
              <w:rPr>
                <w:rFonts w:hint="eastAsia"/>
                <w:sz w:val="24"/>
              </w:rPr>
              <w:t>）</w:t>
            </w:r>
            <w:r>
              <w:rPr>
                <w:sz w:val="24"/>
              </w:rPr>
              <w:t>——</w:t>
            </w:r>
            <w:r>
              <w:rPr>
                <w:rFonts w:hint="eastAsia"/>
                <w:sz w:val="24"/>
                <w:lang w:val="en-US" w:eastAsia="zh-CN"/>
              </w:rPr>
              <w:t>燕山山地南部林果生态亚区</w:t>
            </w:r>
            <w:r>
              <w:rPr>
                <w:rFonts w:hint="eastAsia"/>
                <w:sz w:val="24"/>
              </w:rPr>
              <w:t>（</w:t>
            </w:r>
            <w:r>
              <w:rPr>
                <w:sz w:val="24"/>
              </w:rPr>
              <w:t>Ⅱ-</w:t>
            </w:r>
            <w:r>
              <w:rPr>
                <w:rFonts w:hint="eastAsia"/>
                <w:sz w:val="24"/>
                <w:lang w:val="en-US" w:eastAsia="zh-CN"/>
              </w:rPr>
              <w:t>4</w:t>
            </w:r>
            <w:r>
              <w:rPr>
                <w:rFonts w:hint="eastAsia"/>
                <w:sz w:val="24"/>
              </w:rPr>
              <w:t>）</w:t>
            </w:r>
            <w:r>
              <w:rPr>
                <w:sz w:val="24"/>
              </w:rPr>
              <w:t>——</w:t>
            </w:r>
            <w:r>
              <w:rPr>
                <w:rFonts w:hint="eastAsia"/>
                <w:sz w:val="24"/>
                <w:lang w:val="en-US" w:eastAsia="zh-CN"/>
              </w:rPr>
              <w:t>宽城都山生物多样性保护、水土保持功能区</w:t>
            </w:r>
            <w:r>
              <w:rPr>
                <w:rFonts w:hint="eastAsia"/>
                <w:sz w:val="24"/>
              </w:rPr>
              <w:t>（</w:t>
            </w:r>
            <w:r>
              <w:rPr>
                <w:sz w:val="24"/>
              </w:rPr>
              <w:t>Ⅱ-</w:t>
            </w:r>
            <w:r>
              <w:rPr>
                <w:rFonts w:hint="eastAsia"/>
                <w:sz w:val="24"/>
                <w:lang w:val="en-US" w:eastAsia="zh-CN"/>
              </w:rPr>
              <w:t>4</w:t>
            </w:r>
            <w:r>
              <w:rPr>
                <w:sz w:val="24"/>
              </w:rPr>
              <w:t>-</w:t>
            </w:r>
            <w:r>
              <w:rPr>
                <w:rFonts w:hint="eastAsia"/>
                <w:sz w:val="24"/>
                <w:lang w:val="en-US" w:eastAsia="zh-CN"/>
              </w:rPr>
              <w:t>8</w:t>
            </w:r>
            <w:r>
              <w:rPr>
                <w:rFonts w:hint="eastAsia"/>
                <w:sz w:val="24"/>
              </w:rPr>
              <w:t>）</w:t>
            </w:r>
            <w:r>
              <w:rPr>
                <w:sz w:val="24"/>
              </w:rPr>
              <w:t>”</w:t>
            </w:r>
            <w:r>
              <w:rPr>
                <w:rFonts w:hint="eastAsia"/>
                <w:sz w:val="24"/>
              </w:rPr>
              <w:t>。</w:t>
            </w:r>
          </w:p>
          <w:p w14:paraId="6995D111">
            <w:pPr>
              <w:autoSpaceDE w:val="0"/>
              <w:autoSpaceDN w:val="0"/>
              <w:adjustRightInd w:val="0"/>
              <w:snapToGrid w:val="0"/>
              <w:spacing w:line="360" w:lineRule="auto"/>
              <w:ind w:firstLine="480" w:firstLineChars="200"/>
              <w:rPr>
                <w:sz w:val="24"/>
              </w:rPr>
            </w:pPr>
            <w:r>
              <w:rPr>
                <w:rFonts w:hint="eastAsia"/>
                <w:sz w:val="24"/>
              </w:rPr>
              <w:t>《承德市城市总体规划》（</w:t>
            </w:r>
            <w:r>
              <w:rPr>
                <w:sz w:val="24"/>
              </w:rPr>
              <w:t>2016-2030</w:t>
            </w:r>
            <w:r>
              <w:rPr>
                <w:rFonts w:hint="eastAsia"/>
                <w:sz w:val="24"/>
              </w:rPr>
              <w:t>年）生态功能区如下图所示：</w:t>
            </w:r>
          </w:p>
          <w:p w14:paraId="326399C3">
            <w:pPr>
              <w:autoSpaceDE w:val="0"/>
              <w:autoSpaceDN w:val="0"/>
              <w:adjustRightInd w:val="0"/>
              <w:snapToGrid w:val="0"/>
              <w:spacing w:line="360" w:lineRule="auto"/>
              <w:jc w:val="center"/>
              <w:rPr>
                <w:color w:val="000000" w:themeColor="text1"/>
                <w:sz w:val="24"/>
                <w14:textFill>
                  <w14:solidFill>
                    <w14:schemeClr w14:val="tx1"/>
                  </w14:solidFill>
                </w14:textFill>
              </w:rPr>
            </w:pPr>
            <w:r>
              <w:drawing>
                <wp:inline distT="0" distB="0" distL="114300" distR="114300">
                  <wp:extent cx="3547745" cy="3191510"/>
                  <wp:effectExtent l="0" t="0" r="14605" b="8890"/>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13"/>
                          <a:stretch>
                            <a:fillRect/>
                          </a:stretch>
                        </pic:blipFill>
                        <pic:spPr>
                          <a:xfrm>
                            <a:off x="0" y="0"/>
                            <a:ext cx="3547745" cy="3191510"/>
                          </a:xfrm>
                          <a:prstGeom prst="rect">
                            <a:avLst/>
                          </a:prstGeom>
                          <a:noFill/>
                          <a:ln>
                            <a:noFill/>
                          </a:ln>
                        </pic:spPr>
                      </pic:pic>
                    </a:graphicData>
                  </a:graphic>
                </wp:inline>
              </w:drawing>
            </w:r>
          </w:p>
          <w:p w14:paraId="3676FBED">
            <w:pPr>
              <w:pStyle w:val="48"/>
              <w:widowControl w:val="0"/>
              <w:numPr>
                <w:ilvl w:val="0"/>
                <w:numId w:val="2"/>
              </w:numPr>
              <w:spacing w:line="360" w:lineRule="auto"/>
              <w:ind w:left="0" w:firstLine="0" w:firstLineChars="0"/>
              <w:jc w:val="center"/>
              <w:rPr>
                <w:rFonts w:ascii="宋体" w:hAnsi="宋体" w:eastAsia="宋体"/>
                <w:b/>
                <w:color w:val="000000" w:themeColor="text1"/>
                <w:sz w:val="21"/>
                <w14:textFill>
                  <w14:solidFill>
                    <w14:schemeClr w14:val="tx1"/>
                  </w14:solidFill>
                </w14:textFill>
              </w:rPr>
            </w:pPr>
            <w:r>
              <w:rPr>
                <w:rFonts w:hint="eastAsia" w:ascii="宋体" w:hAnsi="宋体" w:eastAsia="宋体"/>
                <w:b/>
                <w:color w:val="000000" w:themeColor="text1"/>
                <w:sz w:val="21"/>
                <w14:textFill>
                  <w14:solidFill>
                    <w14:schemeClr w14:val="tx1"/>
                  </w14:solidFill>
                </w14:textFill>
              </w:rPr>
              <w:t>项目位置与承德市市域环境功能区划位置关系图</w:t>
            </w:r>
          </w:p>
          <w:p w14:paraId="1A137EF5">
            <w:pPr>
              <w:spacing w:before="120" w:beforeLines="50" w:line="360" w:lineRule="auto"/>
              <w:ind w:firstLine="482"/>
              <w:rPr>
                <w:sz w:val="24"/>
              </w:rPr>
            </w:pPr>
            <w:r>
              <w:rPr>
                <w:rFonts w:hint="eastAsia"/>
                <w:sz w:val="24"/>
              </w:rPr>
              <w:t>该区域</w:t>
            </w:r>
            <w:r>
              <w:rPr>
                <w:sz w:val="24"/>
              </w:rPr>
              <w:t>主要生态环境问题、生态服务功能、建设方向及措施如下表所示。</w:t>
            </w:r>
          </w:p>
          <w:p w14:paraId="78FA3C64">
            <w:pPr>
              <w:pStyle w:val="48"/>
              <w:numPr>
                <w:ilvl w:val="0"/>
                <w:numId w:val="3"/>
              </w:numPr>
              <w:spacing w:line="360" w:lineRule="auto"/>
              <w:ind w:firstLineChars="0"/>
              <w:jc w:val="center"/>
              <w:rPr>
                <w:rFonts w:ascii="Times New Roman" w:hAnsi="Times New Roman" w:eastAsia="宋体"/>
                <w:b/>
                <w:sz w:val="21"/>
                <w:szCs w:val="21"/>
              </w:rPr>
            </w:pPr>
            <w:r>
              <w:rPr>
                <w:rFonts w:ascii="Times New Roman" w:hAnsi="Times New Roman" w:eastAsia="宋体"/>
                <w:b/>
                <w:bCs/>
                <w:sz w:val="21"/>
                <w:szCs w:val="21"/>
              </w:rPr>
              <w:t>承德市总体规划中生态功能区划相关功能分区</w:t>
            </w:r>
          </w:p>
          <w:tbl>
            <w:tblPr>
              <w:tblStyle w:val="21"/>
              <w:tblW w:w="498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8"/>
              <w:gridCol w:w="806"/>
              <w:gridCol w:w="1054"/>
              <w:gridCol w:w="1542"/>
              <w:gridCol w:w="1021"/>
              <w:gridCol w:w="2924"/>
            </w:tblGrid>
            <w:tr w14:paraId="41580F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439" w:type="pct"/>
                  <w:tcBorders>
                    <w:top w:val="single" w:color="auto" w:sz="4" w:space="0"/>
                    <w:left w:val="single" w:color="auto" w:sz="4" w:space="0"/>
                    <w:bottom w:val="single" w:color="auto" w:sz="4" w:space="0"/>
                    <w:right w:val="single" w:color="auto" w:sz="4" w:space="0"/>
                  </w:tcBorders>
                  <w:vAlign w:val="center"/>
                </w:tcPr>
                <w:p w14:paraId="32EBBBCB">
                  <w:pPr>
                    <w:snapToGrid w:val="0"/>
                    <w:jc w:val="center"/>
                    <w:rPr>
                      <w:b/>
                      <w:bCs/>
                      <w:color w:val="000000"/>
                      <w:szCs w:val="21"/>
                    </w:rPr>
                  </w:pPr>
                  <w:r>
                    <w:rPr>
                      <w:b/>
                      <w:bCs/>
                      <w:color w:val="000000"/>
                      <w:szCs w:val="21"/>
                    </w:rPr>
                    <w:t>生态区</w:t>
                  </w:r>
                </w:p>
              </w:tc>
              <w:tc>
                <w:tcPr>
                  <w:tcW w:w="500" w:type="pct"/>
                  <w:tcBorders>
                    <w:top w:val="single" w:color="auto" w:sz="4" w:space="0"/>
                    <w:left w:val="nil"/>
                    <w:bottom w:val="single" w:color="auto" w:sz="4" w:space="0"/>
                    <w:right w:val="single" w:color="auto" w:sz="4" w:space="0"/>
                  </w:tcBorders>
                  <w:vAlign w:val="center"/>
                </w:tcPr>
                <w:p w14:paraId="18903124">
                  <w:pPr>
                    <w:snapToGrid w:val="0"/>
                    <w:jc w:val="center"/>
                    <w:rPr>
                      <w:b/>
                      <w:bCs/>
                      <w:color w:val="000000"/>
                      <w:szCs w:val="21"/>
                    </w:rPr>
                  </w:pPr>
                  <w:r>
                    <w:rPr>
                      <w:b/>
                      <w:bCs/>
                      <w:color w:val="000000"/>
                      <w:szCs w:val="21"/>
                    </w:rPr>
                    <w:t>生态亚区</w:t>
                  </w:r>
                </w:p>
              </w:tc>
              <w:tc>
                <w:tcPr>
                  <w:tcW w:w="654" w:type="pct"/>
                  <w:tcBorders>
                    <w:top w:val="single" w:color="auto" w:sz="4" w:space="0"/>
                    <w:left w:val="nil"/>
                    <w:bottom w:val="single" w:color="auto" w:sz="4" w:space="0"/>
                    <w:right w:val="single" w:color="auto" w:sz="4" w:space="0"/>
                  </w:tcBorders>
                  <w:vAlign w:val="center"/>
                </w:tcPr>
                <w:p w14:paraId="6EB9F61C">
                  <w:pPr>
                    <w:snapToGrid w:val="0"/>
                    <w:jc w:val="center"/>
                    <w:rPr>
                      <w:b/>
                      <w:bCs/>
                      <w:color w:val="000000"/>
                      <w:szCs w:val="21"/>
                    </w:rPr>
                  </w:pPr>
                  <w:r>
                    <w:rPr>
                      <w:b/>
                      <w:bCs/>
                      <w:color w:val="000000"/>
                      <w:szCs w:val="21"/>
                    </w:rPr>
                    <w:t>生态功能区</w:t>
                  </w:r>
                </w:p>
              </w:tc>
              <w:tc>
                <w:tcPr>
                  <w:tcW w:w="957" w:type="pct"/>
                  <w:tcBorders>
                    <w:top w:val="single" w:color="auto" w:sz="4" w:space="0"/>
                    <w:left w:val="nil"/>
                    <w:bottom w:val="single" w:color="auto" w:sz="4" w:space="0"/>
                    <w:right w:val="single" w:color="auto" w:sz="4" w:space="0"/>
                  </w:tcBorders>
                  <w:vAlign w:val="center"/>
                </w:tcPr>
                <w:p w14:paraId="6F238DAD">
                  <w:pPr>
                    <w:snapToGrid w:val="0"/>
                    <w:jc w:val="center"/>
                    <w:rPr>
                      <w:b/>
                      <w:bCs/>
                      <w:color w:val="000000"/>
                      <w:szCs w:val="21"/>
                    </w:rPr>
                  </w:pPr>
                  <w:r>
                    <w:rPr>
                      <w:b/>
                      <w:bCs/>
                      <w:color w:val="000000"/>
                      <w:szCs w:val="21"/>
                    </w:rPr>
                    <w:t>主要生态环境问题</w:t>
                  </w:r>
                </w:p>
              </w:tc>
              <w:tc>
                <w:tcPr>
                  <w:tcW w:w="634" w:type="pct"/>
                  <w:tcBorders>
                    <w:top w:val="single" w:color="auto" w:sz="4" w:space="0"/>
                    <w:left w:val="nil"/>
                    <w:bottom w:val="single" w:color="auto" w:sz="4" w:space="0"/>
                    <w:right w:val="single" w:color="auto" w:sz="4" w:space="0"/>
                  </w:tcBorders>
                  <w:vAlign w:val="center"/>
                </w:tcPr>
                <w:p w14:paraId="41FF0947">
                  <w:pPr>
                    <w:snapToGrid w:val="0"/>
                    <w:jc w:val="center"/>
                    <w:rPr>
                      <w:b/>
                      <w:bCs/>
                      <w:color w:val="000000"/>
                      <w:szCs w:val="21"/>
                    </w:rPr>
                  </w:pPr>
                  <w:r>
                    <w:rPr>
                      <w:b/>
                      <w:bCs/>
                      <w:color w:val="000000"/>
                      <w:szCs w:val="21"/>
                    </w:rPr>
                    <w:t>生态服务功能</w:t>
                  </w:r>
                </w:p>
              </w:tc>
              <w:tc>
                <w:tcPr>
                  <w:tcW w:w="1815" w:type="pct"/>
                  <w:tcBorders>
                    <w:top w:val="single" w:color="auto" w:sz="4" w:space="0"/>
                    <w:left w:val="nil"/>
                    <w:bottom w:val="single" w:color="auto" w:sz="4" w:space="0"/>
                    <w:right w:val="single" w:color="auto" w:sz="4" w:space="0"/>
                  </w:tcBorders>
                  <w:vAlign w:val="center"/>
                </w:tcPr>
                <w:p w14:paraId="7013C421">
                  <w:pPr>
                    <w:snapToGrid w:val="0"/>
                    <w:jc w:val="center"/>
                    <w:rPr>
                      <w:b/>
                      <w:bCs/>
                      <w:color w:val="000000"/>
                      <w:szCs w:val="21"/>
                    </w:rPr>
                  </w:pPr>
                  <w:r>
                    <w:rPr>
                      <w:b/>
                      <w:bCs/>
                      <w:color w:val="000000"/>
                      <w:szCs w:val="21"/>
                    </w:rPr>
                    <w:t>建设方向及措施</w:t>
                  </w:r>
                </w:p>
              </w:tc>
            </w:tr>
            <w:tr w14:paraId="3C6E50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8" w:hRule="atLeast"/>
                <w:jc w:val="center"/>
              </w:trPr>
              <w:tc>
                <w:tcPr>
                  <w:tcW w:w="439" w:type="pct"/>
                  <w:tcBorders>
                    <w:top w:val="single" w:color="auto" w:sz="4" w:space="0"/>
                    <w:left w:val="single" w:color="auto" w:sz="4" w:space="0"/>
                    <w:bottom w:val="single" w:color="auto" w:sz="4" w:space="0"/>
                    <w:right w:val="single" w:color="auto" w:sz="4" w:space="0"/>
                  </w:tcBorders>
                  <w:vAlign w:val="center"/>
                </w:tcPr>
                <w:p w14:paraId="6A683E08">
                  <w:pPr>
                    <w:snapToGrid w:val="0"/>
                    <w:jc w:val="center"/>
                    <w:rPr>
                      <w:color w:val="000000"/>
                      <w:szCs w:val="21"/>
                    </w:rPr>
                  </w:pPr>
                  <w:r>
                    <w:rPr>
                      <w:rFonts w:hint="eastAsia"/>
                      <w:szCs w:val="21"/>
                    </w:rPr>
                    <w:t>冀北及燕山山地生态区</w:t>
                  </w:r>
                  <w:r>
                    <w:rPr>
                      <w:szCs w:val="21"/>
                    </w:rPr>
                    <w:t>Ⅱ</w:t>
                  </w:r>
                </w:p>
              </w:tc>
              <w:tc>
                <w:tcPr>
                  <w:tcW w:w="500" w:type="pct"/>
                  <w:tcBorders>
                    <w:top w:val="single" w:color="auto" w:sz="4" w:space="0"/>
                    <w:left w:val="nil"/>
                    <w:bottom w:val="single" w:color="auto" w:sz="4" w:space="0"/>
                    <w:right w:val="single" w:color="auto" w:sz="4" w:space="0"/>
                  </w:tcBorders>
                  <w:vAlign w:val="center"/>
                </w:tcPr>
                <w:p w14:paraId="3C209C90">
                  <w:pPr>
                    <w:snapToGrid w:val="0"/>
                    <w:jc w:val="center"/>
                    <w:rPr>
                      <w:rFonts w:hint="eastAsia" w:eastAsia="宋体"/>
                      <w:color w:val="000000"/>
                      <w:szCs w:val="21"/>
                      <w:lang w:val="en-US" w:eastAsia="zh-CN"/>
                    </w:rPr>
                  </w:pPr>
                  <w:r>
                    <w:rPr>
                      <w:rFonts w:hint="eastAsia"/>
                      <w:szCs w:val="21"/>
                    </w:rPr>
                    <w:t>燕山山地南部林果生态亚区</w:t>
                  </w:r>
                  <w:r>
                    <w:rPr>
                      <w:szCs w:val="21"/>
                    </w:rPr>
                    <w:t>Ⅱ-</w:t>
                  </w:r>
                  <w:r>
                    <w:rPr>
                      <w:rFonts w:hint="eastAsia"/>
                      <w:szCs w:val="21"/>
                      <w:lang w:val="en-US" w:eastAsia="zh-CN"/>
                    </w:rPr>
                    <w:t>4</w:t>
                  </w:r>
                </w:p>
              </w:tc>
              <w:tc>
                <w:tcPr>
                  <w:tcW w:w="654" w:type="pct"/>
                  <w:tcBorders>
                    <w:top w:val="single" w:color="auto" w:sz="4" w:space="0"/>
                    <w:left w:val="nil"/>
                    <w:bottom w:val="single" w:color="auto" w:sz="4" w:space="0"/>
                    <w:right w:val="single" w:color="auto" w:sz="4" w:space="0"/>
                  </w:tcBorders>
                  <w:vAlign w:val="center"/>
                </w:tcPr>
                <w:p w14:paraId="4A230A1E">
                  <w:pPr>
                    <w:snapToGrid w:val="0"/>
                    <w:jc w:val="center"/>
                    <w:rPr>
                      <w:color w:val="000000"/>
                      <w:szCs w:val="21"/>
                    </w:rPr>
                  </w:pPr>
                  <w:r>
                    <w:rPr>
                      <w:rFonts w:hint="eastAsia"/>
                      <w:szCs w:val="21"/>
                    </w:rPr>
                    <w:t>宽城都山生物多样性保护、水土保持功能区（</w:t>
                  </w:r>
                  <w:r>
                    <w:rPr>
                      <w:szCs w:val="21"/>
                    </w:rPr>
                    <w:t>Ⅱ-</w:t>
                  </w:r>
                  <w:r>
                    <w:rPr>
                      <w:rFonts w:hint="eastAsia"/>
                      <w:szCs w:val="21"/>
                      <w:lang w:val="en-US" w:eastAsia="zh-CN"/>
                    </w:rPr>
                    <w:t>4</w:t>
                  </w:r>
                  <w:r>
                    <w:rPr>
                      <w:szCs w:val="21"/>
                    </w:rPr>
                    <w:t>-</w:t>
                  </w:r>
                  <w:r>
                    <w:rPr>
                      <w:rFonts w:hint="eastAsia"/>
                      <w:szCs w:val="21"/>
                      <w:lang w:val="en-US" w:eastAsia="zh-CN"/>
                    </w:rPr>
                    <w:t>8</w:t>
                  </w:r>
                  <w:r>
                    <w:rPr>
                      <w:rFonts w:hint="eastAsia"/>
                      <w:szCs w:val="21"/>
                    </w:rPr>
                    <w:t>）</w:t>
                  </w:r>
                </w:p>
              </w:tc>
              <w:tc>
                <w:tcPr>
                  <w:tcW w:w="957" w:type="pct"/>
                  <w:tcBorders>
                    <w:top w:val="single" w:color="auto" w:sz="4" w:space="0"/>
                    <w:left w:val="nil"/>
                    <w:bottom w:val="single" w:color="auto" w:sz="4" w:space="0"/>
                    <w:right w:val="single" w:color="auto" w:sz="4" w:space="0"/>
                  </w:tcBorders>
                  <w:vAlign w:val="center"/>
                </w:tcPr>
                <w:p w14:paraId="3D47F784">
                  <w:pPr>
                    <w:snapToGrid w:val="0"/>
                    <w:jc w:val="center"/>
                    <w:rPr>
                      <w:rFonts w:hint="default" w:eastAsia="宋体"/>
                      <w:color w:val="000000"/>
                      <w:szCs w:val="21"/>
                      <w:lang w:val="en-US" w:eastAsia="zh-CN"/>
                    </w:rPr>
                  </w:pPr>
                  <w:r>
                    <w:rPr>
                      <w:rFonts w:hint="eastAsia"/>
                      <w:szCs w:val="21"/>
                      <w:lang w:val="en-US" w:eastAsia="zh-CN"/>
                    </w:rPr>
                    <w:t>土地沙漠化、水土流失加剧，水资源奇缺，森林生态系统遭到破坏，生态系统脆弱</w:t>
                  </w:r>
                </w:p>
              </w:tc>
              <w:tc>
                <w:tcPr>
                  <w:tcW w:w="634" w:type="pct"/>
                  <w:tcBorders>
                    <w:top w:val="single" w:color="auto" w:sz="4" w:space="0"/>
                    <w:left w:val="nil"/>
                    <w:bottom w:val="single" w:color="auto" w:sz="4" w:space="0"/>
                    <w:right w:val="single" w:color="auto" w:sz="4" w:space="0"/>
                  </w:tcBorders>
                  <w:vAlign w:val="center"/>
                </w:tcPr>
                <w:p w14:paraId="0CEF5BE5">
                  <w:pPr>
                    <w:snapToGrid w:val="0"/>
                    <w:jc w:val="center"/>
                    <w:rPr>
                      <w:rFonts w:hint="default" w:eastAsia="宋体"/>
                      <w:color w:val="000000"/>
                      <w:szCs w:val="21"/>
                      <w:lang w:val="en-US" w:eastAsia="zh-CN"/>
                    </w:rPr>
                  </w:pPr>
                  <w:r>
                    <w:rPr>
                      <w:rFonts w:hint="eastAsia"/>
                      <w:szCs w:val="21"/>
                      <w:lang w:val="en-US" w:eastAsia="zh-CN"/>
                    </w:rPr>
                    <w:t>生物多样性保护、水土流失、洪水调蓄</w:t>
                  </w:r>
                </w:p>
              </w:tc>
              <w:tc>
                <w:tcPr>
                  <w:tcW w:w="1815" w:type="pct"/>
                  <w:tcBorders>
                    <w:top w:val="single" w:color="auto" w:sz="4" w:space="0"/>
                    <w:left w:val="nil"/>
                    <w:bottom w:val="single" w:color="auto" w:sz="4" w:space="0"/>
                    <w:right w:val="single" w:color="auto" w:sz="4" w:space="0"/>
                  </w:tcBorders>
                  <w:vAlign w:val="center"/>
                </w:tcPr>
                <w:p w14:paraId="55A52AF8">
                  <w:pPr>
                    <w:snapToGrid w:val="0"/>
                    <w:rPr>
                      <w:rFonts w:hint="default" w:eastAsia="宋体"/>
                      <w:color w:val="000000"/>
                      <w:szCs w:val="21"/>
                      <w:lang w:val="en-US" w:eastAsia="zh-CN"/>
                    </w:rPr>
                  </w:pPr>
                  <w:r>
                    <w:rPr>
                      <w:rFonts w:hint="eastAsia"/>
                      <w:szCs w:val="21"/>
                      <w:lang w:val="en-US" w:eastAsia="zh-CN"/>
                    </w:rPr>
                    <w:t>加快都山自然、人文资源旅游的开发，大力发展生态旅游业</w:t>
                  </w:r>
                  <w:r>
                    <w:rPr>
                      <w:rFonts w:hint="eastAsia"/>
                      <w:szCs w:val="21"/>
                    </w:rPr>
                    <w:t>。</w:t>
                  </w:r>
                  <w:r>
                    <w:rPr>
                      <w:rFonts w:hint="eastAsia"/>
                      <w:szCs w:val="21"/>
                      <w:lang w:val="en-US" w:eastAsia="zh-CN"/>
                    </w:rPr>
                    <w:t>加快旅游配套基础设施建设及相关旅游产品的开发，提高服务质量。加强旅游产业管理注重旅游建设项目与生态系统和原生景观的协调和融合；规范旅游经营活动和游客的行为，保证旅游安全；禁止在旅游区布置工业项目，保护旅游生态环境，实现旅游业的可持续发展。以控制水土流失为中心，以生物多样性保护和水源涵养为重点，通过综合治理，造林和封育相结合，提高植被覆盖率，恢复退化的草、灌、林植被和生态系统，提高水源涵养能力，治理水土流失</w:t>
                  </w:r>
                </w:p>
              </w:tc>
            </w:tr>
          </w:tbl>
          <w:p w14:paraId="64920607">
            <w:pPr>
              <w:spacing w:before="120" w:beforeLines="50" w:line="360" w:lineRule="auto"/>
              <w:ind w:firstLine="482"/>
              <w:rPr>
                <w:color w:val="000000" w:themeColor="text1"/>
                <w:sz w:val="24"/>
                <w14:textFill>
                  <w14:solidFill>
                    <w14:schemeClr w14:val="tx1"/>
                  </w14:solidFill>
                </w14:textFill>
              </w:rPr>
            </w:pPr>
            <w:r>
              <w:rPr>
                <w:rFonts w:hint="eastAsia"/>
                <w:sz w:val="24"/>
              </w:rPr>
              <w:t>项目租赁承德坤元环保科技有限公司厂房和场地进行建设，不破坏原有生态环境，</w:t>
            </w:r>
            <w:r>
              <w:rPr>
                <w:rFonts w:hint="eastAsia"/>
                <w:sz w:val="24"/>
                <w:lang w:val="en-US" w:eastAsia="zh-CN"/>
              </w:rPr>
              <w:t>现有厂区地面硬化、绿化，</w:t>
            </w:r>
            <w:r>
              <w:rPr>
                <w:rFonts w:hint="eastAsia"/>
                <w:sz w:val="24"/>
              </w:rPr>
              <w:t>与《承德市城市总体规划》（</w:t>
            </w:r>
            <w:r>
              <w:rPr>
                <w:sz w:val="24"/>
              </w:rPr>
              <w:t>2016-2030</w:t>
            </w:r>
            <w:r>
              <w:rPr>
                <w:rFonts w:hint="eastAsia"/>
                <w:sz w:val="24"/>
              </w:rPr>
              <w:t>）中的生态功能区划中该区域的生态服务功能和建设的方向不冲突。</w:t>
            </w:r>
          </w:p>
          <w:p w14:paraId="343BAF59">
            <w:pPr>
              <w:spacing w:line="360" w:lineRule="auto"/>
              <w:ind w:firstLine="482" w:firstLineChars="200"/>
              <w:rPr>
                <w:b/>
                <w:sz w:val="24"/>
              </w:rPr>
            </w:pPr>
            <w:r>
              <w:rPr>
                <w:rFonts w:hint="eastAsia"/>
                <w:b/>
                <w:sz w:val="24"/>
              </w:rPr>
              <w:t>（2）与《承德市生态环境保护“十四五”规划》符合性分析</w:t>
            </w:r>
          </w:p>
          <w:p w14:paraId="5CB7A81A">
            <w:pPr>
              <w:autoSpaceDE w:val="0"/>
              <w:autoSpaceDN w:val="0"/>
              <w:spacing w:line="360" w:lineRule="auto"/>
              <w:ind w:firstLine="480" w:firstLineChars="200"/>
              <w:rPr>
                <w:sz w:val="24"/>
              </w:rPr>
            </w:pPr>
            <w:r>
              <w:rPr>
                <w:rFonts w:hint="eastAsia"/>
                <w:sz w:val="24"/>
              </w:rPr>
              <w:t>根据《承德市生态环境保护“十四五”规划》（承市政字〔</w:t>
            </w:r>
            <w:r>
              <w:rPr>
                <w:sz w:val="24"/>
              </w:rPr>
              <w:t>2022</w:t>
            </w:r>
            <w:r>
              <w:rPr>
                <w:rFonts w:hint="eastAsia"/>
                <w:sz w:val="24"/>
              </w:rPr>
              <w:t>〕</w:t>
            </w:r>
            <w:r>
              <w:rPr>
                <w:sz w:val="24"/>
              </w:rPr>
              <w:t>16</w:t>
            </w:r>
            <w:r>
              <w:rPr>
                <w:rFonts w:hint="eastAsia"/>
                <w:sz w:val="24"/>
              </w:rPr>
              <w:t>号），要求推进重点行业产业优化转型，践行绿色低碳发展，落实降碳减排行动，积极应对气候变化，深入打好蓝天保卫战，强化协同共治，深入打好碧水保卫战，突出流域统筹，深入打好净土保卫战，强化风险管控，建立健全固体废物监管体系，强化源头减量及废物利用，着力加强生态文明建设，提升生态系统功能。</w:t>
            </w:r>
          </w:p>
          <w:p w14:paraId="0CB8D1A1">
            <w:pPr>
              <w:autoSpaceDE w:val="0"/>
              <w:autoSpaceDN w:val="0"/>
              <w:spacing w:line="360" w:lineRule="auto"/>
              <w:ind w:firstLine="480" w:firstLineChars="200"/>
              <w:rPr>
                <w:sz w:val="24"/>
              </w:rPr>
            </w:pPr>
            <w:r>
              <w:rPr>
                <w:rFonts w:hint="eastAsia"/>
                <w:sz w:val="24"/>
              </w:rPr>
              <w:t>项目所属行业为N7724危险废物治理，</w:t>
            </w:r>
            <w:r>
              <w:rPr>
                <w:rFonts w:hint="eastAsia"/>
                <w:sz w:val="24"/>
                <w:lang w:val="en-US" w:eastAsia="zh-CN"/>
              </w:rPr>
              <w:t>建立健全的危险废物管理体系，</w:t>
            </w:r>
            <w:r>
              <w:rPr>
                <w:rFonts w:hint="eastAsia"/>
                <w:sz w:val="24"/>
              </w:rPr>
              <w:t>生产过程中污染物产生量较小并拟采取相应治理措施，对环境影响较小，因此，项目的建设符合《承德市生态环境保护“十四五”规划》中相关要求。</w:t>
            </w:r>
          </w:p>
          <w:p w14:paraId="23E61388">
            <w:pPr>
              <w:spacing w:line="360" w:lineRule="auto"/>
              <w:ind w:firstLine="482"/>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w:t>
            </w:r>
            <w:r>
              <w:rPr>
                <w:b/>
                <w:color w:val="000000" w:themeColor="text1"/>
                <w:sz w:val="24"/>
                <w14:textFill>
                  <w14:solidFill>
                    <w14:schemeClr w14:val="tx1"/>
                  </w14:solidFill>
                </w14:textFill>
              </w:rPr>
              <w:t>3</w:t>
            </w:r>
            <w:r>
              <w:rPr>
                <w:rFonts w:hint="eastAsia"/>
                <w:b/>
                <w:color w:val="000000" w:themeColor="text1"/>
                <w:sz w:val="24"/>
                <w14:textFill>
                  <w14:solidFill>
                    <w14:schemeClr w14:val="tx1"/>
                  </w14:solidFill>
                </w14:textFill>
              </w:rPr>
              <w:t>）与《宽城满族自治县生态环境保护“十四五”规划》符合性分析</w:t>
            </w:r>
          </w:p>
          <w:p w14:paraId="0E3141D2">
            <w:pPr>
              <w:autoSpaceDE w:val="0"/>
              <w:autoSpaceDN w:val="0"/>
              <w:spacing w:line="360" w:lineRule="auto"/>
              <w:ind w:firstLine="480" w:firstLineChars="200"/>
              <w:rPr>
                <w:sz w:val="24"/>
              </w:rPr>
            </w:pPr>
            <w:r>
              <w:rPr>
                <w:rFonts w:hint="eastAsia"/>
                <w:sz w:val="24"/>
              </w:rPr>
              <w:t>加强危险废物环境监管，产生危险废物的单位，应当按照国家有关规定制定危险废物管理计划；建立危险废物管理台账，如实记录有关信息，并通过国家危险废物信息管理系统申报危险废物的种类、产生量、流向、贮存、处置等有关资料。产生、收集、贮存、运输、利用、处置危险废物的单位，应当依法制定意外事故的防范措施和应急预案。贮存危险废物应当采取符合国家环境保护标准的防护措施。禁止将危险废物混入非危险废物中贮存。重点推进全县危险废物协同处置工程，加强危险废物全过程环境监管。</w:t>
            </w:r>
          </w:p>
          <w:p w14:paraId="60A01819">
            <w:pPr>
              <w:autoSpaceDE w:val="0"/>
              <w:autoSpaceDN w:val="0"/>
              <w:spacing w:line="360" w:lineRule="auto"/>
              <w:ind w:firstLine="480" w:firstLineChars="200"/>
              <w:rPr>
                <w:sz w:val="24"/>
              </w:rPr>
            </w:pPr>
            <w:r>
              <w:rPr>
                <w:rFonts w:hint="eastAsia"/>
                <w:sz w:val="24"/>
              </w:rPr>
              <w:t>项目所属行业为N7724危险废物治理，</w:t>
            </w:r>
            <w:r>
              <w:rPr>
                <w:rFonts w:hint="eastAsia"/>
                <w:kern w:val="0"/>
                <w:sz w:val="24"/>
                <w:highlight w:val="none"/>
                <w:lang w:val="en-US" w:eastAsia="zh-CN"/>
              </w:rPr>
              <w:t>危险废物收集贮存库</w:t>
            </w:r>
            <w:r>
              <w:rPr>
                <w:rFonts w:hint="eastAsia"/>
                <w:sz w:val="24"/>
              </w:rPr>
              <w:t>采取符合国家环境保护标准的防护措施</w:t>
            </w:r>
            <w:r>
              <w:rPr>
                <w:rFonts w:hint="eastAsia"/>
                <w:sz w:val="24"/>
                <w:lang w:eastAsia="zh-CN"/>
              </w:rPr>
              <w:t>，</w:t>
            </w:r>
            <w:r>
              <w:rPr>
                <w:rFonts w:hint="eastAsia"/>
                <w:sz w:val="24"/>
                <w:lang w:val="en-US" w:eastAsia="zh-CN"/>
              </w:rPr>
              <w:t>企业运营期，</w:t>
            </w:r>
            <w:r>
              <w:rPr>
                <w:rFonts w:hint="eastAsia"/>
                <w:sz w:val="24"/>
              </w:rPr>
              <w:t>建立危险废物管理台账</w:t>
            </w:r>
            <w:r>
              <w:rPr>
                <w:rFonts w:hint="eastAsia"/>
                <w:sz w:val="24"/>
                <w:lang w:eastAsia="zh-CN"/>
              </w:rPr>
              <w:t>，</w:t>
            </w:r>
            <w:r>
              <w:rPr>
                <w:rFonts w:hint="eastAsia"/>
                <w:sz w:val="24"/>
              </w:rPr>
              <w:t>如实记录有关信息</w:t>
            </w:r>
            <w:r>
              <w:rPr>
                <w:rFonts w:hint="eastAsia"/>
                <w:sz w:val="24"/>
                <w:lang w:eastAsia="zh-CN"/>
              </w:rPr>
              <w:t>，</w:t>
            </w:r>
            <w:r>
              <w:rPr>
                <w:rFonts w:hint="eastAsia"/>
                <w:sz w:val="24"/>
                <w:lang w:val="en-US" w:eastAsia="zh-CN"/>
              </w:rPr>
              <w:t>并依法制定</w:t>
            </w:r>
            <w:r>
              <w:rPr>
                <w:rFonts w:hint="eastAsia"/>
                <w:sz w:val="24"/>
              </w:rPr>
              <w:t>意外事故的防范措施和应急预案</w:t>
            </w:r>
            <w:r>
              <w:rPr>
                <w:rFonts w:hint="eastAsia"/>
                <w:sz w:val="24"/>
                <w:lang w:eastAsia="zh-CN"/>
              </w:rPr>
              <w:t>，</w:t>
            </w:r>
            <w:r>
              <w:rPr>
                <w:rFonts w:hint="eastAsia"/>
                <w:sz w:val="24"/>
              </w:rPr>
              <w:t>符合《宽城满族自治县生态环境保护“十四五”规划》。</w:t>
            </w:r>
          </w:p>
          <w:p w14:paraId="303CBD6E">
            <w:pPr>
              <w:pStyle w:val="48"/>
              <w:widowControl w:val="0"/>
              <w:numPr>
                <w:ilvl w:val="0"/>
                <w:numId w:val="0"/>
              </w:numPr>
              <w:spacing w:line="360" w:lineRule="auto"/>
              <w:ind w:leftChars="0"/>
              <w:jc w:val="both"/>
              <w:rPr>
                <w:highlight w:val="green"/>
              </w:rPr>
            </w:pPr>
          </w:p>
        </w:tc>
      </w:tr>
    </w:tbl>
    <w:p w14:paraId="6A41AA17">
      <w:pPr>
        <w:spacing w:line="360" w:lineRule="auto"/>
        <w:outlineLvl w:val="0"/>
        <w:rPr>
          <w:rFonts w:eastAsia="黑体"/>
          <w:sz w:val="30"/>
          <w:highlight w:val="green"/>
        </w:rPr>
        <w:sectPr>
          <w:footerReference r:id="rId5" w:type="default"/>
          <w:pgSz w:w="11906" w:h="16838"/>
          <w:pgMar w:top="1701" w:right="1531" w:bottom="1701" w:left="1531" w:header="851" w:footer="1077" w:gutter="0"/>
          <w:pgNumType w:start="1"/>
          <w:cols w:space="720" w:num="1"/>
          <w:docGrid w:linePitch="312" w:charSpace="0"/>
        </w:sectPr>
      </w:pPr>
    </w:p>
    <w:p w14:paraId="71262A5C">
      <w:pPr>
        <w:pStyle w:val="19"/>
        <w:spacing w:before="120" w:beforeLines="50" w:beforeAutospacing="0" w:after="240" w:afterLines="100" w:afterAutospacing="0"/>
        <w:jc w:val="center"/>
        <w:outlineLvl w:val="0"/>
        <w:rPr>
          <w:rFonts w:ascii="黑体" w:hAnsi="黑体" w:eastAsia="黑体"/>
          <w:snapToGrid w:val="0"/>
          <w:sz w:val="30"/>
          <w:szCs w:val="30"/>
        </w:rPr>
      </w:pPr>
      <w:r>
        <w:rPr>
          <w:rFonts w:hint="eastAsia" w:ascii="黑体" w:hAnsi="黑体" w:eastAsia="黑体"/>
          <w:snapToGrid w:val="0"/>
          <w:sz w:val="30"/>
          <w:szCs w:val="30"/>
        </w:rPr>
        <w:t>二、建设项目工程分析</w:t>
      </w:r>
    </w:p>
    <w:tbl>
      <w:tblPr>
        <w:tblStyle w:val="21"/>
        <w:tblW w:w="898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8604"/>
      </w:tblGrid>
      <w:tr w14:paraId="12559F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823" w:type="dxa"/>
            <w:vAlign w:val="center"/>
          </w:tcPr>
          <w:p w14:paraId="6033FAC4">
            <w:pPr>
              <w:adjustRightInd w:val="0"/>
              <w:snapToGrid w:val="0"/>
              <w:jc w:val="center"/>
              <w:rPr>
                <w:rFonts w:ascii="宋体" w:hAnsi="宋体" w:cs="宋体"/>
                <w:kern w:val="0"/>
                <w:sz w:val="24"/>
                <w:highlight w:val="none"/>
              </w:rPr>
            </w:pPr>
            <w:r>
              <w:rPr>
                <w:rFonts w:hint="eastAsia" w:ascii="宋体" w:hAnsi="宋体" w:cs="宋体"/>
                <w:kern w:val="0"/>
                <w:sz w:val="24"/>
                <w:highlight w:val="none"/>
              </w:rPr>
              <w:t>建设内容</w:t>
            </w:r>
          </w:p>
        </w:tc>
        <w:tc>
          <w:tcPr>
            <w:tcW w:w="8161" w:type="dxa"/>
          </w:tcPr>
          <w:p w14:paraId="0059FAAD">
            <w:pPr>
              <w:spacing w:line="360" w:lineRule="auto"/>
              <w:ind w:firstLine="482" w:firstLineChars="200"/>
              <w:rPr>
                <w:rFonts w:hint="default" w:eastAsia="宋体"/>
                <w:b/>
                <w:sz w:val="24"/>
                <w:highlight w:val="none"/>
                <w:lang w:val="en-US" w:eastAsia="zh-CN"/>
              </w:rPr>
            </w:pPr>
            <w:r>
              <w:rPr>
                <w:rFonts w:hint="eastAsia"/>
                <w:b/>
                <w:sz w:val="24"/>
                <w:highlight w:val="none"/>
                <w:lang w:val="en-US" w:eastAsia="zh-CN"/>
              </w:rPr>
              <w:t>1</w:t>
            </w:r>
            <w:r>
              <w:rPr>
                <w:b/>
                <w:sz w:val="24"/>
                <w:highlight w:val="none"/>
              </w:rPr>
              <w:t>．</w:t>
            </w:r>
            <w:r>
              <w:rPr>
                <w:rFonts w:hint="eastAsia"/>
                <w:b/>
                <w:sz w:val="24"/>
                <w:highlight w:val="none"/>
              </w:rPr>
              <w:t>项目</w:t>
            </w:r>
            <w:r>
              <w:rPr>
                <w:rFonts w:hint="eastAsia"/>
                <w:b/>
                <w:sz w:val="24"/>
                <w:highlight w:val="none"/>
                <w:lang w:val="en-US" w:eastAsia="zh-CN"/>
              </w:rPr>
              <w:t>建设内容</w:t>
            </w:r>
          </w:p>
          <w:p w14:paraId="3325542C">
            <w:pPr>
              <w:spacing w:line="360" w:lineRule="auto"/>
              <w:ind w:firstLine="480"/>
              <w:rPr>
                <w:rFonts w:hint="eastAsia"/>
                <w:sz w:val="24"/>
                <w:highlight w:val="none"/>
              </w:rPr>
            </w:pPr>
            <w:r>
              <w:rPr>
                <w:rFonts w:hint="eastAsia"/>
                <w:sz w:val="24"/>
                <w:highlight w:val="none"/>
              </w:rPr>
              <w:t>项目租用承德坤元环保科技有限公司厂房和场地进行建设</w:t>
            </w:r>
            <w:r>
              <w:rPr>
                <w:rFonts w:hint="eastAsia"/>
                <w:sz w:val="24"/>
                <w:highlight w:val="none"/>
                <w:lang w:eastAsia="zh-CN"/>
              </w:rPr>
              <w:t>；</w:t>
            </w:r>
            <w:r>
              <w:rPr>
                <w:rFonts w:hint="eastAsia" w:ascii="Times New Roman" w:hAnsi="Times New Roman"/>
                <w:kern w:val="44"/>
                <w:sz w:val="24"/>
                <w:highlight w:val="none"/>
              </w:rPr>
              <w:t>对原有厂房进行改造</w:t>
            </w:r>
            <w:r>
              <w:rPr>
                <w:rFonts w:ascii="Times New Roman" w:hAnsi="Times New Roman"/>
                <w:kern w:val="44"/>
                <w:sz w:val="24"/>
                <w:highlight w:val="none"/>
              </w:rPr>
              <w:t>，建设</w:t>
            </w:r>
            <w:r>
              <w:rPr>
                <w:rFonts w:hint="eastAsia"/>
                <w:kern w:val="0"/>
                <w:sz w:val="24"/>
                <w:highlight w:val="none"/>
                <w:lang w:val="en-US" w:eastAsia="zh-CN"/>
              </w:rPr>
              <w:t>危险废物收集贮存库</w:t>
            </w:r>
            <w:r>
              <w:rPr>
                <w:rFonts w:hint="eastAsia" w:ascii="Times New Roman" w:hAnsi="Times New Roman"/>
                <w:kern w:val="44"/>
                <w:sz w:val="24"/>
                <w:highlight w:val="none"/>
                <w:lang w:val="en-US" w:eastAsia="zh-CN"/>
              </w:rPr>
              <w:t>2400</w:t>
            </w:r>
            <w:r>
              <w:rPr>
                <w:rFonts w:hint="eastAsia" w:ascii="Times New Roman" w:hAnsi="Times New Roman"/>
                <w:kern w:val="44"/>
                <w:sz w:val="24"/>
                <w:highlight w:val="none"/>
              </w:rPr>
              <w:t>m</w:t>
            </w:r>
            <w:r>
              <w:rPr>
                <w:rFonts w:hint="eastAsia" w:ascii="Times New Roman" w:hAnsi="Times New Roman"/>
                <w:kern w:val="44"/>
                <w:sz w:val="24"/>
                <w:highlight w:val="none"/>
                <w:vertAlign w:val="superscript"/>
              </w:rPr>
              <w:t>2</w:t>
            </w:r>
            <w:r>
              <w:rPr>
                <w:rFonts w:ascii="Times New Roman" w:hAnsi="Times New Roman"/>
                <w:kern w:val="44"/>
                <w:sz w:val="24"/>
                <w:highlight w:val="none"/>
              </w:rPr>
              <w:t>，</w:t>
            </w:r>
            <w:r>
              <w:rPr>
                <w:rFonts w:hint="eastAsia" w:ascii="Times New Roman" w:hAnsi="Times New Roman"/>
                <w:kern w:val="44"/>
                <w:sz w:val="24"/>
                <w:highlight w:val="none"/>
              </w:rPr>
              <w:t>铺设库房地面重点防渗区。</w:t>
            </w:r>
            <w:r>
              <w:rPr>
                <w:rFonts w:ascii="Times New Roman" w:hAnsi="Times New Roman"/>
                <w:kern w:val="44"/>
                <w:sz w:val="24"/>
                <w:highlight w:val="none"/>
              </w:rPr>
              <w:t>建成</w:t>
            </w:r>
            <w:r>
              <w:rPr>
                <w:rFonts w:hint="eastAsia" w:ascii="Times New Roman" w:hAnsi="Times New Roman"/>
                <w:kern w:val="44"/>
                <w:sz w:val="24"/>
                <w:highlight w:val="none"/>
              </w:rPr>
              <w:t>库房年收集转运危险废物</w:t>
            </w:r>
            <w:r>
              <w:rPr>
                <w:rFonts w:hint="eastAsia" w:ascii="Times New Roman" w:hAnsi="Times New Roman"/>
                <w:kern w:val="44"/>
                <w:sz w:val="24"/>
                <w:highlight w:val="none"/>
                <w:lang w:val="en-US" w:eastAsia="zh-CN"/>
              </w:rPr>
              <w:t>1.5</w:t>
            </w:r>
            <w:r>
              <w:rPr>
                <w:rFonts w:hint="eastAsia" w:ascii="Times New Roman" w:hAnsi="Times New Roman"/>
                <w:kern w:val="44"/>
                <w:sz w:val="24"/>
                <w:highlight w:val="none"/>
              </w:rPr>
              <w:t>万吨</w:t>
            </w:r>
            <w:r>
              <w:rPr>
                <w:rFonts w:hint="eastAsia"/>
                <w:sz w:val="24"/>
                <w:highlight w:val="none"/>
              </w:rPr>
              <w:t>。</w:t>
            </w:r>
          </w:p>
          <w:p w14:paraId="16D2A637">
            <w:pPr>
              <w:spacing w:line="360" w:lineRule="auto"/>
              <w:ind w:firstLine="480"/>
              <w:rPr>
                <w:rFonts w:hint="eastAsia" w:eastAsia="宋体"/>
                <w:sz w:val="24"/>
                <w:highlight w:val="none"/>
                <w:lang w:eastAsia="zh-CN"/>
              </w:rPr>
            </w:pPr>
            <w:r>
              <w:rPr>
                <w:rFonts w:hint="eastAsia" w:ascii="Times New Roman" w:hAnsi="Times New Roman"/>
                <w:sz w:val="24"/>
                <w:szCs w:val="24"/>
                <w:highlight w:val="none"/>
              </w:rPr>
              <w:t>项目服务范围为承德地区，经营范围为贮存</w:t>
            </w:r>
            <w:r>
              <w:rPr>
                <w:rFonts w:ascii="Times New Roman" w:hAnsi="Times New Roman"/>
                <w:sz w:val="24"/>
                <w:szCs w:val="24"/>
                <w:highlight w:val="none"/>
                <w:lang w:bidi="ar"/>
              </w:rPr>
              <w:t>HW03、</w:t>
            </w:r>
            <w:r>
              <w:rPr>
                <w:rFonts w:hint="eastAsia" w:ascii="Times New Roman" w:hAnsi="Times New Roman"/>
                <w:sz w:val="24"/>
                <w:szCs w:val="24"/>
                <w:highlight w:val="none"/>
                <w:lang w:bidi="ar"/>
              </w:rPr>
              <w:t>HW04、HW05、HW06、</w:t>
            </w:r>
            <w:r>
              <w:rPr>
                <w:rFonts w:ascii="Times New Roman" w:hAnsi="Times New Roman"/>
                <w:sz w:val="24"/>
                <w:szCs w:val="24"/>
                <w:highlight w:val="none"/>
                <w:lang w:bidi="ar"/>
              </w:rPr>
              <w:t>HW08、</w:t>
            </w:r>
            <w:r>
              <w:rPr>
                <w:rFonts w:hint="eastAsia" w:ascii="Times New Roman" w:hAnsi="Times New Roman"/>
                <w:sz w:val="24"/>
                <w:szCs w:val="24"/>
                <w:highlight w:val="none"/>
                <w:lang w:bidi="ar"/>
              </w:rPr>
              <w:t>HW09、HW11、</w:t>
            </w:r>
            <w:r>
              <w:rPr>
                <w:rFonts w:ascii="Times New Roman" w:hAnsi="Times New Roman"/>
                <w:sz w:val="24"/>
                <w:szCs w:val="24"/>
                <w:highlight w:val="none"/>
                <w:lang w:bidi="ar"/>
              </w:rPr>
              <w:t>HW12、</w:t>
            </w:r>
            <w:r>
              <w:rPr>
                <w:rFonts w:hint="eastAsia" w:ascii="Times New Roman" w:hAnsi="Times New Roman"/>
                <w:sz w:val="24"/>
                <w:szCs w:val="24"/>
                <w:highlight w:val="none"/>
                <w:lang w:bidi="ar"/>
              </w:rPr>
              <w:t>HW13、</w:t>
            </w:r>
            <w:r>
              <w:rPr>
                <w:rFonts w:ascii="Times New Roman" w:hAnsi="Times New Roman"/>
                <w:sz w:val="24"/>
                <w:szCs w:val="24"/>
                <w:highlight w:val="none"/>
                <w:lang w:bidi="ar"/>
              </w:rPr>
              <w:t>HW16、</w:t>
            </w:r>
            <w:r>
              <w:rPr>
                <w:rFonts w:hint="eastAsia" w:ascii="Times New Roman" w:hAnsi="Times New Roman"/>
                <w:sz w:val="24"/>
                <w:szCs w:val="24"/>
                <w:highlight w:val="none"/>
                <w:lang w:bidi="ar"/>
              </w:rPr>
              <w:t>HW17、HW21、HW22、HW23、</w:t>
            </w:r>
            <w:r>
              <w:rPr>
                <w:rFonts w:ascii="Times New Roman" w:hAnsi="Times New Roman"/>
                <w:sz w:val="24"/>
                <w:szCs w:val="24"/>
                <w:highlight w:val="none"/>
                <w:lang w:bidi="ar"/>
              </w:rPr>
              <w:t>HW29、</w:t>
            </w:r>
            <w:r>
              <w:rPr>
                <w:rFonts w:hint="eastAsia" w:ascii="Times New Roman" w:hAnsi="Times New Roman"/>
                <w:sz w:val="24"/>
                <w:szCs w:val="24"/>
                <w:highlight w:val="none"/>
                <w:lang w:bidi="ar"/>
              </w:rPr>
              <w:t>HW34、HW35、HW36、HW37、HW46、HW48、</w:t>
            </w:r>
            <w:r>
              <w:rPr>
                <w:rFonts w:ascii="Times New Roman" w:hAnsi="Times New Roman"/>
                <w:sz w:val="24"/>
                <w:szCs w:val="24"/>
                <w:highlight w:val="none"/>
                <w:lang w:bidi="ar"/>
              </w:rPr>
              <w:t>HW49</w:t>
            </w:r>
            <w:r>
              <w:rPr>
                <w:rFonts w:hint="eastAsia" w:ascii="Times New Roman" w:hAnsi="Times New Roman"/>
                <w:sz w:val="24"/>
                <w:szCs w:val="24"/>
                <w:highlight w:val="none"/>
                <w:lang w:bidi="ar"/>
              </w:rPr>
              <w:t>、HW50</w:t>
            </w:r>
            <w:r>
              <w:rPr>
                <w:rFonts w:ascii="Times New Roman" w:hAnsi="Times New Roman"/>
                <w:sz w:val="24"/>
                <w:szCs w:val="24"/>
                <w:highlight w:val="none"/>
                <w:lang w:bidi="ar"/>
              </w:rPr>
              <w:t>，共</w:t>
            </w:r>
            <w:r>
              <w:rPr>
                <w:rFonts w:hint="eastAsia" w:ascii="Times New Roman" w:hAnsi="Times New Roman"/>
                <w:sz w:val="24"/>
                <w:szCs w:val="24"/>
                <w:highlight w:val="none"/>
                <w:lang w:bidi="ar"/>
              </w:rPr>
              <w:t>2</w:t>
            </w:r>
            <w:r>
              <w:rPr>
                <w:rFonts w:hint="eastAsia"/>
                <w:sz w:val="24"/>
                <w:szCs w:val="24"/>
                <w:highlight w:val="none"/>
                <w:lang w:val="en-US" w:eastAsia="zh-CN" w:bidi="ar"/>
              </w:rPr>
              <w:t>3</w:t>
            </w:r>
            <w:r>
              <w:rPr>
                <w:rFonts w:ascii="Times New Roman" w:hAnsi="Times New Roman"/>
                <w:sz w:val="24"/>
                <w:szCs w:val="24"/>
                <w:highlight w:val="none"/>
                <w:lang w:bidi="ar"/>
              </w:rPr>
              <w:t>类危险废物</w:t>
            </w:r>
            <w:r>
              <w:rPr>
                <w:rFonts w:hint="eastAsia" w:ascii="Times New Roman" w:hAnsi="Times New Roman"/>
                <w:sz w:val="24"/>
                <w:szCs w:val="24"/>
                <w:highlight w:val="none"/>
                <w:lang w:bidi="ar"/>
              </w:rPr>
              <w:t>。</w:t>
            </w:r>
            <w:r>
              <w:rPr>
                <w:rFonts w:ascii="Times New Roman" w:hAnsi="Times New Roman"/>
                <w:bCs/>
                <w:sz w:val="24"/>
                <w:highlight w:val="none"/>
              </w:rPr>
              <w:t>危险废物原始收集分拣、运输、最终处置不在本次评价范围之内</w:t>
            </w:r>
            <w:r>
              <w:rPr>
                <w:rFonts w:hint="eastAsia" w:ascii="Times New Roman" w:hAnsi="Times New Roman"/>
                <w:bCs/>
                <w:sz w:val="24"/>
                <w:highlight w:val="none"/>
                <w:lang w:eastAsia="zh-CN"/>
              </w:rPr>
              <w:t>。</w:t>
            </w:r>
          </w:p>
          <w:p w14:paraId="2BC97BD8">
            <w:pPr>
              <w:spacing w:line="360" w:lineRule="auto"/>
              <w:ind w:firstLine="480"/>
              <w:rPr>
                <w:sz w:val="24"/>
                <w:highlight w:val="none"/>
              </w:rPr>
            </w:pPr>
            <w:r>
              <w:rPr>
                <w:rFonts w:hint="eastAsia"/>
                <w:sz w:val="24"/>
                <w:highlight w:val="none"/>
              </w:rPr>
              <w:t>项目的主要工程组成情况详见下表：</w:t>
            </w:r>
          </w:p>
          <w:p w14:paraId="6BA0CBE2">
            <w:pPr>
              <w:pStyle w:val="48"/>
              <w:numPr>
                <w:ilvl w:val="0"/>
                <w:numId w:val="4"/>
              </w:numPr>
              <w:spacing w:line="360" w:lineRule="auto"/>
              <w:ind w:left="0" w:firstLine="0" w:firstLineChars="0"/>
              <w:jc w:val="center"/>
              <w:rPr>
                <w:rFonts w:ascii="宋体" w:hAnsi="宋体" w:eastAsia="宋体"/>
                <w:b/>
                <w:sz w:val="21"/>
                <w:highlight w:val="none"/>
              </w:rPr>
            </w:pPr>
            <w:r>
              <w:rPr>
                <w:rFonts w:hint="eastAsia" w:ascii="宋体" w:hAnsi="宋体" w:eastAsia="宋体"/>
                <w:b/>
                <w:sz w:val="21"/>
                <w:highlight w:val="none"/>
              </w:rPr>
              <w:t>项目工程组成情况一览表</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6"/>
              <w:gridCol w:w="883"/>
              <w:gridCol w:w="5862"/>
              <w:gridCol w:w="1034"/>
            </w:tblGrid>
            <w:tr w14:paraId="26C52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6" w:type="pct"/>
                  <w:noWrap w:val="0"/>
                  <w:vAlign w:val="center"/>
                </w:tcPr>
                <w:p w14:paraId="2894EE7A">
                  <w:pPr>
                    <w:pStyle w:val="75"/>
                    <w:spacing w:line="280" w:lineRule="atLeast"/>
                    <w:ind w:firstLine="0"/>
                    <w:jc w:val="center"/>
                    <w:rPr>
                      <w:rFonts w:ascii="Times New Roman" w:hAnsi="Times New Roman"/>
                      <w:b/>
                      <w:szCs w:val="21"/>
                      <w:highlight w:val="none"/>
                    </w:rPr>
                  </w:pPr>
                  <w:r>
                    <w:rPr>
                      <w:rFonts w:ascii="Times New Roman" w:hAnsi="Times New Roman"/>
                      <w:b/>
                      <w:szCs w:val="21"/>
                      <w:highlight w:val="none"/>
                    </w:rPr>
                    <w:t>类别</w:t>
                  </w:r>
                </w:p>
              </w:tc>
              <w:tc>
                <w:tcPr>
                  <w:tcW w:w="527" w:type="pct"/>
                  <w:noWrap w:val="0"/>
                  <w:vAlign w:val="center"/>
                </w:tcPr>
                <w:p w14:paraId="53A4B764">
                  <w:pPr>
                    <w:pStyle w:val="75"/>
                    <w:spacing w:line="280" w:lineRule="atLeast"/>
                    <w:ind w:firstLine="0"/>
                    <w:jc w:val="center"/>
                    <w:rPr>
                      <w:rFonts w:ascii="Times New Roman" w:hAnsi="Times New Roman"/>
                      <w:b/>
                      <w:szCs w:val="21"/>
                      <w:highlight w:val="none"/>
                    </w:rPr>
                  </w:pPr>
                  <w:r>
                    <w:rPr>
                      <w:rFonts w:ascii="Times New Roman" w:hAnsi="Times New Roman"/>
                      <w:b/>
                      <w:szCs w:val="21"/>
                      <w:highlight w:val="none"/>
                    </w:rPr>
                    <w:t>建设内容</w:t>
                  </w:r>
                </w:p>
              </w:tc>
              <w:tc>
                <w:tcPr>
                  <w:tcW w:w="3499" w:type="pct"/>
                  <w:noWrap w:val="0"/>
                  <w:vAlign w:val="center"/>
                </w:tcPr>
                <w:p w14:paraId="45F59AEE">
                  <w:pPr>
                    <w:pStyle w:val="75"/>
                    <w:spacing w:line="280" w:lineRule="atLeast"/>
                    <w:ind w:firstLine="0"/>
                    <w:jc w:val="center"/>
                    <w:rPr>
                      <w:rFonts w:ascii="Times New Roman" w:hAnsi="Times New Roman"/>
                      <w:b/>
                      <w:szCs w:val="21"/>
                      <w:highlight w:val="none"/>
                    </w:rPr>
                  </w:pPr>
                  <w:r>
                    <w:rPr>
                      <w:rFonts w:ascii="Times New Roman" w:hAnsi="Times New Roman"/>
                      <w:b/>
                      <w:szCs w:val="21"/>
                      <w:highlight w:val="none"/>
                    </w:rPr>
                    <w:t>备注</w:t>
                  </w:r>
                </w:p>
              </w:tc>
              <w:tc>
                <w:tcPr>
                  <w:tcW w:w="617" w:type="pct"/>
                  <w:noWrap w:val="0"/>
                  <w:vAlign w:val="center"/>
                </w:tcPr>
                <w:p w14:paraId="7A0A6ECF">
                  <w:pPr>
                    <w:pStyle w:val="75"/>
                    <w:spacing w:line="280" w:lineRule="atLeast"/>
                    <w:ind w:firstLine="0"/>
                    <w:jc w:val="center"/>
                    <w:rPr>
                      <w:rFonts w:hint="eastAsia" w:ascii="Times New Roman" w:hAnsi="Times New Roman" w:eastAsia="宋体"/>
                      <w:b/>
                      <w:szCs w:val="21"/>
                      <w:highlight w:val="none"/>
                      <w:lang w:val="en-US" w:eastAsia="zh-CN"/>
                    </w:rPr>
                  </w:pPr>
                  <w:r>
                    <w:rPr>
                      <w:rFonts w:hint="eastAsia"/>
                      <w:b/>
                      <w:szCs w:val="21"/>
                      <w:highlight w:val="none"/>
                      <w:lang w:val="en-US" w:eastAsia="zh-CN"/>
                    </w:rPr>
                    <w:t>备注</w:t>
                  </w:r>
                </w:p>
              </w:tc>
            </w:tr>
            <w:tr w14:paraId="6BA946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6" w:type="pct"/>
                  <w:noWrap w:val="0"/>
                  <w:vAlign w:val="center"/>
                </w:tcPr>
                <w:p w14:paraId="53E87541">
                  <w:pPr>
                    <w:pStyle w:val="75"/>
                    <w:spacing w:line="280" w:lineRule="atLeast"/>
                    <w:ind w:firstLine="0"/>
                    <w:jc w:val="center"/>
                    <w:rPr>
                      <w:rFonts w:ascii="Times New Roman" w:hAnsi="Times New Roman"/>
                      <w:szCs w:val="21"/>
                      <w:highlight w:val="none"/>
                    </w:rPr>
                  </w:pPr>
                  <w:r>
                    <w:rPr>
                      <w:rFonts w:ascii="Times New Roman" w:hAnsi="Times New Roman"/>
                      <w:szCs w:val="21"/>
                      <w:highlight w:val="none"/>
                    </w:rPr>
                    <w:t>主体工程</w:t>
                  </w:r>
                </w:p>
              </w:tc>
              <w:tc>
                <w:tcPr>
                  <w:tcW w:w="527" w:type="pct"/>
                  <w:noWrap w:val="0"/>
                  <w:vAlign w:val="center"/>
                </w:tcPr>
                <w:p w14:paraId="40975CED">
                  <w:pPr>
                    <w:spacing w:line="280" w:lineRule="atLeast"/>
                    <w:jc w:val="center"/>
                    <w:rPr>
                      <w:rFonts w:hint="eastAsia" w:ascii="Times New Roman" w:hAnsi="Times New Roman" w:eastAsia="宋体"/>
                      <w:szCs w:val="21"/>
                      <w:highlight w:val="none"/>
                      <w:lang w:eastAsia="zh-CN"/>
                    </w:rPr>
                  </w:pPr>
                  <w:r>
                    <w:rPr>
                      <w:rFonts w:hint="eastAsia"/>
                      <w:szCs w:val="21"/>
                      <w:highlight w:val="none"/>
                      <w:lang w:eastAsia="zh-CN"/>
                    </w:rPr>
                    <w:t>危险废物收集贮存库</w:t>
                  </w:r>
                </w:p>
              </w:tc>
              <w:tc>
                <w:tcPr>
                  <w:tcW w:w="3499" w:type="pct"/>
                  <w:noWrap w:val="0"/>
                  <w:vAlign w:val="center"/>
                </w:tcPr>
                <w:p w14:paraId="06D0C5E2">
                  <w:pPr>
                    <w:spacing w:line="280" w:lineRule="atLeast"/>
                    <w:rPr>
                      <w:rFonts w:ascii="Times New Roman" w:hAnsi="Times New Roman"/>
                      <w:kern w:val="0"/>
                      <w:szCs w:val="21"/>
                      <w:highlight w:val="none"/>
                    </w:rPr>
                  </w:pPr>
                  <w:r>
                    <w:rPr>
                      <w:rFonts w:ascii="Times New Roman" w:hAnsi="Times New Roman"/>
                      <w:kern w:val="0"/>
                      <w:szCs w:val="21"/>
                      <w:highlight w:val="none"/>
                    </w:rPr>
                    <w:t>本项目建设</w:t>
                  </w:r>
                  <w:r>
                    <w:rPr>
                      <w:rFonts w:hint="eastAsia"/>
                      <w:szCs w:val="21"/>
                      <w:highlight w:val="none"/>
                      <w:lang w:eastAsia="zh-CN"/>
                    </w:rPr>
                    <w:t>危险废物收集贮存库</w:t>
                  </w:r>
                  <w:r>
                    <w:rPr>
                      <w:rFonts w:ascii="Times New Roman" w:hAnsi="Times New Roman"/>
                      <w:kern w:val="0"/>
                      <w:szCs w:val="21"/>
                      <w:highlight w:val="none"/>
                    </w:rPr>
                    <w:t>1座</w:t>
                  </w:r>
                  <w:r>
                    <w:rPr>
                      <w:rFonts w:hint="eastAsia" w:ascii="Times New Roman" w:hAnsi="Times New Roman"/>
                      <w:kern w:val="0"/>
                      <w:szCs w:val="21"/>
                      <w:highlight w:val="none"/>
                    </w:rPr>
                    <w:t>，为1层建筑，建筑面积</w:t>
                  </w:r>
                  <w:r>
                    <w:rPr>
                      <w:rFonts w:hint="eastAsia" w:ascii="Times New Roman" w:hAnsi="Times New Roman"/>
                      <w:kern w:val="0"/>
                      <w:szCs w:val="21"/>
                      <w:highlight w:val="none"/>
                      <w:lang w:val="en-US" w:eastAsia="zh-CN"/>
                    </w:rPr>
                    <w:t>2400</w:t>
                  </w:r>
                  <w:r>
                    <w:rPr>
                      <w:rFonts w:hint="eastAsia" w:ascii="Times New Roman" w:hAnsi="Times New Roman"/>
                      <w:kern w:val="0"/>
                      <w:szCs w:val="21"/>
                      <w:highlight w:val="none"/>
                    </w:rPr>
                    <w:t>m</w:t>
                  </w:r>
                  <w:r>
                    <w:rPr>
                      <w:rFonts w:hint="eastAsia" w:ascii="Times New Roman" w:hAnsi="Times New Roman"/>
                      <w:kern w:val="0"/>
                      <w:szCs w:val="21"/>
                      <w:highlight w:val="none"/>
                      <w:vertAlign w:val="superscript"/>
                    </w:rPr>
                    <w:t>2</w:t>
                  </w:r>
                  <w:r>
                    <w:rPr>
                      <w:rFonts w:hint="eastAsia" w:ascii="Times New Roman" w:hAnsi="Times New Roman"/>
                      <w:kern w:val="0"/>
                      <w:szCs w:val="21"/>
                      <w:highlight w:val="none"/>
                    </w:rPr>
                    <w:t>。</w:t>
                  </w:r>
                  <w:r>
                    <w:rPr>
                      <w:rFonts w:ascii="Times New Roman" w:hAnsi="Times New Roman"/>
                      <w:kern w:val="0"/>
                      <w:szCs w:val="21"/>
                      <w:highlight w:val="none"/>
                    </w:rPr>
                    <w:t>根据危险废物的种类和数量划分为</w:t>
                  </w:r>
                  <w:r>
                    <w:rPr>
                      <w:rFonts w:hint="eastAsia" w:ascii="Times New Roman" w:hAnsi="Times New Roman"/>
                      <w:kern w:val="0"/>
                      <w:szCs w:val="21"/>
                      <w:highlight w:val="none"/>
                      <w:lang w:val="en-US" w:eastAsia="zh-CN"/>
                    </w:rPr>
                    <w:t>8</w:t>
                  </w:r>
                  <w:r>
                    <w:rPr>
                      <w:rFonts w:hint="eastAsia" w:ascii="Times New Roman" w:hAnsi="Times New Roman"/>
                      <w:kern w:val="0"/>
                      <w:szCs w:val="21"/>
                      <w:highlight w:val="none"/>
                    </w:rPr>
                    <w:t>个贮存区。</w:t>
                  </w:r>
                  <w:r>
                    <w:rPr>
                      <w:rFonts w:ascii="Times New Roman" w:hAnsi="Times New Roman"/>
                      <w:kern w:val="0"/>
                      <w:szCs w:val="21"/>
                      <w:highlight w:val="none"/>
                    </w:rPr>
                    <w:t>根据危险废物的化学特性对每个贮存区进行细化，互不相容的危险废物不得放置于同一处。</w:t>
                  </w:r>
                </w:p>
              </w:tc>
              <w:tc>
                <w:tcPr>
                  <w:tcW w:w="617" w:type="pct"/>
                  <w:noWrap w:val="0"/>
                  <w:vAlign w:val="center"/>
                </w:tcPr>
                <w:p w14:paraId="4F9E2DF5">
                  <w:pPr>
                    <w:spacing w:line="280" w:lineRule="atLeast"/>
                    <w:jc w:val="center"/>
                    <w:rPr>
                      <w:rFonts w:hint="eastAsia" w:ascii="Times New Roman" w:hAnsi="Times New Roman" w:eastAsia="宋体"/>
                      <w:kern w:val="0"/>
                      <w:szCs w:val="21"/>
                      <w:highlight w:val="none"/>
                      <w:lang w:val="en-US" w:eastAsia="zh-CN"/>
                    </w:rPr>
                  </w:pPr>
                  <w:r>
                    <w:rPr>
                      <w:rFonts w:hint="eastAsia"/>
                      <w:kern w:val="0"/>
                      <w:szCs w:val="21"/>
                      <w:highlight w:val="none"/>
                      <w:lang w:val="en-US" w:eastAsia="zh-CN"/>
                    </w:rPr>
                    <w:t>改建</w:t>
                  </w:r>
                </w:p>
              </w:tc>
            </w:tr>
            <w:tr w14:paraId="18896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6" w:type="pct"/>
                  <w:vMerge w:val="restart"/>
                  <w:noWrap w:val="0"/>
                  <w:vAlign w:val="center"/>
                </w:tcPr>
                <w:p w14:paraId="02BD3C24">
                  <w:pPr>
                    <w:pStyle w:val="75"/>
                    <w:spacing w:line="280" w:lineRule="atLeast"/>
                    <w:ind w:firstLine="0"/>
                    <w:jc w:val="center"/>
                    <w:rPr>
                      <w:rFonts w:ascii="Times New Roman" w:hAnsi="Times New Roman"/>
                      <w:szCs w:val="21"/>
                      <w:highlight w:val="none"/>
                    </w:rPr>
                  </w:pPr>
                  <w:r>
                    <w:rPr>
                      <w:rFonts w:hint="eastAsia" w:ascii="Times New Roman" w:hAnsi="Times New Roman"/>
                      <w:szCs w:val="21"/>
                      <w:highlight w:val="none"/>
                    </w:rPr>
                    <w:t>辅助工程</w:t>
                  </w:r>
                </w:p>
              </w:tc>
              <w:tc>
                <w:tcPr>
                  <w:tcW w:w="527" w:type="pct"/>
                  <w:noWrap w:val="0"/>
                  <w:vAlign w:val="center"/>
                </w:tcPr>
                <w:p w14:paraId="4326C173">
                  <w:pPr>
                    <w:spacing w:line="280" w:lineRule="atLeast"/>
                    <w:jc w:val="center"/>
                    <w:rPr>
                      <w:rFonts w:ascii="Times New Roman" w:hAnsi="Times New Roman"/>
                      <w:szCs w:val="21"/>
                      <w:highlight w:val="none"/>
                    </w:rPr>
                  </w:pPr>
                  <w:r>
                    <w:rPr>
                      <w:rFonts w:hint="eastAsia" w:ascii="Times New Roman" w:hAnsi="Times New Roman"/>
                      <w:szCs w:val="21"/>
                      <w:highlight w:val="none"/>
                    </w:rPr>
                    <w:t>办公区</w:t>
                  </w:r>
                </w:p>
              </w:tc>
              <w:tc>
                <w:tcPr>
                  <w:tcW w:w="3499" w:type="pct"/>
                  <w:noWrap w:val="0"/>
                  <w:vAlign w:val="center"/>
                </w:tcPr>
                <w:p w14:paraId="2894C3B3">
                  <w:pPr>
                    <w:spacing w:line="280" w:lineRule="atLeast"/>
                    <w:rPr>
                      <w:rFonts w:ascii="Times New Roman" w:hAnsi="Times New Roman"/>
                      <w:kern w:val="0"/>
                      <w:szCs w:val="21"/>
                      <w:highlight w:val="none"/>
                    </w:rPr>
                  </w:pPr>
                  <w:r>
                    <w:rPr>
                      <w:rFonts w:hint="eastAsia" w:ascii="Times New Roman" w:hAnsi="Times New Roman"/>
                      <w:kern w:val="0"/>
                      <w:szCs w:val="21"/>
                      <w:highlight w:val="none"/>
                      <w:lang w:val="en-US" w:eastAsia="zh-CN"/>
                    </w:rPr>
                    <w:t>租用承德坤元环保科技有限公司办公区100</w:t>
                  </w:r>
                  <w:r>
                    <w:rPr>
                      <w:rFonts w:hint="eastAsia" w:ascii="Times New Roman" w:hAnsi="Times New Roman"/>
                      <w:kern w:val="0"/>
                      <w:szCs w:val="21"/>
                      <w:highlight w:val="none"/>
                    </w:rPr>
                    <w:t>m</w:t>
                  </w:r>
                  <w:r>
                    <w:rPr>
                      <w:rFonts w:hint="eastAsia" w:ascii="Times New Roman" w:hAnsi="Times New Roman"/>
                      <w:kern w:val="0"/>
                      <w:szCs w:val="21"/>
                      <w:highlight w:val="none"/>
                      <w:vertAlign w:val="superscript"/>
                    </w:rPr>
                    <w:t>2</w:t>
                  </w:r>
                  <w:r>
                    <w:rPr>
                      <w:rFonts w:hint="eastAsia" w:ascii="Times New Roman" w:hAnsi="Times New Roman"/>
                      <w:kern w:val="0"/>
                      <w:szCs w:val="21"/>
                      <w:highlight w:val="none"/>
                    </w:rPr>
                    <w:t>，用于日常办公。</w:t>
                  </w:r>
                </w:p>
              </w:tc>
              <w:tc>
                <w:tcPr>
                  <w:tcW w:w="617" w:type="pct"/>
                  <w:noWrap w:val="0"/>
                  <w:vAlign w:val="center"/>
                </w:tcPr>
                <w:p w14:paraId="44E7A648">
                  <w:pPr>
                    <w:spacing w:line="280" w:lineRule="atLeast"/>
                    <w:jc w:val="center"/>
                    <w:rPr>
                      <w:rFonts w:hint="default"/>
                      <w:kern w:val="0"/>
                      <w:szCs w:val="21"/>
                      <w:highlight w:val="none"/>
                      <w:lang w:val="en-US" w:eastAsia="zh-CN"/>
                    </w:rPr>
                  </w:pPr>
                  <w:r>
                    <w:rPr>
                      <w:rFonts w:hint="eastAsia"/>
                      <w:kern w:val="0"/>
                      <w:szCs w:val="21"/>
                      <w:highlight w:val="none"/>
                      <w:lang w:val="en-US" w:eastAsia="zh-CN"/>
                    </w:rPr>
                    <w:t>利旧</w:t>
                  </w:r>
                </w:p>
              </w:tc>
            </w:tr>
            <w:tr w14:paraId="03754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356" w:type="pct"/>
                  <w:vMerge w:val="continue"/>
                  <w:noWrap w:val="0"/>
                  <w:vAlign w:val="center"/>
                </w:tcPr>
                <w:p w14:paraId="26C6958B">
                  <w:pPr>
                    <w:pStyle w:val="75"/>
                    <w:spacing w:line="280" w:lineRule="atLeast"/>
                    <w:ind w:firstLine="0"/>
                    <w:jc w:val="center"/>
                    <w:rPr>
                      <w:rFonts w:hint="eastAsia" w:ascii="Times New Roman" w:hAnsi="Times New Roman"/>
                      <w:szCs w:val="21"/>
                      <w:highlight w:val="none"/>
                    </w:rPr>
                  </w:pPr>
                </w:p>
              </w:tc>
              <w:tc>
                <w:tcPr>
                  <w:tcW w:w="527" w:type="pct"/>
                  <w:noWrap w:val="0"/>
                  <w:vAlign w:val="center"/>
                </w:tcPr>
                <w:p w14:paraId="59CAF54E">
                  <w:pPr>
                    <w:spacing w:line="280" w:lineRule="atLeast"/>
                    <w:jc w:val="center"/>
                    <w:rPr>
                      <w:rFonts w:hint="eastAsia" w:ascii="Times New Roman" w:hAnsi="Times New Roman"/>
                      <w:szCs w:val="21"/>
                      <w:highlight w:val="none"/>
                    </w:rPr>
                  </w:pPr>
                  <w:r>
                    <w:rPr>
                      <w:rFonts w:hint="eastAsia" w:ascii="Times New Roman" w:hAnsi="Times New Roman"/>
                      <w:szCs w:val="21"/>
                      <w:highlight w:val="none"/>
                    </w:rPr>
                    <w:t>地磅</w:t>
                  </w:r>
                </w:p>
              </w:tc>
              <w:tc>
                <w:tcPr>
                  <w:tcW w:w="3499" w:type="pct"/>
                  <w:noWrap w:val="0"/>
                  <w:vAlign w:val="center"/>
                </w:tcPr>
                <w:p w14:paraId="40CB4764">
                  <w:pPr>
                    <w:spacing w:line="280" w:lineRule="atLeast"/>
                    <w:rPr>
                      <w:rFonts w:hint="eastAsia" w:ascii="Times New Roman" w:hAnsi="Times New Roman"/>
                      <w:kern w:val="0"/>
                      <w:szCs w:val="21"/>
                      <w:highlight w:val="none"/>
                    </w:rPr>
                  </w:pPr>
                  <w:r>
                    <w:rPr>
                      <w:rFonts w:hint="eastAsia" w:ascii="Times New Roman" w:hAnsi="Times New Roman"/>
                      <w:kern w:val="0"/>
                      <w:szCs w:val="21"/>
                      <w:highlight w:val="none"/>
                    </w:rPr>
                    <w:t>用于危险废物转运计量。</w:t>
                  </w:r>
                </w:p>
              </w:tc>
              <w:tc>
                <w:tcPr>
                  <w:tcW w:w="617" w:type="pct"/>
                  <w:noWrap w:val="0"/>
                  <w:vAlign w:val="center"/>
                </w:tcPr>
                <w:p w14:paraId="2EEE32EA">
                  <w:pPr>
                    <w:spacing w:line="280" w:lineRule="atLeast"/>
                    <w:jc w:val="center"/>
                    <w:rPr>
                      <w:rFonts w:hint="default"/>
                      <w:kern w:val="0"/>
                      <w:szCs w:val="21"/>
                      <w:highlight w:val="none"/>
                      <w:lang w:val="en-US" w:eastAsia="zh-CN"/>
                    </w:rPr>
                  </w:pPr>
                  <w:r>
                    <w:rPr>
                      <w:rFonts w:hint="eastAsia"/>
                      <w:kern w:val="0"/>
                      <w:szCs w:val="21"/>
                      <w:highlight w:val="none"/>
                      <w:lang w:val="en-US" w:eastAsia="zh-CN"/>
                    </w:rPr>
                    <w:t>新建</w:t>
                  </w:r>
                </w:p>
              </w:tc>
            </w:tr>
            <w:tr w14:paraId="1D26E4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6" w:type="pct"/>
                  <w:vMerge w:val="continue"/>
                  <w:noWrap w:val="0"/>
                  <w:vAlign w:val="center"/>
                </w:tcPr>
                <w:p w14:paraId="73B17AF8">
                  <w:pPr>
                    <w:pStyle w:val="75"/>
                    <w:spacing w:line="280" w:lineRule="atLeast"/>
                    <w:ind w:firstLine="0"/>
                    <w:jc w:val="center"/>
                    <w:rPr>
                      <w:rFonts w:hint="eastAsia" w:ascii="Times New Roman" w:hAnsi="Times New Roman"/>
                      <w:szCs w:val="21"/>
                      <w:highlight w:val="none"/>
                    </w:rPr>
                  </w:pPr>
                </w:p>
              </w:tc>
              <w:tc>
                <w:tcPr>
                  <w:tcW w:w="527" w:type="pct"/>
                  <w:noWrap w:val="0"/>
                  <w:vAlign w:val="center"/>
                </w:tcPr>
                <w:p w14:paraId="2B474846">
                  <w:pPr>
                    <w:spacing w:line="280" w:lineRule="atLeast"/>
                    <w:jc w:val="center"/>
                    <w:rPr>
                      <w:rFonts w:hint="eastAsia" w:ascii="Times New Roman" w:hAnsi="Times New Roman" w:eastAsia="宋体"/>
                      <w:szCs w:val="21"/>
                      <w:highlight w:val="none"/>
                      <w:lang w:val="en-US" w:eastAsia="zh-CN"/>
                    </w:rPr>
                  </w:pPr>
                  <w:r>
                    <w:rPr>
                      <w:rFonts w:hint="eastAsia" w:ascii="Times New Roman" w:hAnsi="Times New Roman"/>
                      <w:szCs w:val="21"/>
                      <w:highlight w:val="none"/>
                      <w:lang w:val="en-US" w:eastAsia="zh-CN"/>
                    </w:rPr>
                    <w:t>事故池</w:t>
                  </w:r>
                </w:p>
              </w:tc>
              <w:tc>
                <w:tcPr>
                  <w:tcW w:w="3499" w:type="pct"/>
                  <w:noWrap w:val="0"/>
                  <w:vAlign w:val="center"/>
                </w:tcPr>
                <w:p w14:paraId="266B8FD8">
                  <w:pPr>
                    <w:spacing w:line="280" w:lineRule="atLeast"/>
                    <w:rPr>
                      <w:rFonts w:hint="default" w:ascii="Times New Roman" w:hAnsi="Times New Roman" w:eastAsia="宋体"/>
                      <w:kern w:val="0"/>
                      <w:szCs w:val="21"/>
                      <w:highlight w:val="none"/>
                      <w:lang w:val="en-US" w:eastAsia="zh-CN"/>
                    </w:rPr>
                  </w:pPr>
                  <w:r>
                    <w:rPr>
                      <w:rFonts w:hint="eastAsia" w:ascii="Times New Roman" w:hAnsi="Times New Roman"/>
                      <w:kern w:val="0"/>
                      <w:szCs w:val="21"/>
                      <w:highlight w:val="none"/>
                      <w:lang w:val="en-US" w:eastAsia="zh-CN"/>
                    </w:rPr>
                    <w:t>35m</w:t>
                  </w:r>
                  <w:r>
                    <w:rPr>
                      <w:rFonts w:hint="eastAsia" w:ascii="Times New Roman" w:hAnsi="Times New Roman"/>
                      <w:kern w:val="0"/>
                      <w:szCs w:val="21"/>
                      <w:highlight w:val="none"/>
                      <w:vertAlign w:val="superscript"/>
                      <w:lang w:val="en-US" w:eastAsia="zh-CN"/>
                    </w:rPr>
                    <w:t>3</w:t>
                  </w:r>
                </w:p>
              </w:tc>
              <w:tc>
                <w:tcPr>
                  <w:tcW w:w="617" w:type="pct"/>
                  <w:noWrap w:val="0"/>
                  <w:vAlign w:val="center"/>
                </w:tcPr>
                <w:p w14:paraId="547AA27C">
                  <w:pPr>
                    <w:spacing w:line="280" w:lineRule="atLeast"/>
                    <w:jc w:val="center"/>
                    <w:rPr>
                      <w:rFonts w:hint="default"/>
                      <w:kern w:val="0"/>
                      <w:szCs w:val="21"/>
                      <w:highlight w:val="none"/>
                      <w:lang w:val="en-US" w:eastAsia="zh-CN"/>
                    </w:rPr>
                  </w:pPr>
                  <w:r>
                    <w:rPr>
                      <w:rFonts w:hint="eastAsia"/>
                      <w:kern w:val="0"/>
                      <w:szCs w:val="21"/>
                      <w:highlight w:val="none"/>
                      <w:lang w:val="en-US" w:eastAsia="zh-CN"/>
                    </w:rPr>
                    <w:t>新建</w:t>
                  </w:r>
                </w:p>
              </w:tc>
            </w:tr>
            <w:tr w14:paraId="257673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6" w:type="pct"/>
                  <w:vMerge w:val="restart"/>
                  <w:noWrap w:val="0"/>
                  <w:vAlign w:val="center"/>
                </w:tcPr>
                <w:p w14:paraId="00D3EF12">
                  <w:pPr>
                    <w:pStyle w:val="75"/>
                    <w:spacing w:line="280" w:lineRule="atLeast"/>
                    <w:ind w:firstLine="0"/>
                    <w:jc w:val="center"/>
                    <w:rPr>
                      <w:rFonts w:ascii="Times New Roman" w:hAnsi="Times New Roman"/>
                      <w:szCs w:val="21"/>
                      <w:highlight w:val="none"/>
                    </w:rPr>
                  </w:pPr>
                  <w:r>
                    <w:rPr>
                      <w:rFonts w:ascii="Times New Roman" w:hAnsi="Times New Roman"/>
                      <w:szCs w:val="21"/>
                      <w:highlight w:val="none"/>
                    </w:rPr>
                    <w:t>公用工程</w:t>
                  </w:r>
                </w:p>
              </w:tc>
              <w:tc>
                <w:tcPr>
                  <w:tcW w:w="527" w:type="pct"/>
                  <w:noWrap w:val="0"/>
                  <w:vAlign w:val="center"/>
                </w:tcPr>
                <w:p w14:paraId="219936C0">
                  <w:pPr>
                    <w:pStyle w:val="75"/>
                    <w:spacing w:line="280" w:lineRule="atLeast"/>
                    <w:ind w:firstLine="0"/>
                    <w:jc w:val="center"/>
                    <w:rPr>
                      <w:rFonts w:ascii="Times New Roman" w:hAnsi="Times New Roman"/>
                      <w:szCs w:val="21"/>
                      <w:highlight w:val="none"/>
                    </w:rPr>
                  </w:pPr>
                  <w:r>
                    <w:rPr>
                      <w:rFonts w:ascii="Times New Roman" w:hAnsi="Times New Roman"/>
                      <w:szCs w:val="21"/>
                      <w:highlight w:val="none"/>
                    </w:rPr>
                    <w:t>给水</w:t>
                  </w:r>
                </w:p>
              </w:tc>
              <w:tc>
                <w:tcPr>
                  <w:tcW w:w="3499" w:type="pct"/>
                  <w:noWrap w:val="0"/>
                  <w:vAlign w:val="center"/>
                </w:tcPr>
                <w:p w14:paraId="26E8C54F">
                  <w:pPr>
                    <w:spacing w:line="280" w:lineRule="atLeast"/>
                    <w:rPr>
                      <w:rFonts w:ascii="Times New Roman" w:hAnsi="Times New Roman"/>
                      <w:bCs/>
                      <w:spacing w:val="9"/>
                      <w:szCs w:val="21"/>
                      <w:highlight w:val="none"/>
                    </w:rPr>
                  </w:pPr>
                  <w:r>
                    <w:rPr>
                      <w:rFonts w:hint="eastAsia"/>
                      <w:bCs/>
                      <w:spacing w:val="9"/>
                      <w:szCs w:val="21"/>
                      <w:highlight w:val="none"/>
                      <w:lang w:val="en-US" w:eastAsia="zh-CN"/>
                    </w:rPr>
                    <w:t>自备水井</w:t>
                  </w:r>
                  <w:r>
                    <w:rPr>
                      <w:rFonts w:hint="eastAsia" w:ascii="Times New Roman" w:hAnsi="Times New Roman"/>
                      <w:bCs/>
                      <w:spacing w:val="9"/>
                      <w:szCs w:val="21"/>
                      <w:highlight w:val="none"/>
                    </w:rPr>
                    <w:t>。</w:t>
                  </w:r>
                </w:p>
              </w:tc>
              <w:tc>
                <w:tcPr>
                  <w:tcW w:w="617" w:type="pct"/>
                  <w:noWrap w:val="0"/>
                  <w:vAlign w:val="center"/>
                </w:tcPr>
                <w:p w14:paraId="39FEE190">
                  <w:pPr>
                    <w:spacing w:line="280" w:lineRule="atLeast"/>
                    <w:jc w:val="center"/>
                    <w:rPr>
                      <w:rFonts w:hint="default"/>
                      <w:kern w:val="0"/>
                      <w:szCs w:val="21"/>
                      <w:highlight w:val="none"/>
                      <w:lang w:val="en-US" w:eastAsia="zh-CN"/>
                    </w:rPr>
                  </w:pPr>
                  <w:r>
                    <w:rPr>
                      <w:rFonts w:hint="eastAsia"/>
                      <w:kern w:val="0"/>
                      <w:szCs w:val="21"/>
                      <w:highlight w:val="none"/>
                      <w:lang w:val="en-US" w:eastAsia="zh-CN"/>
                    </w:rPr>
                    <w:t>/</w:t>
                  </w:r>
                </w:p>
              </w:tc>
            </w:tr>
            <w:tr w14:paraId="17B98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6" w:type="pct"/>
                  <w:vMerge w:val="continue"/>
                  <w:noWrap w:val="0"/>
                  <w:vAlign w:val="center"/>
                </w:tcPr>
                <w:p w14:paraId="6AA39AC9">
                  <w:pPr>
                    <w:pStyle w:val="75"/>
                    <w:spacing w:line="280" w:lineRule="atLeast"/>
                    <w:ind w:firstLine="0"/>
                    <w:jc w:val="center"/>
                    <w:rPr>
                      <w:rFonts w:ascii="Times New Roman" w:hAnsi="Times New Roman"/>
                      <w:szCs w:val="21"/>
                      <w:highlight w:val="none"/>
                    </w:rPr>
                  </w:pPr>
                </w:p>
              </w:tc>
              <w:tc>
                <w:tcPr>
                  <w:tcW w:w="527" w:type="pct"/>
                  <w:noWrap w:val="0"/>
                  <w:vAlign w:val="center"/>
                </w:tcPr>
                <w:p w14:paraId="1BB7E708">
                  <w:pPr>
                    <w:pStyle w:val="75"/>
                    <w:spacing w:line="280" w:lineRule="atLeast"/>
                    <w:ind w:firstLine="0"/>
                    <w:jc w:val="center"/>
                    <w:rPr>
                      <w:rFonts w:ascii="Times New Roman" w:hAnsi="Times New Roman"/>
                      <w:szCs w:val="21"/>
                      <w:highlight w:val="none"/>
                    </w:rPr>
                  </w:pPr>
                  <w:r>
                    <w:rPr>
                      <w:rFonts w:ascii="Times New Roman" w:hAnsi="Times New Roman"/>
                      <w:szCs w:val="21"/>
                      <w:highlight w:val="none"/>
                    </w:rPr>
                    <w:t>排水</w:t>
                  </w:r>
                </w:p>
              </w:tc>
              <w:tc>
                <w:tcPr>
                  <w:tcW w:w="3499" w:type="pct"/>
                  <w:noWrap w:val="0"/>
                  <w:vAlign w:val="center"/>
                </w:tcPr>
                <w:p w14:paraId="66A22165">
                  <w:pPr>
                    <w:spacing w:line="280" w:lineRule="atLeast"/>
                    <w:rPr>
                      <w:rFonts w:ascii="Times New Roman" w:hAnsi="Times New Roman"/>
                      <w:bCs/>
                      <w:spacing w:val="9"/>
                      <w:szCs w:val="21"/>
                      <w:highlight w:val="none"/>
                    </w:rPr>
                  </w:pPr>
                  <w:r>
                    <w:rPr>
                      <w:rFonts w:hint="eastAsia" w:ascii="Times New Roman" w:hAnsi="Times New Roman"/>
                      <w:bCs/>
                      <w:spacing w:val="9"/>
                      <w:szCs w:val="21"/>
                      <w:highlight w:val="none"/>
                    </w:rPr>
                    <w:t>生活污水依托承德坤元环保科技有限公司化粪池处理后</w:t>
                  </w:r>
                  <w:r>
                    <w:rPr>
                      <w:rFonts w:hint="eastAsia"/>
                      <w:bCs/>
                      <w:spacing w:val="9"/>
                      <w:szCs w:val="21"/>
                      <w:highlight w:val="none"/>
                      <w:lang w:val="en-US" w:eastAsia="zh-CN"/>
                    </w:rPr>
                    <w:t>定期抽排至</w:t>
                  </w:r>
                  <w:r>
                    <w:rPr>
                      <w:rFonts w:hint="eastAsia" w:ascii="Times New Roman" w:hAnsi="Times New Roman"/>
                      <w:bCs/>
                      <w:spacing w:val="9"/>
                      <w:szCs w:val="21"/>
                      <w:highlight w:val="none"/>
                    </w:rPr>
                    <w:t>宽城碧水源环保有限公司。</w:t>
                  </w:r>
                </w:p>
              </w:tc>
              <w:tc>
                <w:tcPr>
                  <w:tcW w:w="617" w:type="pct"/>
                  <w:noWrap w:val="0"/>
                  <w:vAlign w:val="center"/>
                </w:tcPr>
                <w:p w14:paraId="7168F81C">
                  <w:pPr>
                    <w:spacing w:line="280" w:lineRule="atLeast"/>
                    <w:jc w:val="center"/>
                    <w:rPr>
                      <w:rFonts w:hint="default"/>
                      <w:kern w:val="0"/>
                      <w:szCs w:val="21"/>
                      <w:highlight w:val="none"/>
                      <w:lang w:val="en-US" w:eastAsia="zh-CN"/>
                    </w:rPr>
                  </w:pPr>
                  <w:r>
                    <w:rPr>
                      <w:rFonts w:hint="eastAsia"/>
                      <w:kern w:val="0"/>
                      <w:szCs w:val="21"/>
                      <w:highlight w:val="none"/>
                      <w:lang w:val="en-US" w:eastAsia="zh-CN"/>
                    </w:rPr>
                    <w:t>/</w:t>
                  </w:r>
                </w:p>
              </w:tc>
            </w:tr>
            <w:tr w14:paraId="6CB899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6" w:type="pct"/>
                  <w:vMerge w:val="continue"/>
                  <w:noWrap w:val="0"/>
                  <w:vAlign w:val="center"/>
                </w:tcPr>
                <w:p w14:paraId="4E821969">
                  <w:pPr>
                    <w:pStyle w:val="75"/>
                    <w:spacing w:line="280" w:lineRule="atLeast"/>
                    <w:ind w:firstLine="0"/>
                    <w:jc w:val="center"/>
                    <w:rPr>
                      <w:rFonts w:ascii="Times New Roman" w:hAnsi="Times New Roman"/>
                      <w:szCs w:val="21"/>
                      <w:highlight w:val="none"/>
                    </w:rPr>
                  </w:pPr>
                </w:p>
              </w:tc>
              <w:tc>
                <w:tcPr>
                  <w:tcW w:w="527" w:type="pct"/>
                  <w:noWrap w:val="0"/>
                  <w:vAlign w:val="center"/>
                </w:tcPr>
                <w:p w14:paraId="3BA029A9">
                  <w:pPr>
                    <w:pStyle w:val="75"/>
                    <w:spacing w:line="280" w:lineRule="atLeast"/>
                    <w:ind w:firstLine="0"/>
                    <w:jc w:val="center"/>
                    <w:rPr>
                      <w:rFonts w:ascii="Times New Roman" w:hAnsi="Times New Roman"/>
                      <w:szCs w:val="21"/>
                      <w:highlight w:val="none"/>
                    </w:rPr>
                  </w:pPr>
                  <w:r>
                    <w:rPr>
                      <w:rFonts w:ascii="Times New Roman" w:hAnsi="Times New Roman"/>
                      <w:szCs w:val="21"/>
                      <w:highlight w:val="none"/>
                    </w:rPr>
                    <w:t>供电</w:t>
                  </w:r>
                </w:p>
              </w:tc>
              <w:tc>
                <w:tcPr>
                  <w:tcW w:w="3499" w:type="pct"/>
                  <w:noWrap w:val="0"/>
                  <w:vAlign w:val="center"/>
                </w:tcPr>
                <w:p w14:paraId="33FD9395">
                  <w:pPr>
                    <w:spacing w:line="280" w:lineRule="atLeast"/>
                    <w:rPr>
                      <w:rFonts w:ascii="Times New Roman" w:hAnsi="Times New Roman"/>
                      <w:bCs/>
                      <w:spacing w:val="9"/>
                      <w:szCs w:val="21"/>
                      <w:highlight w:val="none"/>
                    </w:rPr>
                  </w:pPr>
                  <w:r>
                    <w:rPr>
                      <w:rFonts w:hint="eastAsia"/>
                      <w:bCs/>
                      <w:spacing w:val="9"/>
                      <w:szCs w:val="21"/>
                      <w:highlight w:val="none"/>
                      <w:lang w:val="en-US" w:eastAsia="zh-CN"/>
                    </w:rPr>
                    <w:t>园区供电管网</w:t>
                  </w:r>
                  <w:r>
                    <w:rPr>
                      <w:rFonts w:hint="eastAsia" w:ascii="Times New Roman" w:hAnsi="Times New Roman"/>
                      <w:bCs/>
                      <w:spacing w:val="9"/>
                      <w:szCs w:val="21"/>
                      <w:highlight w:val="none"/>
                    </w:rPr>
                    <w:t>供给。</w:t>
                  </w:r>
                </w:p>
              </w:tc>
              <w:tc>
                <w:tcPr>
                  <w:tcW w:w="617" w:type="pct"/>
                  <w:noWrap w:val="0"/>
                  <w:vAlign w:val="center"/>
                </w:tcPr>
                <w:p w14:paraId="639A085A">
                  <w:pPr>
                    <w:spacing w:line="280" w:lineRule="atLeast"/>
                    <w:jc w:val="center"/>
                    <w:rPr>
                      <w:rFonts w:hint="default"/>
                      <w:kern w:val="0"/>
                      <w:szCs w:val="21"/>
                      <w:highlight w:val="none"/>
                      <w:lang w:val="en-US" w:eastAsia="zh-CN"/>
                    </w:rPr>
                  </w:pPr>
                  <w:r>
                    <w:rPr>
                      <w:rFonts w:hint="eastAsia"/>
                      <w:kern w:val="0"/>
                      <w:szCs w:val="21"/>
                      <w:highlight w:val="none"/>
                      <w:lang w:val="en-US" w:eastAsia="zh-CN"/>
                    </w:rPr>
                    <w:t>/</w:t>
                  </w:r>
                </w:p>
              </w:tc>
            </w:tr>
            <w:tr w14:paraId="6D4CF2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56" w:type="pct"/>
                  <w:vMerge w:val="continue"/>
                  <w:noWrap w:val="0"/>
                  <w:vAlign w:val="center"/>
                </w:tcPr>
                <w:p w14:paraId="29E8CEE7">
                  <w:pPr>
                    <w:pStyle w:val="75"/>
                    <w:spacing w:line="280" w:lineRule="atLeast"/>
                    <w:ind w:firstLine="0"/>
                    <w:jc w:val="center"/>
                    <w:rPr>
                      <w:rFonts w:ascii="Times New Roman" w:hAnsi="Times New Roman"/>
                      <w:szCs w:val="21"/>
                      <w:highlight w:val="none"/>
                    </w:rPr>
                  </w:pPr>
                </w:p>
              </w:tc>
              <w:tc>
                <w:tcPr>
                  <w:tcW w:w="527" w:type="pct"/>
                  <w:noWrap w:val="0"/>
                  <w:vAlign w:val="center"/>
                </w:tcPr>
                <w:p w14:paraId="104A823D">
                  <w:pPr>
                    <w:pStyle w:val="75"/>
                    <w:spacing w:line="280" w:lineRule="atLeast"/>
                    <w:ind w:firstLine="0"/>
                    <w:jc w:val="center"/>
                    <w:rPr>
                      <w:rFonts w:ascii="Times New Roman" w:hAnsi="Times New Roman"/>
                      <w:szCs w:val="21"/>
                      <w:highlight w:val="none"/>
                    </w:rPr>
                  </w:pPr>
                  <w:r>
                    <w:rPr>
                      <w:rFonts w:ascii="Times New Roman" w:hAnsi="Times New Roman"/>
                      <w:szCs w:val="21"/>
                      <w:highlight w:val="none"/>
                    </w:rPr>
                    <w:t>供暖</w:t>
                  </w:r>
                </w:p>
              </w:tc>
              <w:tc>
                <w:tcPr>
                  <w:tcW w:w="3499" w:type="pct"/>
                  <w:noWrap w:val="0"/>
                  <w:vAlign w:val="center"/>
                </w:tcPr>
                <w:p w14:paraId="32413CBE">
                  <w:pPr>
                    <w:spacing w:line="280" w:lineRule="atLeast"/>
                    <w:rPr>
                      <w:rFonts w:ascii="Times New Roman" w:hAnsi="Times New Roman"/>
                      <w:bCs/>
                      <w:spacing w:val="9"/>
                      <w:szCs w:val="21"/>
                      <w:highlight w:val="none"/>
                    </w:rPr>
                  </w:pPr>
                  <w:r>
                    <w:rPr>
                      <w:rFonts w:hint="eastAsia" w:ascii="Times New Roman" w:hAnsi="Times New Roman"/>
                      <w:bCs/>
                      <w:spacing w:val="9"/>
                      <w:szCs w:val="21"/>
                      <w:highlight w:val="none"/>
                    </w:rPr>
                    <w:t>库房不供暖，办公区由空调供暖。</w:t>
                  </w:r>
                </w:p>
              </w:tc>
              <w:tc>
                <w:tcPr>
                  <w:tcW w:w="617" w:type="pct"/>
                  <w:noWrap w:val="0"/>
                  <w:vAlign w:val="center"/>
                </w:tcPr>
                <w:p w14:paraId="3C678A21">
                  <w:pPr>
                    <w:spacing w:line="280" w:lineRule="atLeast"/>
                    <w:jc w:val="center"/>
                    <w:rPr>
                      <w:rFonts w:hint="default"/>
                      <w:kern w:val="0"/>
                      <w:szCs w:val="21"/>
                      <w:highlight w:val="none"/>
                      <w:lang w:val="en-US" w:eastAsia="zh-CN"/>
                    </w:rPr>
                  </w:pPr>
                  <w:r>
                    <w:rPr>
                      <w:rFonts w:hint="eastAsia"/>
                      <w:kern w:val="0"/>
                      <w:szCs w:val="21"/>
                      <w:highlight w:val="none"/>
                      <w:lang w:val="en-US" w:eastAsia="zh-CN"/>
                    </w:rPr>
                    <w:t>/</w:t>
                  </w:r>
                </w:p>
              </w:tc>
            </w:tr>
            <w:tr w14:paraId="24999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6" w:type="pct"/>
                  <w:vMerge w:val="restart"/>
                  <w:noWrap w:val="0"/>
                  <w:vAlign w:val="center"/>
                </w:tcPr>
                <w:p w14:paraId="09756D08">
                  <w:pPr>
                    <w:pStyle w:val="75"/>
                    <w:spacing w:line="280" w:lineRule="atLeast"/>
                    <w:ind w:firstLine="0"/>
                    <w:jc w:val="center"/>
                    <w:rPr>
                      <w:rFonts w:ascii="Times New Roman" w:hAnsi="Times New Roman"/>
                      <w:szCs w:val="21"/>
                      <w:highlight w:val="none"/>
                    </w:rPr>
                  </w:pPr>
                  <w:r>
                    <w:rPr>
                      <w:rFonts w:ascii="Times New Roman" w:hAnsi="Times New Roman"/>
                      <w:szCs w:val="21"/>
                      <w:highlight w:val="none"/>
                    </w:rPr>
                    <w:t>储运工程</w:t>
                  </w:r>
                </w:p>
              </w:tc>
              <w:tc>
                <w:tcPr>
                  <w:tcW w:w="527" w:type="pct"/>
                  <w:noWrap w:val="0"/>
                  <w:vAlign w:val="center"/>
                </w:tcPr>
                <w:p w14:paraId="78FC80CE">
                  <w:pPr>
                    <w:pStyle w:val="75"/>
                    <w:spacing w:line="280" w:lineRule="atLeast"/>
                    <w:ind w:firstLine="0"/>
                    <w:jc w:val="center"/>
                    <w:rPr>
                      <w:rFonts w:ascii="Times New Roman" w:hAnsi="Times New Roman"/>
                      <w:szCs w:val="21"/>
                      <w:highlight w:val="none"/>
                    </w:rPr>
                  </w:pPr>
                  <w:r>
                    <w:rPr>
                      <w:rFonts w:hint="eastAsia" w:ascii="Times New Roman" w:hAnsi="Times New Roman"/>
                      <w:szCs w:val="21"/>
                      <w:highlight w:val="none"/>
                    </w:rPr>
                    <w:t>卧式储油罐</w:t>
                  </w:r>
                </w:p>
              </w:tc>
              <w:tc>
                <w:tcPr>
                  <w:tcW w:w="3499" w:type="pct"/>
                  <w:noWrap w:val="0"/>
                  <w:vAlign w:val="center"/>
                </w:tcPr>
                <w:p w14:paraId="651F2726">
                  <w:pPr>
                    <w:spacing w:line="280" w:lineRule="atLeast"/>
                    <w:rPr>
                      <w:rFonts w:ascii="Times New Roman" w:hAnsi="Times New Roman"/>
                      <w:bCs/>
                      <w:spacing w:val="9"/>
                      <w:szCs w:val="21"/>
                      <w:highlight w:val="none"/>
                    </w:rPr>
                  </w:pPr>
                  <w:r>
                    <w:rPr>
                      <w:rFonts w:hint="eastAsia"/>
                      <w:bCs/>
                      <w:spacing w:val="9"/>
                      <w:szCs w:val="21"/>
                      <w:highlight w:val="none"/>
                      <w:lang w:val="en-US" w:eastAsia="zh-CN"/>
                    </w:rPr>
                    <w:t>每个</w:t>
                  </w:r>
                  <w:r>
                    <w:rPr>
                      <w:rFonts w:hint="eastAsia" w:ascii="Times New Roman" w:hAnsi="Times New Roman"/>
                      <w:bCs/>
                      <w:spacing w:val="9"/>
                      <w:szCs w:val="21"/>
                      <w:highlight w:val="none"/>
                    </w:rPr>
                    <w:t>60m</w:t>
                  </w:r>
                  <w:r>
                    <w:rPr>
                      <w:rFonts w:hint="eastAsia" w:ascii="Times New Roman" w:hAnsi="Times New Roman"/>
                      <w:bCs/>
                      <w:spacing w:val="9"/>
                      <w:szCs w:val="21"/>
                      <w:highlight w:val="none"/>
                      <w:vertAlign w:val="superscript"/>
                    </w:rPr>
                    <w:t>3</w:t>
                  </w:r>
                  <w:r>
                    <w:rPr>
                      <w:rFonts w:hint="eastAsia" w:ascii="Times New Roman" w:hAnsi="Times New Roman"/>
                      <w:bCs/>
                      <w:spacing w:val="9"/>
                      <w:szCs w:val="21"/>
                      <w:highlight w:val="none"/>
                    </w:rPr>
                    <w:t>，3个，用于废矿物油的储存。</w:t>
                  </w:r>
                </w:p>
              </w:tc>
              <w:tc>
                <w:tcPr>
                  <w:tcW w:w="617" w:type="pct"/>
                  <w:noWrap w:val="0"/>
                  <w:vAlign w:val="center"/>
                </w:tcPr>
                <w:p w14:paraId="4252893C">
                  <w:pPr>
                    <w:spacing w:line="280" w:lineRule="atLeast"/>
                    <w:jc w:val="center"/>
                    <w:rPr>
                      <w:rFonts w:hint="default"/>
                      <w:kern w:val="0"/>
                      <w:szCs w:val="21"/>
                      <w:highlight w:val="none"/>
                      <w:lang w:val="en-US" w:eastAsia="zh-CN"/>
                    </w:rPr>
                  </w:pPr>
                  <w:r>
                    <w:rPr>
                      <w:rFonts w:hint="eastAsia"/>
                      <w:kern w:val="0"/>
                      <w:szCs w:val="21"/>
                      <w:highlight w:val="none"/>
                      <w:lang w:val="en-US" w:eastAsia="zh-CN"/>
                    </w:rPr>
                    <w:t>新建</w:t>
                  </w:r>
                </w:p>
              </w:tc>
            </w:tr>
            <w:tr w14:paraId="214B1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6" w:type="pct"/>
                  <w:vMerge w:val="continue"/>
                  <w:noWrap w:val="0"/>
                  <w:vAlign w:val="center"/>
                </w:tcPr>
                <w:p w14:paraId="57697783">
                  <w:pPr>
                    <w:pStyle w:val="75"/>
                    <w:spacing w:line="280" w:lineRule="atLeast"/>
                    <w:ind w:firstLine="0"/>
                    <w:jc w:val="center"/>
                    <w:rPr>
                      <w:rFonts w:ascii="Times New Roman" w:hAnsi="Times New Roman"/>
                      <w:szCs w:val="21"/>
                      <w:highlight w:val="none"/>
                    </w:rPr>
                  </w:pPr>
                </w:p>
              </w:tc>
              <w:tc>
                <w:tcPr>
                  <w:tcW w:w="527" w:type="pct"/>
                  <w:noWrap w:val="0"/>
                  <w:vAlign w:val="center"/>
                </w:tcPr>
                <w:p w14:paraId="25E8D363">
                  <w:pPr>
                    <w:pStyle w:val="75"/>
                    <w:spacing w:line="280" w:lineRule="atLeast"/>
                    <w:ind w:firstLine="0"/>
                    <w:jc w:val="center"/>
                    <w:rPr>
                      <w:rFonts w:ascii="Times New Roman" w:hAnsi="Times New Roman"/>
                      <w:szCs w:val="21"/>
                      <w:highlight w:val="none"/>
                    </w:rPr>
                  </w:pPr>
                  <w:r>
                    <w:rPr>
                      <w:rFonts w:hint="eastAsia" w:ascii="Times New Roman" w:hAnsi="Times New Roman"/>
                      <w:szCs w:val="21"/>
                      <w:highlight w:val="none"/>
                    </w:rPr>
                    <w:t>大开口钢箍桶</w:t>
                  </w:r>
                </w:p>
              </w:tc>
              <w:tc>
                <w:tcPr>
                  <w:tcW w:w="3499" w:type="pct"/>
                  <w:noWrap w:val="0"/>
                  <w:vAlign w:val="center"/>
                </w:tcPr>
                <w:p w14:paraId="0A37BF9A">
                  <w:pPr>
                    <w:spacing w:line="280" w:lineRule="atLeast"/>
                    <w:rPr>
                      <w:rFonts w:ascii="Times New Roman" w:hAnsi="Times New Roman"/>
                      <w:bCs/>
                      <w:spacing w:val="9"/>
                      <w:szCs w:val="21"/>
                      <w:highlight w:val="none"/>
                    </w:rPr>
                  </w:pPr>
                  <w:r>
                    <w:rPr>
                      <w:rFonts w:hint="eastAsia"/>
                      <w:bCs/>
                      <w:spacing w:val="9"/>
                      <w:szCs w:val="21"/>
                      <w:highlight w:val="none"/>
                      <w:lang w:val="en-US" w:eastAsia="zh-CN"/>
                    </w:rPr>
                    <w:t>每个</w:t>
                  </w:r>
                  <w:r>
                    <w:rPr>
                      <w:rFonts w:hint="eastAsia" w:ascii="Times New Roman" w:hAnsi="Times New Roman"/>
                      <w:bCs/>
                      <w:spacing w:val="9"/>
                      <w:szCs w:val="21"/>
                      <w:highlight w:val="none"/>
                    </w:rPr>
                    <w:t>200L，50个，用于储存水分含量较高的污泥。</w:t>
                  </w:r>
                </w:p>
              </w:tc>
              <w:tc>
                <w:tcPr>
                  <w:tcW w:w="617" w:type="pct"/>
                  <w:noWrap w:val="0"/>
                  <w:vAlign w:val="center"/>
                </w:tcPr>
                <w:p w14:paraId="3AD3C638">
                  <w:pPr>
                    <w:spacing w:line="280" w:lineRule="atLeast"/>
                    <w:jc w:val="center"/>
                    <w:rPr>
                      <w:rFonts w:hint="default"/>
                      <w:kern w:val="0"/>
                      <w:szCs w:val="21"/>
                      <w:highlight w:val="none"/>
                      <w:lang w:val="en-US" w:eastAsia="zh-CN"/>
                    </w:rPr>
                  </w:pPr>
                  <w:r>
                    <w:rPr>
                      <w:rFonts w:hint="eastAsia"/>
                      <w:kern w:val="0"/>
                      <w:szCs w:val="21"/>
                      <w:highlight w:val="none"/>
                      <w:lang w:val="en-US" w:eastAsia="zh-CN"/>
                    </w:rPr>
                    <w:t>新建</w:t>
                  </w:r>
                </w:p>
              </w:tc>
            </w:tr>
            <w:tr w14:paraId="6692F8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6" w:type="pct"/>
                  <w:vMerge w:val="continue"/>
                  <w:noWrap w:val="0"/>
                  <w:vAlign w:val="center"/>
                </w:tcPr>
                <w:p w14:paraId="0EB072EF">
                  <w:pPr>
                    <w:pStyle w:val="75"/>
                    <w:spacing w:line="280" w:lineRule="atLeast"/>
                    <w:ind w:firstLine="0"/>
                    <w:jc w:val="center"/>
                    <w:rPr>
                      <w:rFonts w:ascii="Times New Roman" w:hAnsi="Times New Roman"/>
                      <w:szCs w:val="21"/>
                      <w:highlight w:val="none"/>
                    </w:rPr>
                  </w:pPr>
                </w:p>
              </w:tc>
              <w:tc>
                <w:tcPr>
                  <w:tcW w:w="527" w:type="pct"/>
                  <w:noWrap w:val="0"/>
                  <w:vAlign w:val="center"/>
                </w:tcPr>
                <w:p w14:paraId="63B59BF8">
                  <w:pPr>
                    <w:pStyle w:val="75"/>
                    <w:spacing w:line="280" w:lineRule="atLeast"/>
                    <w:ind w:firstLine="0"/>
                    <w:jc w:val="center"/>
                    <w:rPr>
                      <w:rFonts w:ascii="Times New Roman" w:hAnsi="Times New Roman"/>
                      <w:szCs w:val="21"/>
                      <w:highlight w:val="none"/>
                    </w:rPr>
                  </w:pPr>
                  <w:r>
                    <w:rPr>
                      <w:rFonts w:hint="eastAsia" w:ascii="Times New Roman" w:hAnsi="Times New Roman"/>
                      <w:szCs w:val="21"/>
                      <w:highlight w:val="none"/>
                    </w:rPr>
                    <w:t>内塑外编袋</w:t>
                  </w:r>
                </w:p>
              </w:tc>
              <w:tc>
                <w:tcPr>
                  <w:tcW w:w="3499" w:type="pct"/>
                  <w:noWrap w:val="0"/>
                  <w:vAlign w:val="center"/>
                </w:tcPr>
                <w:p w14:paraId="18F18456">
                  <w:pPr>
                    <w:spacing w:line="280" w:lineRule="atLeast"/>
                    <w:rPr>
                      <w:rFonts w:ascii="Times New Roman" w:hAnsi="Times New Roman"/>
                      <w:bCs/>
                      <w:spacing w:val="9"/>
                      <w:szCs w:val="21"/>
                      <w:highlight w:val="none"/>
                    </w:rPr>
                  </w:pPr>
                  <w:r>
                    <w:rPr>
                      <w:rFonts w:hint="eastAsia"/>
                      <w:bCs/>
                      <w:spacing w:val="9"/>
                      <w:szCs w:val="21"/>
                      <w:highlight w:val="none"/>
                      <w:lang w:val="en-US" w:eastAsia="zh-CN"/>
                    </w:rPr>
                    <w:t>每个</w:t>
                  </w:r>
                  <w:r>
                    <w:rPr>
                      <w:rFonts w:hint="eastAsia" w:ascii="Times New Roman" w:hAnsi="Times New Roman"/>
                      <w:bCs/>
                      <w:spacing w:val="9"/>
                      <w:szCs w:val="21"/>
                      <w:highlight w:val="none"/>
                    </w:rPr>
                    <w:t>1000L，用于储存固体废物及干污泥。</w:t>
                  </w:r>
                </w:p>
              </w:tc>
              <w:tc>
                <w:tcPr>
                  <w:tcW w:w="617" w:type="pct"/>
                  <w:noWrap w:val="0"/>
                  <w:vAlign w:val="center"/>
                </w:tcPr>
                <w:p w14:paraId="5F965418">
                  <w:pPr>
                    <w:spacing w:line="280" w:lineRule="atLeast"/>
                    <w:jc w:val="center"/>
                    <w:rPr>
                      <w:rFonts w:hint="default"/>
                      <w:kern w:val="0"/>
                      <w:szCs w:val="21"/>
                      <w:highlight w:val="none"/>
                      <w:lang w:val="en-US" w:eastAsia="zh-CN"/>
                    </w:rPr>
                  </w:pPr>
                  <w:r>
                    <w:rPr>
                      <w:rFonts w:hint="eastAsia"/>
                      <w:kern w:val="0"/>
                      <w:szCs w:val="21"/>
                      <w:highlight w:val="none"/>
                      <w:lang w:val="en-US" w:eastAsia="zh-CN"/>
                    </w:rPr>
                    <w:t>新建</w:t>
                  </w:r>
                </w:p>
              </w:tc>
            </w:tr>
            <w:tr w14:paraId="1E47A6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6" w:type="pct"/>
                  <w:vMerge w:val="continue"/>
                  <w:noWrap w:val="0"/>
                  <w:vAlign w:val="center"/>
                </w:tcPr>
                <w:p w14:paraId="270365E0">
                  <w:pPr>
                    <w:pStyle w:val="75"/>
                    <w:spacing w:line="280" w:lineRule="atLeast"/>
                    <w:ind w:firstLine="0"/>
                    <w:jc w:val="center"/>
                    <w:rPr>
                      <w:rFonts w:ascii="Times New Roman" w:hAnsi="Times New Roman"/>
                      <w:szCs w:val="21"/>
                      <w:highlight w:val="none"/>
                    </w:rPr>
                  </w:pPr>
                </w:p>
              </w:tc>
              <w:tc>
                <w:tcPr>
                  <w:tcW w:w="527" w:type="pct"/>
                  <w:noWrap w:val="0"/>
                  <w:vAlign w:val="center"/>
                </w:tcPr>
                <w:p w14:paraId="4D3CA274">
                  <w:pPr>
                    <w:pStyle w:val="75"/>
                    <w:spacing w:line="280" w:lineRule="atLeast"/>
                    <w:ind w:firstLine="0"/>
                    <w:jc w:val="center"/>
                    <w:rPr>
                      <w:rFonts w:hint="eastAsia" w:ascii="Times New Roman" w:hAnsi="Times New Roman"/>
                      <w:szCs w:val="21"/>
                      <w:highlight w:val="none"/>
                    </w:rPr>
                  </w:pPr>
                  <w:r>
                    <w:rPr>
                      <w:rFonts w:ascii="Times New Roman" w:hAnsi="Times New Roman"/>
                      <w:szCs w:val="21"/>
                      <w:highlight w:val="none"/>
                    </w:rPr>
                    <w:t>塑料桶</w:t>
                  </w:r>
                </w:p>
              </w:tc>
              <w:tc>
                <w:tcPr>
                  <w:tcW w:w="3499" w:type="pct"/>
                  <w:noWrap w:val="0"/>
                  <w:vAlign w:val="center"/>
                </w:tcPr>
                <w:p w14:paraId="4ED9EECF">
                  <w:pPr>
                    <w:spacing w:line="280" w:lineRule="atLeast"/>
                    <w:rPr>
                      <w:rFonts w:hint="eastAsia" w:ascii="Times New Roman" w:hAnsi="Times New Roman"/>
                      <w:bCs/>
                      <w:spacing w:val="9"/>
                      <w:szCs w:val="21"/>
                      <w:highlight w:val="none"/>
                    </w:rPr>
                  </w:pPr>
                  <w:r>
                    <w:rPr>
                      <w:rFonts w:ascii="Times New Roman" w:hAnsi="Times New Roman"/>
                      <w:bCs/>
                      <w:spacing w:val="9"/>
                      <w:szCs w:val="21"/>
                      <w:highlight w:val="none"/>
                    </w:rPr>
                    <w:t>若干，耐腐蚀，储存腐蚀性半固体和液体危险废物。</w:t>
                  </w:r>
                </w:p>
              </w:tc>
              <w:tc>
                <w:tcPr>
                  <w:tcW w:w="617" w:type="pct"/>
                  <w:noWrap w:val="0"/>
                  <w:vAlign w:val="center"/>
                </w:tcPr>
                <w:p w14:paraId="2751BAF6">
                  <w:pPr>
                    <w:spacing w:line="280" w:lineRule="atLeast"/>
                    <w:jc w:val="center"/>
                    <w:rPr>
                      <w:rFonts w:hint="default"/>
                      <w:kern w:val="0"/>
                      <w:szCs w:val="21"/>
                      <w:highlight w:val="none"/>
                      <w:lang w:val="en-US" w:eastAsia="zh-CN"/>
                    </w:rPr>
                  </w:pPr>
                  <w:r>
                    <w:rPr>
                      <w:rFonts w:hint="eastAsia"/>
                      <w:kern w:val="0"/>
                      <w:szCs w:val="21"/>
                      <w:highlight w:val="none"/>
                      <w:lang w:val="en-US" w:eastAsia="zh-CN"/>
                    </w:rPr>
                    <w:t>新建</w:t>
                  </w:r>
                </w:p>
              </w:tc>
            </w:tr>
            <w:tr w14:paraId="6ABE8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6" w:type="pct"/>
                  <w:vMerge w:val="continue"/>
                  <w:noWrap w:val="0"/>
                  <w:vAlign w:val="center"/>
                </w:tcPr>
                <w:p w14:paraId="24A57395">
                  <w:pPr>
                    <w:pStyle w:val="75"/>
                    <w:spacing w:line="280" w:lineRule="atLeast"/>
                    <w:ind w:firstLine="0"/>
                    <w:jc w:val="center"/>
                    <w:rPr>
                      <w:rFonts w:ascii="Times New Roman" w:hAnsi="Times New Roman"/>
                      <w:szCs w:val="21"/>
                      <w:highlight w:val="none"/>
                    </w:rPr>
                  </w:pPr>
                </w:p>
              </w:tc>
              <w:tc>
                <w:tcPr>
                  <w:tcW w:w="527" w:type="pct"/>
                  <w:noWrap w:val="0"/>
                  <w:vAlign w:val="center"/>
                </w:tcPr>
                <w:p w14:paraId="6117320D">
                  <w:pPr>
                    <w:pStyle w:val="75"/>
                    <w:spacing w:line="280" w:lineRule="atLeast"/>
                    <w:ind w:firstLine="0"/>
                    <w:jc w:val="center"/>
                    <w:rPr>
                      <w:rFonts w:hint="eastAsia" w:ascii="Times New Roman" w:hAnsi="Times New Roman"/>
                      <w:szCs w:val="21"/>
                      <w:highlight w:val="none"/>
                    </w:rPr>
                  </w:pPr>
                  <w:r>
                    <w:rPr>
                      <w:rFonts w:ascii="Times New Roman" w:hAnsi="Times New Roman"/>
                      <w:szCs w:val="21"/>
                      <w:highlight w:val="none"/>
                    </w:rPr>
                    <w:t>铁桶</w:t>
                  </w:r>
                </w:p>
              </w:tc>
              <w:tc>
                <w:tcPr>
                  <w:tcW w:w="3499" w:type="pct"/>
                  <w:noWrap w:val="0"/>
                  <w:vAlign w:val="center"/>
                </w:tcPr>
                <w:p w14:paraId="242E5467">
                  <w:pPr>
                    <w:spacing w:line="280" w:lineRule="atLeast"/>
                    <w:rPr>
                      <w:rFonts w:hint="eastAsia" w:ascii="Times New Roman" w:hAnsi="Times New Roman"/>
                      <w:bCs/>
                      <w:spacing w:val="9"/>
                      <w:szCs w:val="21"/>
                      <w:highlight w:val="none"/>
                    </w:rPr>
                  </w:pPr>
                  <w:r>
                    <w:rPr>
                      <w:rFonts w:ascii="Times New Roman" w:hAnsi="Times New Roman"/>
                      <w:bCs/>
                      <w:spacing w:val="9"/>
                      <w:szCs w:val="21"/>
                      <w:highlight w:val="none"/>
                    </w:rPr>
                    <w:t>若干，铁质，储存无腐蚀半固体和液体危险废物</w:t>
                  </w:r>
                  <w:r>
                    <w:rPr>
                      <w:rFonts w:hint="eastAsia" w:ascii="Times New Roman" w:hAnsi="Times New Roman"/>
                      <w:bCs/>
                      <w:spacing w:val="9"/>
                      <w:szCs w:val="21"/>
                      <w:highlight w:val="none"/>
                    </w:rPr>
                    <w:t>。</w:t>
                  </w:r>
                </w:p>
              </w:tc>
              <w:tc>
                <w:tcPr>
                  <w:tcW w:w="617" w:type="pct"/>
                  <w:noWrap w:val="0"/>
                  <w:vAlign w:val="center"/>
                </w:tcPr>
                <w:p w14:paraId="2CDB9D9B">
                  <w:pPr>
                    <w:spacing w:line="280" w:lineRule="atLeast"/>
                    <w:jc w:val="center"/>
                    <w:rPr>
                      <w:rFonts w:hint="eastAsia"/>
                      <w:kern w:val="0"/>
                      <w:szCs w:val="21"/>
                      <w:highlight w:val="none"/>
                      <w:lang w:val="en-US" w:eastAsia="zh-CN"/>
                    </w:rPr>
                  </w:pPr>
                  <w:r>
                    <w:rPr>
                      <w:rFonts w:hint="eastAsia"/>
                      <w:kern w:val="0"/>
                      <w:szCs w:val="21"/>
                      <w:highlight w:val="none"/>
                      <w:lang w:val="en-US" w:eastAsia="zh-CN"/>
                    </w:rPr>
                    <w:t>新建</w:t>
                  </w:r>
                </w:p>
              </w:tc>
            </w:tr>
            <w:tr w14:paraId="41DC8A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6" w:type="pct"/>
                  <w:vMerge w:val="continue"/>
                  <w:noWrap w:val="0"/>
                  <w:vAlign w:val="center"/>
                </w:tcPr>
                <w:p w14:paraId="14616322">
                  <w:pPr>
                    <w:pStyle w:val="75"/>
                    <w:spacing w:line="280" w:lineRule="atLeast"/>
                    <w:ind w:firstLine="0"/>
                    <w:jc w:val="center"/>
                    <w:rPr>
                      <w:rFonts w:ascii="Times New Roman" w:hAnsi="Times New Roman"/>
                      <w:szCs w:val="21"/>
                      <w:highlight w:val="none"/>
                    </w:rPr>
                  </w:pPr>
                </w:p>
              </w:tc>
              <w:tc>
                <w:tcPr>
                  <w:tcW w:w="527" w:type="pct"/>
                  <w:noWrap w:val="0"/>
                  <w:vAlign w:val="center"/>
                </w:tcPr>
                <w:p w14:paraId="1247EF77">
                  <w:pPr>
                    <w:pStyle w:val="75"/>
                    <w:spacing w:line="280" w:lineRule="atLeast"/>
                    <w:ind w:firstLine="0"/>
                    <w:jc w:val="center"/>
                    <w:rPr>
                      <w:rFonts w:hint="eastAsia" w:ascii="Times New Roman" w:hAnsi="Times New Roman"/>
                      <w:szCs w:val="21"/>
                      <w:highlight w:val="none"/>
                    </w:rPr>
                  </w:pPr>
                  <w:r>
                    <w:rPr>
                      <w:rFonts w:hint="eastAsia" w:ascii="Times New Roman" w:hAnsi="Times New Roman"/>
                      <w:szCs w:val="21"/>
                      <w:highlight w:val="none"/>
                    </w:rPr>
                    <w:t>抽油泵</w:t>
                  </w:r>
                </w:p>
              </w:tc>
              <w:tc>
                <w:tcPr>
                  <w:tcW w:w="3499" w:type="pct"/>
                  <w:noWrap w:val="0"/>
                  <w:vAlign w:val="center"/>
                </w:tcPr>
                <w:p w14:paraId="3AF0F182">
                  <w:pPr>
                    <w:spacing w:line="280" w:lineRule="atLeast"/>
                    <w:rPr>
                      <w:rFonts w:hint="eastAsia" w:ascii="Times New Roman" w:hAnsi="Times New Roman"/>
                      <w:bCs/>
                      <w:spacing w:val="9"/>
                      <w:szCs w:val="21"/>
                      <w:highlight w:val="none"/>
                    </w:rPr>
                  </w:pPr>
                  <w:r>
                    <w:rPr>
                      <w:rFonts w:hint="eastAsia" w:ascii="Times New Roman" w:hAnsi="Times New Roman"/>
                      <w:bCs/>
                      <w:spacing w:val="9"/>
                      <w:szCs w:val="21"/>
                      <w:highlight w:val="none"/>
                    </w:rPr>
                    <w:t>2台。</w:t>
                  </w:r>
                </w:p>
              </w:tc>
              <w:tc>
                <w:tcPr>
                  <w:tcW w:w="617" w:type="pct"/>
                  <w:noWrap w:val="0"/>
                  <w:vAlign w:val="center"/>
                </w:tcPr>
                <w:p w14:paraId="008981E7">
                  <w:pPr>
                    <w:spacing w:line="280" w:lineRule="atLeast"/>
                    <w:jc w:val="center"/>
                    <w:rPr>
                      <w:rFonts w:hint="eastAsia"/>
                      <w:kern w:val="0"/>
                      <w:szCs w:val="21"/>
                      <w:highlight w:val="none"/>
                      <w:lang w:val="en-US" w:eastAsia="zh-CN"/>
                    </w:rPr>
                  </w:pPr>
                  <w:r>
                    <w:rPr>
                      <w:rFonts w:hint="eastAsia"/>
                      <w:kern w:val="0"/>
                      <w:szCs w:val="21"/>
                      <w:highlight w:val="none"/>
                      <w:lang w:val="en-US" w:eastAsia="zh-CN"/>
                    </w:rPr>
                    <w:t>新建</w:t>
                  </w:r>
                </w:p>
              </w:tc>
            </w:tr>
            <w:tr w14:paraId="02447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6" w:type="pct"/>
                  <w:vMerge w:val="continue"/>
                  <w:noWrap w:val="0"/>
                  <w:vAlign w:val="center"/>
                </w:tcPr>
                <w:p w14:paraId="4A44AC83">
                  <w:pPr>
                    <w:pStyle w:val="75"/>
                    <w:spacing w:line="280" w:lineRule="atLeast"/>
                    <w:ind w:firstLine="0"/>
                    <w:jc w:val="center"/>
                    <w:rPr>
                      <w:rFonts w:ascii="Times New Roman" w:hAnsi="Times New Roman"/>
                      <w:szCs w:val="21"/>
                      <w:highlight w:val="none"/>
                    </w:rPr>
                  </w:pPr>
                </w:p>
              </w:tc>
              <w:tc>
                <w:tcPr>
                  <w:tcW w:w="527" w:type="pct"/>
                  <w:noWrap w:val="0"/>
                  <w:vAlign w:val="center"/>
                </w:tcPr>
                <w:p w14:paraId="262346A4">
                  <w:pPr>
                    <w:pStyle w:val="75"/>
                    <w:spacing w:line="280" w:lineRule="atLeast"/>
                    <w:ind w:firstLine="0"/>
                    <w:jc w:val="center"/>
                    <w:rPr>
                      <w:rFonts w:hint="default" w:ascii="Times New Roman" w:hAnsi="Times New Roman" w:eastAsia="宋体"/>
                      <w:szCs w:val="21"/>
                      <w:highlight w:val="none"/>
                      <w:lang w:val="en-US" w:eastAsia="zh-CN"/>
                    </w:rPr>
                  </w:pPr>
                  <w:r>
                    <w:rPr>
                      <w:rFonts w:hint="eastAsia"/>
                      <w:szCs w:val="21"/>
                      <w:highlight w:val="none"/>
                      <w:lang w:val="en-US" w:eastAsia="zh-CN"/>
                    </w:rPr>
                    <w:t>输油管道</w:t>
                  </w:r>
                </w:p>
              </w:tc>
              <w:tc>
                <w:tcPr>
                  <w:tcW w:w="3499" w:type="pct"/>
                  <w:noWrap w:val="0"/>
                  <w:vAlign w:val="center"/>
                </w:tcPr>
                <w:p w14:paraId="7A1DA173">
                  <w:pPr>
                    <w:spacing w:line="280" w:lineRule="atLeast"/>
                    <w:rPr>
                      <w:rFonts w:hint="default" w:ascii="Times New Roman" w:hAnsi="Times New Roman" w:eastAsia="宋体"/>
                      <w:bCs/>
                      <w:spacing w:val="9"/>
                      <w:szCs w:val="21"/>
                      <w:highlight w:val="none"/>
                      <w:lang w:val="en-US" w:eastAsia="zh-CN"/>
                    </w:rPr>
                  </w:pPr>
                  <w:r>
                    <w:rPr>
                      <w:rFonts w:hint="eastAsia"/>
                      <w:bCs/>
                      <w:spacing w:val="9"/>
                      <w:szCs w:val="21"/>
                      <w:highlight w:val="none"/>
                      <w:lang w:val="en-US" w:eastAsia="zh-CN"/>
                    </w:rPr>
                    <w:t>100米，用于废矿物油的输送。</w:t>
                  </w:r>
                </w:p>
              </w:tc>
              <w:tc>
                <w:tcPr>
                  <w:tcW w:w="617" w:type="pct"/>
                  <w:noWrap w:val="0"/>
                  <w:vAlign w:val="center"/>
                </w:tcPr>
                <w:p w14:paraId="3F3454A6">
                  <w:pPr>
                    <w:spacing w:line="280" w:lineRule="atLeast"/>
                    <w:jc w:val="center"/>
                    <w:rPr>
                      <w:rFonts w:hint="eastAsia"/>
                      <w:kern w:val="0"/>
                      <w:szCs w:val="21"/>
                      <w:highlight w:val="none"/>
                      <w:lang w:val="en-US" w:eastAsia="zh-CN"/>
                    </w:rPr>
                  </w:pPr>
                  <w:r>
                    <w:rPr>
                      <w:rFonts w:hint="eastAsia"/>
                      <w:kern w:val="0"/>
                      <w:szCs w:val="21"/>
                      <w:highlight w:val="none"/>
                      <w:lang w:val="en-US" w:eastAsia="zh-CN"/>
                    </w:rPr>
                    <w:t>新建</w:t>
                  </w:r>
                </w:p>
              </w:tc>
            </w:tr>
            <w:tr w14:paraId="24706B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6" w:type="pct"/>
                  <w:vMerge w:val="continue"/>
                  <w:noWrap w:val="0"/>
                  <w:vAlign w:val="center"/>
                </w:tcPr>
                <w:p w14:paraId="4CCE87D1">
                  <w:pPr>
                    <w:pStyle w:val="75"/>
                    <w:spacing w:line="280" w:lineRule="atLeast"/>
                    <w:ind w:firstLine="0"/>
                    <w:jc w:val="center"/>
                    <w:rPr>
                      <w:rFonts w:ascii="Times New Roman" w:hAnsi="Times New Roman"/>
                      <w:szCs w:val="21"/>
                      <w:highlight w:val="none"/>
                    </w:rPr>
                  </w:pPr>
                </w:p>
              </w:tc>
              <w:tc>
                <w:tcPr>
                  <w:tcW w:w="527" w:type="pct"/>
                  <w:noWrap w:val="0"/>
                  <w:vAlign w:val="center"/>
                </w:tcPr>
                <w:p w14:paraId="29B394C8">
                  <w:pPr>
                    <w:pStyle w:val="75"/>
                    <w:spacing w:line="280" w:lineRule="atLeast"/>
                    <w:ind w:firstLine="0"/>
                    <w:jc w:val="center"/>
                    <w:rPr>
                      <w:rFonts w:ascii="Times New Roman" w:hAnsi="Times New Roman"/>
                      <w:szCs w:val="21"/>
                      <w:highlight w:val="none"/>
                    </w:rPr>
                  </w:pPr>
                  <w:r>
                    <w:rPr>
                      <w:rFonts w:ascii="Times New Roman" w:hAnsi="Times New Roman"/>
                      <w:szCs w:val="21"/>
                      <w:highlight w:val="none"/>
                    </w:rPr>
                    <w:t>运输</w:t>
                  </w:r>
                </w:p>
              </w:tc>
              <w:tc>
                <w:tcPr>
                  <w:tcW w:w="3499" w:type="pct"/>
                  <w:noWrap w:val="0"/>
                  <w:vAlign w:val="center"/>
                </w:tcPr>
                <w:p w14:paraId="22192BC7">
                  <w:pPr>
                    <w:spacing w:line="280" w:lineRule="atLeast"/>
                    <w:rPr>
                      <w:rFonts w:ascii="Times New Roman" w:hAnsi="Times New Roman"/>
                      <w:bCs/>
                      <w:spacing w:val="9"/>
                      <w:szCs w:val="21"/>
                      <w:highlight w:val="none"/>
                    </w:rPr>
                  </w:pPr>
                  <w:r>
                    <w:rPr>
                      <w:rFonts w:ascii="Times New Roman" w:hAnsi="Times New Roman"/>
                      <w:bCs/>
                      <w:spacing w:val="9"/>
                      <w:szCs w:val="21"/>
                      <w:highlight w:val="none"/>
                    </w:rPr>
                    <w:t>委托有</w:t>
                  </w:r>
                  <w:r>
                    <w:rPr>
                      <w:rFonts w:hint="eastAsia" w:ascii="Times New Roman" w:hAnsi="Times New Roman"/>
                      <w:bCs/>
                      <w:spacing w:val="9"/>
                      <w:szCs w:val="21"/>
                      <w:highlight w:val="none"/>
                    </w:rPr>
                    <w:t>危险废物运输</w:t>
                  </w:r>
                  <w:r>
                    <w:rPr>
                      <w:rFonts w:ascii="Times New Roman" w:hAnsi="Times New Roman"/>
                      <w:bCs/>
                      <w:spacing w:val="9"/>
                      <w:szCs w:val="21"/>
                      <w:highlight w:val="none"/>
                    </w:rPr>
                    <w:t>资质的公司进行运输。</w:t>
                  </w:r>
                </w:p>
              </w:tc>
              <w:tc>
                <w:tcPr>
                  <w:tcW w:w="617" w:type="pct"/>
                  <w:noWrap w:val="0"/>
                  <w:vAlign w:val="center"/>
                </w:tcPr>
                <w:p w14:paraId="6B57DF2D">
                  <w:pPr>
                    <w:spacing w:line="280" w:lineRule="atLeast"/>
                    <w:jc w:val="center"/>
                    <w:rPr>
                      <w:rFonts w:hint="default"/>
                      <w:kern w:val="0"/>
                      <w:szCs w:val="21"/>
                      <w:highlight w:val="none"/>
                      <w:lang w:val="en-US" w:eastAsia="zh-CN"/>
                    </w:rPr>
                  </w:pPr>
                  <w:r>
                    <w:rPr>
                      <w:rFonts w:hint="eastAsia"/>
                      <w:kern w:val="0"/>
                      <w:szCs w:val="21"/>
                      <w:highlight w:val="none"/>
                      <w:lang w:val="en-US" w:eastAsia="zh-CN"/>
                    </w:rPr>
                    <w:t>/</w:t>
                  </w:r>
                </w:p>
              </w:tc>
            </w:tr>
            <w:tr w14:paraId="46E301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6" w:type="pct"/>
                  <w:vMerge w:val="restart"/>
                  <w:noWrap w:val="0"/>
                  <w:vAlign w:val="center"/>
                </w:tcPr>
                <w:p w14:paraId="1294DE5E">
                  <w:pPr>
                    <w:pStyle w:val="75"/>
                    <w:spacing w:line="280" w:lineRule="atLeast"/>
                    <w:ind w:firstLine="0"/>
                    <w:jc w:val="center"/>
                    <w:rPr>
                      <w:rFonts w:ascii="Times New Roman" w:hAnsi="Times New Roman"/>
                      <w:szCs w:val="21"/>
                      <w:highlight w:val="none"/>
                    </w:rPr>
                  </w:pPr>
                  <w:r>
                    <w:rPr>
                      <w:rFonts w:ascii="Times New Roman" w:hAnsi="Times New Roman"/>
                      <w:szCs w:val="21"/>
                      <w:highlight w:val="none"/>
                    </w:rPr>
                    <w:t>环保工程</w:t>
                  </w:r>
                </w:p>
              </w:tc>
              <w:tc>
                <w:tcPr>
                  <w:tcW w:w="527" w:type="pct"/>
                  <w:noWrap w:val="0"/>
                  <w:vAlign w:val="center"/>
                </w:tcPr>
                <w:p w14:paraId="0D2AC460">
                  <w:pPr>
                    <w:pStyle w:val="75"/>
                    <w:spacing w:line="280" w:lineRule="atLeast"/>
                    <w:ind w:firstLine="0"/>
                    <w:jc w:val="center"/>
                    <w:rPr>
                      <w:rFonts w:ascii="Times New Roman" w:hAnsi="Times New Roman"/>
                      <w:szCs w:val="21"/>
                      <w:highlight w:val="none"/>
                    </w:rPr>
                  </w:pPr>
                  <w:r>
                    <w:rPr>
                      <w:rFonts w:ascii="Times New Roman" w:hAnsi="Times New Roman"/>
                      <w:szCs w:val="21"/>
                      <w:highlight w:val="none"/>
                    </w:rPr>
                    <w:t>废气</w:t>
                  </w:r>
                </w:p>
              </w:tc>
              <w:tc>
                <w:tcPr>
                  <w:tcW w:w="3499" w:type="pct"/>
                  <w:noWrap w:val="0"/>
                  <w:vAlign w:val="center"/>
                </w:tcPr>
                <w:p w14:paraId="4340C729">
                  <w:pPr>
                    <w:pStyle w:val="56"/>
                    <w:spacing w:line="280" w:lineRule="atLeast"/>
                    <w:jc w:val="both"/>
                    <w:rPr>
                      <w:highlight w:val="none"/>
                    </w:rPr>
                  </w:pPr>
                  <w:r>
                    <w:rPr>
                      <w:highlight w:val="none"/>
                    </w:rPr>
                    <w:t>项目暂存的危险废物中包</w:t>
                  </w:r>
                  <w:r>
                    <w:rPr>
                      <w:rFonts w:ascii="Times New Roman" w:hAnsi="Times New Roman" w:cs="Times New Roman"/>
                      <w:highlight w:val="none"/>
                    </w:rPr>
                    <w:t>含H</w:t>
                  </w:r>
                  <w:r>
                    <w:rPr>
                      <w:highlight w:val="none"/>
                    </w:rPr>
                    <w:t>W04、HW06、HW08、HW09、HW11、HW12、HW13、HW34等多种危险废物，其在贮存过程中会产生少量的非甲烷总烃</w:t>
                  </w:r>
                  <w:r>
                    <w:rPr>
                      <w:rFonts w:hint="eastAsia"/>
                      <w:highlight w:val="none"/>
                    </w:rPr>
                    <w:t>、异味气体（氨、</w:t>
                  </w:r>
                  <w:r>
                    <w:rPr>
                      <w:rFonts w:hint="eastAsia"/>
                      <w:highlight w:val="none"/>
                      <w:lang w:eastAsia="zh-CN"/>
                    </w:rPr>
                    <w:t>氯化氢</w:t>
                  </w:r>
                  <w:r>
                    <w:rPr>
                      <w:rFonts w:hint="eastAsia"/>
                      <w:highlight w:val="none"/>
                    </w:rPr>
                    <w:t>、臭气浓度）</w:t>
                  </w:r>
                  <w:r>
                    <w:rPr>
                      <w:highlight w:val="none"/>
                    </w:rPr>
                    <w:t>、酸性气体（以HCl计）。</w:t>
                  </w:r>
                  <w:r>
                    <w:rPr>
                      <w:color w:val="auto"/>
                      <w:highlight w:val="none"/>
                    </w:rPr>
                    <w:t>项目</w:t>
                  </w:r>
                  <w:r>
                    <w:rPr>
                      <w:rFonts w:hint="eastAsia"/>
                      <w:color w:val="auto"/>
                      <w:highlight w:val="none"/>
                    </w:rPr>
                    <w:t>危险废物收集贮存库</w:t>
                  </w:r>
                  <w:r>
                    <w:rPr>
                      <w:color w:val="auto"/>
                      <w:highlight w:val="none"/>
                    </w:rPr>
                    <w:t>封闭，设集气罩及收集管道，收集后的废气经</w:t>
                  </w:r>
                  <w:r>
                    <w:rPr>
                      <w:rFonts w:hint="eastAsia"/>
                      <w:color w:val="auto"/>
                      <w:highlight w:val="none"/>
                    </w:rPr>
                    <w:t>两级活性炭吸附</w:t>
                  </w:r>
                  <w:r>
                    <w:rPr>
                      <w:color w:val="auto"/>
                      <w:highlight w:val="none"/>
                    </w:rPr>
                    <w:t>装置处理后经1根15m高排气筒（DA001）排放。对贮存HW34的区域进行封闭设置，内设集气装置对挥发的酸性气体（以HCl计）进行收集，送至废气处理系统“碱液喷淋装置”处理后经1根15m高排气筒（DA002）排放。</w:t>
                  </w:r>
                </w:p>
              </w:tc>
              <w:tc>
                <w:tcPr>
                  <w:tcW w:w="617" w:type="pct"/>
                  <w:noWrap w:val="0"/>
                  <w:vAlign w:val="center"/>
                </w:tcPr>
                <w:p w14:paraId="11686A4D">
                  <w:pPr>
                    <w:spacing w:line="280" w:lineRule="atLeast"/>
                    <w:jc w:val="center"/>
                    <w:rPr>
                      <w:rFonts w:hint="eastAsia"/>
                      <w:kern w:val="0"/>
                      <w:szCs w:val="21"/>
                      <w:highlight w:val="none"/>
                      <w:lang w:val="en-US" w:eastAsia="zh-CN"/>
                    </w:rPr>
                  </w:pPr>
                  <w:r>
                    <w:rPr>
                      <w:rFonts w:hint="eastAsia"/>
                      <w:kern w:val="0"/>
                      <w:szCs w:val="21"/>
                      <w:highlight w:val="none"/>
                      <w:lang w:val="en-US" w:eastAsia="zh-CN"/>
                    </w:rPr>
                    <w:t>新建</w:t>
                  </w:r>
                </w:p>
              </w:tc>
            </w:tr>
            <w:tr w14:paraId="32C944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6" w:type="pct"/>
                  <w:vMerge w:val="continue"/>
                  <w:noWrap w:val="0"/>
                  <w:vAlign w:val="center"/>
                </w:tcPr>
                <w:p w14:paraId="5DA020CA">
                  <w:pPr>
                    <w:pStyle w:val="75"/>
                    <w:spacing w:line="280" w:lineRule="atLeast"/>
                    <w:ind w:firstLine="0"/>
                    <w:jc w:val="center"/>
                    <w:rPr>
                      <w:rFonts w:ascii="Times New Roman" w:hAnsi="Times New Roman"/>
                      <w:szCs w:val="21"/>
                      <w:highlight w:val="none"/>
                    </w:rPr>
                  </w:pPr>
                </w:p>
              </w:tc>
              <w:tc>
                <w:tcPr>
                  <w:tcW w:w="527" w:type="pct"/>
                  <w:noWrap w:val="0"/>
                  <w:vAlign w:val="center"/>
                </w:tcPr>
                <w:p w14:paraId="3AF9A627">
                  <w:pPr>
                    <w:pStyle w:val="75"/>
                    <w:spacing w:line="280" w:lineRule="atLeast"/>
                    <w:ind w:firstLine="0"/>
                    <w:jc w:val="center"/>
                    <w:rPr>
                      <w:rFonts w:ascii="Times New Roman" w:hAnsi="Times New Roman"/>
                      <w:szCs w:val="21"/>
                      <w:highlight w:val="none"/>
                    </w:rPr>
                  </w:pPr>
                  <w:r>
                    <w:rPr>
                      <w:rFonts w:hint="eastAsia" w:ascii="Times New Roman" w:hAnsi="Times New Roman"/>
                      <w:szCs w:val="21"/>
                      <w:highlight w:val="none"/>
                    </w:rPr>
                    <w:t>废水</w:t>
                  </w:r>
                </w:p>
              </w:tc>
              <w:tc>
                <w:tcPr>
                  <w:tcW w:w="3499" w:type="pct"/>
                  <w:noWrap w:val="0"/>
                  <w:vAlign w:val="center"/>
                </w:tcPr>
                <w:p w14:paraId="060A1E83">
                  <w:pPr>
                    <w:pStyle w:val="56"/>
                    <w:spacing w:line="280" w:lineRule="atLeast"/>
                    <w:jc w:val="both"/>
                    <w:rPr>
                      <w:highlight w:val="none"/>
                    </w:rPr>
                  </w:pPr>
                  <w:r>
                    <w:rPr>
                      <w:rFonts w:hint="eastAsia"/>
                      <w:bCs/>
                      <w:spacing w:val="9"/>
                      <w:highlight w:val="none"/>
                    </w:rPr>
                    <w:t>本项目无生产废水产生，</w:t>
                  </w:r>
                  <w:r>
                    <w:rPr>
                      <w:rFonts w:hint="eastAsia" w:ascii="Times New Roman" w:hAnsi="Times New Roman" w:eastAsia="宋体" w:cs="Times New Roman"/>
                      <w:bCs/>
                      <w:spacing w:val="9"/>
                      <w:highlight w:val="none"/>
                      <w:lang w:val="en-US" w:eastAsia="zh-CN"/>
                    </w:rPr>
                    <w:t>生活污水依托</w:t>
                  </w:r>
                  <w:r>
                    <w:rPr>
                      <w:rFonts w:hint="eastAsia" w:ascii="Times New Roman" w:hAnsi="Times New Roman" w:eastAsia="宋体" w:cs="Times New Roman"/>
                      <w:bCs/>
                      <w:spacing w:val="9"/>
                      <w:highlight w:val="none"/>
                    </w:rPr>
                    <w:t>承德坤元环保科技有限公司</w:t>
                  </w:r>
                  <w:r>
                    <w:rPr>
                      <w:rFonts w:hint="eastAsia" w:ascii="Times New Roman" w:hAnsi="Times New Roman" w:eastAsia="宋体" w:cs="Times New Roman"/>
                      <w:bCs/>
                      <w:spacing w:val="9"/>
                      <w:highlight w:val="none"/>
                      <w:lang w:val="en-US" w:eastAsia="zh-CN"/>
                    </w:rPr>
                    <w:t>化粪池处理后</w:t>
                  </w:r>
                  <w:r>
                    <w:rPr>
                      <w:rFonts w:hint="eastAsia" w:cs="Times New Roman"/>
                      <w:bCs/>
                      <w:spacing w:val="9"/>
                      <w:highlight w:val="none"/>
                      <w:lang w:val="en-US" w:eastAsia="zh-CN"/>
                    </w:rPr>
                    <w:t>定期抽排至</w:t>
                  </w:r>
                  <w:r>
                    <w:rPr>
                      <w:rFonts w:hint="eastAsia" w:ascii="Times New Roman" w:hAnsi="Times New Roman" w:eastAsia="宋体" w:cs="Times New Roman"/>
                      <w:bCs/>
                      <w:spacing w:val="9"/>
                      <w:highlight w:val="none"/>
                      <w:lang w:val="en-US" w:eastAsia="zh-CN"/>
                    </w:rPr>
                    <w:t>宽城碧水源环保有限公司</w:t>
                  </w:r>
                  <w:r>
                    <w:rPr>
                      <w:rFonts w:hint="eastAsia" w:ascii="Times New Roman" w:hAnsi="Times New Roman" w:eastAsia="宋体" w:cs="Times New Roman"/>
                      <w:bCs/>
                      <w:spacing w:val="9"/>
                      <w:highlight w:val="none"/>
                    </w:rPr>
                    <w:t>。</w:t>
                  </w:r>
                </w:p>
              </w:tc>
              <w:tc>
                <w:tcPr>
                  <w:tcW w:w="617" w:type="pct"/>
                  <w:noWrap w:val="0"/>
                  <w:vAlign w:val="center"/>
                </w:tcPr>
                <w:p w14:paraId="3101474C">
                  <w:pPr>
                    <w:spacing w:line="280" w:lineRule="atLeast"/>
                    <w:jc w:val="center"/>
                    <w:rPr>
                      <w:rFonts w:hint="default"/>
                      <w:kern w:val="0"/>
                      <w:szCs w:val="21"/>
                      <w:highlight w:val="none"/>
                      <w:lang w:val="en-US" w:eastAsia="zh-CN"/>
                    </w:rPr>
                  </w:pPr>
                  <w:r>
                    <w:rPr>
                      <w:rFonts w:hint="eastAsia"/>
                      <w:kern w:val="0"/>
                      <w:szCs w:val="21"/>
                      <w:highlight w:val="none"/>
                      <w:lang w:val="en-US" w:eastAsia="zh-CN"/>
                    </w:rPr>
                    <w:t>依托</w:t>
                  </w:r>
                </w:p>
              </w:tc>
            </w:tr>
            <w:tr w14:paraId="145FD5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6" w:type="pct"/>
                  <w:vMerge w:val="continue"/>
                  <w:noWrap w:val="0"/>
                  <w:vAlign w:val="center"/>
                </w:tcPr>
                <w:p w14:paraId="6FB26BFF">
                  <w:pPr>
                    <w:pStyle w:val="75"/>
                    <w:spacing w:line="280" w:lineRule="atLeast"/>
                    <w:ind w:firstLine="0"/>
                    <w:jc w:val="center"/>
                    <w:rPr>
                      <w:rFonts w:ascii="Times New Roman" w:hAnsi="Times New Roman"/>
                      <w:szCs w:val="21"/>
                      <w:highlight w:val="none"/>
                    </w:rPr>
                  </w:pPr>
                </w:p>
              </w:tc>
              <w:tc>
                <w:tcPr>
                  <w:tcW w:w="527" w:type="pct"/>
                  <w:noWrap w:val="0"/>
                  <w:vAlign w:val="center"/>
                </w:tcPr>
                <w:p w14:paraId="0DDCD8D0">
                  <w:pPr>
                    <w:pStyle w:val="75"/>
                    <w:spacing w:line="280" w:lineRule="atLeast"/>
                    <w:ind w:firstLine="0"/>
                    <w:jc w:val="center"/>
                    <w:rPr>
                      <w:rFonts w:ascii="Times New Roman" w:hAnsi="Times New Roman"/>
                      <w:szCs w:val="21"/>
                      <w:highlight w:val="none"/>
                    </w:rPr>
                  </w:pPr>
                  <w:r>
                    <w:rPr>
                      <w:rFonts w:ascii="Times New Roman" w:hAnsi="Times New Roman"/>
                      <w:szCs w:val="21"/>
                      <w:highlight w:val="none"/>
                    </w:rPr>
                    <w:t>噪声</w:t>
                  </w:r>
                </w:p>
              </w:tc>
              <w:tc>
                <w:tcPr>
                  <w:tcW w:w="3499" w:type="pct"/>
                  <w:noWrap w:val="0"/>
                  <w:vAlign w:val="center"/>
                </w:tcPr>
                <w:p w14:paraId="095890BF">
                  <w:pPr>
                    <w:pStyle w:val="56"/>
                    <w:spacing w:line="280" w:lineRule="atLeast"/>
                    <w:jc w:val="both"/>
                    <w:rPr>
                      <w:kern w:val="0"/>
                      <w:highlight w:val="none"/>
                    </w:rPr>
                  </w:pPr>
                  <w:r>
                    <w:rPr>
                      <w:kern w:val="0"/>
                      <w:highlight w:val="none"/>
                    </w:rPr>
                    <w:t>项目选用低噪声</w:t>
                  </w:r>
                  <w:r>
                    <w:rPr>
                      <w:rFonts w:hint="eastAsia"/>
                      <w:kern w:val="0"/>
                      <w:highlight w:val="none"/>
                    </w:rPr>
                    <w:t>设备以及厂房隔声；</w:t>
                  </w:r>
                  <w:r>
                    <w:rPr>
                      <w:kern w:val="0"/>
                      <w:highlight w:val="none"/>
                    </w:rPr>
                    <w:t>运输车辆减速慢行。</w:t>
                  </w:r>
                </w:p>
              </w:tc>
              <w:tc>
                <w:tcPr>
                  <w:tcW w:w="617" w:type="pct"/>
                  <w:noWrap w:val="0"/>
                  <w:vAlign w:val="center"/>
                </w:tcPr>
                <w:p w14:paraId="10C06A0B">
                  <w:pPr>
                    <w:spacing w:line="280" w:lineRule="atLeast"/>
                    <w:jc w:val="center"/>
                    <w:rPr>
                      <w:rFonts w:hint="eastAsia"/>
                      <w:kern w:val="0"/>
                      <w:szCs w:val="21"/>
                      <w:highlight w:val="none"/>
                      <w:lang w:val="en-US" w:eastAsia="zh-CN"/>
                    </w:rPr>
                  </w:pPr>
                  <w:r>
                    <w:rPr>
                      <w:rFonts w:hint="eastAsia"/>
                      <w:kern w:val="0"/>
                      <w:szCs w:val="21"/>
                      <w:highlight w:val="none"/>
                      <w:lang w:val="en-US" w:eastAsia="zh-CN"/>
                    </w:rPr>
                    <w:t>新建</w:t>
                  </w:r>
                </w:p>
              </w:tc>
            </w:tr>
            <w:tr w14:paraId="7B0A02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6" w:type="pct"/>
                  <w:vMerge w:val="continue"/>
                  <w:noWrap w:val="0"/>
                  <w:vAlign w:val="center"/>
                </w:tcPr>
                <w:p w14:paraId="5555CE50">
                  <w:pPr>
                    <w:pStyle w:val="75"/>
                    <w:spacing w:line="280" w:lineRule="atLeast"/>
                    <w:ind w:firstLine="0"/>
                    <w:jc w:val="center"/>
                    <w:rPr>
                      <w:rFonts w:ascii="Times New Roman" w:hAnsi="Times New Roman"/>
                      <w:szCs w:val="21"/>
                      <w:highlight w:val="none"/>
                    </w:rPr>
                  </w:pPr>
                </w:p>
              </w:tc>
              <w:tc>
                <w:tcPr>
                  <w:tcW w:w="527" w:type="pct"/>
                  <w:noWrap w:val="0"/>
                  <w:vAlign w:val="center"/>
                </w:tcPr>
                <w:p w14:paraId="7E0D9206">
                  <w:pPr>
                    <w:pStyle w:val="75"/>
                    <w:spacing w:line="280" w:lineRule="atLeast"/>
                    <w:ind w:firstLine="0"/>
                    <w:jc w:val="center"/>
                    <w:rPr>
                      <w:rFonts w:ascii="Times New Roman" w:hAnsi="Times New Roman"/>
                      <w:szCs w:val="21"/>
                      <w:highlight w:val="none"/>
                    </w:rPr>
                  </w:pPr>
                  <w:r>
                    <w:rPr>
                      <w:rFonts w:ascii="Times New Roman" w:hAnsi="Times New Roman"/>
                      <w:szCs w:val="21"/>
                      <w:highlight w:val="none"/>
                    </w:rPr>
                    <w:t>固废</w:t>
                  </w:r>
                </w:p>
              </w:tc>
              <w:tc>
                <w:tcPr>
                  <w:tcW w:w="3499" w:type="pct"/>
                  <w:noWrap w:val="0"/>
                  <w:vAlign w:val="center"/>
                </w:tcPr>
                <w:p w14:paraId="5BA2FC24">
                  <w:pPr>
                    <w:pStyle w:val="56"/>
                    <w:spacing w:line="280" w:lineRule="atLeast"/>
                    <w:jc w:val="both"/>
                    <w:rPr>
                      <w:highlight w:val="none"/>
                    </w:rPr>
                  </w:pPr>
                  <w:r>
                    <w:rPr>
                      <w:rFonts w:hint="eastAsia"/>
                      <w:highlight w:val="none"/>
                    </w:rPr>
                    <w:t>生活垃圾收集后由环卫部门定期清运。</w:t>
                  </w:r>
                  <w:r>
                    <w:rPr>
                      <w:highlight w:val="none"/>
                    </w:rPr>
                    <w:t>危险废物贮存过程中产生的废包装桶/袋、废活性炭</w:t>
                  </w:r>
                  <w:r>
                    <w:rPr>
                      <w:rFonts w:hint="eastAsia"/>
                      <w:highlight w:val="none"/>
                    </w:rPr>
                    <w:t>、废碱液</w:t>
                  </w:r>
                  <w:r>
                    <w:rPr>
                      <w:rFonts w:hint="eastAsia"/>
                      <w:highlight w:val="none"/>
                      <w:lang w:eastAsia="zh-CN"/>
                    </w:rPr>
                    <w:t>、</w:t>
                  </w:r>
                  <w:r>
                    <w:rPr>
                      <w:rFonts w:hint="eastAsia"/>
                      <w:highlight w:val="none"/>
                    </w:rPr>
                    <w:t>废</w:t>
                  </w:r>
                  <w:r>
                    <w:rPr>
                      <w:rFonts w:hint="eastAsia"/>
                      <w:highlight w:val="none"/>
                      <w:lang w:val="en-US" w:eastAsia="zh-CN"/>
                    </w:rPr>
                    <w:t>矿物</w:t>
                  </w:r>
                  <w:r>
                    <w:rPr>
                      <w:rFonts w:hint="eastAsia"/>
                      <w:highlight w:val="none"/>
                    </w:rPr>
                    <w:t>油、废</w:t>
                  </w:r>
                  <w:r>
                    <w:rPr>
                      <w:rFonts w:hint="eastAsia"/>
                      <w:highlight w:val="none"/>
                      <w:lang w:val="en-US" w:eastAsia="zh-CN"/>
                    </w:rPr>
                    <w:t>矿物</w:t>
                  </w:r>
                  <w:r>
                    <w:rPr>
                      <w:rFonts w:hint="eastAsia"/>
                      <w:highlight w:val="none"/>
                    </w:rPr>
                    <w:t>油桶和废弃的含油抹布、劳保用品等危险</w:t>
                  </w:r>
                  <w:r>
                    <w:rPr>
                      <w:highlight w:val="none"/>
                    </w:rPr>
                    <w:t>废物贮存于</w:t>
                  </w:r>
                  <w:r>
                    <w:rPr>
                      <w:rFonts w:hint="eastAsia"/>
                      <w:highlight w:val="none"/>
                    </w:rPr>
                    <w:t>库房</w:t>
                  </w:r>
                  <w:r>
                    <w:rPr>
                      <w:highlight w:val="none"/>
                    </w:rPr>
                    <w:t>内</w:t>
                  </w:r>
                  <w:r>
                    <w:rPr>
                      <w:rFonts w:hint="eastAsia"/>
                      <w:highlight w:val="none"/>
                      <w:lang w:val="en-US" w:eastAsia="zh-CN"/>
                    </w:rPr>
                    <w:t>分区贮存</w:t>
                  </w:r>
                  <w:r>
                    <w:rPr>
                      <w:highlight w:val="none"/>
                    </w:rPr>
                    <w:t>定期委托有资质的单位进行处理。</w:t>
                  </w:r>
                </w:p>
              </w:tc>
              <w:tc>
                <w:tcPr>
                  <w:tcW w:w="617" w:type="pct"/>
                  <w:noWrap w:val="0"/>
                  <w:vAlign w:val="center"/>
                </w:tcPr>
                <w:p w14:paraId="05C5D319">
                  <w:pPr>
                    <w:spacing w:line="280" w:lineRule="atLeast"/>
                    <w:jc w:val="center"/>
                    <w:rPr>
                      <w:rFonts w:hint="eastAsia"/>
                      <w:kern w:val="0"/>
                      <w:szCs w:val="21"/>
                      <w:highlight w:val="none"/>
                      <w:lang w:val="en-US" w:eastAsia="zh-CN"/>
                    </w:rPr>
                  </w:pPr>
                  <w:r>
                    <w:rPr>
                      <w:rFonts w:hint="eastAsia"/>
                      <w:kern w:val="0"/>
                      <w:szCs w:val="21"/>
                      <w:highlight w:val="none"/>
                      <w:lang w:val="en-US" w:eastAsia="zh-CN"/>
                    </w:rPr>
                    <w:t>新建</w:t>
                  </w:r>
                </w:p>
              </w:tc>
            </w:tr>
            <w:tr w14:paraId="0F52A0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6" w:type="pct"/>
                  <w:noWrap w:val="0"/>
                  <w:vAlign w:val="center"/>
                </w:tcPr>
                <w:p w14:paraId="4879F6D5">
                  <w:pPr>
                    <w:pStyle w:val="75"/>
                    <w:spacing w:line="280" w:lineRule="atLeast"/>
                    <w:ind w:firstLine="0"/>
                    <w:jc w:val="center"/>
                    <w:rPr>
                      <w:rFonts w:hint="default" w:ascii="Times New Roman" w:hAnsi="Times New Roman" w:eastAsia="宋体"/>
                      <w:szCs w:val="21"/>
                      <w:highlight w:val="none"/>
                      <w:lang w:val="en-US" w:eastAsia="zh-CN"/>
                    </w:rPr>
                  </w:pPr>
                  <w:r>
                    <w:rPr>
                      <w:rFonts w:hint="eastAsia"/>
                      <w:szCs w:val="21"/>
                      <w:highlight w:val="none"/>
                      <w:lang w:val="en-US" w:eastAsia="zh-CN"/>
                    </w:rPr>
                    <w:t>依托工程</w:t>
                  </w:r>
                </w:p>
              </w:tc>
              <w:tc>
                <w:tcPr>
                  <w:tcW w:w="527" w:type="pct"/>
                  <w:noWrap w:val="0"/>
                  <w:vAlign w:val="center"/>
                </w:tcPr>
                <w:p w14:paraId="4A71F2D9">
                  <w:pPr>
                    <w:pStyle w:val="75"/>
                    <w:spacing w:line="280" w:lineRule="atLeast"/>
                    <w:ind w:firstLine="0"/>
                    <w:jc w:val="center"/>
                    <w:rPr>
                      <w:rFonts w:hint="eastAsia" w:ascii="Times New Roman" w:hAnsi="Times New Roman" w:eastAsia="宋体"/>
                      <w:szCs w:val="21"/>
                      <w:highlight w:val="none"/>
                      <w:lang w:val="en-US" w:eastAsia="zh-CN"/>
                    </w:rPr>
                  </w:pPr>
                  <w:r>
                    <w:rPr>
                      <w:rFonts w:hint="eastAsia"/>
                      <w:szCs w:val="21"/>
                      <w:highlight w:val="none"/>
                      <w:lang w:val="en-US" w:eastAsia="zh-CN"/>
                    </w:rPr>
                    <w:t>化粪池</w:t>
                  </w:r>
                </w:p>
              </w:tc>
              <w:tc>
                <w:tcPr>
                  <w:tcW w:w="3499" w:type="pct"/>
                  <w:noWrap w:val="0"/>
                  <w:vAlign w:val="center"/>
                </w:tcPr>
                <w:p w14:paraId="01F08B79">
                  <w:pPr>
                    <w:pStyle w:val="56"/>
                    <w:spacing w:line="280" w:lineRule="atLeast"/>
                    <w:jc w:val="both"/>
                    <w:rPr>
                      <w:rFonts w:hint="eastAsia" w:eastAsia="宋体"/>
                      <w:highlight w:val="none"/>
                      <w:lang w:eastAsia="zh-CN"/>
                    </w:rPr>
                  </w:pPr>
                  <w:r>
                    <w:rPr>
                      <w:rFonts w:hint="eastAsia"/>
                      <w:highlight w:val="none"/>
                    </w:rPr>
                    <w:t>承德坤元环保科技有限公司废水产生量为0.9m</w:t>
                  </w:r>
                  <w:r>
                    <w:rPr>
                      <w:rFonts w:hint="eastAsia"/>
                      <w:highlight w:val="none"/>
                      <w:vertAlign w:val="superscript"/>
                    </w:rPr>
                    <w:t>3</w:t>
                  </w:r>
                  <w:r>
                    <w:rPr>
                      <w:rFonts w:hint="eastAsia"/>
                      <w:highlight w:val="none"/>
                    </w:rPr>
                    <w:t>/d，化粪池容积为2m</w:t>
                  </w:r>
                  <w:r>
                    <w:rPr>
                      <w:rFonts w:hint="eastAsia"/>
                      <w:highlight w:val="none"/>
                      <w:vertAlign w:val="superscript"/>
                    </w:rPr>
                    <w:t>3</w:t>
                  </w:r>
                  <w:r>
                    <w:rPr>
                      <w:rFonts w:hint="eastAsia"/>
                      <w:highlight w:val="none"/>
                    </w:rPr>
                    <w:t>，剩余容积为1.1m</w:t>
                  </w:r>
                  <w:r>
                    <w:rPr>
                      <w:rFonts w:hint="eastAsia"/>
                      <w:highlight w:val="none"/>
                      <w:vertAlign w:val="superscript"/>
                    </w:rPr>
                    <w:t>3</w:t>
                  </w:r>
                  <w:r>
                    <w:rPr>
                      <w:rFonts w:hint="eastAsia"/>
                      <w:highlight w:val="none"/>
                    </w:rPr>
                    <w:t>，本项目产生废水量为0.144m</w:t>
                  </w:r>
                  <w:r>
                    <w:rPr>
                      <w:rFonts w:hint="eastAsia"/>
                      <w:highlight w:val="none"/>
                      <w:vertAlign w:val="superscript"/>
                    </w:rPr>
                    <w:t>3</w:t>
                  </w:r>
                  <w:r>
                    <w:rPr>
                      <w:rFonts w:hint="eastAsia"/>
                      <w:highlight w:val="none"/>
                    </w:rPr>
                    <w:t>/d，占承德坤元环保科技有限公司化粪池容积的13%，可以满足本项目污水排放需求</w:t>
                  </w:r>
                  <w:r>
                    <w:rPr>
                      <w:rFonts w:hint="eastAsia"/>
                      <w:highlight w:val="none"/>
                      <w:lang w:eastAsia="zh-CN"/>
                    </w:rPr>
                    <w:t>。</w:t>
                  </w:r>
                </w:p>
              </w:tc>
              <w:tc>
                <w:tcPr>
                  <w:tcW w:w="617" w:type="pct"/>
                  <w:noWrap w:val="0"/>
                  <w:vAlign w:val="center"/>
                </w:tcPr>
                <w:p w14:paraId="0BAEB9EA">
                  <w:pPr>
                    <w:spacing w:line="280" w:lineRule="atLeast"/>
                    <w:jc w:val="center"/>
                    <w:rPr>
                      <w:rFonts w:hint="default"/>
                      <w:kern w:val="0"/>
                      <w:szCs w:val="21"/>
                      <w:highlight w:val="none"/>
                      <w:lang w:val="en-US" w:eastAsia="zh-CN"/>
                    </w:rPr>
                  </w:pPr>
                  <w:r>
                    <w:rPr>
                      <w:rFonts w:hint="eastAsia"/>
                      <w:kern w:val="0"/>
                      <w:szCs w:val="21"/>
                      <w:highlight w:val="none"/>
                      <w:lang w:val="en-US" w:eastAsia="zh-CN"/>
                    </w:rPr>
                    <w:t>/</w:t>
                  </w:r>
                </w:p>
              </w:tc>
            </w:tr>
          </w:tbl>
          <w:p w14:paraId="48C77508">
            <w:pPr>
              <w:spacing w:before="120" w:beforeLines="50" w:line="360" w:lineRule="auto"/>
              <w:ind w:firstLine="482" w:firstLineChars="200"/>
              <w:rPr>
                <w:b/>
                <w:sz w:val="24"/>
                <w:highlight w:val="none"/>
              </w:rPr>
            </w:pPr>
            <w:r>
              <w:rPr>
                <w:rFonts w:hint="eastAsia"/>
                <w:b/>
                <w:sz w:val="24"/>
                <w:highlight w:val="none"/>
                <w:lang w:val="en-US" w:eastAsia="zh-CN"/>
              </w:rPr>
              <w:t>2</w:t>
            </w:r>
            <w:r>
              <w:rPr>
                <w:b/>
                <w:sz w:val="24"/>
                <w:highlight w:val="none"/>
              </w:rPr>
              <w:t>．</w:t>
            </w:r>
            <w:r>
              <w:rPr>
                <w:rFonts w:hint="eastAsia"/>
                <w:b/>
                <w:sz w:val="24"/>
                <w:highlight w:val="none"/>
              </w:rPr>
              <w:t>贮存危险废物种类和贮存量</w:t>
            </w:r>
          </w:p>
          <w:p w14:paraId="0063B231">
            <w:pPr>
              <w:spacing w:line="360" w:lineRule="auto"/>
              <w:ind w:firstLine="480"/>
              <w:rPr>
                <w:rFonts w:hint="eastAsia" w:ascii="Times New Roman" w:hAnsi="Times New Roman" w:eastAsia="宋体"/>
                <w:sz w:val="24"/>
                <w:highlight w:val="none"/>
                <w:lang w:eastAsia="zh-CN" w:bidi="ar"/>
              </w:rPr>
            </w:pPr>
            <w:r>
              <w:rPr>
                <w:rFonts w:hint="eastAsia" w:ascii="Times New Roman" w:hAnsi="Times New Roman"/>
                <w:sz w:val="24"/>
                <w:highlight w:val="none"/>
                <w:lang w:bidi="ar"/>
              </w:rPr>
              <w:t>根据《危险废物收集、贮存、运输技术规范》（HJ2025-2012）中规定：“从事危险废物收集、贮存、运输经营活动的单位应具有危险废物经营许可证”，因此，本环评建议建设单位在未取得危险经营许可证之前，不得开展经营活动</w:t>
            </w:r>
            <w:r>
              <w:rPr>
                <w:rFonts w:hint="eastAsia"/>
                <w:sz w:val="24"/>
                <w:highlight w:val="none"/>
                <w:lang w:eastAsia="zh-CN" w:bidi="ar"/>
              </w:rPr>
              <w:t>。</w:t>
            </w:r>
          </w:p>
          <w:p w14:paraId="742B60E5">
            <w:pPr>
              <w:spacing w:line="360" w:lineRule="auto"/>
              <w:ind w:firstLine="480"/>
              <w:rPr>
                <w:sz w:val="24"/>
                <w:highlight w:val="none"/>
              </w:rPr>
            </w:pPr>
            <w:r>
              <w:rPr>
                <w:rFonts w:ascii="Times New Roman" w:hAnsi="Times New Roman"/>
                <w:sz w:val="24"/>
                <w:highlight w:val="none"/>
                <w:lang w:bidi="ar"/>
              </w:rPr>
              <w:t>根据《国家危险废物名录》（</w:t>
            </w:r>
            <w:r>
              <w:rPr>
                <w:rFonts w:hint="eastAsia" w:ascii="Times New Roman" w:hAnsi="Times New Roman"/>
                <w:sz w:val="24"/>
                <w:highlight w:val="none"/>
                <w:lang w:bidi="ar"/>
              </w:rPr>
              <w:t>2021年版</w:t>
            </w:r>
            <w:r>
              <w:rPr>
                <w:rFonts w:ascii="Times New Roman" w:hAnsi="Times New Roman"/>
                <w:sz w:val="24"/>
                <w:highlight w:val="none"/>
                <w:lang w:bidi="ar"/>
              </w:rPr>
              <w:t>）中确定的危险废物和建设单位提供的资料，确定本项目设计贮存危险废物种类有</w:t>
            </w:r>
            <w:r>
              <w:rPr>
                <w:rFonts w:ascii="Times New Roman" w:hAnsi="Times New Roman"/>
                <w:sz w:val="24"/>
                <w:szCs w:val="24"/>
                <w:highlight w:val="none"/>
                <w:lang w:bidi="ar"/>
              </w:rPr>
              <w:t>HW03、</w:t>
            </w:r>
            <w:r>
              <w:rPr>
                <w:rFonts w:hint="eastAsia" w:ascii="Times New Roman" w:hAnsi="Times New Roman"/>
                <w:sz w:val="24"/>
                <w:szCs w:val="24"/>
                <w:highlight w:val="none"/>
                <w:lang w:bidi="ar"/>
              </w:rPr>
              <w:t>HW04、HW05、HW06、</w:t>
            </w:r>
            <w:r>
              <w:rPr>
                <w:rFonts w:ascii="Times New Roman" w:hAnsi="Times New Roman"/>
                <w:sz w:val="24"/>
                <w:szCs w:val="24"/>
                <w:highlight w:val="none"/>
                <w:lang w:bidi="ar"/>
              </w:rPr>
              <w:t>HW08、</w:t>
            </w:r>
            <w:r>
              <w:rPr>
                <w:rFonts w:hint="eastAsia" w:ascii="Times New Roman" w:hAnsi="Times New Roman"/>
                <w:sz w:val="24"/>
                <w:szCs w:val="24"/>
                <w:highlight w:val="none"/>
                <w:lang w:bidi="ar"/>
              </w:rPr>
              <w:t>HW09、HW11、</w:t>
            </w:r>
            <w:r>
              <w:rPr>
                <w:rFonts w:ascii="Times New Roman" w:hAnsi="Times New Roman"/>
                <w:sz w:val="24"/>
                <w:szCs w:val="24"/>
                <w:highlight w:val="none"/>
                <w:lang w:bidi="ar"/>
              </w:rPr>
              <w:t>HW12、</w:t>
            </w:r>
            <w:r>
              <w:rPr>
                <w:rFonts w:hint="eastAsia" w:ascii="Times New Roman" w:hAnsi="Times New Roman"/>
                <w:sz w:val="24"/>
                <w:szCs w:val="24"/>
                <w:highlight w:val="none"/>
                <w:lang w:bidi="ar"/>
              </w:rPr>
              <w:t>HW13、</w:t>
            </w:r>
            <w:r>
              <w:rPr>
                <w:rFonts w:ascii="Times New Roman" w:hAnsi="Times New Roman"/>
                <w:sz w:val="24"/>
                <w:szCs w:val="24"/>
                <w:highlight w:val="none"/>
                <w:lang w:bidi="ar"/>
              </w:rPr>
              <w:t>HW16、</w:t>
            </w:r>
            <w:r>
              <w:rPr>
                <w:rFonts w:hint="eastAsia" w:ascii="Times New Roman" w:hAnsi="Times New Roman"/>
                <w:sz w:val="24"/>
                <w:szCs w:val="24"/>
                <w:highlight w:val="none"/>
                <w:lang w:bidi="ar"/>
              </w:rPr>
              <w:t>HW17、HW21、HW22、HW23、</w:t>
            </w:r>
            <w:r>
              <w:rPr>
                <w:rFonts w:ascii="Times New Roman" w:hAnsi="Times New Roman"/>
                <w:sz w:val="24"/>
                <w:szCs w:val="24"/>
                <w:highlight w:val="none"/>
                <w:lang w:bidi="ar"/>
              </w:rPr>
              <w:t>HW29、</w:t>
            </w:r>
            <w:r>
              <w:rPr>
                <w:rFonts w:hint="eastAsia" w:ascii="Times New Roman" w:hAnsi="Times New Roman"/>
                <w:sz w:val="24"/>
                <w:szCs w:val="24"/>
                <w:highlight w:val="none"/>
                <w:lang w:bidi="ar"/>
              </w:rPr>
              <w:t>HW34、HW35、HW36、HW37、HW46、HW48、</w:t>
            </w:r>
            <w:r>
              <w:rPr>
                <w:rFonts w:ascii="Times New Roman" w:hAnsi="Times New Roman"/>
                <w:sz w:val="24"/>
                <w:szCs w:val="24"/>
                <w:highlight w:val="none"/>
                <w:lang w:bidi="ar"/>
              </w:rPr>
              <w:t>HW49</w:t>
            </w:r>
            <w:r>
              <w:rPr>
                <w:rFonts w:hint="eastAsia" w:ascii="Times New Roman" w:hAnsi="Times New Roman"/>
                <w:sz w:val="24"/>
                <w:szCs w:val="24"/>
                <w:highlight w:val="none"/>
                <w:lang w:bidi="ar"/>
              </w:rPr>
              <w:t>、HW50</w:t>
            </w:r>
            <w:r>
              <w:rPr>
                <w:rFonts w:ascii="Times New Roman" w:hAnsi="Times New Roman"/>
                <w:sz w:val="24"/>
                <w:highlight w:val="none"/>
                <w:lang w:bidi="ar"/>
              </w:rPr>
              <w:t>，共</w:t>
            </w:r>
            <w:r>
              <w:rPr>
                <w:rFonts w:hint="eastAsia" w:ascii="Times New Roman" w:hAnsi="Times New Roman"/>
                <w:sz w:val="24"/>
                <w:highlight w:val="none"/>
                <w:lang w:bidi="ar"/>
              </w:rPr>
              <w:t>2</w:t>
            </w:r>
            <w:r>
              <w:rPr>
                <w:rFonts w:hint="eastAsia"/>
                <w:sz w:val="24"/>
                <w:highlight w:val="none"/>
                <w:lang w:val="en-US" w:eastAsia="zh-CN" w:bidi="ar"/>
              </w:rPr>
              <w:t>3</w:t>
            </w:r>
            <w:r>
              <w:rPr>
                <w:rFonts w:ascii="Times New Roman" w:hAnsi="Times New Roman"/>
                <w:sz w:val="24"/>
                <w:highlight w:val="none"/>
                <w:lang w:bidi="ar"/>
              </w:rPr>
              <w:t>类危险废物。本项目贮存</w:t>
            </w:r>
            <w:r>
              <w:rPr>
                <w:rFonts w:hint="eastAsia" w:ascii="Times New Roman" w:hAnsi="Times New Roman"/>
                <w:sz w:val="24"/>
                <w:highlight w:val="none"/>
                <w:lang w:bidi="ar"/>
              </w:rPr>
              <w:t>转运</w:t>
            </w:r>
            <w:r>
              <w:rPr>
                <w:rFonts w:ascii="Times New Roman" w:hAnsi="Times New Roman"/>
                <w:sz w:val="24"/>
                <w:highlight w:val="none"/>
                <w:lang w:bidi="ar"/>
              </w:rPr>
              <w:t>危险废物，</w:t>
            </w:r>
            <w:r>
              <w:rPr>
                <w:rFonts w:hint="eastAsia" w:ascii="Times New Roman" w:hAnsi="Times New Roman"/>
                <w:sz w:val="24"/>
                <w:highlight w:val="none"/>
                <w:lang w:bidi="ar"/>
              </w:rPr>
              <w:t>年收集转运危险废物</w:t>
            </w:r>
            <w:r>
              <w:rPr>
                <w:rFonts w:hint="eastAsia" w:ascii="Times New Roman" w:hAnsi="Times New Roman"/>
                <w:sz w:val="24"/>
                <w:highlight w:val="none"/>
                <w:lang w:val="en-US" w:eastAsia="zh-CN" w:bidi="ar"/>
              </w:rPr>
              <w:t>1.5</w:t>
            </w:r>
            <w:r>
              <w:rPr>
                <w:rFonts w:hint="eastAsia" w:ascii="Times New Roman" w:hAnsi="Times New Roman"/>
                <w:sz w:val="24"/>
                <w:highlight w:val="none"/>
                <w:lang w:bidi="ar"/>
              </w:rPr>
              <w:t>万吨，</w:t>
            </w:r>
            <w:r>
              <w:rPr>
                <w:rFonts w:ascii="Times New Roman" w:hAnsi="Times New Roman"/>
                <w:sz w:val="24"/>
                <w:highlight w:val="none"/>
                <w:lang w:bidi="ar"/>
              </w:rPr>
              <w:t>最大贮存量为</w:t>
            </w:r>
            <w:r>
              <w:rPr>
                <w:rFonts w:hint="eastAsia"/>
                <w:sz w:val="24"/>
                <w:highlight w:val="none"/>
                <w:lang w:val="en-US" w:eastAsia="zh-CN" w:bidi="ar"/>
              </w:rPr>
              <w:t>483</w:t>
            </w:r>
            <w:r>
              <w:rPr>
                <w:rFonts w:hint="eastAsia" w:ascii="Times New Roman" w:hAnsi="Times New Roman"/>
                <w:sz w:val="24"/>
                <w:highlight w:val="none"/>
                <w:lang w:bidi="ar"/>
              </w:rPr>
              <w:t>吨</w:t>
            </w:r>
            <w:r>
              <w:rPr>
                <w:rFonts w:ascii="Times New Roman" w:hAnsi="Times New Roman"/>
                <w:sz w:val="24"/>
                <w:highlight w:val="none"/>
                <w:lang w:bidi="ar"/>
              </w:rPr>
              <w:t>，项目贮存危险废物情况见下表</w:t>
            </w:r>
            <w:r>
              <w:rPr>
                <w:rFonts w:hint="eastAsia"/>
                <w:sz w:val="24"/>
                <w:highlight w:val="none"/>
              </w:rPr>
              <w:t>。</w:t>
            </w:r>
          </w:p>
          <w:p w14:paraId="093E359D">
            <w:pPr>
              <w:pStyle w:val="48"/>
              <w:numPr>
                <w:ilvl w:val="0"/>
                <w:numId w:val="4"/>
              </w:numPr>
              <w:spacing w:line="360" w:lineRule="auto"/>
              <w:ind w:left="0" w:firstLine="0" w:firstLineChars="0"/>
              <w:jc w:val="center"/>
              <w:rPr>
                <w:b/>
                <w:highlight w:val="none"/>
              </w:rPr>
            </w:pPr>
            <w:r>
              <w:rPr>
                <w:rFonts w:hint="eastAsia" w:ascii="宋体" w:hAnsi="宋体" w:eastAsia="宋体"/>
                <w:b/>
                <w:sz w:val="21"/>
                <w:highlight w:val="none"/>
              </w:rPr>
              <w:t>项目贮存危险废物一览表</w:t>
            </w:r>
          </w:p>
          <w:tbl>
            <w:tblPr>
              <w:tblStyle w:val="2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0"/>
              <w:gridCol w:w="2013"/>
              <w:gridCol w:w="1795"/>
              <w:gridCol w:w="1084"/>
              <w:gridCol w:w="1220"/>
              <w:gridCol w:w="851"/>
              <w:gridCol w:w="852"/>
            </w:tblGrid>
            <w:tr w14:paraId="7C62BA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3" w:hRule="atLeast"/>
              </w:trPr>
              <w:tc>
                <w:tcPr>
                  <w:tcW w:w="334" w:type="pct"/>
                  <w:noWrap w:val="0"/>
                  <w:vAlign w:val="center"/>
                </w:tcPr>
                <w:p w14:paraId="436B71DD">
                  <w:pPr>
                    <w:jc w:val="center"/>
                    <w:rPr>
                      <w:rFonts w:ascii="Times New Roman" w:hAnsi="Times New Roman"/>
                      <w:b/>
                      <w:bCs/>
                      <w:highlight w:val="none"/>
                    </w:rPr>
                  </w:pPr>
                  <w:r>
                    <w:rPr>
                      <w:rFonts w:ascii="Times New Roman" w:hAnsi="Times New Roman"/>
                      <w:b/>
                      <w:bCs/>
                      <w:highlight w:val="none"/>
                    </w:rPr>
                    <w:t>序号</w:t>
                  </w:r>
                </w:p>
              </w:tc>
              <w:tc>
                <w:tcPr>
                  <w:tcW w:w="1201" w:type="pct"/>
                  <w:noWrap w:val="0"/>
                  <w:vAlign w:val="center"/>
                </w:tcPr>
                <w:p w14:paraId="4464D769">
                  <w:pPr>
                    <w:jc w:val="center"/>
                    <w:rPr>
                      <w:rFonts w:ascii="Times New Roman" w:hAnsi="Times New Roman"/>
                      <w:b/>
                      <w:bCs/>
                      <w:highlight w:val="none"/>
                    </w:rPr>
                  </w:pPr>
                  <w:r>
                    <w:rPr>
                      <w:rFonts w:ascii="Times New Roman" w:hAnsi="Times New Roman"/>
                      <w:b/>
                      <w:bCs/>
                      <w:highlight w:val="none"/>
                    </w:rPr>
                    <w:t>危险废物类别</w:t>
                  </w:r>
                </w:p>
              </w:tc>
              <w:tc>
                <w:tcPr>
                  <w:tcW w:w="1071" w:type="pct"/>
                  <w:noWrap w:val="0"/>
                  <w:vAlign w:val="center"/>
                </w:tcPr>
                <w:p w14:paraId="78F441FF">
                  <w:pPr>
                    <w:jc w:val="center"/>
                    <w:rPr>
                      <w:rFonts w:ascii="Times New Roman" w:hAnsi="Times New Roman"/>
                      <w:b/>
                      <w:bCs/>
                      <w:highlight w:val="none"/>
                    </w:rPr>
                  </w:pPr>
                  <w:r>
                    <w:rPr>
                      <w:rFonts w:hint="eastAsia" w:ascii="Times New Roman" w:hAnsi="Times New Roman"/>
                      <w:b/>
                      <w:bCs/>
                      <w:highlight w:val="none"/>
                    </w:rPr>
                    <w:t>贮存状态</w:t>
                  </w:r>
                </w:p>
              </w:tc>
              <w:tc>
                <w:tcPr>
                  <w:tcW w:w="647" w:type="pct"/>
                  <w:noWrap w:val="0"/>
                  <w:vAlign w:val="center"/>
                </w:tcPr>
                <w:p w14:paraId="58CDD49E">
                  <w:pPr>
                    <w:jc w:val="center"/>
                    <w:rPr>
                      <w:rFonts w:hint="eastAsia" w:ascii="Times New Roman" w:hAnsi="Times New Roman"/>
                      <w:b/>
                      <w:bCs/>
                      <w:highlight w:val="none"/>
                    </w:rPr>
                  </w:pPr>
                  <w:r>
                    <w:rPr>
                      <w:rFonts w:hint="eastAsia" w:ascii="Times New Roman" w:hAnsi="Times New Roman"/>
                      <w:b/>
                      <w:bCs/>
                      <w:highlight w:val="none"/>
                    </w:rPr>
                    <w:t>危险特性</w:t>
                  </w:r>
                </w:p>
              </w:tc>
              <w:tc>
                <w:tcPr>
                  <w:tcW w:w="728" w:type="pct"/>
                  <w:noWrap w:val="0"/>
                  <w:vAlign w:val="center"/>
                </w:tcPr>
                <w:p w14:paraId="66E25A08">
                  <w:pPr>
                    <w:jc w:val="center"/>
                    <w:rPr>
                      <w:rFonts w:ascii="Times New Roman" w:hAnsi="Times New Roman"/>
                      <w:b/>
                      <w:bCs/>
                      <w:highlight w:val="none"/>
                    </w:rPr>
                  </w:pPr>
                  <w:r>
                    <w:rPr>
                      <w:rFonts w:hint="eastAsia" w:ascii="Times New Roman" w:hAnsi="Times New Roman"/>
                      <w:b/>
                      <w:bCs/>
                      <w:highlight w:val="none"/>
                    </w:rPr>
                    <w:t>贮存形式</w:t>
                  </w:r>
                </w:p>
              </w:tc>
              <w:tc>
                <w:tcPr>
                  <w:tcW w:w="508" w:type="pct"/>
                  <w:noWrap w:val="0"/>
                  <w:vAlign w:val="center"/>
                </w:tcPr>
                <w:p w14:paraId="366A9434">
                  <w:pPr>
                    <w:jc w:val="center"/>
                    <w:rPr>
                      <w:rFonts w:ascii="Times New Roman" w:hAnsi="Times New Roman"/>
                      <w:b/>
                      <w:bCs/>
                      <w:highlight w:val="none"/>
                    </w:rPr>
                  </w:pPr>
                  <w:r>
                    <w:rPr>
                      <w:rFonts w:hint="eastAsia"/>
                      <w:b/>
                      <w:bCs/>
                      <w:highlight w:val="none"/>
                      <w:lang w:val="en-US" w:eastAsia="zh-CN"/>
                    </w:rPr>
                    <w:t>单次</w:t>
                  </w:r>
                  <w:r>
                    <w:rPr>
                      <w:rFonts w:hint="eastAsia" w:ascii="Times New Roman" w:hAnsi="Times New Roman"/>
                      <w:b/>
                      <w:bCs/>
                      <w:highlight w:val="none"/>
                    </w:rPr>
                    <w:t>最大贮存量t</w:t>
                  </w:r>
                </w:p>
              </w:tc>
              <w:tc>
                <w:tcPr>
                  <w:tcW w:w="508" w:type="pct"/>
                  <w:noWrap w:val="0"/>
                  <w:vAlign w:val="center"/>
                </w:tcPr>
                <w:p w14:paraId="79B97E5A">
                  <w:pPr>
                    <w:jc w:val="center"/>
                    <w:rPr>
                      <w:rFonts w:hint="default"/>
                      <w:b/>
                      <w:bCs/>
                      <w:highlight w:val="none"/>
                      <w:lang w:val="en-US" w:eastAsia="zh-CN"/>
                    </w:rPr>
                  </w:pPr>
                  <w:r>
                    <w:rPr>
                      <w:rFonts w:hint="eastAsia"/>
                      <w:b/>
                      <w:bCs/>
                      <w:highlight w:val="none"/>
                      <w:lang w:val="en-US" w:eastAsia="zh-CN"/>
                    </w:rPr>
                    <w:t>年转运量t</w:t>
                  </w:r>
                </w:p>
              </w:tc>
            </w:tr>
            <w:tr w14:paraId="724CCF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34" w:type="pct"/>
                  <w:shd w:val="clear" w:color="auto" w:fill="auto"/>
                  <w:noWrap w:val="0"/>
                  <w:vAlign w:val="center"/>
                </w:tcPr>
                <w:p w14:paraId="10C5CCB5">
                  <w:pPr>
                    <w:jc w:val="center"/>
                    <w:rPr>
                      <w:rFonts w:hint="eastAsia" w:ascii="Times New Roman" w:hAnsi="Times New Roman" w:eastAsia="宋体" w:cs="Times New Roman"/>
                      <w:kern w:val="2"/>
                      <w:sz w:val="21"/>
                      <w:szCs w:val="24"/>
                      <w:highlight w:val="none"/>
                      <w:lang w:val="en-US" w:eastAsia="zh-CN" w:bidi="ar-SA"/>
                    </w:rPr>
                  </w:pPr>
                  <w:r>
                    <w:rPr>
                      <w:rFonts w:hint="eastAsia" w:ascii="Times New Roman" w:hAnsi="Times New Roman"/>
                      <w:highlight w:val="none"/>
                    </w:rPr>
                    <w:t>1</w:t>
                  </w:r>
                </w:p>
              </w:tc>
              <w:tc>
                <w:tcPr>
                  <w:tcW w:w="1201" w:type="pct"/>
                  <w:noWrap w:val="0"/>
                  <w:vAlign w:val="center"/>
                </w:tcPr>
                <w:p w14:paraId="11C44AA8">
                  <w:pPr>
                    <w:jc w:val="center"/>
                    <w:rPr>
                      <w:rFonts w:ascii="Times New Roman" w:hAnsi="Times New Roman"/>
                      <w:highlight w:val="none"/>
                    </w:rPr>
                  </w:pPr>
                  <w:r>
                    <w:rPr>
                      <w:rFonts w:ascii="Times New Roman" w:hAnsi="Times New Roman"/>
                      <w:szCs w:val="21"/>
                      <w:highlight w:val="none"/>
                    </w:rPr>
                    <w:t>HW03</w:t>
                  </w:r>
                  <w:r>
                    <w:rPr>
                      <w:rFonts w:hint="eastAsia" w:ascii="Times New Roman" w:hAnsi="Times New Roman"/>
                      <w:szCs w:val="21"/>
                      <w:highlight w:val="none"/>
                    </w:rPr>
                    <w:t>废药物、药品</w:t>
                  </w:r>
                </w:p>
              </w:tc>
              <w:tc>
                <w:tcPr>
                  <w:tcW w:w="1071" w:type="pct"/>
                  <w:noWrap w:val="0"/>
                  <w:vAlign w:val="center"/>
                </w:tcPr>
                <w:p w14:paraId="41C8E417">
                  <w:pPr>
                    <w:jc w:val="center"/>
                    <w:rPr>
                      <w:rFonts w:ascii="Times New Roman" w:hAnsi="Times New Roman"/>
                      <w:highlight w:val="none"/>
                    </w:rPr>
                  </w:pPr>
                  <w:r>
                    <w:rPr>
                      <w:rFonts w:hint="eastAsia" w:ascii="Times New Roman" w:hAnsi="Times New Roman"/>
                      <w:highlight w:val="none"/>
                    </w:rPr>
                    <w:t>固体</w:t>
                  </w:r>
                </w:p>
              </w:tc>
              <w:tc>
                <w:tcPr>
                  <w:tcW w:w="647" w:type="pct"/>
                  <w:noWrap w:val="0"/>
                  <w:vAlign w:val="center"/>
                </w:tcPr>
                <w:p w14:paraId="1D24310A">
                  <w:pPr>
                    <w:jc w:val="center"/>
                    <w:rPr>
                      <w:rFonts w:ascii="Times New Roman" w:hAnsi="Times New Roman"/>
                      <w:highlight w:val="none"/>
                    </w:rPr>
                  </w:pPr>
                  <w:r>
                    <w:rPr>
                      <w:rFonts w:hint="eastAsia" w:ascii="Times New Roman" w:hAnsi="Times New Roman"/>
                      <w:highlight w:val="none"/>
                    </w:rPr>
                    <w:t>T</w:t>
                  </w:r>
                </w:p>
              </w:tc>
              <w:tc>
                <w:tcPr>
                  <w:tcW w:w="728" w:type="pct"/>
                  <w:noWrap w:val="0"/>
                  <w:vAlign w:val="center"/>
                </w:tcPr>
                <w:p w14:paraId="469FB426">
                  <w:pPr>
                    <w:jc w:val="center"/>
                    <w:rPr>
                      <w:rFonts w:ascii="Times New Roman" w:hAnsi="Times New Roman"/>
                      <w:highlight w:val="none"/>
                    </w:rPr>
                  </w:pPr>
                  <w:r>
                    <w:rPr>
                      <w:rFonts w:hint="eastAsia" w:ascii="Times New Roman" w:hAnsi="Times New Roman"/>
                      <w:highlight w:val="none"/>
                    </w:rPr>
                    <w:t>袋装</w:t>
                  </w:r>
                </w:p>
              </w:tc>
              <w:tc>
                <w:tcPr>
                  <w:tcW w:w="508" w:type="pct"/>
                  <w:noWrap w:val="0"/>
                  <w:vAlign w:val="center"/>
                </w:tcPr>
                <w:p w14:paraId="11AA9AC2">
                  <w:pPr>
                    <w:jc w:val="center"/>
                    <w:rPr>
                      <w:rFonts w:hint="default" w:ascii="Times New Roman" w:hAnsi="Times New Roman" w:eastAsia="宋体"/>
                      <w:szCs w:val="21"/>
                      <w:highlight w:val="none"/>
                      <w:lang w:val="en-US" w:eastAsia="zh-CN"/>
                    </w:rPr>
                  </w:pPr>
                  <w:r>
                    <w:rPr>
                      <w:rFonts w:hint="eastAsia"/>
                      <w:szCs w:val="21"/>
                      <w:highlight w:val="none"/>
                      <w:lang w:val="en-US" w:eastAsia="zh-CN"/>
                    </w:rPr>
                    <w:t>12</w:t>
                  </w:r>
                </w:p>
              </w:tc>
              <w:tc>
                <w:tcPr>
                  <w:tcW w:w="852" w:type="dxa"/>
                  <w:noWrap w:val="0"/>
                  <w:vAlign w:val="center"/>
                </w:tcPr>
                <w:p w14:paraId="4A831F54">
                  <w:pPr>
                    <w:keepNext w:val="0"/>
                    <w:keepLines w:val="0"/>
                    <w:widowControl/>
                    <w:suppressLineNumbers w:val="0"/>
                    <w:jc w:val="center"/>
                    <w:textAlignment w:val="center"/>
                    <w:rPr>
                      <w:rFonts w:hint="eastAsia" w:ascii="Times New Roman" w:hAnsi="Times New Roman"/>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80</w:t>
                  </w:r>
                </w:p>
              </w:tc>
            </w:tr>
            <w:tr w14:paraId="3D91B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334" w:type="pct"/>
                  <w:shd w:val="clear" w:color="auto" w:fill="auto"/>
                  <w:noWrap w:val="0"/>
                  <w:vAlign w:val="center"/>
                </w:tcPr>
                <w:p w14:paraId="68C34536">
                  <w:pPr>
                    <w:jc w:val="center"/>
                    <w:rPr>
                      <w:rFonts w:hint="eastAsia" w:ascii="Times New Roman" w:hAnsi="Times New Roman" w:eastAsia="宋体" w:cs="Times New Roman"/>
                      <w:kern w:val="2"/>
                      <w:sz w:val="21"/>
                      <w:szCs w:val="24"/>
                      <w:highlight w:val="none"/>
                      <w:lang w:val="en-US" w:eastAsia="zh-CN" w:bidi="ar-SA"/>
                    </w:rPr>
                  </w:pPr>
                  <w:r>
                    <w:rPr>
                      <w:rFonts w:hint="eastAsia" w:ascii="Times New Roman" w:hAnsi="Times New Roman"/>
                      <w:highlight w:val="none"/>
                    </w:rPr>
                    <w:t>2</w:t>
                  </w:r>
                </w:p>
              </w:tc>
              <w:tc>
                <w:tcPr>
                  <w:tcW w:w="1201" w:type="pct"/>
                  <w:noWrap w:val="0"/>
                  <w:vAlign w:val="center"/>
                </w:tcPr>
                <w:p w14:paraId="11BD6007">
                  <w:pPr>
                    <w:jc w:val="center"/>
                    <w:rPr>
                      <w:rFonts w:ascii="Times New Roman" w:hAnsi="Times New Roman"/>
                      <w:highlight w:val="none"/>
                    </w:rPr>
                  </w:pPr>
                  <w:r>
                    <w:rPr>
                      <w:rFonts w:hint="eastAsia" w:ascii="Times New Roman" w:hAnsi="Times New Roman"/>
                      <w:szCs w:val="21"/>
                      <w:highlight w:val="none"/>
                    </w:rPr>
                    <w:t>HW04农药废物</w:t>
                  </w:r>
                </w:p>
              </w:tc>
              <w:tc>
                <w:tcPr>
                  <w:tcW w:w="1071" w:type="pct"/>
                  <w:noWrap w:val="0"/>
                  <w:vAlign w:val="center"/>
                </w:tcPr>
                <w:p w14:paraId="427BD154">
                  <w:pPr>
                    <w:jc w:val="center"/>
                    <w:rPr>
                      <w:rFonts w:ascii="Times New Roman" w:hAnsi="Times New Roman"/>
                      <w:highlight w:val="none"/>
                    </w:rPr>
                  </w:pPr>
                  <w:r>
                    <w:rPr>
                      <w:rFonts w:hint="eastAsia" w:ascii="Times New Roman" w:hAnsi="Times New Roman"/>
                      <w:highlight w:val="none"/>
                    </w:rPr>
                    <w:t>液态/半固态/固体</w:t>
                  </w:r>
                </w:p>
              </w:tc>
              <w:tc>
                <w:tcPr>
                  <w:tcW w:w="647" w:type="pct"/>
                  <w:noWrap w:val="0"/>
                  <w:vAlign w:val="center"/>
                </w:tcPr>
                <w:p w14:paraId="3769A56A">
                  <w:pPr>
                    <w:jc w:val="center"/>
                    <w:rPr>
                      <w:rFonts w:ascii="Times New Roman" w:hAnsi="Times New Roman"/>
                      <w:highlight w:val="none"/>
                    </w:rPr>
                  </w:pPr>
                  <w:r>
                    <w:rPr>
                      <w:rFonts w:hint="eastAsia" w:ascii="Times New Roman" w:hAnsi="Times New Roman"/>
                      <w:highlight w:val="none"/>
                    </w:rPr>
                    <w:t>T</w:t>
                  </w:r>
                </w:p>
              </w:tc>
              <w:tc>
                <w:tcPr>
                  <w:tcW w:w="728" w:type="pct"/>
                  <w:noWrap w:val="0"/>
                  <w:vAlign w:val="center"/>
                </w:tcPr>
                <w:p w14:paraId="22428394">
                  <w:pPr>
                    <w:jc w:val="center"/>
                    <w:rPr>
                      <w:rFonts w:ascii="Times New Roman" w:hAnsi="Times New Roman"/>
                      <w:highlight w:val="none"/>
                    </w:rPr>
                  </w:pPr>
                  <w:r>
                    <w:rPr>
                      <w:rFonts w:hint="eastAsia" w:ascii="Times New Roman" w:hAnsi="Times New Roman"/>
                      <w:highlight w:val="none"/>
                    </w:rPr>
                    <w:t>袋装</w:t>
                  </w:r>
                </w:p>
              </w:tc>
              <w:tc>
                <w:tcPr>
                  <w:tcW w:w="508" w:type="pct"/>
                  <w:noWrap w:val="0"/>
                  <w:vAlign w:val="center"/>
                </w:tcPr>
                <w:p w14:paraId="2D3B4375">
                  <w:pPr>
                    <w:jc w:val="center"/>
                    <w:rPr>
                      <w:rFonts w:hint="eastAsia" w:ascii="Times New Roman" w:hAnsi="Times New Roman" w:eastAsia="宋体"/>
                      <w:szCs w:val="21"/>
                      <w:highlight w:val="none"/>
                      <w:lang w:val="en-US" w:eastAsia="zh-CN"/>
                    </w:rPr>
                  </w:pPr>
                  <w:r>
                    <w:rPr>
                      <w:rFonts w:hint="eastAsia"/>
                      <w:szCs w:val="21"/>
                      <w:highlight w:val="none"/>
                      <w:lang w:val="en-US" w:eastAsia="zh-CN"/>
                    </w:rPr>
                    <w:t>12</w:t>
                  </w:r>
                </w:p>
              </w:tc>
              <w:tc>
                <w:tcPr>
                  <w:tcW w:w="852" w:type="dxa"/>
                  <w:noWrap w:val="0"/>
                  <w:vAlign w:val="center"/>
                </w:tcPr>
                <w:p w14:paraId="59C6CA38">
                  <w:pPr>
                    <w:keepNext w:val="0"/>
                    <w:keepLines w:val="0"/>
                    <w:widowControl/>
                    <w:suppressLineNumbers w:val="0"/>
                    <w:jc w:val="center"/>
                    <w:textAlignment w:val="center"/>
                    <w:rPr>
                      <w:rFonts w:hint="eastAsia" w:ascii="Times New Roman" w:hAnsi="Times New Roman"/>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80</w:t>
                  </w:r>
                </w:p>
              </w:tc>
            </w:tr>
            <w:tr w14:paraId="7D15F4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334" w:type="pct"/>
                  <w:shd w:val="clear" w:color="auto" w:fill="auto"/>
                  <w:noWrap w:val="0"/>
                  <w:vAlign w:val="center"/>
                </w:tcPr>
                <w:p w14:paraId="6063AC9A">
                  <w:pPr>
                    <w:jc w:val="center"/>
                    <w:rPr>
                      <w:rFonts w:hint="eastAsia" w:ascii="Times New Roman" w:hAnsi="Times New Roman" w:eastAsia="宋体" w:cs="Times New Roman"/>
                      <w:kern w:val="2"/>
                      <w:sz w:val="21"/>
                      <w:szCs w:val="24"/>
                      <w:highlight w:val="none"/>
                      <w:lang w:val="en-US" w:eastAsia="zh-CN" w:bidi="ar-SA"/>
                    </w:rPr>
                  </w:pPr>
                  <w:r>
                    <w:rPr>
                      <w:rFonts w:hint="eastAsia" w:ascii="Times New Roman" w:hAnsi="Times New Roman"/>
                      <w:highlight w:val="none"/>
                    </w:rPr>
                    <w:t>3</w:t>
                  </w:r>
                </w:p>
              </w:tc>
              <w:tc>
                <w:tcPr>
                  <w:tcW w:w="1201" w:type="pct"/>
                  <w:noWrap w:val="0"/>
                  <w:vAlign w:val="center"/>
                </w:tcPr>
                <w:p w14:paraId="2D110F34">
                  <w:pPr>
                    <w:jc w:val="center"/>
                    <w:rPr>
                      <w:rFonts w:ascii="Times New Roman" w:hAnsi="Times New Roman"/>
                      <w:highlight w:val="none"/>
                    </w:rPr>
                  </w:pPr>
                  <w:r>
                    <w:rPr>
                      <w:rFonts w:hint="eastAsia" w:ascii="Times New Roman" w:hAnsi="Times New Roman"/>
                      <w:szCs w:val="21"/>
                      <w:highlight w:val="none"/>
                    </w:rPr>
                    <w:t>HW05木材防腐剂废物</w:t>
                  </w:r>
                </w:p>
              </w:tc>
              <w:tc>
                <w:tcPr>
                  <w:tcW w:w="1071" w:type="pct"/>
                  <w:noWrap w:val="0"/>
                  <w:vAlign w:val="center"/>
                </w:tcPr>
                <w:p w14:paraId="1DD272E3">
                  <w:pPr>
                    <w:jc w:val="center"/>
                    <w:rPr>
                      <w:rFonts w:ascii="Times New Roman" w:hAnsi="Times New Roman"/>
                      <w:highlight w:val="none"/>
                    </w:rPr>
                  </w:pPr>
                  <w:r>
                    <w:rPr>
                      <w:rFonts w:hint="eastAsia" w:ascii="Times New Roman" w:hAnsi="Times New Roman"/>
                      <w:highlight w:val="none"/>
                    </w:rPr>
                    <w:t>半固态/固体</w:t>
                  </w:r>
                </w:p>
              </w:tc>
              <w:tc>
                <w:tcPr>
                  <w:tcW w:w="647" w:type="pct"/>
                  <w:noWrap w:val="0"/>
                  <w:vAlign w:val="center"/>
                </w:tcPr>
                <w:p w14:paraId="4CE8D64D">
                  <w:pPr>
                    <w:jc w:val="center"/>
                    <w:rPr>
                      <w:rFonts w:ascii="Times New Roman" w:hAnsi="Times New Roman"/>
                      <w:highlight w:val="none"/>
                    </w:rPr>
                  </w:pPr>
                  <w:r>
                    <w:rPr>
                      <w:rFonts w:hint="eastAsia" w:ascii="Times New Roman" w:hAnsi="Times New Roman"/>
                      <w:highlight w:val="none"/>
                    </w:rPr>
                    <w:t>T</w:t>
                  </w:r>
                </w:p>
              </w:tc>
              <w:tc>
                <w:tcPr>
                  <w:tcW w:w="728" w:type="pct"/>
                  <w:noWrap w:val="0"/>
                  <w:vAlign w:val="center"/>
                </w:tcPr>
                <w:p w14:paraId="58A1A1E4">
                  <w:pPr>
                    <w:jc w:val="center"/>
                    <w:rPr>
                      <w:rFonts w:ascii="Times New Roman" w:hAnsi="Times New Roman"/>
                      <w:highlight w:val="none"/>
                    </w:rPr>
                  </w:pPr>
                  <w:r>
                    <w:rPr>
                      <w:rFonts w:hint="eastAsia" w:ascii="Times New Roman" w:hAnsi="Times New Roman"/>
                      <w:highlight w:val="none"/>
                    </w:rPr>
                    <w:t>袋装</w:t>
                  </w:r>
                </w:p>
              </w:tc>
              <w:tc>
                <w:tcPr>
                  <w:tcW w:w="508" w:type="pct"/>
                  <w:noWrap w:val="0"/>
                  <w:vAlign w:val="center"/>
                </w:tcPr>
                <w:p w14:paraId="407FD20E">
                  <w:pPr>
                    <w:jc w:val="center"/>
                    <w:rPr>
                      <w:rFonts w:hint="eastAsia" w:ascii="Times New Roman" w:hAnsi="Times New Roman" w:eastAsia="宋体"/>
                      <w:szCs w:val="21"/>
                      <w:highlight w:val="none"/>
                      <w:lang w:val="en-US" w:eastAsia="zh-CN"/>
                    </w:rPr>
                  </w:pPr>
                  <w:r>
                    <w:rPr>
                      <w:rFonts w:hint="eastAsia"/>
                      <w:szCs w:val="21"/>
                      <w:highlight w:val="none"/>
                      <w:lang w:val="en-US" w:eastAsia="zh-CN"/>
                    </w:rPr>
                    <w:t>12</w:t>
                  </w:r>
                </w:p>
              </w:tc>
              <w:tc>
                <w:tcPr>
                  <w:tcW w:w="852" w:type="dxa"/>
                  <w:noWrap w:val="0"/>
                  <w:vAlign w:val="center"/>
                </w:tcPr>
                <w:p w14:paraId="3348E358">
                  <w:pPr>
                    <w:keepNext w:val="0"/>
                    <w:keepLines w:val="0"/>
                    <w:widowControl/>
                    <w:suppressLineNumbers w:val="0"/>
                    <w:jc w:val="center"/>
                    <w:textAlignment w:val="center"/>
                    <w:rPr>
                      <w:rFonts w:hint="eastAsia" w:ascii="Times New Roman" w:hAnsi="Times New Roman"/>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80</w:t>
                  </w:r>
                </w:p>
              </w:tc>
            </w:tr>
            <w:tr w14:paraId="28C5A5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trPr>
              <w:tc>
                <w:tcPr>
                  <w:tcW w:w="334" w:type="pct"/>
                  <w:shd w:val="clear" w:color="auto" w:fill="auto"/>
                  <w:noWrap w:val="0"/>
                  <w:vAlign w:val="center"/>
                </w:tcPr>
                <w:p w14:paraId="190A3D82">
                  <w:pPr>
                    <w:jc w:val="center"/>
                    <w:rPr>
                      <w:rFonts w:hint="eastAsia" w:ascii="Times New Roman" w:hAnsi="Times New Roman" w:eastAsia="宋体" w:cs="Times New Roman"/>
                      <w:kern w:val="2"/>
                      <w:sz w:val="21"/>
                      <w:szCs w:val="24"/>
                      <w:highlight w:val="none"/>
                      <w:lang w:val="en-US" w:eastAsia="zh-CN" w:bidi="ar-SA"/>
                    </w:rPr>
                  </w:pPr>
                  <w:r>
                    <w:rPr>
                      <w:rFonts w:hint="eastAsia" w:ascii="Times New Roman" w:hAnsi="Times New Roman"/>
                      <w:highlight w:val="none"/>
                    </w:rPr>
                    <w:t>4</w:t>
                  </w:r>
                </w:p>
              </w:tc>
              <w:tc>
                <w:tcPr>
                  <w:tcW w:w="1201" w:type="pct"/>
                  <w:noWrap w:val="0"/>
                  <w:vAlign w:val="center"/>
                </w:tcPr>
                <w:p w14:paraId="62D041DC">
                  <w:pPr>
                    <w:jc w:val="center"/>
                    <w:rPr>
                      <w:rFonts w:ascii="Times New Roman" w:hAnsi="Times New Roman"/>
                      <w:highlight w:val="none"/>
                    </w:rPr>
                  </w:pPr>
                  <w:r>
                    <w:rPr>
                      <w:rFonts w:hint="eastAsia" w:ascii="Times New Roman" w:hAnsi="Times New Roman"/>
                      <w:szCs w:val="21"/>
                      <w:highlight w:val="none"/>
                    </w:rPr>
                    <w:t>HW06废有机溶剂与含有机溶剂废物</w:t>
                  </w:r>
                </w:p>
              </w:tc>
              <w:tc>
                <w:tcPr>
                  <w:tcW w:w="1071" w:type="pct"/>
                  <w:noWrap w:val="0"/>
                  <w:vAlign w:val="center"/>
                </w:tcPr>
                <w:p w14:paraId="2B2A5C57">
                  <w:pPr>
                    <w:jc w:val="center"/>
                    <w:rPr>
                      <w:rFonts w:ascii="Times New Roman" w:hAnsi="Times New Roman"/>
                      <w:highlight w:val="none"/>
                    </w:rPr>
                  </w:pPr>
                  <w:r>
                    <w:rPr>
                      <w:rFonts w:hint="eastAsia" w:ascii="Times New Roman" w:hAnsi="Times New Roman"/>
                      <w:highlight w:val="none"/>
                    </w:rPr>
                    <w:t>液态/半固态/固体</w:t>
                  </w:r>
                </w:p>
              </w:tc>
              <w:tc>
                <w:tcPr>
                  <w:tcW w:w="647" w:type="pct"/>
                  <w:noWrap w:val="0"/>
                  <w:vAlign w:val="center"/>
                </w:tcPr>
                <w:p w14:paraId="22B95AD7">
                  <w:pPr>
                    <w:jc w:val="center"/>
                    <w:rPr>
                      <w:rFonts w:ascii="Times New Roman" w:hAnsi="Times New Roman"/>
                      <w:highlight w:val="none"/>
                    </w:rPr>
                  </w:pPr>
                  <w:r>
                    <w:rPr>
                      <w:rFonts w:hint="eastAsia" w:ascii="Times New Roman" w:hAnsi="Times New Roman"/>
                      <w:highlight w:val="none"/>
                    </w:rPr>
                    <w:t>T,I,R</w:t>
                  </w:r>
                </w:p>
              </w:tc>
              <w:tc>
                <w:tcPr>
                  <w:tcW w:w="728" w:type="pct"/>
                  <w:noWrap w:val="0"/>
                  <w:vAlign w:val="center"/>
                </w:tcPr>
                <w:p w14:paraId="74E13E13">
                  <w:pPr>
                    <w:jc w:val="center"/>
                    <w:rPr>
                      <w:rFonts w:ascii="Times New Roman" w:hAnsi="Times New Roman"/>
                      <w:highlight w:val="none"/>
                    </w:rPr>
                  </w:pPr>
                  <w:r>
                    <w:rPr>
                      <w:rFonts w:hint="eastAsia" w:ascii="Times New Roman" w:hAnsi="Times New Roman"/>
                      <w:highlight w:val="none"/>
                    </w:rPr>
                    <w:t>桶装/袋装</w:t>
                  </w:r>
                </w:p>
              </w:tc>
              <w:tc>
                <w:tcPr>
                  <w:tcW w:w="508" w:type="pct"/>
                  <w:noWrap w:val="0"/>
                  <w:vAlign w:val="center"/>
                </w:tcPr>
                <w:p w14:paraId="547D63E4">
                  <w:pPr>
                    <w:jc w:val="center"/>
                    <w:rPr>
                      <w:rFonts w:hint="eastAsia" w:ascii="Times New Roman" w:hAnsi="Times New Roman" w:eastAsia="宋体"/>
                      <w:szCs w:val="21"/>
                      <w:highlight w:val="none"/>
                      <w:lang w:val="en-US" w:eastAsia="zh-CN"/>
                    </w:rPr>
                  </w:pPr>
                  <w:r>
                    <w:rPr>
                      <w:rFonts w:hint="eastAsia"/>
                      <w:szCs w:val="21"/>
                      <w:highlight w:val="none"/>
                      <w:lang w:val="en-US" w:eastAsia="zh-CN"/>
                    </w:rPr>
                    <w:t>12</w:t>
                  </w:r>
                </w:p>
              </w:tc>
              <w:tc>
                <w:tcPr>
                  <w:tcW w:w="852" w:type="dxa"/>
                  <w:noWrap w:val="0"/>
                  <w:vAlign w:val="center"/>
                </w:tcPr>
                <w:p w14:paraId="35371655">
                  <w:pPr>
                    <w:keepNext w:val="0"/>
                    <w:keepLines w:val="0"/>
                    <w:widowControl/>
                    <w:suppressLineNumbers w:val="0"/>
                    <w:jc w:val="center"/>
                    <w:textAlignment w:val="center"/>
                    <w:rPr>
                      <w:rFonts w:hint="eastAsia" w:ascii="Times New Roman" w:hAnsi="Times New Roman"/>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80</w:t>
                  </w:r>
                </w:p>
              </w:tc>
            </w:tr>
            <w:tr w14:paraId="3E094C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334" w:type="pct"/>
                  <w:shd w:val="clear" w:color="auto" w:fill="auto"/>
                  <w:noWrap w:val="0"/>
                  <w:vAlign w:val="center"/>
                </w:tcPr>
                <w:p w14:paraId="11487253">
                  <w:pPr>
                    <w:jc w:val="center"/>
                    <w:rPr>
                      <w:rFonts w:hint="eastAsia" w:ascii="Times New Roman" w:hAnsi="Times New Roman" w:eastAsia="宋体" w:cs="Times New Roman"/>
                      <w:kern w:val="2"/>
                      <w:sz w:val="21"/>
                      <w:szCs w:val="24"/>
                      <w:highlight w:val="none"/>
                      <w:lang w:val="en-US" w:eastAsia="zh-CN" w:bidi="ar-SA"/>
                    </w:rPr>
                  </w:pPr>
                  <w:r>
                    <w:rPr>
                      <w:rFonts w:hint="eastAsia" w:ascii="Times New Roman" w:hAnsi="Times New Roman"/>
                      <w:highlight w:val="none"/>
                    </w:rPr>
                    <w:t>5</w:t>
                  </w:r>
                </w:p>
              </w:tc>
              <w:tc>
                <w:tcPr>
                  <w:tcW w:w="1201" w:type="pct"/>
                  <w:noWrap w:val="0"/>
                  <w:vAlign w:val="center"/>
                </w:tcPr>
                <w:p w14:paraId="6E07BA47">
                  <w:pPr>
                    <w:jc w:val="center"/>
                    <w:rPr>
                      <w:rFonts w:ascii="Times New Roman" w:hAnsi="Times New Roman"/>
                      <w:highlight w:val="none"/>
                    </w:rPr>
                  </w:pPr>
                  <w:r>
                    <w:rPr>
                      <w:rFonts w:ascii="Times New Roman" w:hAnsi="Times New Roman"/>
                      <w:szCs w:val="21"/>
                      <w:highlight w:val="none"/>
                    </w:rPr>
                    <w:t>HW08</w:t>
                  </w:r>
                  <w:r>
                    <w:rPr>
                      <w:rFonts w:hint="eastAsia" w:ascii="Times New Roman" w:hAnsi="Times New Roman"/>
                      <w:szCs w:val="21"/>
                      <w:highlight w:val="none"/>
                    </w:rPr>
                    <w:t>废矿物油与含矿物油废物</w:t>
                  </w:r>
                </w:p>
              </w:tc>
              <w:tc>
                <w:tcPr>
                  <w:tcW w:w="1071" w:type="pct"/>
                  <w:noWrap w:val="0"/>
                  <w:vAlign w:val="center"/>
                </w:tcPr>
                <w:p w14:paraId="23C84391">
                  <w:pPr>
                    <w:jc w:val="center"/>
                    <w:rPr>
                      <w:rFonts w:ascii="Times New Roman" w:hAnsi="Times New Roman"/>
                      <w:highlight w:val="none"/>
                    </w:rPr>
                  </w:pPr>
                  <w:r>
                    <w:rPr>
                      <w:rFonts w:hint="eastAsia" w:ascii="Times New Roman" w:hAnsi="Times New Roman"/>
                      <w:highlight w:val="none"/>
                    </w:rPr>
                    <w:t>液态/半固态/固体</w:t>
                  </w:r>
                </w:p>
              </w:tc>
              <w:tc>
                <w:tcPr>
                  <w:tcW w:w="647" w:type="pct"/>
                  <w:noWrap w:val="0"/>
                  <w:vAlign w:val="center"/>
                </w:tcPr>
                <w:p w14:paraId="03BE21D0">
                  <w:pPr>
                    <w:jc w:val="center"/>
                    <w:rPr>
                      <w:rFonts w:ascii="Times New Roman" w:hAnsi="Times New Roman"/>
                      <w:highlight w:val="none"/>
                    </w:rPr>
                  </w:pPr>
                  <w:r>
                    <w:rPr>
                      <w:rFonts w:hint="eastAsia" w:ascii="Times New Roman" w:hAnsi="Times New Roman"/>
                      <w:highlight w:val="none"/>
                    </w:rPr>
                    <w:t>T,I</w:t>
                  </w:r>
                </w:p>
              </w:tc>
              <w:tc>
                <w:tcPr>
                  <w:tcW w:w="728" w:type="pct"/>
                  <w:noWrap w:val="0"/>
                  <w:vAlign w:val="center"/>
                </w:tcPr>
                <w:p w14:paraId="0DC73D05">
                  <w:pPr>
                    <w:jc w:val="center"/>
                    <w:rPr>
                      <w:rFonts w:ascii="Times New Roman" w:hAnsi="Times New Roman"/>
                      <w:highlight w:val="none"/>
                    </w:rPr>
                  </w:pPr>
                  <w:r>
                    <w:rPr>
                      <w:rFonts w:hint="eastAsia" w:ascii="Times New Roman" w:hAnsi="Times New Roman"/>
                      <w:highlight w:val="none"/>
                    </w:rPr>
                    <w:t>储罐/桶装/袋装</w:t>
                  </w:r>
                </w:p>
              </w:tc>
              <w:tc>
                <w:tcPr>
                  <w:tcW w:w="508" w:type="pct"/>
                  <w:noWrap w:val="0"/>
                  <w:vAlign w:val="center"/>
                </w:tcPr>
                <w:p w14:paraId="26466F38">
                  <w:pPr>
                    <w:jc w:val="center"/>
                    <w:rPr>
                      <w:rFonts w:hint="default" w:ascii="Times New Roman" w:hAnsi="Times New Roman" w:eastAsia="宋体"/>
                      <w:szCs w:val="21"/>
                      <w:highlight w:val="none"/>
                      <w:lang w:val="en-US" w:eastAsia="zh-CN"/>
                    </w:rPr>
                  </w:pPr>
                  <w:r>
                    <w:rPr>
                      <w:rFonts w:hint="eastAsia"/>
                      <w:szCs w:val="21"/>
                      <w:highlight w:val="none"/>
                      <w:lang w:val="en-US" w:eastAsia="zh-CN"/>
                    </w:rPr>
                    <w:t>153</w:t>
                  </w:r>
                </w:p>
              </w:tc>
              <w:tc>
                <w:tcPr>
                  <w:tcW w:w="852" w:type="dxa"/>
                  <w:noWrap w:val="0"/>
                  <w:vAlign w:val="center"/>
                </w:tcPr>
                <w:p w14:paraId="286B3586">
                  <w:pPr>
                    <w:keepNext w:val="0"/>
                    <w:keepLines w:val="0"/>
                    <w:widowControl/>
                    <w:suppressLineNumbers w:val="0"/>
                    <w:jc w:val="center"/>
                    <w:textAlignment w:val="center"/>
                    <w:rPr>
                      <w:rFonts w:hint="default" w:ascii="Times New Roman" w:hAnsi="Times New Roman"/>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8000</w:t>
                  </w:r>
                </w:p>
              </w:tc>
            </w:tr>
            <w:tr w14:paraId="291238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trPr>
              <w:tc>
                <w:tcPr>
                  <w:tcW w:w="334" w:type="pct"/>
                  <w:shd w:val="clear" w:color="auto" w:fill="auto"/>
                  <w:noWrap w:val="0"/>
                  <w:vAlign w:val="center"/>
                </w:tcPr>
                <w:p w14:paraId="51485DC9">
                  <w:pPr>
                    <w:jc w:val="center"/>
                    <w:rPr>
                      <w:rFonts w:hint="eastAsia" w:ascii="Times New Roman" w:hAnsi="Times New Roman" w:eastAsia="宋体" w:cs="Times New Roman"/>
                      <w:kern w:val="2"/>
                      <w:sz w:val="21"/>
                      <w:szCs w:val="24"/>
                      <w:highlight w:val="none"/>
                      <w:lang w:val="en-US" w:eastAsia="zh-CN" w:bidi="ar-SA"/>
                    </w:rPr>
                  </w:pPr>
                  <w:r>
                    <w:rPr>
                      <w:rFonts w:hint="eastAsia" w:ascii="Times New Roman" w:hAnsi="Times New Roman"/>
                      <w:highlight w:val="none"/>
                    </w:rPr>
                    <w:t>6</w:t>
                  </w:r>
                </w:p>
              </w:tc>
              <w:tc>
                <w:tcPr>
                  <w:tcW w:w="1201" w:type="pct"/>
                  <w:noWrap w:val="0"/>
                  <w:vAlign w:val="center"/>
                </w:tcPr>
                <w:p w14:paraId="15BF6D5B">
                  <w:pPr>
                    <w:jc w:val="center"/>
                    <w:rPr>
                      <w:rFonts w:ascii="Times New Roman" w:hAnsi="Times New Roman"/>
                      <w:highlight w:val="none"/>
                    </w:rPr>
                  </w:pPr>
                  <w:r>
                    <w:rPr>
                      <w:rFonts w:hint="eastAsia" w:ascii="Times New Roman" w:hAnsi="Times New Roman"/>
                      <w:szCs w:val="21"/>
                      <w:highlight w:val="none"/>
                    </w:rPr>
                    <w:t>HW09油/水、烃/水混合物或乳化液</w:t>
                  </w:r>
                </w:p>
              </w:tc>
              <w:tc>
                <w:tcPr>
                  <w:tcW w:w="1071" w:type="pct"/>
                  <w:noWrap w:val="0"/>
                  <w:vAlign w:val="center"/>
                </w:tcPr>
                <w:p w14:paraId="6AFAA3F1">
                  <w:pPr>
                    <w:jc w:val="center"/>
                    <w:rPr>
                      <w:rFonts w:ascii="Times New Roman" w:hAnsi="Times New Roman"/>
                      <w:highlight w:val="none"/>
                    </w:rPr>
                  </w:pPr>
                  <w:r>
                    <w:rPr>
                      <w:rFonts w:hint="eastAsia" w:ascii="Times New Roman" w:hAnsi="Times New Roman"/>
                      <w:highlight w:val="none"/>
                    </w:rPr>
                    <w:t>液态/半固态</w:t>
                  </w:r>
                </w:p>
              </w:tc>
              <w:tc>
                <w:tcPr>
                  <w:tcW w:w="647" w:type="pct"/>
                  <w:noWrap w:val="0"/>
                  <w:vAlign w:val="center"/>
                </w:tcPr>
                <w:p w14:paraId="338329FF">
                  <w:pPr>
                    <w:jc w:val="center"/>
                    <w:rPr>
                      <w:rFonts w:ascii="Times New Roman" w:hAnsi="Times New Roman"/>
                      <w:highlight w:val="none"/>
                    </w:rPr>
                  </w:pPr>
                  <w:r>
                    <w:rPr>
                      <w:rFonts w:hint="eastAsia" w:ascii="Times New Roman" w:hAnsi="Times New Roman"/>
                      <w:highlight w:val="none"/>
                    </w:rPr>
                    <w:t>T</w:t>
                  </w:r>
                </w:p>
              </w:tc>
              <w:tc>
                <w:tcPr>
                  <w:tcW w:w="728" w:type="pct"/>
                  <w:noWrap w:val="0"/>
                  <w:vAlign w:val="center"/>
                </w:tcPr>
                <w:p w14:paraId="23230381">
                  <w:pPr>
                    <w:jc w:val="center"/>
                    <w:rPr>
                      <w:rFonts w:ascii="Times New Roman" w:hAnsi="Times New Roman"/>
                      <w:highlight w:val="none"/>
                    </w:rPr>
                  </w:pPr>
                  <w:r>
                    <w:rPr>
                      <w:rFonts w:hint="eastAsia" w:ascii="Times New Roman" w:hAnsi="Times New Roman"/>
                      <w:highlight w:val="none"/>
                    </w:rPr>
                    <w:t>桶装</w:t>
                  </w:r>
                </w:p>
              </w:tc>
              <w:tc>
                <w:tcPr>
                  <w:tcW w:w="508" w:type="pct"/>
                  <w:noWrap w:val="0"/>
                  <w:vAlign w:val="center"/>
                </w:tcPr>
                <w:p w14:paraId="608D9DA9">
                  <w:pPr>
                    <w:jc w:val="center"/>
                    <w:rPr>
                      <w:rFonts w:hint="default" w:ascii="Times New Roman" w:hAnsi="Times New Roman" w:eastAsia="宋体"/>
                      <w:szCs w:val="21"/>
                      <w:highlight w:val="none"/>
                      <w:lang w:val="en-US" w:eastAsia="zh-CN"/>
                    </w:rPr>
                  </w:pPr>
                  <w:r>
                    <w:rPr>
                      <w:rFonts w:hint="eastAsia"/>
                      <w:szCs w:val="21"/>
                      <w:highlight w:val="none"/>
                      <w:lang w:val="en-US" w:eastAsia="zh-CN"/>
                    </w:rPr>
                    <w:t>10</w:t>
                  </w:r>
                </w:p>
              </w:tc>
              <w:tc>
                <w:tcPr>
                  <w:tcW w:w="852" w:type="dxa"/>
                  <w:noWrap w:val="0"/>
                  <w:vAlign w:val="center"/>
                </w:tcPr>
                <w:p w14:paraId="2EAF823F">
                  <w:pPr>
                    <w:keepNext w:val="0"/>
                    <w:keepLines w:val="0"/>
                    <w:widowControl/>
                    <w:suppressLineNumbers w:val="0"/>
                    <w:jc w:val="center"/>
                    <w:textAlignment w:val="center"/>
                    <w:rPr>
                      <w:rFonts w:hint="eastAsia" w:ascii="Times New Roman" w:hAnsi="Times New Roman"/>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80</w:t>
                  </w:r>
                </w:p>
              </w:tc>
            </w:tr>
            <w:tr w14:paraId="6B3CA0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334" w:type="pct"/>
                  <w:shd w:val="clear" w:color="auto" w:fill="auto"/>
                  <w:noWrap w:val="0"/>
                  <w:vAlign w:val="center"/>
                </w:tcPr>
                <w:p w14:paraId="3E7C60C0">
                  <w:pPr>
                    <w:jc w:val="center"/>
                    <w:rPr>
                      <w:rFonts w:hint="eastAsia" w:ascii="Times New Roman" w:hAnsi="Times New Roman" w:eastAsia="宋体" w:cs="Times New Roman"/>
                      <w:kern w:val="2"/>
                      <w:sz w:val="21"/>
                      <w:szCs w:val="24"/>
                      <w:highlight w:val="none"/>
                      <w:lang w:val="en-US" w:eastAsia="zh-CN" w:bidi="ar-SA"/>
                    </w:rPr>
                  </w:pPr>
                  <w:r>
                    <w:rPr>
                      <w:rFonts w:hint="eastAsia" w:ascii="Times New Roman" w:hAnsi="Times New Roman"/>
                      <w:highlight w:val="none"/>
                    </w:rPr>
                    <w:t>7</w:t>
                  </w:r>
                </w:p>
              </w:tc>
              <w:tc>
                <w:tcPr>
                  <w:tcW w:w="1201" w:type="pct"/>
                  <w:noWrap w:val="0"/>
                  <w:vAlign w:val="center"/>
                </w:tcPr>
                <w:p w14:paraId="4190540E">
                  <w:pPr>
                    <w:jc w:val="center"/>
                    <w:rPr>
                      <w:rFonts w:ascii="Times New Roman" w:hAnsi="Times New Roman"/>
                      <w:highlight w:val="none"/>
                    </w:rPr>
                  </w:pPr>
                  <w:r>
                    <w:rPr>
                      <w:rFonts w:hint="eastAsia" w:ascii="Times New Roman" w:hAnsi="Times New Roman"/>
                      <w:szCs w:val="21"/>
                      <w:highlight w:val="none"/>
                    </w:rPr>
                    <w:t>HW11精（蒸）馏残渣</w:t>
                  </w:r>
                </w:p>
              </w:tc>
              <w:tc>
                <w:tcPr>
                  <w:tcW w:w="1071" w:type="pct"/>
                  <w:noWrap w:val="0"/>
                  <w:vAlign w:val="center"/>
                </w:tcPr>
                <w:p w14:paraId="6647FC18">
                  <w:pPr>
                    <w:jc w:val="center"/>
                    <w:rPr>
                      <w:rFonts w:ascii="Times New Roman" w:hAnsi="Times New Roman"/>
                      <w:highlight w:val="none"/>
                    </w:rPr>
                  </w:pPr>
                  <w:r>
                    <w:rPr>
                      <w:rFonts w:hint="eastAsia" w:ascii="Times New Roman" w:hAnsi="Times New Roman"/>
                      <w:highlight w:val="none"/>
                    </w:rPr>
                    <w:t>液态/半固态/固体</w:t>
                  </w:r>
                </w:p>
              </w:tc>
              <w:tc>
                <w:tcPr>
                  <w:tcW w:w="647" w:type="pct"/>
                  <w:noWrap w:val="0"/>
                  <w:vAlign w:val="center"/>
                </w:tcPr>
                <w:p w14:paraId="6A3FADE2">
                  <w:pPr>
                    <w:jc w:val="center"/>
                    <w:rPr>
                      <w:rFonts w:ascii="Times New Roman" w:hAnsi="Times New Roman"/>
                      <w:highlight w:val="none"/>
                    </w:rPr>
                  </w:pPr>
                  <w:r>
                    <w:rPr>
                      <w:rFonts w:hint="eastAsia" w:ascii="Times New Roman" w:hAnsi="Times New Roman"/>
                      <w:highlight w:val="none"/>
                    </w:rPr>
                    <w:t>T</w:t>
                  </w:r>
                </w:p>
              </w:tc>
              <w:tc>
                <w:tcPr>
                  <w:tcW w:w="728" w:type="pct"/>
                  <w:noWrap w:val="0"/>
                  <w:vAlign w:val="center"/>
                </w:tcPr>
                <w:p w14:paraId="45F66EB8">
                  <w:pPr>
                    <w:jc w:val="center"/>
                    <w:rPr>
                      <w:rFonts w:ascii="Times New Roman" w:hAnsi="Times New Roman"/>
                      <w:highlight w:val="none"/>
                    </w:rPr>
                  </w:pPr>
                  <w:r>
                    <w:rPr>
                      <w:rFonts w:hint="eastAsia" w:ascii="Times New Roman" w:hAnsi="Times New Roman"/>
                      <w:highlight w:val="none"/>
                    </w:rPr>
                    <w:t>桶装/袋装</w:t>
                  </w:r>
                </w:p>
              </w:tc>
              <w:tc>
                <w:tcPr>
                  <w:tcW w:w="508" w:type="pct"/>
                  <w:noWrap w:val="0"/>
                  <w:vAlign w:val="center"/>
                </w:tcPr>
                <w:p w14:paraId="551E960E">
                  <w:pPr>
                    <w:jc w:val="center"/>
                    <w:rPr>
                      <w:rFonts w:ascii="Times New Roman" w:hAnsi="Times New Roman"/>
                      <w:szCs w:val="21"/>
                      <w:highlight w:val="none"/>
                    </w:rPr>
                  </w:pPr>
                  <w:r>
                    <w:rPr>
                      <w:rFonts w:hint="eastAsia"/>
                      <w:szCs w:val="21"/>
                      <w:highlight w:val="none"/>
                      <w:lang w:val="en-US" w:eastAsia="zh-CN"/>
                    </w:rPr>
                    <w:t>12</w:t>
                  </w:r>
                </w:p>
              </w:tc>
              <w:tc>
                <w:tcPr>
                  <w:tcW w:w="852" w:type="dxa"/>
                  <w:noWrap w:val="0"/>
                  <w:vAlign w:val="center"/>
                </w:tcPr>
                <w:p w14:paraId="5011348C">
                  <w:pPr>
                    <w:keepNext w:val="0"/>
                    <w:keepLines w:val="0"/>
                    <w:widowControl/>
                    <w:suppressLineNumbers w:val="0"/>
                    <w:jc w:val="center"/>
                    <w:textAlignment w:val="center"/>
                    <w:rPr>
                      <w:rFonts w:hint="eastAsia" w:ascii="Times New Roman" w:hAnsi="Times New Roman"/>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80</w:t>
                  </w:r>
                </w:p>
              </w:tc>
            </w:tr>
            <w:tr w14:paraId="63FD85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334" w:type="pct"/>
                  <w:shd w:val="clear" w:color="auto" w:fill="auto"/>
                  <w:noWrap w:val="0"/>
                  <w:vAlign w:val="center"/>
                </w:tcPr>
                <w:p w14:paraId="3D8747BD">
                  <w:pPr>
                    <w:jc w:val="center"/>
                    <w:rPr>
                      <w:rFonts w:hint="eastAsia" w:ascii="Times New Roman" w:hAnsi="Times New Roman" w:eastAsia="宋体" w:cs="Times New Roman"/>
                      <w:kern w:val="2"/>
                      <w:sz w:val="21"/>
                      <w:szCs w:val="24"/>
                      <w:highlight w:val="none"/>
                      <w:lang w:val="en-US" w:eastAsia="zh-CN" w:bidi="ar-SA"/>
                    </w:rPr>
                  </w:pPr>
                  <w:r>
                    <w:rPr>
                      <w:rFonts w:hint="eastAsia" w:ascii="Times New Roman" w:hAnsi="Times New Roman"/>
                      <w:highlight w:val="none"/>
                    </w:rPr>
                    <w:t>8</w:t>
                  </w:r>
                </w:p>
              </w:tc>
              <w:tc>
                <w:tcPr>
                  <w:tcW w:w="1201" w:type="pct"/>
                  <w:noWrap w:val="0"/>
                  <w:vAlign w:val="center"/>
                </w:tcPr>
                <w:p w14:paraId="2F73D1C9">
                  <w:pPr>
                    <w:jc w:val="center"/>
                    <w:rPr>
                      <w:rFonts w:ascii="Times New Roman" w:hAnsi="Times New Roman"/>
                      <w:highlight w:val="none"/>
                    </w:rPr>
                  </w:pPr>
                  <w:r>
                    <w:rPr>
                      <w:rFonts w:ascii="Times New Roman" w:hAnsi="Times New Roman"/>
                      <w:szCs w:val="21"/>
                      <w:highlight w:val="none"/>
                    </w:rPr>
                    <w:t>HW12</w:t>
                  </w:r>
                  <w:r>
                    <w:rPr>
                      <w:rFonts w:hint="eastAsia" w:ascii="Times New Roman" w:hAnsi="Times New Roman"/>
                      <w:szCs w:val="21"/>
                      <w:highlight w:val="none"/>
                    </w:rPr>
                    <w:t>染料、涂料废物</w:t>
                  </w:r>
                </w:p>
              </w:tc>
              <w:tc>
                <w:tcPr>
                  <w:tcW w:w="1071" w:type="pct"/>
                  <w:noWrap w:val="0"/>
                  <w:vAlign w:val="center"/>
                </w:tcPr>
                <w:p w14:paraId="1731F04E">
                  <w:pPr>
                    <w:jc w:val="center"/>
                    <w:rPr>
                      <w:rFonts w:ascii="Times New Roman" w:hAnsi="Times New Roman"/>
                      <w:highlight w:val="none"/>
                    </w:rPr>
                  </w:pPr>
                  <w:r>
                    <w:rPr>
                      <w:rFonts w:hint="eastAsia" w:ascii="Times New Roman" w:hAnsi="Times New Roman"/>
                      <w:highlight w:val="none"/>
                    </w:rPr>
                    <w:t>液态/半固态/固体</w:t>
                  </w:r>
                </w:p>
              </w:tc>
              <w:tc>
                <w:tcPr>
                  <w:tcW w:w="647" w:type="pct"/>
                  <w:noWrap w:val="0"/>
                  <w:vAlign w:val="center"/>
                </w:tcPr>
                <w:p w14:paraId="20A399C4">
                  <w:pPr>
                    <w:jc w:val="center"/>
                    <w:rPr>
                      <w:rFonts w:ascii="Times New Roman" w:hAnsi="Times New Roman"/>
                      <w:highlight w:val="none"/>
                    </w:rPr>
                  </w:pPr>
                  <w:r>
                    <w:rPr>
                      <w:rFonts w:hint="eastAsia" w:ascii="Times New Roman" w:hAnsi="Times New Roman"/>
                      <w:highlight w:val="none"/>
                    </w:rPr>
                    <w:t>T,I</w:t>
                  </w:r>
                </w:p>
              </w:tc>
              <w:tc>
                <w:tcPr>
                  <w:tcW w:w="728" w:type="pct"/>
                  <w:noWrap w:val="0"/>
                  <w:vAlign w:val="center"/>
                </w:tcPr>
                <w:p w14:paraId="21A47D76">
                  <w:pPr>
                    <w:jc w:val="center"/>
                    <w:rPr>
                      <w:rFonts w:ascii="Times New Roman" w:hAnsi="Times New Roman"/>
                      <w:highlight w:val="none"/>
                    </w:rPr>
                  </w:pPr>
                  <w:r>
                    <w:rPr>
                      <w:rFonts w:hint="eastAsia" w:ascii="Times New Roman" w:hAnsi="Times New Roman"/>
                      <w:highlight w:val="none"/>
                    </w:rPr>
                    <w:t>桶装</w:t>
                  </w:r>
                </w:p>
              </w:tc>
              <w:tc>
                <w:tcPr>
                  <w:tcW w:w="508" w:type="pct"/>
                  <w:noWrap w:val="0"/>
                  <w:vAlign w:val="center"/>
                </w:tcPr>
                <w:p w14:paraId="52F54060">
                  <w:pPr>
                    <w:jc w:val="center"/>
                    <w:rPr>
                      <w:rFonts w:hint="eastAsia" w:ascii="Times New Roman" w:hAnsi="Times New Roman" w:eastAsia="宋体"/>
                      <w:szCs w:val="21"/>
                      <w:highlight w:val="none"/>
                      <w:lang w:val="en-US" w:eastAsia="zh-CN"/>
                    </w:rPr>
                  </w:pPr>
                  <w:r>
                    <w:rPr>
                      <w:rFonts w:hint="eastAsia"/>
                      <w:szCs w:val="21"/>
                      <w:highlight w:val="none"/>
                      <w:lang w:val="en-US" w:eastAsia="zh-CN"/>
                    </w:rPr>
                    <w:t>15</w:t>
                  </w:r>
                </w:p>
              </w:tc>
              <w:tc>
                <w:tcPr>
                  <w:tcW w:w="852" w:type="dxa"/>
                  <w:noWrap w:val="0"/>
                  <w:vAlign w:val="center"/>
                </w:tcPr>
                <w:p w14:paraId="51AA5210">
                  <w:pPr>
                    <w:keepNext w:val="0"/>
                    <w:keepLines w:val="0"/>
                    <w:widowControl/>
                    <w:suppressLineNumbers w:val="0"/>
                    <w:jc w:val="center"/>
                    <w:textAlignment w:val="center"/>
                    <w:rPr>
                      <w:rFonts w:hint="eastAsia" w:ascii="Times New Roman" w:hAnsi="Times New Roman"/>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100</w:t>
                  </w:r>
                </w:p>
              </w:tc>
            </w:tr>
            <w:tr w14:paraId="10B1E2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334" w:type="pct"/>
                  <w:shd w:val="clear" w:color="auto" w:fill="auto"/>
                  <w:noWrap w:val="0"/>
                  <w:vAlign w:val="center"/>
                </w:tcPr>
                <w:p w14:paraId="7FFFED5B">
                  <w:pPr>
                    <w:jc w:val="center"/>
                    <w:rPr>
                      <w:rFonts w:hint="eastAsia" w:ascii="Times New Roman" w:hAnsi="Times New Roman" w:eastAsia="宋体" w:cs="Times New Roman"/>
                      <w:kern w:val="2"/>
                      <w:sz w:val="21"/>
                      <w:szCs w:val="24"/>
                      <w:highlight w:val="none"/>
                      <w:lang w:val="en-US" w:eastAsia="zh-CN" w:bidi="ar-SA"/>
                    </w:rPr>
                  </w:pPr>
                  <w:r>
                    <w:rPr>
                      <w:rFonts w:hint="eastAsia" w:ascii="Times New Roman" w:hAnsi="Times New Roman"/>
                      <w:highlight w:val="none"/>
                    </w:rPr>
                    <w:t>9</w:t>
                  </w:r>
                </w:p>
              </w:tc>
              <w:tc>
                <w:tcPr>
                  <w:tcW w:w="1201" w:type="pct"/>
                  <w:noWrap w:val="0"/>
                  <w:vAlign w:val="center"/>
                </w:tcPr>
                <w:p w14:paraId="72607711">
                  <w:pPr>
                    <w:jc w:val="center"/>
                    <w:rPr>
                      <w:rFonts w:ascii="Times New Roman" w:hAnsi="Times New Roman"/>
                      <w:szCs w:val="21"/>
                      <w:highlight w:val="none"/>
                    </w:rPr>
                  </w:pPr>
                  <w:r>
                    <w:rPr>
                      <w:rFonts w:hint="eastAsia" w:ascii="Times New Roman" w:hAnsi="Times New Roman"/>
                      <w:szCs w:val="21"/>
                      <w:highlight w:val="none"/>
                    </w:rPr>
                    <w:t>HW13有机树脂类废物</w:t>
                  </w:r>
                </w:p>
              </w:tc>
              <w:tc>
                <w:tcPr>
                  <w:tcW w:w="1071" w:type="pct"/>
                  <w:noWrap w:val="0"/>
                  <w:vAlign w:val="center"/>
                </w:tcPr>
                <w:p w14:paraId="4598AA35">
                  <w:pPr>
                    <w:jc w:val="center"/>
                    <w:rPr>
                      <w:rFonts w:ascii="Times New Roman" w:hAnsi="Times New Roman"/>
                      <w:highlight w:val="none"/>
                    </w:rPr>
                  </w:pPr>
                  <w:r>
                    <w:rPr>
                      <w:rFonts w:hint="eastAsia" w:ascii="Times New Roman" w:hAnsi="Times New Roman"/>
                      <w:highlight w:val="none"/>
                    </w:rPr>
                    <w:t>液态/半固态/固体</w:t>
                  </w:r>
                </w:p>
              </w:tc>
              <w:tc>
                <w:tcPr>
                  <w:tcW w:w="647" w:type="pct"/>
                  <w:noWrap w:val="0"/>
                  <w:vAlign w:val="center"/>
                </w:tcPr>
                <w:p w14:paraId="70B96DA8">
                  <w:pPr>
                    <w:jc w:val="center"/>
                    <w:rPr>
                      <w:rFonts w:ascii="Times New Roman" w:hAnsi="Times New Roman"/>
                      <w:highlight w:val="none"/>
                    </w:rPr>
                  </w:pPr>
                  <w:r>
                    <w:rPr>
                      <w:rFonts w:hint="eastAsia" w:ascii="Times New Roman" w:hAnsi="Times New Roman"/>
                      <w:highlight w:val="none"/>
                    </w:rPr>
                    <w:t>T</w:t>
                  </w:r>
                </w:p>
              </w:tc>
              <w:tc>
                <w:tcPr>
                  <w:tcW w:w="728" w:type="pct"/>
                  <w:noWrap w:val="0"/>
                  <w:vAlign w:val="center"/>
                </w:tcPr>
                <w:p w14:paraId="0F93F9C5">
                  <w:pPr>
                    <w:jc w:val="center"/>
                    <w:rPr>
                      <w:rFonts w:ascii="Times New Roman" w:hAnsi="Times New Roman"/>
                      <w:highlight w:val="none"/>
                    </w:rPr>
                  </w:pPr>
                  <w:r>
                    <w:rPr>
                      <w:rFonts w:hint="eastAsia" w:ascii="Times New Roman" w:hAnsi="Times New Roman"/>
                      <w:highlight w:val="none"/>
                    </w:rPr>
                    <w:t>桶装</w:t>
                  </w:r>
                </w:p>
              </w:tc>
              <w:tc>
                <w:tcPr>
                  <w:tcW w:w="508" w:type="pct"/>
                  <w:noWrap w:val="0"/>
                  <w:vAlign w:val="center"/>
                </w:tcPr>
                <w:p w14:paraId="1450D492">
                  <w:pPr>
                    <w:jc w:val="center"/>
                    <w:rPr>
                      <w:rFonts w:hint="eastAsia" w:ascii="Times New Roman" w:hAnsi="Times New Roman" w:eastAsia="宋体"/>
                      <w:szCs w:val="21"/>
                      <w:highlight w:val="none"/>
                      <w:lang w:val="en-US" w:eastAsia="zh-CN"/>
                    </w:rPr>
                  </w:pPr>
                  <w:r>
                    <w:rPr>
                      <w:rFonts w:hint="eastAsia"/>
                      <w:szCs w:val="21"/>
                      <w:highlight w:val="none"/>
                      <w:lang w:val="en-US" w:eastAsia="zh-CN"/>
                    </w:rPr>
                    <w:t>12</w:t>
                  </w:r>
                </w:p>
              </w:tc>
              <w:tc>
                <w:tcPr>
                  <w:tcW w:w="852" w:type="dxa"/>
                  <w:noWrap w:val="0"/>
                  <w:vAlign w:val="center"/>
                </w:tcPr>
                <w:p w14:paraId="793D7379">
                  <w:pPr>
                    <w:keepNext w:val="0"/>
                    <w:keepLines w:val="0"/>
                    <w:widowControl/>
                    <w:suppressLineNumbers w:val="0"/>
                    <w:jc w:val="center"/>
                    <w:textAlignment w:val="center"/>
                    <w:rPr>
                      <w:rFonts w:hint="eastAsia" w:ascii="Times New Roman" w:hAnsi="Times New Roman"/>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80</w:t>
                  </w:r>
                </w:p>
              </w:tc>
            </w:tr>
            <w:tr w14:paraId="4F4BB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334" w:type="pct"/>
                  <w:shd w:val="clear" w:color="auto" w:fill="auto"/>
                  <w:noWrap w:val="0"/>
                  <w:vAlign w:val="center"/>
                </w:tcPr>
                <w:p w14:paraId="34FB1DB9">
                  <w:pPr>
                    <w:jc w:val="center"/>
                    <w:rPr>
                      <w:rFonts w:ascii="Times New Roman" w:hAnsi="Times New Roman" w:eastAsia="宋体" w:cs="Times New Roman"/>
                      <w:kern w:val="2"/>
                      <w:sz w:val="21"/>
                      <w:szCs w:val="24"/>
                      <w:highlight w:val="none"/>
                      <w:lang w:val="en-US" w:eastAsia="zh-CN" w:bidi="ar-SA"/>
                    </w:rPr>
                  </w:pPr>
                  <w:r>
                    <w:rPr>
                      <w:rFonts w:hint="eastAsia" w:ascii="Times New Roman" w:hAnsi="Times New Roman"/>
                      <w:highlight w:val="none"/>
                    </w:rPr>
                    <w:t>10</w:t>
                  </w:r>
                </w:p>
              </w:tc>
              <w:tc>
                <w:tcPr>
                  <w:tcW w:w="1201" w:type="pct"/>
                  <w:noWrap w:val="0"/>
                  <w:vAlign w:val="center"/>
                </w:tcPr>
                <w:p w14:paraId="2941C1D3">
                  <w:pPr>
                    <w:jc w:val="center"/>
                    <w:rPr>
                      <w:rFonts w:ascii="Times New Roman" w:hAnsi="Times New Roman"/>
                      <w:szCs w:val="21"/>
                      <w:highlight w:val="none"/>
                    </w:rPr>
                  </w:pPr>
                  <w:r>
                    <w:rPr>
                      <w:rFonts w:hint="eastAsia" w:ascii="Times New Roman" w:hAnsi="Times New Roman"/>
                      <w:szCs w:val="21"/>
                      <w:highlight w:val="none"/>
                    </w:rPr>
                    <w:t>HW16感光材料废物</w:t>
                  </w:r>
                </w:p>
              </w:tc>
              <w:tc>
                <w:tcPr>
                  <w:tcW w:w="1071" w:type="pct"/>
                  <w:noWrap w:val="0"/>
                  <w:vAlign w:val="center"/>
                </w:tcPr>
                <w:p w14:paraId="08AEED00">
                  <w:pPr>
                    <w:jc w:val="center"/>
                    <w:rPr>
                      <w:rFonts w:ascii="Times New Roman" w:hAnsi="Times New Roman"/>
                      <w:highlight w:val="none"/>
                    </w:rPr>
                  </w:pPr>
                  <w:r>
                    <w:rPr>
                      <w:rFonts w:hint="eastAsia" w:ascii="Times New Roman" w:hAnsi="Times New Roman"/>
                      <w:highlight w:val="none"/>
                    </w:rPr>
                    <w:t>液态/半固态/固体</w:t>
                  </w:r>
                </w:p>
              </w:tc>
              <w:tc>
                <w:tcPr>
                  <w:tcW w:w="647" w:type="pct"/>
                  <w:noWrap w:val="0"/>
                  <w:vAlign w:val="center"/>
                </w:tcPr>
                <w:p w14:paraId="32A809FC">
                  <w:pPr>
                    <w:jc w:val="center"/>
                    <w:rPr>
                      <w:rFonts w:ascii="Times New Roman" w:hAnsi="Times New Roman"/>
                      <w:highlight w:val="none"/>
                    </w:rPr>
                  </w:pPr>
                  <w:r>
                    <w:rPr>
                      <w:rFonts w:hint="eastAsia" w:ascii="Times New Roman" w:hAnsi="Times New Roman"/>
                      <w:highlight w:val="none"/>
                    </w:rPr>
                    <w:t>T</w:t>
                  </w:r>
                </w:p>
              </w:tc>
              <w:tc>
                <w:tcPr>
                  <w:tcW w:w="728" w:type="pct"/>
                  <w:noWrap w:val="0"/>
                  <w:vAlign w:val="center"/>
                </w:tcPr>
                <w:p w14:paraId="2D5202FC">
                  <w:pPr>
                    <w:jc w:val="center"/>
                    <w:rPr>
                      <w:rFonts w:ascii="Times New Roman" w:hAnsi="Times New Roman"/>
                      <w:highlight w:val="none"/>
                    </w:rPr>
                  </w:pPr>
                  <w:r>
                    <w:rPr>
                      <w:rFonts w:hint="eastAsia" w:ascii="Times New Roman" w:hAnsi="Times New Roman"/>
                      <w:highlight w:val="none"/>
                    </w:rPr>
                    <w:t>袋装</w:t>
                  </w:r>
                </w:p>
              </w:tc>
              <w:tc>
                <w:tcPr>
                  <w:tcW w:w="508" w:type="pct"/>
                  <w:noWrap w:val="0"/>
                  <w:vAlign w:val="center"/>
                </w:tcPr>
                <w:p w14:paraId="6DD7FABC">
                  <w:pPr>
                    <w:jc w:val="center"/>
                    <w:rPr>
                      <w:rFonts w:hint="default" w:ascii="Times New Roman" w:hAnsi="Times New Roman" w:eastAsia="宋体"/>
                      <w:szCs w:val="21"/>
                      <w:highlight w:val="none"/>
                      <w:lang w:val="en-US" w:eastAsia="zh-CN"/>
                    </w:rPr>
                  </w:pPr>
                  <w:r>
                    <w:rPr>
                      <w:rFonts w:hint="eastAsia"/>
                      <w:szCs w:val="21"/>
                      <w:highlight w:val="none"/>
                      <w:lang w:val="en-US" w:eastAsia="zh-CN"/>
                    </w:rPr>
                    <w:t>12</w:t>
                  </w:r>
                </w:p>
              </w:tc>
              <w:tc>
                <w:tcPr>
                  <w:tcW w:w="852" w:type="dxa"/>
                  <w:noWrap w:val="0"/>
                  <w:vAlign w:val="center"/>
                </w:tcPr>
                <w:p w14:paraId="5475D831">
                  <w:pPr>
                    <w:keepNext w:val="0"/>
                    <w:keepLines w:val="0"/>
                    <w:widowControl/>
                    <w:suppressLineNumbers w:val="0"/>
                    <w:jc w:val="center"/>
                    <w:textAlignment w:val="center"/>
                    <w:rPr>
                      <w:rFonts w:hint="eastAsia" w:ascii="Times New Roman" w:hAnsi="Times New Roman"/>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80</w:t>
                  </w:r>
                </w:p>
              </w:tc>
            </w:tr>
            <w:tr w14:paraId="31502F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334" w:type="pct"/>
                  <w:shd w:val="clear" w:color="auto" w:fill="auto"/>
                  <w:noWrap w:val="0"/>
                  <w:vAlign w:val="center"/>
                </w:tcPr>
                <w:p w14:paraId="4B4087C3">
                  <w:pPr>
                    <w:jc w:val="center"/>
                    <w:rPr>
                      <w:rFonts w:ascii="Times New Roman" w:hAnsi="Times New Roman" w:eastAsia="宋体" w:cs="Times New Roman"/>
                      <w:kern w:val="2"/>
                      <w:sz w:val="21"/>
                      <w:szCs w:val="24"/>
                      <w:highlight w:val="none"/>
                      <w:lang w:val="en-US" w:eastAsia="zh-CN" w:bidi="ar-SA"/>
                    </w:rPr>
                  </w:pPr>
                  <w:r>
                    <w:rPr>
                      <w:rFonts w:hint="eastAsia" w:ascii="Times New Roman" w:hAnsi="Times New Roman"/>
                      <w:highlight w:val="none"/>
                    </w:rPr>
                    <w:t>11</w:t>
                  </w:r>
                </w:p>
              </w:tc>
              <w:tc>
                <w:tcPr>
                  <w:tcW w:w="1201" w:type="pct"/>
                  <w:noWrap w:val="0"/>
                  <w:vAlign w:val="center"/>
                </w:tcPr>
                <w:p w14:paraId="5ED18C1B">
                  <w:pPr>
                    <w:jc w:val="center"/>
                    <w:rPr>
                      <w:rFonts w:ascii="Times New Roman" w:hAnsi="Times New Roman"/>
                      <w:szCs w:val="21"/>
                      <w:highlight w:val="none"/>
                    </w:rPr>
                  </w:pPr>
                  <w:r>
                    <w:rPr>
                      <w:rFonts w:hint="eastAsia" w:ascii="Times New Roman" w:hAnsi="Times New Roman"/>
                      <w:szCs w:val="21"/>
                      <w:highlight w:val="none"/>
                    </w:rPr>
                    <w:t>HW17表面处理废物</w:t>
                  </w:r>
                </w:p>
              </w:tc>
              <w:tc>
                <w:tcPr>
                  <w:tcW w:w="1071" w:type="pct"/>
                  <w:noWrap w:val="0"/>
                  <w:vAlign w:val="center"/>
                </w:tcPr>
                <w:p w14:paraId="02545290">
                  <w:pPr>
                    <w:jc w:val="center"/>
                    <w:rPr>
                      <w:rFonts w:ascii="Times New Roman" w:hAnsi="Times New Roman"/>
                      <w:highlight w:val="none"/>
                    </w:rPr>
                  </w:pPr>
                  <w:r>
                    <w:rPr>
                      <w:rFonts w:hint="eastAsia" w:ascii="Times New Roman" w:hAnsi="Times New Roman"/>
                      <w:highlight w:val="none"/>
                    </w:rPr>
                    <w:t>液态/固体</w:t>
                  </w:r>
                </w:p>
              </w:tc>
              <w:tc>
                <w:tcPr>
                  <w:tcW w:w="647" w:type="pct"/>
                  <w:noWrap w:val="0"/>
                  <w:vAlign w:val="center"/>
                </w:tcPr>
                <w:p w14:paraId="31DF3651">
                  <w:pPr>
                    <w:jc w:val="center"/>
                    <w:rPr>
                      <w:rFonts w:ascii="Times New Roman" w:hAnsi="Times New Roman"/>
                      <w:highlight w:val="none"/>
                    </w:rPr>
                  </w:pPr>
                  <w:r>
                    <w:rPr>
                      <w:rFonts w:hint="eastAsia" w:ascii="Times New Roman" w:hAnsi="Times New Roman"/>
                      <w:highlight w:val="none"/>
                    </w:rPr>
                    <w:t>T,C</w:t>
                  </w:r>
                </w:p>
              </w:tc>
              <w:tc>
                <w:tcPr>
                  <w:tcW w:w="728" w:type="pct"/>
                  <w:noWrap w:val="0"/>
                  <w:vAlign w:val="center"/>
                </w:tcPr>
                <w:p w14:paraId="21A0474B">
                  <w:pPr>
                    <w:jc w:val="center"/>
                    <w:rPr>
                      <w:rFonts w:ascii="Times New Roman" w:hAnsi="Times New Roman"/>
                      <w:highlight w:val="none"/>
                    </w:rPr>
                  </w:pPr>
                  <w:r>
                    <w:rPr>
                      <w:rFonts w:hint="eastAsia" w:ascii="Times New Roman" w:hAnsi="Times New Roman"/>
                      <w:highlight w:val="none"/>
                    </w:rPr>
                    <w:t>桶装/袋装</w:t>
                  </w:r>
                </w:p>
              </w:tc>
              <w:tc>
                <w:tcPr>
                  <w:tcW w:w="508" w:type="pct"/>
                  <w:noWrap w:val="0"/>
                  <w:vAlign w:val="center"/>
                </w:tcPr>
                <w:p w14:paraId="519A537D">
                  <w:pPr>
                    <w:jc w:val="center"/>
                    <w:rPr>
                      <w:rFonts w:hint="eastAsia" w:ascii="Times New Roman" w:hAnsi="Times New Roman" w:eastAsia="宋体"/>
                      <w:szCs w:val="21"/>
                      <w:highlight w:val="none"/>
                      <w:lang w:val="en-US" w:eastAsia="zh-CN"/>
                    </w:rPr>
                  </w:pPr>
                  <w:r>
                    <w:rPr>
                      <w:rFonts w:hint="eastAsia"/>
                      <w:szCs w:val="21"/>
                      <w:highlight w:val="none"/>
                      <w:lang w:val="en-US" w:eastAsia="zh-CN"/>
                    </w:rPr>
                    <w:t>12</w:t>
                  </w:r>
                </w:p>
              </w:tc>
              <w:tc>
                <w:tcPr>
                  <w:tcW w:w="852" w:type="dxa"/>
                  <w:noWrap w:val="0"/>
                  <w:vAlign w:val="center"/>
                </w:tcPr>
                <w:p w14:paraId="30B05E81">
                  <w:pPr>
                    <w:keepNext w:val="0"/>
                    <w:keepLines w:val="0"/>
                    <w:widowControl/>
                    <w:suppressLineNumbers w:val="0"/>
                    <w:jc w:val="center"/>
                    <w:textAlignment w:val="center"/>
                    <w:rPr>
                      <w:rFonts w:hint="eastAsia" w:ascii="Times New Roman" w:hAnsi="Times New Roman"/>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80</w:t>
                  </w:r>
                </w:p>
              </w:tc>
            </w:tr>
            <w:tr w14:paraId="406BF1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334" w:type="pct"/>
                  <w:shd w:val="clear" w:color="auto" w:fill="auto"/>
                  <w:noWrap w:val="0"/>
                  <w:vAlign w:val="center"/>
                </w:tcPr>
                <w:p w14:paraId="25332BD6">
                  <w:pPr>
                    <w:jc w:val="center"/>
                    <w:rPr>
                      <w:rFonts w:ascii="Times New Roman" w:hAnsi="Times New Roman" w:eastAsia="宋体" w:cs="Times New Roman"/>
                      <w:kern w:val="2"/>
                      <w:sz w:val="21"/>
                      <w:szCs w:val="24"/>
                      <w:highlight w:val="none"/>
                      <w:lang w:val="en-US" w:eastAsia="zh-CN" w:bidi="ar-SA"/>
                    </w:rPr>
                  </w:pPr>
                  <w:r>
                    <w:rPr>
                      <w:rFonts w:hint="eastAsia" w:ascii="Times New Roman" w:hAnsi="Times New Roman"/>
                      <w:highlight w:val="none"/>
                    </w:rPr>
                    <w:t>12</w:t>
                  </w:r>
                </w:p>
              </w:tc>
              <w:tc>
                <w:tcPr>
                  <w:tcW w:w="1201" w:type="pct"/>
                  <w:noWrap w:val="0"/>
                  <w:vAlign w:val="center"/>
                </w:tcPr>
                <w:p w14:paraId="083F7396">
                  <w:pPr>
                    <w:jc w:val="center"/>
                    <w:rPr>
                      <w:rFonts w:ascii="Times New Roman" w:hAnsi="Times New Roman"/>
                      <w:szCs w:val="21"/>
                      <w:highlight w:val="none"/>
                    </w:rPr>
                  </w:pPr>
                  <w:r>
                    <w:rPr>
                      <w:rFonts w:hint="eastAsia" w:ascii="Times New Roman" w:hAnsi="Times New Roman"/>
                      <w:szCs w:val="21"/>
                      <w:highlight w:val="none"/>
                    </w:rPr>
                    <w:t>HW21含铬废物</w:t>
                  </w:r>
                </w:p>
              </w:tc>
              <w:tc>
                <w:tcPr>
                  <w:tcW w:w="1071" w:type="pct"/>
                  <w:noWrap w:val="0"/>
                  <w:vAlign w:val="center"/>
                </w:tcPr>
                <w:p w14:paraId="3EF8F1E5">
                  <w:pPr>
                    <w:jc w:val="center"/>
                    <w:rPr>
                      <w:rFonts w:ascii="Times New Roman" w:hAnsi="Times New Roman"/>
                      <w:highlight w:val="none"/>
                    </w:rPr>
                  </w:pPr>
                  <w:r>
                    <w:rPr>
                      <w:rFonts w:hint="eastAsia" w:ascii="Times New Roman" w:hAnsi="Times New Roman"/>
                      <w:highlight w:val="none"/>
                    </w:rPr>
                    <w:t>液态/半固态/固体</w:t>
                  </w:r>
                </w:p>
              </w:tc>
              <w:tc>
                <w:tcPr>
                  <w:tcW w:w="647" w:type="pct"/>
                  <w:noWrap w:val="0"/>
                  <w:vAlign w:val="center"/>
                </w:tcPr>
                <w:p w14:paraId="02E4152A">
                  <w:pPr>
                    <w:jc w:val="center"/>
                    <w:rPr>
                      <w:rFonts w:ascii="Times New Roman" w:hAnsi="Times New Roman"/>
                      <w:highlight w:val="none"/>
                    </w:rPr>
                  </w:pPr>
                  <w:r>
                    <w:rPr>
                      <w:rFonts w:hint="eastAsia" w:ascii="Times New Roman" w:hAnsi="Times New Roman"/>
                      <w:highlight w:val="none"/>
                    </w:rPr>
                    <w:t>T</w:t>
                  </w:r>
                </w:p>
              </w:tc>
              <w:tc>
                <w:tcPr>
                  <w:tcW w:w="728" w:type="pct"/>
                  <w:noWrap w:val="0"/>
                  <w:vAlign w:val="center"/>
                </w:tcPr>
                <w:p w14:paraId="26F2BC13">
                  <w:pPr>
                    <w:jc w:val="center"/>
                    <w:rPr>
                      <w:rFonts w:ascii="Times New Roman" w:hAnsi="Times New Roman"/>
                      <w:highlight w:val="none"/>
                    </w:rPr>
                  </w:pPr>
                  <w:r>
                    <w:rPr>
                      <w:rFonts w:hint="eastAsia" w:ascii="Times New Roman" w:hAnsi="Times New Roman"/>
                      <w:highlight w:val="none"/>
                    </w:rPr>
                    <w:t>桶装/袋装</w:t>
                  </w:r>
                </w:p>
              </w:tc>
              <w:tc>
                <w:tcPr>
                  <w:tcW w:w="508" w:type="pct"/>
                  <w:noWrap w:val="0"/>
                  <w:vAlign w:val="center"/>
                </w:tcPr>
                <w:p w14:paraId="7DF545A4">
                  <w:pPr>
                    <w:jc w:val="center"/>
                    <w:rPr>
                      <w:rFonts w:hint="eastAsia" w:ascii="Times New Roman" w:hAnsi="Times New Roman" w:eastAsia="宋体"/>
                      <w:szCs w:val="21"/>
                      <w:highlight w:val="none"/>
                      <w:lang w:val="en-US" w:eastAsia="zh-CN"/>
                    </w:rPr>
                  </w:pPr>
                  <w:r>
                    <w:rPr>
                      <w:rFonts w:hint="eastAsia"/>
                      <w:szCs w:val="21"/>
                      <w:highlight w:val="none"/>
                      <w:lang w:val="en-US" w:eastAsia="zh-CN"/>
                    </w:rPr>
                    <w:t>12</w:t>
                  </w:r>
                </w:p>
              </w:tc>
              <w:tc>
                <w:tcPr>
                  <w:tcW w:w="852" w:type="dxa"/>
                  <w:noWrap w:val="0"/>
                  <w:vAlign w:val="center"/>
                </w:tcPr>
                <w:p w14:paraId="02BBB743">
                  <w:pPr>
                    <w:keepNext w:val="0"/>
                    <w:keepLines w:val="0"/>
                    <w:widowControl/>
                    <w:suppressLineNumbers w:val="0"/>
                    <w:jc w:val="center"/>
                    <w:textAlignment w:val="center"/>
                    <w:rPr>
                      <w:rFonts w:hint="default" w:ascii="Times New Roman" w:hAnsi="Times New Roman"/>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80</w:t>
                  </w:r>
                </w:p>
              </w:tc>
            </w:tr>
            <w:tr w14:paraId="09543D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334" w:type="pct"/>
                  <w:shd w:val="clear" w:color="auto" w:fill="auto"/>
                  <w:noWrap w:val="0"/>
                  <w:vAlign w:val="center"/>
                </w:tcPr>
                <w:p w14:paraId="395979C4">
                  <w:pPr>
                    <w:jc w:val="center"/>
                    <w:rPr>
                      <w:rFonts w:ascii="Times New Roman" w:hAnsi="Times New Roman" w:eastAsia="宋体" w:cs="Times New Roman"/>
                      <w:kern w:val="2"/>
                      <w:sz w:val="21"/>
                      <w:szCs w:val="24"/>
                      <w:highlight w:val="none"/>
                      <w:lang w:val="en-US" w:eastAsia="zh-CN" w:bidi="ar-SA"/>
                    </w:rPr>
                  </w:pPr>
                  <w:r>
                    <w:rPr>
                      <w:rFonts w:hint="eastAsia" w:ascii="Times New Roman" w:hAnsi="Times New Roman"/>
                      <w:highlight w:val="none"/>
                    </w:rPr>
                    <w:t>13</w:t>
                  </w:r>
                </w:p>
              </w:tc>
              <w:tc>
                <w:tcPr>
                  <w:tcW w:w="1201" w:type="pct"/>
                  <w:noWrap w:val="0"/>
                  <w:vAlign w:val="center"/>
                </w:tcPr>
                <w:p w14:paraId="548DCF95">
                  <w:pPr>
                    <w:jc w:val="center"/>
                    <w:rPr>
                      <w:rFonts w:ascii="Times New Roman" w:hAnsi="Times New Roman"/>
                      <w:szCs w:val="21"/>
                      <w:highlight w:val="none"/>
                    </w:rPr>
                  </w:pPr>
                  <w:r>
                    <w:rPr>
                      <w:rFonts w:hint="eastAsia" w:ascii="Times New Roman" w:hAnsi="Times New Roman"/>
                      <w:szCs w:val="21"/>
                      <w:highlight w:val="none"/>
                    </w:rPr>
                    <w:t>HW22含铜废物</w:t>
                  </w:r>
                </w:p>
              </w:tc>
              <w:tc>
                <w:tcPr>
                  <w:tcW w:w="1071" w:type="pct"/>
                  <w:noWrap w:val="0"/>
                  <w:vAlign w:val="center"/>
                </w:tcPr>
                <w:p w14:paraId="255C197C">
                  <w:pPr>
                    <w:jc w:val="center"/>
                    <w:rPr>
                      <w:rFonts w:ascii="Times New Roman" w:hAnsi="Times New Roman"/>
                      <w:highlight w:val="none"/>
                    </w:rPr>
                  </w:pPr>
                  <w:r>
                    <w:rPr>
                      <w:rFonts w:hint="eastAsia" w:ascii="Times New Roman" w:hAnsi="Times New Roman"/>
                      <w:highlight w:val="none"/>
                    </w:rPr>
                    <w:t>液态/半固态/固体</w:t>
                  </w:r>
                </w:p>
              </w:tc>
              <w:tc>
                <w:tcPr>
                  <w:tcW w:w="647" w:type="pct"/>
                  <w:noWrap w:val="0"/>
                  <w:vAlign w:val="center"/>
                </w:tcPr>
                <w:p w14:paraId="573D6FEE">
                  <w:pPr>
                    <w:jc w:val="center"/>
                    <w:rPr>
                      <w:rFonts w:ascii="Times New Roman" w:hAnsi="Times New Roman"/>
                      <w:highlight w:val="none"/>
                    </w:rPr>
                  </w:pPr>
                  <w:r>
                    <w:rPr>
                      <w:rFonts w:hint="eastAsia" w:ascii="Times New Roman" w:hAnsi="Times New Roman"/>
                      <w:highlight w:val="none"/>
                    </w:rPr>
                    <w:t>T</w:t>
                  </w:r>
                </w:p>
              </w:tc>
              <w:tc>
                <w:tcPr>
                  <w:tcW w:w="728" w:type="pct"/>
                  <w:noWrap w:val="0"/>
                  <w:vAlign w:val="center"/>
                </w:tcPr>
                <w:p w14:paraId="48052E53">
                  <w:pPr>
                    <w:jc w:val="center"/>
                    <w:rPr>
                      <w:rFonts w:ascii="Times New Roman" w:hAnsi="Times New Roman"/>
                      <w:highlight w:val="none"/>
                    </w:rPr>
                  </w:pPr>
                  <w:r>
                    <w:rPr>
                      <w:rFonts w:hint="eastAsia" w:ascii="Times New Roman" w:hAnsi="Times New Roman"/>
                      <w:highlight w:val="none"/>
                    </w:rPr>
                    <w:t>桶装</w:t>
                  </w:r>
                </w:p>
              </w:tc>
              <w:tc>
                <w:tcPr>
                  <w:tcW w:w="508" w:type="pct"/>
                  <w:noWrap w:val="0"/>
                  <w:vAlign w:val="center"/>
                </w:tcPr>
                <w:p w14:paraId="09C18668">
                  <w:pPr>
                    <w:jc w:val="center"/>
                    <w:rPr>
                      <w:rFonts w:hint="eastAsia" w:ascii="Times New Roman" w:hAnsi="Times New Roman" w:eastAsia="宋体"/>
                      <w:szCs w:val="21"/>
                      <w:highlight w:val="none"/>
                      <w:lang w:val="en-US" w:eastAsia="zh-CN"/>
                    </w:rPr>
                  </w:pPr>
                  <w:r>
                    <w:rPr>
                      <w:rFonts w:hint="eastAsia"/>
                      <w:szCs w:val="21"/>
                      <w:highlight w:val="none"/>
                      <w:lang w:val="en-US" w:eastAsia="zh-CN"/>
                    </w:rPr>
                    <w:t>12</w:t>
                  </w:r>
                </w:p>
              </w:tc>
              <w:tc>
                <w:tcPr>
                  <w:tcW w:w="852" w:type="dxa"/>
                  <w:noWrap w:val="0"/>
                  <w:vAlign w:val="center"/>
                </w:tcPr>
                <w:p w14:paraId="46474617">
                  <w:pPr>
                    <w:keepNext w:val="0"/>
                    <w:keepLines w:val="0"/>
                    <w:widowControl/>
                    <w:suppressLineNumbers w:val="0"/>
                    <w:jc w:val="center"/>
                    <w:textAlignment w:val="center"/>
                    <w:rPr>
                      <w:rFonts w:hint="default" w:ascii="Times New Roman" w:hAnsi="Times New Roman"/>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80</w:t>
                  </w:r>
                </w:p>
              </w:tc>
            </w:tr>
            <w:tr w14:paraId="24739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21" w:hRule="atLeast"/>
              </w:trPr>
              <w:tc>
                <w:tcPr>
                  <w:tcW w:w="334" w:type="pct"/>
                  <w:shd w:val="clear" w:color="auto" w:fill="auto"/>
                  <w:noWrap w:val="0"/>
                  <w:vAlign w:val="center"/>
                </w:tcPr>
                <w:p w14:paraId="3FFC537B">
                  <w:pPr>
                    <w:jc w:val="center"/>
                    <w:rPr>
                      <w:rFonts w:ascii="Times New Roman" w:hAnsi="Times New Roman" w:eastAsia="宋体" w:cs="Times New Roman"/>
                      <w:kern w:val="2"/>
                      <w:sz w:val="21"/>
                      <w:szCs w:val="24"/>
                      <w:highlight w:val="none"/>
                      <w:lang w:val="en-US" w:eastAsia="zh-CN" w:bidi="ar-SA"/>
                    </w:rPr>
                  </w:pPr>
                  <w:r>
                    <w:rPr>
                      <w:rFonts w:hint="eastAsia" w:ascii="Times New Roman" w:hAnsi="Times New Roman"/>
                      <w:highlight w:val="none"/>
                    </w:rPr>
                    <w:t>14</w:t>
                  </w:r>
                </w:p>
              </w:tc>
              <w:tc>
                <w:tcPr>
                  <w:tcW w:w="1201" w:type="pct"/>
                  <w:noWrap w:val="0"/>
                  <w:vAlign w:val="center"/>
                </w:tcPr>
                <w:p w14:paraId="10EB3EBC">
                  <w:pPr>
                    <w:jc w:val="center"/>
                    <w:rPr>
                      <w:rFonts w:ascii="Times New Roman" w:hAnsi="Times New Roman"/>
                      <w:szCs w:val="21"/>
                      <w:highlight w:val="none"/>
                    </w:rPr>
                  </w:pPr>
                  <w:r>
                    <w:rPr>
                      <w:rFonts w:hint="eastAsia" w:ascii="Times New Roman" w:hAnsi="Times New Roman"/>
                      <w:szCs w:val="21"/>
                      <w:highlight w:val="none"/>
                    </w:rPr>
                    <w:t>HW23含锌废物</w:t>
                  </w:r>
                </w:p>
              </w:tc>
              <w:tc>
                <w:tcPr>
                  <w:tcW w:w="1071" w:type="pct"/>
                  <w:noWrap w:val="0"/>
                  <w:vAlign w:val="center"/>
                </w:tcPr>
                <w:p w14:paraId="3A50EE8F">
                  <w:pPr>
                    <w:jc w:val="center"/>
                    <w:rPr>
                      <w:rFonts w:ascii="Times New Roman" w:hAnsi="Times New Roman"/>
                      <w:highlight w:val="none"/>
                    </w:rPr>
                  </w:pPr>
                  <w:r>
                    <w:rPr>
                      <w:rFonts w:hint="eastAsia" w:ascii="Times New Roman" w:hAnsi="Times New Roman"/>
                      <w:highlight w:val="none"/>
                    </w:rPr>
                    <w:t>固体</w:t>
                  </w:r>
                </w:p>
              </w:tc>
              <w:tc>
                <w:tcPr>
                  <w:tcW w:w="647" w:type="pct"/>
                  <w:noWrap w:val="0"/>
                  <w:vAlign w:val="center"/>
                </w:tcPr>
                <w:p w14:paraId="64C2AF21">
                  <w:pPr>
                    <w:jc w:val="center"/>
                    <w:rPr>
                      <w:rFonts w:ascii="Times New Roman" w:hAnsi="Times New Roman"/>
                      <w:highlight w:val="none"/>
                    </w:rPr>
                  </w:pPr>
                  <w:r>
                    <w:rPr>
                      <w:rFonts w:hint="eastAsia" w:ascii="Times New Roman" w:hAnsi="Times New Roman"/>
                      <w:highlight w:val="none"/>
                    </w:rPr>
                    <w:t>T</w:t>
                  </w:r>
                </w:p>
              </w:tc>
              <w:tc>
                <w:tcPr>
                  <w:tcW w:w="728" w:type="pct"/>
                  <w:noWrap w:val="0"/>
                  <w:vAlign w:val="center"/>
                </w:tcPr>
                <w:p w14:paraId="7ECD16D6">
                  <w:pPr>
                    <w:jc w:val="center"/>
                    <w:rPr>
                      <w:rFonts w:ascii="Times New Roman" w:hAnsi="Times New Roman"/>
                      <w:highlight w:val="none"/>
                    </w:rPr>
                  </w:pPr>
                  <w:r>
                    <w:rPr>
                      <w:rFonts w:hint="eastAsia" w:ascii="Times New Roman" w:hAnsi="Times New Roman"/>
                      <w:highlight w:val="none"/>
                    </w:rPr>
                    <w:t>桶装/袋装</w:t>
                  </w:r>
                </w:p>
              </w:tc>
              <w:tc>
                <w:tcPr>
                  <w:tcW w:w="508" w:type="pct"/>
                  <w:noWrap w:val="0"/>
                  <w:vAlign w:val="center"/>
                </w:tcPr>
                <w:p w14:paraId="376F05A7">
                  <w:pPr>
                    <w:jc w:val="center"/>
                    <w:rPr>
                      <w:rFonts w:hint="eastAsia" w:ascii="Times New Roman" w:hAnsi="Times New Roman" w:eastAsia="宋体"/>
                      <w:szCs w:val="21"/>
                      <w:highlight w:val="none"/>
                      <w:lang w:val="en-US" w:eastAsia="zh-CN"/>
                    </w:rPr>
                  </w:pPr>
                  <w:r>
                    <w:rPr>
                      <w:rFonts w:hint="eastAsia"/>
                      <w:szCs w:val="21"/>
                      <w:highlight w:val="none"/>
                      <w:lang w:val="en-US" w:eastAsia="zh-CN"/>
                    </w:rPr>
                    <w:t>12</w:t>
                  </w:r>
                </w:p>
              </w:tc>
              <w:tc>
                <w:tcPr>
                  <w:tcW w:w="852" w:type="dxa"/>
                  <w:noWrap w:val="0"/>
                  <w:vAlign w:val="center"/>
                </w:tcPr>
                <w:p w14:paraId="7127CE4B">
                  <w:pPr>
                    <w:keepNext w:val="0"/>
                    <w:keepLines w:val="0"/>
                    <w:widowControl/>
                    <w:suppressLineNumbers w:val="0"/>
                    <w:jc w:val="center"/>
                    <w:textAlignment w:val="center"/>
                    <w:rPr>
                      <w:rFonts w:hint="default" w:ascii="Times New Roman" w:hAnsi="Times New Roman"/>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80</w:t>
                  </w:r>
                </w:p>
              </w:tc>
            </w:tr>
            <w:tr w14:paraId="57FD6D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334" w:type="pct"/>
                  <w:shd w:val="clear" w:color="auto" w:fill="auto"/>
                  <w:noWrap w:val="0"/>
                  <w:vAlign w:val="center"/>
                </w:tcPr>
                <w:p w14:paraId="2F0CB2B7">
                  <w:pPr>
                    <w:jc w:val="center"/>
                    <w:rPr>
                      <w:rFonts w:ascii="Times New Roman" w:hAnsi="Times New Roman" w:eastAsia="宋体" w:cs="Times New Roman"/>
                      <w:kern w:val="2"/>
                      <w:sz w:val="21"/>
                      <w:szCs w:val="24"/>
                      <w:highlight w:val="none"/>
                      <w:lang w:val="en-US" w:eastAsia="zh-CN" w:bidi="ar-SA"/>
                    </w:rPr>
                  </w:pPr>
                  <w:r>
                    <w:rPr>
                      <w:rFonts w:hint="eastAsia" w:ascii="Times New Roman" w:hAnsi="Times New Roman"/>
                      <w:highlight w:val="none"/>
                    </w:rPr>
                    <w:t>15</w:t>
                  </w:r>
                </w:p>
              </w:tc>
              <w:tc>
                <w:tcPr>
                  <w:tcW w:w="1201" w:type="pct"/>
                  <w:noWrap w:val="0"/>
                  <w:vAlign w:val="center"/>
                </w:tcPr>
                <w:p w14:paraId="475E3C5C">
                  <w:pPr>
                    <w:jc w:val="center"/>
                    <w:rPr>
                      <w:rFonts w:ascii="Times New Roman" w:hAnsi="Times New Roman"/>
                      <w:szCs w:val="21"/>
                      <w:highlight w:val="none"/>
                    </w:rPr>
                  </w:pPr>
                  <w:r>
                    <w:rPr>
                      <w:rFonts w:hint="eastAsia" w:ascii="Times New Roman" w:hAnsi="Times New Roman"/>
                      <w:szCs w:val="21"/>
                      <w:highlight w:val="none"/>
                    </w:rPr>
                    <w:t>HW29含汞废物</w:t>
                  </w:r>
                </w:p>
              </w:tc>
              <w:tc>
                <w:tcPr>
                  <w:tcW w:w="1071" w:type="pct"/>
                  <w:noWrap w:val="0"/>
                  <w:vAlign w:val="center"/>
                </w:tcPr>
                <w:p w14:paraId="02F2087A">
                  <w:pPr>
                    <w:jc w:val="center"/>
                    <w:rPr>
                      <w:rFonts w:ascii="Times New Roman" w:hAnsi="Times New Roman"/>
                      <w:highlight w:val="none"/>
                    </w:rPr>
                  </w:pPr>
                  <w:r>
                    <w:rPr>
                      <w:rFonts w:hint="eastAsia" w:ascii="Times New Roman" w:hAnsi="Times New Roman"/>
                      <w:highlight w:val="none"/>
                    </w:rPr>
                    <w:t>液态/固体</w:t>
                  </w:r>
                </w:p>
              </w:tc>
              <w:tc>
                <w:tcPr>
                  <w:tcW w:w="647" w:type="pct"/>
                  <w:noWrap w:val="0"/>
                  <w:vAlign w:val="center"/>
                </w:tcPr>
                <w:p w14:paraId="03C5A1AA">
                  <w:pPr>
                    <w:jc w:val="center"/>
                    <w:rPr>
                      <w:rFonts w:ascii="Times New Roman" w:hAnsi="Times New Roman"/>
                      <w:highlight w:val="none"/>
                    </w:rPr>
                  </w:pPr>
                  <w:r>
                    <w:rPr>
                      <w:rFonts w:hint="eastAsia" w:ascii="Times New Roman" w:hAnsi="Times New Roman"/>
                      <w:highlight w:val="none"/>
                    </w:rPr>
                    <w:t>T</w:t>
                  </w:r>
                </w:p>
              </w:tc>
              <w:tc>
                <w:tcPr>
                  <w:tcW w:w="728" w:type="pct"/>
                  <w:noWrap w:val="0"/>
                  <w:vAlign w:val="center"/>
                </w:tcPr>
                <w:p w14:paraId="552C225A">
                  <w:pPr>
                    <w:jc w:val="center"/>
                    <w:rPr>
                      <w:rFonts w:ascii="Times New Roman" w:hAnsi="Times New Roman"/>
                      <w:highlight w:val="none"/>
                    </w:rPr>
                  </w:pPr>
                  <w:r>
                    <w:rPr>
                      <w:rFonts w:hint="eastAsia" w:ascii="Times New Roman" w:hAnsi="Times New Roman"/>
                      <w:highlight w:val="none"/>
                    </w:rPr>
                    <w:t>袋装</w:t>
                  </w:r>
                </w:p>
              </w:tc>
              <w:tc>
                <w:tcPr>
                  <w:tcW w:w="508" w:type="pct"/>
                  <w:noWrap w:val="0"/>
                  <w:vAlign w:val="center"/>
                </w:tcPr>
                <w:p w14:paraId="3CD3F9DF">
                  <w:pPr>
                    <w:jc w:val="center"/>
                    <w:rPr>
                      <w:rFonts w:hint="eastAsia" w:ascii="Times New Roman" w:hAnsi="Times New Roman" w:eastAsia="宋体"/>
                      <w:szCs w:val="21"/>
                      <w:highlight w:val="none"/>
                      <w:lang w:val="en-US" w:eastAsia="zh-CN"/>
                    </w:rPr>
                  </w:pPr>
                  <w:r>
                    <w:rPr>
                      <w:rFonts w:hint="eastAsia"/>
                      <w:szCs w:val="21"/>
                      <w:highlight w:val="none"/>
                      <w:lang w:val="en-US" w:eastAsia="zh-CN"/>
                    </w:rPr>
                    <w:t>12</w:t>
                  </w:r>
                </w:p>
              </w:tc>
              <w:tc>
                <w:tcPr>
                  <w:tcW w:w="852" w:type="dxa"/>
                  <w:noWrap w:val="0"/>
                  <w:vAlign w:val="center"/>
                </w:tcPr>
                <w:p w14:paraId="2E591ED0">
                  <w:pPr>
                    <w:keepNext w:val="0"/>
                    <w:keepLines w:val="0"/>
                    <w:widowControl/>
                    <w:suppressLineNumbers w:val="0"/>
                    <w:jc w:val="center"/>
                    <w:textAlignment w:val="center"/>
                    <w:rPr>
                      <w:rFonts w:hint="default" w:ascii="Times New Roman" w:hAnsi="Times New Roman"/>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80</w:t>
                  </w:r>
                </w:p>
              </w:tc>
            </w:tr>
            <w:tr w14:paraId="05769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334" w:type="pct"/>
                  <w:shd w:val="clear" w:color="auto" w:fill="auto"/>
                  <w:noWrap w:val="0"/>
                  <w:vAlign w:val="center"/>
                </w:tcPr>
                <w:p w14:paraId="7834C422">
                  <w:pPr>
                    <w:jc w:val="center"/>
                    <w:rPr>
                      <w:rFonts w:hint="eastAsia" w:ascii="Times New Roman" w:hAnsi="Times New Roman" w:eastAsia="宋体" w:cs="Times New Roman"/>
                      <w:kern w:val="2"/>
                      <w:sz w:val="21"/>
                      <w:szCs w:val="24"/>
                      <w:highlight w:val="none"/>
                      <w:lang w:val="en-US" w:eastAsia="zh-CN" w:bidi="ar-SA"/>
                    </w:rPr>
                  </w:pPr>
                  <w:r>
                    <w:rPr>
                      <w:rFonts w:hint="eastAsia" w:ascii="Times New Roman" w:hAnsi="Times New Roman"/>
                      <w:highlight w:val="none"/>
                    </w:rPr>
                    <w:t>1</w:t>
                  </w:r>
                  <w:r>
                    <w:rPr>
                      <w:rFonts w:hint="eastAsia"/>
                      <w:highlight w:val="none"/>
                      <w:lang w:val="en-US" w:eastAsia="zh-CN"/>
                    </w:rPr>
                    <w:t>6</w:t>
                  </w:r>
                </w:p>
              </w:tc>
              <w:tc>
                <w:tcPr>
                  <w:tcW w:w="1201" w:type="pct"/>
                  <w:noWrap w:val="0"/>
                  <w:vAlign w:val="center"/>
                </w:tcPr>
                <w:p w14:paraId="572BD980">
                  <w:pPr>
                    <w:jc w:val="center"/>
                    <w:rPr>
                      <w:rFonts w:ascii="Times New Roman" w:hAnsi="Times New Roman"/>
                      <w:szCs w:val="21"/>
                      <w:highlight w:val="none"/>
                    </w:rPr>
                  </w:pPr>
                  <w:r>
                    <w:rPr>
                      <w:rFonts w:hint="eastAsia" w:ascii="Times New Roman" w:hAnsi="Times New Roman"/>
                      <w:szCs w:val="21"/>
                      <w:highlight w:val="none"/>
                    </w:rPr>
                    <w:t>HW34废酸</w:t>
                  </w:r>
                </w:p>
              </w:tc>
              <w:tc>
                <w:tcPr>
                  <w:tcW w:w="1071" w:type="pct"/>
                  <w:noWrap w:val="0"/>
                  <w:vAlign w:val="center"/>
                </w:tcPr>
                <w:p w14:paraId="1E7D6B95">
                  <w:pPr>
                    <w:jc w:val="center"/>
                    <w:rPr>
                      <w:rFonts w:ascii="Times New Roman" w:hAnsi="Times New Roman"/>
                      <w:highlight w:val="none"/>
                    </w:rPr>
                  </w:pPr>
                  <w:r>
                    <w:rPr>
                      <w:rFonts w:hint="eastAsia" w:ascii="Times New Roman" w:hAnsi="Times New Roman"/>
                      <w:highlight w:val="none"/>
                    </w:rPr>
                    <w:t>液态/固体</w:t>
                  </w:r>
                </w:p>
              </w:tc>
              <w:tc>
                <w:tcPr>
                  <w:tcW w:w="647" w:type="pct"/>
                  <w:noWrap w:val="0"/>
                  <w:vAlign w:val="center"/>
                </w:tcPr>
                <w:p w14:paraId="6930F364">
                  <w:pPr>
                    <w:jc w:val="center"/>
                    <w:rPr>
                      <w:rFonts w:ascii="Times New Roman" w:hAnsi="Times New Roman"/>
                      <w:highlight w:val="none"/>
                    </w:rPr>
                  </w:pPr>
                  <w:r>
                    <w:rPr>
                      <w:rFonts w:hint="eastAsia" w:ascii="Times New Roman" w:hAnsi="Times New Roman"/>
                      <w:highlight w:val="none"/>
                    </w:rPr>
                    <w:t>C,T</w:t>
                  </w:r>
                </w:p>
              </w:tc>
              <w:tc>
                <w:tcPr>
                  <w:tcW w:w="728" w:type="pct"/>
                  <w:noWrap w:val="0"/>
                  <w:vAlign w:val="center"/>
                </w:tcPr>
                <w:p w14:paraId="5E7281AE">
                  <w:pPr>
                    <w:jc w:val="center"/>
                    <w:rPr>
                      <w:rFonts w:ascii="Times New Roman" w:hAnsi="Times New Roman"/>
                      <w:highlight w:val="none"/>
                    </w:rPr>
                  </w:pPr>
                  <w:r>
                    <w:rPr>
                      <w:rFonts w:hint="eastAsia" w:ascii="Times New Roman" w:hAnsi="Times New Roman"/>
                      <w:highlight w:val="none"/>
                    </w:rPr>
                    <w:t>桶装</w:t>
                  </w:r>
                </w:p>
              </w:tc>
              <w:tc>
                <w:tcPr>
                  <w:tcW w:w="508" w:type="pct"/>
                  <w:noWrap w:val="0"/>
                  <w:vAlign w:val="center"/>
                </w:tcPr>
                <w:p w14:paraId="563246DF">
                  <w:pPr>
                    <w:jc w:val="center"/>
                    <w:rPr>
                      <w:rFonts w:hint="default" w:ascii="Times New Roman" w:hAnsi="Times New Roman" w:eastAsia="宋体"/>
                      <w:szCs w:val="21"/>
                      <w:highlight w:val="none"/>
                      <w:lang w:val="en-US" w:eastAsia="zh-CN"/>
                    </w:rPr>
                  </w:pPr>
                  <w:r>
                    <w:rPr>
                      <w:rFonts w:hint="eastAsia"/>
                      <w:szCs w:val="21"/>
                      <w:highlight w:val="none"/>
                      <w:lang w:val="en-US" w:eastAsia="zh-CN"/>
                    </w:rPr>
                    <w:t>20</w:t>
                  </w:r>
                </w:p>
              </w:tc>
              <w:tc>
                <w:tcPr>
                  <w:tcW w:w="852" w:type="dxa"/>
                  <w:noWrap w:val="0"/>
                  <w:vAlign w:val="center"/>
                </w:tcPr>
                <w:p w14:paraId="029CF673">
                  <w:pPr>
                    <w:keepNext w:val="0"/>
                    <w:keepLines w:val="0"/>
                    <w:widowControl/>
                    <w:suppressLineNumbers w:val="0"/>
                    <w:jc w:val="center"/>
                    <w:textAlignment w:val="center"/>
                    <w:rPr>
                      <w:rFonts w:hint="default" w:ascii="Times New Roman" w:hAnsi="Times New Roman"/>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2000</w:t>
                  </w:r>
                </w:p>
              </w:tc>
            </w:tr>
            <w:tr w14:paraId="2B2F30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334" w:type="pct"/>
                  <w:shd w:val="clear" w:color="auto" w:fill="auto"/>
                  <w:noWrap w:val="0"/>
                  <w:vAlign w:val="center"/>
                </w:tcPr>
                <w:p w14:paraId="5300316E">
                  <w:pPr>
                    <w:jc w:val="center"/>
                    <w:rPr>
                      <w:rFonts w:hint="eastAsia" w:ascii="Times New Roman" w:hAnsi="Times New Roman" w:eastAsia="宋体" w:cs="Times New Roman"/>
                      <w:kern w:val="2"/>
                      <w:sz w:val="21"/>
                      <w:szCs w:val="24"/>
                      <w:highlight w:val="none"/>
                      <w:lang w:val="en-US" w:eastAsia="zh-CN" w:bidi="ar-SA"/>
                    </w:rPr>
                  </w:pPr>
                  <w:r>
                    <w:rPr>
                      <w:rFonts w:hint="eastAsia" w:ascii="Times New Roman" w:hAnsi="Times New Roman"/>
                      <w:highlight w:val="none"/>
                    </w:rPr>
                    <w:t>1</w:t>
                  </w:r>
                  <w:r>
                    <w:rPr>
                      <w:rFonts w:hint="eastAsia"/>
                      <w:highlight w:val="none"/>
                      <w:lang w:val="en-US" w:eastAsia="zh-CN"/>
                    </w:rPr>
                    <w:t>7</w:t>
                  </w:r>
                </w:p>
              </w:tc>
              <w:tc>
                <w:tcPr>
                  <w:tcW w:w="1201" w:type="pct"/>
                  <w:noWrap w:val="0"/>
                  <w:vAlign w:val="center"/>
                </w:tcPr>
                <w:p w14:paraId="2C4C6BEA">
                  <w:pPr>
                    <w:jc w:val="center"/>
                    <w:rPr>
                      <w:rFonts w:hint="eastAsia" w:ascii="Times New Roman" w:hAnsi="Times New Roman"/>
                      <w:szCs w:val="21"/>
                      <w:highlight w:val="none"/>
                    </w:rPr>
                  </w:pPr>
                  <w:r>
                    <w:rPr>
                      <w:rFonts w:hint="eastAsia" w:ascii="Times New Roman" w:hAnsi="Times New Roman"/>
                      <w:szCs w:val="21"/>
                      <w:highlight w:val="none"/>
                    </w:rPr>
                    <w:t>HW35废碱</w:t>
                  </w:r>
                </w:p>
              </w:tc>
              <w:tc>
                <w:tcPr>
                  <w:tcW w:w="1071" w:type="pct"/>
                  <w:noWrap w:val="0"/>
                  <w:vAlign w:val="center"/>
                </w:tcPr>
                <w:p w14:paraId="2F4A3407">
                  <w:pPr>
                    <w:jc w:val="center"/>
                    <w:rPr>
                      <w:rFonts w:ascii="Times New Roman" w:hAnsi="Times New Roman"/>
                      <w:highlight w:val="none"/>
                    </w:rPr>
                  </w:pPr>
                  <w:r>
                    <w:rPr>
                      <w:rFonts w:hint="eastAsia" w:ascii="Times New Roman" w:hAnsi="Times New Roman"/>
                      <w:highlight w:val="none"/>
                    </w:rPr>
                    <w:t>液态/固体</w:t>
                  </w:r>
                </w:p>
              </w:tc>
              <w:tc>
                <w:tcPr>
                  <w:tcW w:w="647" w:type="pct"/>
                  <w:noWrap w:val="0"/>
                  <w:vAlign w:val="center"/>
                </w:tcPr>
                <w:p w14:paraId="68B0D25C">
                  <w:pPr>
                    <w:jc w:val="center"/>
                    <w:rPr>
                      <w:rFonts w:ascii="Times New Roman" w:hAnsi="Times New Roman"/>
                      <w:highlight w:val="none"/>
                    </w:rPr>
                  </w:pPr>
                  <w:r>
                    <w:rPr>
                      <w:rFonts w:hint="eastAsia" w:ascii="Times New Roman" w:hAnsi="Times New Roman"/>
                      <w:highlight w:val="none"/>
                    </w:rPr>
                    <w:t>C,T</w:t>
                  </w:r>
                </w:p>
              </w:tc>
              <w:tc>
                <w:tcPr>
                  <w:tcW w:w="728" w:type="pct"/>
                  <w:noWrap w:val="0"/>
                  <w:vAlign w:val="center"/>
                </w:tcPr>
                <w:p w14:paraId="61EE2E3C">
                  <w:pPr>
                    <w:jc w:val="center"/>
                    <w:rPr>
                      <w:rFonts w:ascii="Times New Roman" w:hAnsi="Times New Roman"/>
                      <w:highlight w:val="none"/>
                    </w:rPr>
                  </w:pPr>
                  <w:r>
                    <w:rPr>
                      <w:rFonts w:hint="eastAsia" w:ascii="Times New Roman" w:hAnsi="Times New Roman"/>
                      <w:highlight w:val="none"/>
                    </w:rPr>
                    <w:t>桶装</w:t>
                  </w:r>
                </w:p>
              </w:tc>
              <w:tc>
                <w:tcPr>
                  <w:tcW w:w="508" w:type="pct"/>
                  <w:noWrap w:val="0"/>
                  <w:vAlign w:val="center"/>
                </w:tcPr>
                <w:p w14:paraId="159C1054">
                  <w:pPr>
                    <w:jc w:val="center"/>
                    <w:rPr>
                      <w:rFonts w:hint="default" w:ascii="Times New Roman" w:hAnsi="Times New Roman" w:eastAsia="宋体"/>
                      <w:szCs w:val="21"/>
                      <w:highlight w:val="none"/>
                      <w:lang w:val="en-US" w:eastAsia="zh-CN"/>
                    </w:rPr>
                  </w:pPr>
                  <w:r>
                    <w:rPr>
                      <w:rFonts w:hint="eastAsia"/>
                      <w:szCs w:val="21"/>
                      <w:highlight w:val="none"/>
                      <w:lang w:val="en-US" w:eastAsia="zh-CN"/>
                    </w:rPr>
                    <w:t>20</w:t>
                  </w:r>
                </w:p>
              </w:tc>
              <w:tc>
                <w:tcPr>
                  <w:tcW w:w="852" w:type="dxa"/>
                  <w:noWrap w:val="0"/>
                  <w:vAlign w:val="center"/>
                </w:tcPr>
                <w:p w14:paraId="3B5E88CE">
                  <w:pPr>
                    <w:keepNext w:val="0"/>
                    <w:keepLines w:val="0"/>
                    <w:widowControl/>
                    <w:suppressLineNumbers w:val="0"/>
                    <w:jc w:val="center"/>
                    <w:textAlignment w:val="center"/>
                    <w:rPr>
                      <w:rFonts w:hint="default" w:ascii="Times New Roman" w:hAnsi="Times New Roman"/>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2000</w:t>
                  </w:r>
                </w:p>
              </w:tc>
            </w:tr>
            <w:tr w14:paraId="7D82E8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trPr>
              <w:tc>
                <w:tcPr>
                  <w:tcW w:w="334" w:type="pct"/>
                  <w:shd w:val="clear" w:color="auto" w:fill="auto"/>
                  <w:noWrap w:val="0"/>
                  <w:vAlign w:val="center"/>
                </w:tcPr>
                <w:p w14:paraId="2B4D2F38">
                  <w:pPr>
                    <w:jc w:val="center"/>
                    <w:rPr>
                      <w:rFonts w:hint="default" w:ascii="Times New Roman" w:hAnsi="Times New Roman" w:eastAsia="宋体" w:cs="Times New Roman"/>
                      <w:kern w:val="2"/>
                      <w:sz w:val="21"/>
                      <w:szCs w:val="24"/>
                      <w:highlight w:val="none"/>
                      <w:lang w:val="en-US" w:eastAsia="zh-CN" w:bidi="ar-SA"/>
                    </w:rPr>
                  </w:pPr>
                  <w:r>
                    <w:rPr>
                      <w:rFonts w:hint="eastAsia" w:cs="Times New Roman"/>
                      <w:kern w:val="2"/>
                      <w:sz w:val="21"/>
                      <w:szCs w:val="24"/>
                      <w:highlight w:val="none"/>
                      <w:lang w:val="en-US" w:eastAsia="zh-CN" w:bidi="ar-SA"/>
                    </w:rPr>
                    <w:t>18</w:t>
                  </w:r>
                </w:p>
              </w:tc>
              <w:tc>
                <w:tcPr>
                  <w:tcW w:w="1201" w:type="pct"/>
                  <w:noWrap w:val="0"/>
                  <w:vAlign w:val="center"/>
                </w:tcPr>
                <w:p w14:paraId="04B0AA09">
                  <w:pPr>
                    <w:jc w:val="center"/>
                    <w:rPr>
                      <w:rFonts w:hint="eastAsia" w:ascii="Times New Roman" w:hAnsi="Times New Roman"/>
                      <w:szCs w:val="21"/>
                      <w:highlight w:val="none"/>
                    </w:rPr>
                  </w:pPr>
                  <w:r>
                    <w:rPr>
                      <w:rFonts w:hint="eastAsia" w:ascii="Times New Roman" w:hAnsi="Times New Roman"/>
                      <w:szCs w:val="21"/>
                      <w:highlight w:val="none"/>
                    </w:rPr>
                    <w:t>HW36石棉废物</w:t>
                  </w:r>
                </w:p>
              </w:tc>
              <w:tc>
                <w:tcPr>
                  <w:tcW w:w="1071" w:type="pct"/>
                  <w:noWrap w:val="0"/>
                  <w:vAlign w:val="center"/>
                </w:tcPr>
                <w:p w14:paraId="0F14A6FC">
                  <w:pPr>
                    <w:jc w:val="center"/>
                    <w:rPr>
                      <w:rFonts w:ascii="Times New Roman" w:hAnsi="Times New Roman"/>
                      <w:highlight w:val="none"/>
                    </w:rPr>
                  </w:pPr>
                  <w:r>
                    <w:rPr>
                      <w:rFonts w:hint="eastAsia" w:ascii="Times New Roman" w:hAnsi="Times New Roman"/>
                      <w:highlight w:val="none"/>
                    </w:rPr>
                    <w:t>固体</w:t>
                  </w:r>
                </w:p>
              </w:tc>
              <w:tc>
                <w:tcPr>
                  <w:tcW w:w="647" w:type="pct"/>
                  <w:noWrap w:val="0"/>
                  <w:vAlign w:val="center"/>
                </w:tcPr>
                <w:p w14:paraId="763A43FA">
                  <w:pPr>
                    <w:jc w:val="center"/>
                    <w:rPr>
                      <w:rFonts w:ascii="Times New Roman" w:hAnsi="Times New Roman"/>
                      <w:highlight w:val="none"/>
                    </w:rPr>
                  </w:pPr>
                  <w:r>
                    <w:rPr>
                      <w:rFonts w:hint="eastAsia" w:ascii="Times New Roman" w:hAnsi="Times New Roman"/>
                      <w:highlight w:val="none"/>
                    </w:rPr>
                    <w:t>T</w:t>
                  </w:r>
                </w:p>
              </w:tc>
              <w:tc>
                <w:tcPr>
                  <w:tcW w:w="728" w:type="pct"/>
                  <w:noWrap w:val="0"/>
                  <w:vAlign w:val="center"/>
                </w:tcPr>
                <w:p w14:paraId="138E56EF">
                  <w:pPr>
                    <w:jc w:val="center"/>
                    <w:rPr>
                      <w:rFonts w:ascii="Times New Roman" w:hAnsi="Times New Roman"/>
                      <w:highlight w:val="none"/>
                    </w:rPr>
                  </w:pPr>
                  <w:r>
                    <w:rPr>
                      <w:rFonts w:hint="eastAsia" w:ascii="Times New Roman" w:hAnsi="Times New Roman"/>
                      <w:highlight w:val="none"/>
                    </w:rPr>
                    <w:t>袋装</w:t>
                  </w:r>
                </w:p>
              </w:tc>
              <w:tc>
                <w:tcPr>
                  <w:tcW w:w="508" w:type="pct"/>
                  <w:noWrap w:val="0"/>
                  <w:vAlign w:val="center"/>
                </w:tcPr>
                <w:p w14:paraId="17D1E96B">
                  <w:pPr>
                    <w:jc w:val="center"/>
                    <w:rPr>
                      <w:rFonts w:hint="eastAsia" w:ascii="Times New Roman" w:hAnsi="Times New Roman" w:eastAsia="宋体"/>
                      <w:szCs w:val="21"/>
                      <w:highlight w:val="none"/>
                      <w:lang w:val="en-US" w:eastAsia="zh-CN"/>
                    </w:rPr>
                  </w:pPr>
                  <w:r>
                    <w:rPr>
                      <w:rFonts w:hint="eastAsia"/>
                      <w:szCs w:val="21"/>
                      <w:highlight w:val="none"/>
                      <w:lang w:val="en-US" w:eastAsia="zh-CN"/>
                    </w:rPr>
                    <w:t>12</w:t>
                  </w:r>
                </w:p>
              </w:tc>
              <w:tc>
                <w:tcPr>
                  <w:tcW w:w="852" w:type="dxa"/>
                  <w:noWrap w:val="0"/>
                  <w:vAlign w:val="center"/>
                </w:tcPr>
                <w:p w14:paraId="572D42B2">
                  <w:pPr>
                    <w:keepNext w:val="0"/>
                    <w:keepLines w:val="0"/>
                    <w:widowControl/>
                    <w:suppressLineNumbers w:val="0"/>
                    <w:jc w:val="center"/>
                    <w:textAlignment w:val="center"/>
                    <w:rPr>
                      <w:rFonts w:hint="default" w:ascii="Times New Roman" w:hAnsi="Times New Roman"/>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80</w:t>
                  </w:r>
                </w:p>
              </w:tc>
            </w:tr>
            <w:tr w14:paraId="6EBBE4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334" w:type="pct"/>
                  <w:shd w:val="clear" w:color="auto" w:fill="auto"/>
                  <w:noWrap w:val="0"/>
                  <w:vAlign w:val="center"/>
                </w:tcPr>
                <w:p w14:paraId="2FFF00F9">
                  <w:pPr>
                    <w:jc w:val="center"/>
                    <w:rPr>
                      <w:rFonts w:hint="default" w:ascii="Times New Roman" w:hAnsi="Times New Roman" w:eastAsia="宋体" w:cs="Times New Roman"/>
                      <w:kern w:val="2"/>
                      <w:sz w:val="21"/>
                      <w:szCs w:val="24"/>
                      <w:highlight w:val="none"/>
                      <w:lang w:val="en-US" w:eastAsia="zh-CN" w:bidi="ar-SA"/>
                    </w:rPr>
                  </w:pPr>
                  <w:r>
                    <w:rPr>
                      <w:rFonts w:hint="eastAsia" w:cs="Times New Roman"/>
                      <w:kern w:val="2"/>
                      <w:sz w:val="21"/>
                      <w:szCs w:val="24"/>
                      <w:highlight w:val="none"/>
                      <w:lang w:val="en-US" w:eastAsia="zh-CN" w:bidi="ar-SA"/>
                    </w:rPr>
                    <w:t>19</w:t>
                  </w:r>
                </w:p>
              </w:tc>
              <w:tc>
                <w:tcPr>
                  <w:tcW w:w="1201" w:type="pct"/>
                  <w:noWrap w:val="0"/>
                  <w:vAlign w:val="center"/>
                </w:tcPr>
                <w:p w14:paraId="5A6B1FD9">
                  <w:pPr>
                    <w:jc w:val="center"/>
                    <w:rPr>
                      <w:rFonts w:hint="eastAsia" w:ascii="Times New Roman" w:hAnsi="Times New Roman"/>
                      <w:szCs w:val="21"/>
                      <w:highlight w:val="none"/>
                    </w:rPr>
                  </w:pPr>
                  <w:r>
                    <w:rPr>
                      <w:rFonts w:hint="eastAsia" w:ascii="Times New Roman" w:hAnsi="Times New Roman"/>
                      <w:szCs w:val="21"/>
                      <w:highlight w:val="none"/>
                    </w:rPr>
                    <w:t>HW37有机磷化合物废物</w:t>
                  </w:r>
                </w:p>
              </w:tc>
              <w:tc>
                <w:tcPr>
                  <w:tcW w:w="1071" w:type="pct"/>
                  <w:noWrap w:val="0"/>
                  <w:vAlign w:val="center"/>
                </w:tcPr>
                <w:p w14:paraId="44E64A30">
                  <w:pPr>
                    <w:jc w:val="center"/>
                    <w:rPr>
                      <w:rFonts w:ascii="Times New Roman" w:hAnsi="Times New Roman"/>
                      <w:highlight w:val="none"/>
                    </w:rPr>
                  </w:pPr>
                  <w:r>
                    <w:rPr>
                      <w:rFonts w:hint="eastAsia" w:ascii="Times New Roman" w:hAnsi="Times New Roman"/>
                      <w:highlight w:val="none"/>
                    </w:rPr>
                    <w:t>液态</w:t>
                  </w:r>
                </w:p>
              </w:tc>
              <w:tc>
                <w:tcPr>
                  <w:tcW w:w="647" w:type="pct"/>
                  <w:noWrap w:val="0"/>
                  <w:vAlign w:val="center"/>
                </w:tcPr>
                <w:p w14:paraId="5968DC7F">
                  <w:pPr>
                    <w:jc w:val="center"/>
                    <w:rPr>
                      <w:rFonts w:ascii="Times New Roman" w:hAnsi="Times New Roman"/>
                      <w:highlight w:val="none"/>
                    </w:rPr>
                  </w:pPr>
                  <w:r>
                    <w:rPr>
                      <w:rFonts w:hint="eastAsia" w:ascii="Times New Roman" w:hAnsi="Times New Roman"/>
                      <w:highlight w:val="none"/>
                    </w:rPr>
                    <w:t>T</w:t>
                  </w:r>
                </w:p>
              </w:tc>
              <w:tc>
                <w:tcPr>
                  <w:tcW w:w="728" w:type="pct"/>
                  <w:noWrap w:val="0"/>
                  <w:vAlign w:val="center"/>
                </w:tcPr>
                <w:p w14:paraId="03550B13">
                  <w:pPr>
                    <w:jc w:val="center"/>
                    <w:rPr>
                      <w:rFonts w:ascii="Times New Roman" w:hAnsi="Times New Roman"/>
                      <w:highlight w:val="none"/>
                    </w:rPr>
                  </w:pPr>
                  <w:r>
                    <w:rPr>
                      <w:rFonts w:hint="eastAsia" w:ascii="Times New Roman" w:hAnsi="Times New Roman"/>
                      <w:highlight w:val="none"/>
                    </w:rPr>
                    <w:t>桶装</w:t>
                  </w:r>
                </w:p>
              </w:tc>
              <w:tc>
                <w:tcPr>
                  <w:tcW w:w="508" w:type="pct"/>
                  <w:noWrap w:val="0"/>
                  <w:vAlign w:val="center"/>
                </w:tcPr>
                <w:p w14:paraId="3E02ECAE">
                  <w:pPr>
                    <w:jc w:val="center"/>
                    <w:rPr>
                      <w:rFonts w:hint="eastAsia" w:ascii="Times New Roman" w:hAnsi="Times New Roman" w:eastAsia="宋体"/>
                      <w:szCs w:val="21"/>
                      <w:highlight w:val="none"/>
                      <w:lang w:val="en-US" w:eastAsia="zh-CN"/>
                    </w:rPr>
                  </w:pPr>
                  <w:r>
                    <w:rPr>
                      <w:rFonts w:hint="eastAsia"/>
                      <w:szCs w:val="21"/>
                      <w:highlight w:val="none"/>
                      <w:lang w:val="en-US" w:eastAsia="zh-CN"/>
                    </w:rPr>
                    <w:t>12</w:t>
                  </w:r>
                </w:p>
              </w:tc>
              <w:tc>
                <w:tcPr>
                  <w:tcW w:w="852" w:type="dxa"/>
                  <w:noWrap w:val="0"/>
                  <w:vAlign w:val="center"/>
                </w:tcPr>
                <w:p w14:paraId="140E8CAD">
                  <w:pPr>
                    <w:keepNext w:val="0"/>
                    <w:keepLines w:val="0"/>
                    <w:widowControl/>
                    <w:suppressLineNumbers w:val="0"/>
                    <w:jc w:val="center"/>
                    <w:textAlignment w:val="center"/>
                    <w:rPr>
                      <w:rFonts w:hint="default" w:ascii="Times New Roman" w:hAnsi="Times New Roman"/>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80</w:t>
                  </w:r>
                </w:p>
              </w:tc>
            </w:tr>
            <w:tr w14:paraId="2E5EF7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trPr>
              <w:tc>
                <w:tcPr>
                  <w:tcW w:w="334" w:type="pct"/>
                  <w:shd w:val="clear" w:color="auto" w:fill="auto"/>
                  <w:noWrap w:val="0"/>
                  <w:vAlign w:val="center"/>
                </w:tcPr>
                <w:p w14:paraId="5C077D60">
                  <w:pPr>
                    <w:jc w:val="center"/>
                    <w:rPr>
                      <w:rFonts w:hint="default" w:ascii="Times New Roman" w:hAnsi="Times New Roman" w:eastAsia="宋体" w:cs="Times New Roman"/>
                      <w:kern w:val="2"/>
                      <w:sz w:val="21"/>
                      <w:szCs w:val="24"/>
                      <w:highlight w:val="none"/>
                      <w:lang w:val="en-US" w:eastAsia="zh-CN" w:bidi="ar-SA"/>
                    </w:rPr>
                  </w:pPr>
                  <w:r>
                    <w:rPr>
                      <w:rFonts w:hint="eastAsia" w:cs="Times New Roman"/>
                      <w:kern w:val="2"/>
                      <w:sz w:val="21"/>
                      <w:szCs w:val="24"/>
                      <w:highlight w:val="none"/>
                      <w:lang w:val="en-US" w:eastAsia="zh-CN" w:bidi="ar-SA"/>
                    </w:rPr>
                    <w:t>20</w:t>
                  </w:r>
                </w:p>
              </w:tc>
              <w:tc>
                <w:tcPr>
                  <w:tcW w:w="1201" w:type="pct"/>
                  <w:noWrap w:val="0"/>
                  <w:vAlign w:val="center"/>
                </w:tcPr>
                <w:p w14:paraId="0A9D9CD3">
                  <w:pPr>
                    <w:jc w:val="center"/>
                    <w:rPr>
                      <w:rFonts w:hint="eastAsia" w:ascii="Times New Roman" w:hAnsi="Times New Roman"/>
                      <w:szCs w:val="21"/>
                      <w:highlight w:val="none"/>
                    </w:rPr>
                  </w:pPr>
                  <w:r>
                    <w:rPr>
                      <w:rFonts w:hint="eastAsia" w:ascii="Times New Roman" w:hAnsi="Times New Roman"/>
                      <w:szCs w:val="21"/>
                      <w:highlight w:val="none"/>
                    </w:rPr>
                    <w:t>HW46含镍废物</w:t>
                  </w:r>
                </w:p>
              </w:tc>
              <w:tc>
                <w:tcPr>
                  <w:tcW w:w="1071" w:type="pct"/>
                  <w:noWrap w:val="0"/>
                  <w:vAlign w:val="center"/>
                </w:tcPr>
                <w:p w14:paraId="4F3AB3AB">
                  <w:pPr>
                    <w:jc w:val="center"/>
                    <w:rPr>
                      <w:rFonts w:ascii="Times New Roman" w:hAnsi="Times New Roman"/>
                      <w:highlight w:val="none"/>
                    </w:rPr>
                  </w:pPr>
                  <w:r>
                    <w:rPr>
                      <w:rFonts w:hint="eastAsia" w:ascii="Times New Roman" w:hAnsi="Times New Roman"/>
                      <w:highlight w:val="none"/>
                    </w:rPr>
                    <w:t>液态/固体</w:t>
                  </w:r>
                </w:p>
              </w:tc>
              <w:tc>
                <w:tcPr>
                  <w:tcW w:w="647" w:type="pct"/>
                  <w:noWrap w:val="0"/>
                  <w:vAlign w:val="center"/>
                </w:tcPr>
                <w:p w14:paraId="64059145">
                  <w:pPr>
                    <w:jc w:val="center"/>
                    <w:rPr>
                      <w:rFonts w:ascii="Times New Roman" w:hAnsi="Times New Roman"/>
                      <w:highlight w:val="none"/>
                    </w:rPr>
                  </w:pPr>
                  <w:r>
                    <w:rPr>
                      <w:rFonts w:hint="eastAsia" w:ascii="Times New Roman" w:hAnsi="Times New Roman"/>
                      <w:highlight w:val="none"/>
                    </w:rPr>
                    <w:t>T</w:t>
                  </w:r>
                </w:p>
              </w:tc>
              <w:tc>
                <w:tcPr>
                  <w:tcW w:w="728" w:type="pct"/>
                  <w:noWrap w:val="0"/>
                  <w:vAlign w:val="center"/>
                </w:tcPr>
                <w:p w14:paraId="486B73DB">
                  <w:pPr>
                    <w:jc w:val="center"/>
                    <w:rPr>
                      <w:rFonts w:ascii="Times New Roman" w:hAnsi="Times New Roman"/>
                      <w:highlight w:val="none"/>
                    </w:rPr>
                  </w:pPr>
                  <w:r>
                    <w:rPr>
                      <w:rFonts w:hint="eastAsia" w:ascii="Times New Roman" w:hAnsi="Times New Roman"/>
                      <w:highlight w:val="none"/>
                    </w:rPr>
                    <w:t>袋装</w:t>
                  </w:r>
                </w:p>
              </w:tc>
              <w:tc>
                <w:tcPr>
                  <w:tcW w:w="508" w:type="pct"/>
                  <w:noWrap w:val="0"/>
                  <w:vAlign w:val="center"/>
                </w:tcPr>
                <w:p w14:paraId="047D7A85">
                  <w:pPr>
                    <w:jc w:val="center"/>
                    <w:rPr>
                      <w:rFonts w:hint="eastAsia" w:ascii="Times New Roman" w:hAnsi="Times New Roman" w:eastAsia="宋体"/>
                      <w:szCs w:val="21"/>
                      <w:highlight w:val="none"/>
                      <w:lang w:val="en-US" w:eastAsia="zh-CN"/>
                    </w:rPr>
                  </w:pPr>
                  <w:r>
                    <w:rPr>
                      <w:rFonts w:hint="eastAsia"/>
                      <w:szCs w:val="21"/>
                      <w:highlight w:val="none"/>
                      <w:lang w:val="en-US" w:eastAsia="zh-CN"/>
                    </w:rPr>
                    <w:t>12</w:t>
                  </w:r>
                </w:p>
              </w:tc>
              <w:tc>
                <w:tcPr>
                  <w:tcW w:w="852" w:type="dxa"/>
                  <w:noWrap w:val="0"/>
                  <w:vAlign w:val="center"/>
                </w:tcPr>
                <w:p w14:paraId="073F1223">
                  <w:pPr>
                    <w:keepNext w:val="0"/>
                    <w:keepLines w:val="0"/>
                    <w:widowControl/>
                    <w:suppressLineNumbers w:val="0"/>
                    <w:jc w:val="center"/>
                    <w:textAlignment w:val="center"/>
                    <w:rPr>
                      <w:rFonts w:hint="default" w:ascii="Times New Roman" w:hAnsi="Times New Roman"/>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80</w:t>
                  </w:r>
                </w:p>
              </w:tc>
            </w:tr>
            <w:tr w14:paraId="6AD7BF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334" w:type="pct"/>
                  <w:shd w:val="clear" w:color="auto" w:fill="auto"/>
                  <w:noWrap w:val="0"/>
                  <w:vAlign w:val="center"/>
                </w:tcPr>
                <w:p w14:paraId="7475864F">
                  <w:pPr>
                    <w:jc w:val="center"/>
                    <w:rPr>
                      <w:rFonts w:hint="eastAsia" w:ascii="Times New Roman" w:hAnsi="Times New Roman" w:eastAsia="宋体" w:cs="Times New Roman"/>
                      <w:kern w:val="2"/>
                      <w:sz w:val="21"/>
                      <w:szCs w:val="24"/>
                      <w:highlight w:val="none"/>
                      <w:lang w:val="en-US" w:eastAsia="zh-CN" w:bidi="ar-SA"/>
                    </w:rPr>
                  </w:pPr>
                  <w:r>
                    <w:rPr>
                      <w:rFonts w:hint="eastAsia" w:ascii="Times New Roman" w:hAnsi="Times New Roman"/>
                      <w:highlight w:val="none"/>
                    </w:rPr>
                    <w:t>2</w:t>
                  </w:r>
                  <w:r>
                    <w:rPr>
                      <w:rFonts w:hint="eastAsia"/>
                      <w:highlight w:val="none"/>
                      <w:lang w:val="en-US" w:eastAsia="zh-CN"/>
                    </w:rPr>
                    <w:t>1</w:t>
                  </w:r>
                </w:p>
              </w:tc>
              <w:tc>
                <w:tcPr>
                  <w:tcW w:w="1201" w:type="pct"/>
                  <w:noWrap w:val="0"/>
                  <w:vAlign w:val="center"/>
                </w:tcPr>
                <w:p w14:paraId="4F8D4830">
                  <w:pPr>
                    <w:jc w:val="center"/>
                    <w:rPr>
                      <w:rFonts w:hint="eastAsia" w:ascii="Times New Roman" w:hAnsi="Times New Roman"/>
                      <w:szCs w:val="21"/>
                      <w:highlight w:val="none"/>
                    </w:rPr>
                  </w:pPr>
                  <w:r>
                    <w:rPr>
                      <w:rFonts w:hint="eastAsia" w:ascii="Times New Roman" w:hAnsi="Times New Roman"/>
                      <w:szCs w:val="21"/>
                      <w:highlight w:val="none"/>
                    </w:rPr>
                    <w:t>HW48有色金属采选和冶炼废物</w:t>
                  </w:r>
                </w:p>
              </w:tc>
              <w:tc>
                <w:tcPr>
                  <w:tcW w:w="1071" w:type="pct"/>
                  <w:noWrap w:val="0"/>
                  <w:vAlign w:val="center"/>
                </w:tcPr>
                <w:p w14:paraId="041E4073">
                  <w:pPr>
                    <w:jc w:val="center"/>
                    <w:rPr>
                      <w:rFonts w:ascii="Times New Roman" w:hAnsi="Times New Roman"/>
                      <w:highlight w:val="none"/>
                    </w:rPr>
                  </w:pPr>
                  <w:r>
                    <w:rPr>
                      <w:rFonts w:hint="eastAsia" w:ascii="Times New Roman" w:hAnsi="Times New Roman"/>
                      <w:highlight w:val="none"/>
                    </w:rPr>
                    <w:t>半固态/固体</w:t>
                  </w:r>
                </w:p>
              </w:tc>
              <w:tc>
                <w:tcPr>
                  <w:tcW w:w="647" w:type="pct"/>
                  <w:noWrap w:val="0"/>
                  <w:vAlign w:val="center"/>
                </w:tcPr>
                <w:p w14:paraId="7BE4E180">
                  <w:pPr>
                    <w:jc w:val="center"/>
                    <w:rPr>
                      <w:rFonts w:ascii="Times New Roman" w:hAnsi="Times New Roman"/>
                      <w:highlight w:val="none"/>
                    </w:rPr>
                  </w:pPr>
                  <w:r>
                    <w:rPr>
                      <w:rFonts w:hint="eastAsia" w:ascii="Times New Roman" w:hAnsi="Times New Roman"/>
                      <w:highlight w:val="none"/>
                    </w:rPr>
                    <w:t>T,R</w:t>
                  </w:r>
                </w:p>
              </w:tc>
              <w:tc>
                <w:tcPr>
                  <w:tcW w:w="728" w:type="pct"/>
                  <w:noWrap w:val="0"/>
                  <w:vAlign w:val="center"/>
                </w:tcPr>
                <w:p w14:paraId="527FDD37">
                  <w:pPr>
                    <w:jc w:val="center"/>
                    <w:rPr>
                      <w:rFonts w:ascii="Times New Roman" w:hAnsi="Times New Roman"/>
                      <w:highlight w:val="none"/>
                    </w:rPr>
                  </w:pPr>
                  <w:r>
                    <w:rPr>
                      <w:rFonts w:hint="eastAsia" w:ascii="Times New Roman" w:hAnsi="Times New Roman"/>
                      <w:highlight w:val="none"/>
                    </w:rPr>
                    <w:t>桶装/袋装</w:t>
                  </w:r>
                </w:p>
              </w:tc>
              <w:tc>
                <w:tcPr>
                  <w:tcW w:w="508" w:type="pct"/>
                  <w:noWrap w:val="0"/>
                  <w:vAlign w:val="center"/>
                </w:tcPr>
                <w:p w14:paraId="72CBF79F">
                  <w:pPr>
                    <w:jc w:val="center"/>
                    <w:rPr>
                      <w:rFonts w:hint="default" w:ascii="Times New Roman" w:hAnsi="Times New Roman"/>
                      <w:szCs w:val="21"/>
                      <w:highlight w:val="none"/>
                      <w:lang w:val="en-US"/>
                    </w:rPr>
                  </w:pPr>
                  <w:r>
                    <w:rPr>
                      <w:rFonts w:hint="eastAsia" w:ascii="Times New Roman" w:hAnsi="Times New Roman"/>
                      <w:szCs w:val="21"/>
                      <w:highlight w:val="none"/>
                      <w:lang w:val="en-US" w:eastAsia="zh-CN"/>
                    </w:rPr>
                    <w:t>2</w:t>
                  </w:r>
                  <w:r>
                    <w:rPr>
                      <w:rFonts w:hint="eastAsia"/>
                      <w:szCs w:val="21"/>
                      <w:highlight w:val="none"/>
                      <w:lang w:val="en-US" w:eastAsia="zh-CN"/>
                    </w:rPr>
                    <w:t>0</w:t>
                  </w:r>
                </w:p>
              </w:tc>
              <w:tc>
                <w:tcPr>
                  <w:tcW w:w="852" w:type="dxa"/>
                  <w:noWrap w:val="0"/>
                  <w:vAlign w:val="center"/>
                </w:tcPr>
                <w:p w14:paraId="51C3739C">
                  <w:pPr>
                    <w:keepNext w:val="0"/>
                    <w:keepLines w:val="0"/>
                    <w:widowControl/>
                    <w:suppressLineNumbers w:val="0"/>
                    <w:jc w:val="center"/>
                    <w:textAlignment w:val="center"/>
                    <w:rPr>
                      <w:rFonts w:hint="default" w:ascii="Times New Roman" w:hAnsi="Times New Roman"/>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420</w:t>
                  </w:r>
                </w:p>
              </w:tc>
            </w:tr>
            <w:tr w14:paraId="3E435D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334" w:type="pct"/>
                  <w:shd w:val="clear" w:color="auto" w:fill="auto"/>
                  <w:noWrap w:val="0"/>
                  <w:vAlign w:val="center"/>
                </w:tcPr>
                <w:p w14:paraId="4DEB65B9">
                  <w:pPr>
                    <w:jc w:val="center"/>
                    <w:rPr>
                      <w:rFonts w:hint="eastAsia" w:ascii="Times New Roman" w:hAnsi="Times New Roman" w:eastAsia="宋体" w:cs="Times New Roman"/>
                      <w:kern w:val="2"/>
                      <w:sz w:val="21"/>
                      <w:szCs w:val="24"/>
                      <w:highlight w:val="none"/>
                      <w:lang w:val="en-US" w:eastAsia="zh-CN" w:bidi="ar-SA"/>
                    </w:rPr>
                  </w:pPr>
                  <w:r>
                    <w:rPr>
                      <w:rFonts w:hint="eastAsia" w:ascii="Times New Roman" w:hAnsi="Times New Roman"/>
                      <w:highlight w:val="none"/>
                    </w:rPr>
                    <w:t>2</w:t>
                  </w:r>
                  <w:r>
                    <w:rPr>
                      <w:rFonts w:hint="eastAsia"/>
                      <w:highlight w:val="none"/>
                      <w:lang w:val="en-US" w:eastAsia="zh-CN"/>
                    </w:rPr>
                    <w:t>2</w:t>
                  </w:r>
                </w:p>
              </w:tc>
              <w:tc>
                <w:tcPr>
                  <w:tcW w:w="1201" w:type="pct"/>
                  <w:noWrap w:val="0"/>
                  <w:vAlign w:val="center"/>
                </w:tcPr>
                <w:p w14:paraId="27527EF0">
                  <w:pPr>
                    <w:jc w:val="center"/>
                    <w:rPr>
                      <w:rFonts w:hint="eastAsia" w:ascii="Times New Roman" w:hAnsi="Times New Roman"/>
                      <w:szCs w:val="21"/>
                      <w:highlight w:val="none"/>
                    </w:rPr>
                  </w:pPr>
                  <w:r>
                    <w:rPr>
                      <w:rFonts w:ascii="Times New Roman" w:hAnsi="Times New Roman"/>
                      <w:szCs w:val="21"/>
                      <w:highlight w:val="none"/>
                    </w:rPr>
                    <w:t>HW49</w:t>
                  </w:r>
                  <w:r>
                    <w:rPr>
                      <w:rFonts w:hint="eastAsia" w:ascii="Times New Roman" w:hAnsi="Times New Roman"/>
                      <w:szCs w:val="21"/>
                      <w:highlight w:val="none"/>
                    </w:rPr>
                    <w:t>其他废物</w:t>
                  </w:r>
                </w:p>
              </w:tc>
              <w:tc>
                <w:tcPr>
                  <w:tcW w:w="1071" w:type="pct"/>
                  <w:noWrap w:val="0"/>
                  <w:vAlign w:val="center"/>
                </w:tcPr>
                <w:p w14:paraId="75B80C92">
                  <w:pPr>
                    <w:jc w:val="center"/>
                    <w:rPr>
                      <w:rFonts w:ascii="Times New Roman" w:hAnsi="Times New Roman"/>
                      <w:highlight w:val="none"/>
                    </w:rPr>
                  </w:pPr>
                  <w:r>
                    <w:rPr>
                      <w:rFonts w:hint="eastAsia" w:ascii="Times New Roman" w:hAnsi="Times New Roman"/>
                      <w:highlight w:val="none"/>
                    </w:rPr>
                    <w:t>液态/固体</w:t>
                  </w:r>
                </w:p>
              </w:tc>
              <w:tc>
                <w:tcPr>
                  <w:tcW w:w="647" w:type="pct"/>
                  <w:noWrap w:val="0"/>
                  <w:vAlign w:val="center"/>
                </w:tcPr>
                <w:p w14:paraId="21914CEC">
                  <w:pPr>
                    <w:jc w:val="center"/>
                    <w:rPr>
                      <w:rFonts w:ascii="Times New Roman" w:hAnsi="Times New Roman"/>
                      <w:highlight w:val="none"/>
                    </w:rPr>
                  </w:pPr>
                  <w:r>
                    <w:rPr>
                      <w:rFonts w:hint="eastAsia" w:ascii="Times New Roman" w:hAnsi="Times New Roman"/>
                      <w:highlight w:val="none"/>
                    </w:rPr>
                    <w:t>T,C,I,R,In</w:t>
                  </w:r>
                </w:p>
              </w:tc>
              <w:tc>
                <w:tcPr>
                  <w:tcW w:w="728" w:type="pct"/>
                  <w:noWrap w:val="0"/>
                  <w:vAlign w:val="center"/>
                </w:tcPr>
                <w:p w14:paraId="0565BECC">
                  <w:pPr>
                    <w:jc w:val="center"/>
                    <w:rPr>
                      <w:rFonts w:ascii="Times New Roman" w:hAnsi="Times New Roman"/>
                      <w:highlight w:val="none"/>
                    </w:rPr>
                  </w:pPr>
                  <w:r>
                    <w:rPr>
                      <w:rFonts w:hint="eastAsia" w:ascii="Times New Roman" w:hAnsi="Times New Roman"/>
                      <w:highlight w:val="none"/>
                    </w:rPr>
                    <w:t>桶装/袋装</w:t>
                  </w:r>
                </w:p>
              </w:tc>
              <w:tc>
                <w:tcPr>
                  <w:tcW w:w="508" w:type="pct"/>
                  <w:noWrap w:val="0"/>
                  <w:vAlign w:val="center"/>
                </w:tcPr>
                <w:p w14:paraId="12C1777C">
                  <w:pPr>
                    <w:jc w:val="center"/>
                    <w:rPr>
                      <w:rFonts w:hint="default" w:ascii="Times New Roman" w:hAnsi="Times New Roman" w:eastAsia="宋体"/>
                      <w:szCs w:val="21"/>
                      <w:highlight w:val="none"/>
                      <w:lang w:val="en-US" w:eastAsia="zh-CN"/>
                    </w:rPr>
                  </w:pPr>
                  <w:r>
                    <w:rPr>
                      <w:rFonts w:hint="eastAsia"/>
                      <w:szCs w:val="21"/>
                      <w:highlight w:val="none"/>
                      <w:lang w:val="en-US" w:eastAsia="zh-CN"/>
                    </w:rPr>
                    <w:t>50</w:t>
                  </w:r>
                </w:p>
              </w:tc>
              <w:tc>
                <w:tcPr>
                  <w:tcW w:w="852" w:type="dxa"/>
                  <w:noWrap w:val="0"/>
                  <w:vAlign w:val="center"/>
                </w:tcPr>
                <w:p w14:paraId="76FDF126">
                  <w:pPr>
                    <w:keepNext w:val="0"/>
                    <w:keepLines w:val="0"/>
                    <w:widowControl/>
                    <w:suppressLineNumbers w:val="0"/>
                    <w:jc w:val="center"/>
                    <w:textAlignment w:val="center"/>
                    <w:rPr>
                      <w:rFonts w:hint="default" w:ascii="Times New Roman" w:hAnsi="Times New Roman"/>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1000</w:t>
                  </w:r>
                </w:p>
              </w:tc>
            </w:tr>
            <w:tr w14:paraId="7D5BE2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334" w:type="pct"/>
                  <w:noWrap w:val="0"/>
                  <w:vAlign w:val="center"/>
                </w:tcPr>
                <w:p w14:paraId="04A8A6D3">
                  <w:pPr>
                    <w:jc w:val="center"/>
                    <w:rPr>
                      <w:rFonts w:hint="eastAsia" w:ascii="Times New Roman" w:hAnsi="Times New Roman" w:eastAsia="宋体"/>
                      <w:highlight w:val="none"/>
                      <w:lang w:val="en-US" w:eastAsia="zh-CN"/>
                    </w:rPr>
                  </w:pPr>
                  <w:r>
                    <w:rPr>
                      <w:rFonts w:hint="eastAsia" w:ascii="Times New Roman" w:hAnsi="Times New Roman"/>
                      <w:highlight w:val="none"/>
                    </w:rPr>
                    <w:t>2</w:t>
                  </w:r>
                  <w:r>
                    <w:rPr>
                      <w:rFonts w:hint="eastAsia"/>
                      <w:highlight w:val="none"/>
                      <w:lang w:val="en-US" w:eastAsia="zh-CN"/>
                    </w:rPr>
                    <w:t>3</w:t>
                  </w:r>
                </w:p>
              </w:tc>
              <w:tc>
                <w:tcPr>
                  <w:tcW w:w="1201" w:type="pct"/>
                  <w:noWrap w:val="0"/>
                  <w:vAlign w:val="center"/>
                </w:tcPr>
                <w:p w14:paraId="272C2867">
                  <w:pPr>
                    <w:jc w:val="center"/>
                    <w:rPr>
                      <w:rFonts w:ascii="Times New Roman" w:hAnsi="Times New Roman"/>
                      <w:szCs w:val="21"/>
                      <w:highlight w:val="none"/>
                    </w:rPr>
                  </w:pPr>
                  <w:r>
                    <w:rPr>
                      <w:rFonts w:hint="eastAsia" w:ascii="Times New Roman" w:hAnsi="Times New Roman"/>
                      <w:szCs w:val="21"/>
                      <w:highlight w:val="none"/>
                    </w:rPr>
                    <w:t>HW50废催化剂</w:t>
                  </w:r>
                </w:p>
              </w:tc>
              <w:tc>
                <w:tcPr>
                  <w:tcW w:w="1071" w:type="pct"/>
                  <w:noWrap w:val="0"/>
                  <w:vAlign w:val="center"/>
                </w:tcPr>
                <w:p w14:paraId="63A5E0DA">
                  <w:pPr>
                    <w:jc w:val="center"/>
                    <w:rPr>
                      <w:rFonts w:ascii="Times New Roman" w:hAnsi="Times New Roman"/>
                      <w:highlight w:val="none"/>
                    </w:rPr>
                  </w:pPr>
                  <w:r>
                    <w:rPr>
                      <w:rFonts w:hint="eastAsia" w:ascii="Times New Roman" w:hAnsi="Times New Roman"/>
                      <w:highlight w:val="none"/>
                    </w:rPr>
                    <w:t>液态/固体</w:t>
                  </w:r>
                </w:p>
              </w:tc>
              <w:tc>
                <w:tcPr>
                  <w:tcW w:w="647" w:type="pct"/>
                  <w:noWrap w:val="0"/>
                  <w:vAlign w:val="center"/>
                </w:tcPr>
                <w:p w14:paraId="6384046B">
                  <w:pPr>
                    <w:jc w:val="center"/>
                    <w:rPr>
                      <w:rFonts w:ascii="Times New Roman" w:hAnsi="Times New Roman"/>
                      <w:highlight w:val="none"/>
                    </w:rPr>
                  </w:pPr>
                  <w:r>
                    <w:rPr>
                      <w:rFonts w:hint="eastAsia" w:ascii="Times New Roman" w:hAnsi="Times New Roman"/>
                      <w:highlight w:val="none"/>
                    </w:rPr>
                    <w:t>T</w:t>
                  </w:r>
                </w:p>
              </w:tc>
              <w:tc>
                <w:tcPr>
                  <w:tcW w:w="728" w:type="pct"/>
                  <w:noWrap w:val="0"/>
                  <w:vAlign w:val="center"/>
                </w:tcPr>
                <w:p w14:paraId="46F59BD4">
                  <w:pPr>
                    <w:jc w:val="center"/>
                    <w:rPr>
                      <w:rFonts w:ascii="Times New Roman" w:hAnsi="Times New Roman"/>
                      <w:highlight w:val="none"/>
                    </w:rPr>
                  </w:pPr>
                  <w:r>
                    <w:rPr>
                      <w:rFonts w:hint="eastAsia" w:ascii="Times New Roman" w:hAnsi="Times New Roman"/>
                      <w:highlight w:val="none"/>
                    </w:rPr>
                    <w:t>桶装/袋装</w:t>
                  </w:r>
                </w:p>
              </w:tc>
              <w:tc>
                <w:tcPr>
                  <w:tcW w:w="508" w:type="pct"/>
                  <w:noWrap w:val="0"/>
                  <w:vAlign w:val="center"/>
                </w:tcPr>
                <w:p w14:paraId="4426BC21">
                  <w:pPr>
                    <w:jc w:val="center"/>
                    <w:rPr>
                      <w:rFonts w:hint="eastAsia" w:ascii="Times New Roman" w:hAnsi="Times New Roman" w:eastAsia="宋体"/>
                      <w:szCs w:val="21"/>
                      <w:highlight w:val="none"/>
                      <w:lang w:val="en-US" w:eastAsia="zh-CN"/>
                    </w:rPr>
                  </w:pPr>
                  <w:r>
                    <w:rPr>
                      <w:rFonts w:hint="eastAsia"/>
                      <w:szCs w:val="21"/>
                      <w:highlight w:val="none"/>
                      <w:lang w:val="en-US" w:eastAsia="zh-CN"/>
                    </w:rPr>
                    <w:t>15</w:t>
                  </w:r>
                </w:p>
              </w:tc>
              <w:tc>
                <w:tcPr>
                  <w:tcW w:w="852" w:type="dxa"/>
                  <w:noWrap w:val="0"/>
                  <w:vAlign w:val="center"/>
                </w:tcPr>
                <w:p w14:paraId="770599CC">
                  <w:pPr>
                    <w:keepNext w:val="0"/>
                    <w:keepLines w:val="0"/>
                    <w:widowControl/>
                    <w:suppressLineNumbers w:val="0"/>
                    <w:jc w:val="center"/>
                    <w:textAlignment w:val="center"/>
                    <w:rPr>
                      <w:rFonts w:hint="default" w:ascii="Times New Roman" w:hAnsi="Times New Roman"/>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200</w:t>
                  </w:r>
                </w:p>
              </w:tc>
            </w:tr>
          </w:tbl>
          <w:p w14:paraId="6536A5CB">
            <w:pPr>
              <w:snapToGrid w:val="0"/>
              <w:spacing w:line="360" w:lineRule="auto"/>
              <w:jc w:val="center"/>
              <w:rPr>
                <w:highlight w:val="none"/>
              </w:rPr>
            </w:pPr>
            <w:r>
              <w:rPr>
                <w:rFonts w:ascii="Times New Roman" w:hAnsi="Times New Roman"/>
                <w:b/>
                <w:iCs/>
                <w:szCs w:val="21"/>
                <w:highlight w:val="none"/>
                <w:lang w:bidi="ar"/>
              </w:rPr>
              <w:t>表</w:t>
            </w:r>
            <w:r>
              <w:rPr>
                <w:rFonts w:hint="eastAsia" w:ascii="Times New Roman" w:hAnsi="Times New Roman"/>
                <w:b/>
                <w:szCs w:val="21"/>
                <w:highlight w:val="none"/>
                <w:lang w:bidi="ar"/>
              </w:rPr>
              <w:t>2-3</w:t>
            </w:r>
            <w:r>
              <w:rPr>
                <w:rFonts w:ascii="Times New Roman" w:hAnsi="Times New Roman"/>
                <w:b/>
                <w:iCs/>
                <w:szCs w:val="21"/>
                <w:highlight w:val="none"/>
                <w:lang w:bidi="ar"/>
              </w:rPr>
              <w:t>项目贮存危险废物一览表</w:t>
            </w:r>
          </w:p>
          <w:tbl>
            <w:tblPr>
              <w:tblStyle w:val="21"/>
              <w:tblW w:w="837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814"/>
              <w:gridCol w:w="1196"/>
              <w:gridCol w:w="2960"/>
              <w:gridCol w:w="872"/>
              <w:gridCol w:w="843"/>
              <w:gridCol w:w="844"/>
            </w:tblGrid>
            <w:tr w14:paraId="2980AB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noWrap w:val="0"/>
                  <w:vAlign w:val="center"/>
                </w:tcPr>
                <w:p w14:paraId="415B1194">
                  <w:pPr>
                    <w:pStyle w:val="67"/>
                    <w:jc w:val="center"/>
                    <w:rPr>
                      <w:rFonts w:ascii="Times New Roman" w:cs="Times New Roman"/>
                      <w:b/>
                      <w:bCs/>
                      <w:color w:val="auto"/>
                      <w:sz w:val="21"/>
                      <w:szCs w:val="21"/>
                      <w:highlight w:val="none"/>
                    </w:rPr>
                  </w:pPr>
                  <w:r>
                    <w:rPr>
                      <w:rFonts w:ascii="Times New Roman" w:cs="Times New Roman"/>
                      <w:b/>
                      <w:bCs/>
                      <w:color w:val="auto"/>
                      <w:sz w:val="21"/>
                      <w:szCs w:val="21"/>
                      <w:highlight w:val="none"/>
                    </w:rPr>
                    <w:t>废物类别</w:t>
                  </w:r>
                </w:p>
              </w:tc>
              <w:tc>
                <w:tcPr>
                  <w:tcW w:w="814" w:type="dxa"/>
                  <w:noWrap w:val="0"/>
                  <w:vAlign w:val="center"/>
                </w:tcPr>
                <w:p w14:paraId="3E90D337">
                  <w:pPr>
                    <w:pStyle w:val="67"/>
                    <w:jc w:val="center"/>
                    <w:rPr>
                      <w:rFonts w:ascii="Times New Roman" w:cs="Times New Roman"/>
                      <w:b/>
                      <w:bCs/>
                      <w:color w:val="auto"/>
                      <w:sz w:val="21"/>
                      <w:szCs w:val="21"/>
                      <w:highlight w:val="none"/>
                    </w:rPr>
                  </w:pPr>
                  <w:r>
                    <w:rPr>
                      <w:rFonts w:ascii="Times New Roman" w:cs="Times New Roman"/>
                      <w:b/>
                      <w:bCs/>
                      <w:color w:val="auto"/>
                      <w:sz w:val="21"/>
                      <w:szCs w:val="21"/>
                      <w:highlight w:val="none"/>
                    </w:rPr>
                    <w:t>行业来源</w:t>
                  </w:r>
                </w:p>
              </w:tc>
              <w:tc>
                <w:tcPr>
                  <w:tcW w:w="1196" w:type="dxa"/>
                  <w:noWrap w:val="0"/>
                  <w:vAlign w:val="center"/>
                </w:tcPr>
                <w:p w14:paraId="73E3D942">
                  <w:pPr>
                    <w:pStyle w:val="67"/>
                    <w:jc w:val="center"/>
                    <w:rPr>
                      <w:rFonts w:ascii="Times New Roman" w:cs="Times New Roman"/>
                      <w:b/>
                      <w:bCs/>
                      <w:color w:val="auto"/>
                      <w:sz w:val="21"/>
                      <w:szCs w:val="21"/>
                      <w:highlight w:val="none"/>
                    </w:rPr>
                  </w:pPr>
                  <w:r>
                    <w:rPr>
                      <w:rFonts w:ascii="Times New Roman" w:cs="Times New Roman"/>
                      <w:b/>
                      <w:bCs/>
                      <w:color w:val="auto"/>
                      <w:sz w:val="21"/>
                      <w:szCs w:val="21"/>
                      <w:highlight w:val="none"/>
                    </w:rPr>
                    <w:t>废物代码</w:t>
                  </w:r>
                </w:p>
              </w:tc>
              <w:tc>
                <w:tcPr>
                  <w:tcW w:w="2960" w:type="dxa"/>
                  <w:noWrap w:val="0"/>
                  <w:vAlign w:val="center"/>
                </w:tcPr>
                <w:p w14:paraId="6813D3F5">
                  <w:pPr>
                    <w:pStyle w:val="67"/>
                    <w:jc w:val="center"/>
                    <w:rPr>
                      <w:rFonts w:ascii="Times New Roman" w:cs="Times New Roman"/>
                      <w:b/>
                      <w:bCs/>
                      <w:color w:val="auto"/>
                      <w:sz w:val="21"/>
                      <w:szCs w:val="21"/>
                      <w:highlight w:val="none"/>
                    </w:rPr>
                  </w:pPr>
                  <w:r>
                    <w:rPr>
                      <w:rFonts w:ascii="Times New Roman" w:cs="Times New Roman"/>
                      <w:b/>
                      <w:bCs/>
                      <w:color w:val="auto"/>
                      <w:sz w:val="21"/>
                      <w:szCs w:val="21"/>
                      <w:highlight w:val="none"/>
                    </w:rPr>
                    <w:t>危险废物</w:t>
                  </w:r>
                </w:p>
              </w:tc>
              <w:tc>
                <w:tcPr>
                  <w:tcW w:w="872" w:type="dxa"/>
                  <w:noWrap w:val="0"/>
                  <w:vAlign w:val="center"/>
                </w:tcPr>
                <w:p w14:paraId="0F97DADC">
                  <w:pPr>
                    <w:pStyle w:val="67"/>
                    <w:jc w:val="center"/>
                    <w:rPr>
                      <w:rFonts w:ascii="Times New Roman" w:cs="Times New Roman"/>
                      <w:b/>
                      <w:bCs/>
                      <w:color w:val="auto"/>
                      <w:sz w:val="21"/>
                      <w:szCs w:val="21"/>
                      <w:highlight w:val="none"/>
                    </w:rPr>
                  </w:pPr>
                  <w:r>
                    <w:rPr>
                      <w:rFonts w:ascii="Times New Roman" w:cs="Times New Roman"/>
                      <w:b/>
                      <w:bCs/>
                      <w:color w:val="auto"/>
                      <w:sz w:val="21"/>
                      <w:szCs w:val="21"/>
                      <w:highlight w:val="none"/>
                    </w:rPr>
                    <w:t>危险特性</w:t>
                  </w:r>
                </w:p>
              </w:tc>
              <w:tc>
                <w:tcPr>
                  <w:tcW w:w="843" w:type="dxa"/>
                  <w:noWrap w:val="0"/>
                  <w:vAlign w:val="center"/>
                </w:tcPr>
                <w:p w14:paraId="00A83BF1">
                  <w:pPr>
                    <w:pStyle w:val="67"/>
                    <w:jc w:val="center"/>
                    <w:rPr>
                      <w:rFonts w:hint="eastAsia" w:asci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状态</w:t>
                  </w:r>
                </w:p>
              </w:tc>
              <w:tc>
                <w:tcPr>
                  <w:tcW w:w="844" w:type="dxa"/>
                  <w:noWrap w:val="0"/>
                  <w:vAlign w:val="center"/>
                </w:tcPr>
                <w:p w14:paraId="1425E1C4">
                  <w:pPr>
                    <w:pStyle w:val="67"/>
                    <w:jc w:val="center"/>
                    <w:rPr>
                      <w:rFonts w:hint="default" w:asci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储存方式</w:t>
                  </w:r>
                </w:p>
              </w:tc>
            </w:tr>
            <w:tr w14:paraId="61E98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noWrap w:val="0"/>
                  <w:vAlign w:val="center"/>
                </w:tcPr>
                <w:p w14:paraId="08FC7B9E">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HW03废药物、药品</w:t>
                  </w:r>
                </w:p>
              </w:tc>
              <w:tc>
                <w:tcPr>
                  <w:tcW w:w="814" w:type="dxa"/>
                  <w:noWrap w:val="0"/>
                  <w:vAlign w:val="center"/>
                </w:tcPr>
                <w:p w14:paraId="15F5A440">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非特定行业</w:t>
                  </w:r>
                </w:p>
              </w:tc>
              <w:tc>
                <w:tcPr>
                  <w:tcW w:w="1196" w:type="dxa"/>
                  <w:noWrap w:val="0"/>
                  <w:vAlign w:val="center"/>
                </w:tcPr>
                <w:p w14:paraId="155F9024">
                  <w:pPr>
                    <w:widowControl/>
                    <w:jc w:val="center"/>
                    <w:textAlignment w:val="center"/>
                    <w:rPr>
                      <w:rFonts w:ascii="Times New Roman" w:hAnsi="Times New Roman"/>
                      <w:szCs w:val="21"/>
                      <w:highlight w:val="none"/>
                    </w:rPr>
                  </w:pPr>
                  <w:r>
                    <w:rPr>
                      <w:rFonts w:ascii="Times New Roman" w:hAnsi="Times New Roman"/>
                      <w:kern w:val="0"/>
                      <w:szCs w:val="21"/>
                      <w:highlight w:val="none"/>
                      <w:lang w:bidi="ar"/>
                    </w:rPr>
                    <w:t>900-002-03</w:t>
                  </w:r>
                </w:p>
              </w:tc>
              <w:tc>
                <w:tcPr>
                  <w:tcW w:w="2960" w:type="dxa"/>
                  <w:noWrap w:val="0"/>
                  <w:vAlign w:val="center"/>
                </w:tcPr>
                <w:p w14:paraId="61E07C67">
                  <w:pPr>
                    <w:widowControl/>
                    <w:jc w:val="left"/>
                    <w:rPr>
                      <w:rFonts w:ascii="Times New Roman" w:hAnsi="Times New Roman"/>
                      <w:szCs w:val="21"/>
                      <w:highlight w:val="none"/>
                    </w:rPr>
                  </w:pPr>
                  <w:r>
                    <w:rPr>
                      <w:rFonts w:ascii="Times New Roman" w:hAnsi="Times New Roman"/>
                      <w:kern w:val="0"/>
                      <w:szCs w:val="21"/>
                      <w:highlight w:val="none"/>
                      <w:lang w:bidi="ar"/>
                    </w:rPr>
                    <w:t>销售及使用过程中产生的失效、变质、不合格、淘汰、伪劣的化学药品和生物制品（不包括列入《国家基本药物目录》中的维生素、矿物质类</w:t>
                  </w:r>
                  <w:r>
                    <w:rPr>
                      <w:rFonts w:hint="eastAsia"/>
                      <w:kern w:val="0"/>
                      <w:szCs w:val="21"/>
                      <w:highlight w:val="none"/>
                      <w:lang w:eastAsia="zh-CN" w:bidi="ar"/>
                    </w:rPr>
                    <w:t>药品</w:t>
                  </w:r>
                  <w:r>
                    <w:rPr>
                      <w:rFonts w:ascii="Times New Roman" w:hAnsi="Times New Roman"/>
                      <w:kern w:val="0"/>
                      <w:szCs w:val="21"/>
                      <w:highlight w:val="none"/>
                      <w:lang w:bidi="ar"/>
                    </w:rPr>
                    <w:t>，调节水、电解质及酸碱平衡药），以及《医疗用毒性药品管理办法》中所列的毒性中药</w:t>
                  </w:r>
                </w:p>
              </w:tc>
              <w:tc>
                <w:tcPr>
                  <w:tcW w:w="872" w:type="dxa"/>
                  <w:noWrap w:val="0"/>
                  <w:vAlign w:val="center"/>
                </w:tcPr>
                <w:p w14:paraId="5A320C88">
                  <w:pPr>
                    <w:widowControl/>
                    <w:jc w:val="center"/>
                    <w:textAlignment w:val="center"/>
                    <w:rPr>
                      <w:rFonts w:ascii="Times New Roman" w:hAnsi="Times New Roman"/>
                      <w:szCs w:val="21"/>
                      <w:highlight w:val="none"/>
                    </w:rPr>
                  </w:pPr>
                  <w:r>
                    <w:rPr>
                      <w:rFonts w:ascii="Times New Roman" w:hAnsi="Times New Roman"/>
                      <w:kern w:val="0"/>
                      <w:szCs w:val="21"/>
                      <w:highlight w:val="none"/>
                      <w:lang w:bidi="ar"/>
                    </w:rPr>
                    <w:t>T</w:t>
                  </w:r>
                </w:p>
              </w:tc>
              <w:tc>
                <w:tcPr>
                  <w:tcW w:w="843" w:type="dxa"/>
                  <w:noWrap w:val="0"/>
                  <w:vAlign w:val="center"/>
                </w:tcPr>
                <w:p w14:paraId="2D2CBF97">
                  <w:pPr>
                    <w:widowControl/>
                    <w:jc w:val="center"/>
                    <w:textAlignment w:val="center"/>
                    <w:rPr>
                      <w:rFonts w:hint="eastAsia" w:ascii="Times New Roman" w:hAnsi="Times New Roman" w:eastAsia="宋体"/>
                      <w:kern w:val="0"/>
                      <w:szCs w:val="21"/>
                      <w:highlight w:val="none"/>
                      <w:lang w:val="en-US" w:eastAsia="zh-CN" w:bidi="ar"/>
                    </w:rPr>
                  </w:pPr>
                  <w:r>
                    <w:rPr>
                      <w:rFonts w:hint="eastAsia"/>
                      <w:kern w:val="0"/>
                      <w:szCs w:val="21"/>
                      <w:highlight w:val="none"/>
                      <w:lang w:val="en-US" w:eastAsia="zh-CN" w:bidi="ar"/>
                    </w:rPr>
                    <w:t>固态</w:t>
                  </w:r>
                </w:p>
              </w:tc>
              <w:tc>
                <w:tcPr>
                  <w:tcW w:w="844" w:type="dxa"/>
                  <w:noWrap w:val="0"/>
                  <w:vAlign w:val="center"/>
                </w:tcPr>
                <w:p w14:paraId="643BB243">
                  <w:pPr>
                    <w:widowControl/>
                    <w:jc w:val="center"/>
                    <w:textAlignment w:val="center"/>
                    <w:rPr>
                      <w:rFonts w:hint="eastAsia" w:ascii="Times New Roman" w:hAnsi="Times New Roman" w:eastAsia="宋体"/>
                      <w:kern w:val="0"/>
                      <w:szCs w:val="21"/>
                      <w:highlight w:val="none"/>
                      <w:lang w:val="en-US" w:eastAsia="zh-CN" w:bidi="ar"/>
                    </w:rPr>
                  </w:pPr>
                  <w:r>
                    <w:rPr>
                      <w:rFonts w:hint="eastAsia"/>
                      <w:kern w:val="0"/>
                      <w:szCs w:val="21"/>
                      <w:highlight w:val="none"/>
                      <w:lang w:val="en-US" w:eastAsia="zh-CN" w:bidi="ar"/>
                    </w:rPr>
                    <w:t>袋装</w:t>
                  </w:r>
                </w:p>
              </w:tc>
            </w:tr>
            <w:tr w14:paraId="3AE52F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noWrap w:val="0"/>
                  <w:vAlign w:val="center"/>
                </w:tcPr>
                <w:p w14:paraId="0091E69B">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HW04农药废物</w:t>
                  </w:r>
                </w:p>
              </w:tc>
              <w:tc>
                <w:tcPr>
                  <w:tcW w:w="814" w:type="dxa"/>
                  <w:noWrap w:val="0"/>
                  <w:vAlign w:val="center"/>
                </w:tcPr>
                <w:p w14:paraId="661D9D64">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非特定行业</w:t>
                  </w:r>
                </w:p>
              </w:tc>
              <w:tc>
                <w:tcPr>
                  <w:tcW w:w="1196" w:type="dxa"/>
                  <w:noWrap w:val="0"/>
                  <w:vAlign w:val="center"/>
                </w:tcPr>
                <w:p w14:paraId="17ABD420">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900-003-04</w:t>
                  </w:r>
                </w:p>
              </w:tc>
              <w:tc>
                <w:tcPr>
                  <w:tcW w:w="2960" w:type="dxa"/>
                  <w:noWrap w:val="0"/>
                  <w:vAlign w:val="center"/>
                </w:tcPr>
                <w:p w14:paraId="17E1A03C">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销售及使用过程中产生的失效、变质、不合格、淘汰、伪劣的农药产品，以及废弃的与农药直接接触或含有农药残余物的包装物</w:t>
                  </w:r>
                </w:p>
              </w:tc>
              <w:tc>
                <w:tcPr>
                  <w:tcW w:w="872" w:type="dxa"/>
                  <w:noWrap w:val="0"/>
                  <w:vAlign w:val="center"/>
                </w:tcPr>
                <w:p w14:paraId="319BD449">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T</w:t>
                  </w:r>
                </w:p>
              </w:tc>
              <w:tc>
                <w:tcPr>
                  <w:tcW w:w="843" w:type="dxa"/>
                  <w:noWrap w:val="0"/>
                  <w:vAlign w:val="center"/>
                </w:tcPr>
                <w:p w14:paraId="64B9FE6A">
                  <w:pPr>
                    <w:pStyle w:val="67"/>
                    <w:jc w:val="center"/>
                    <w:rPr>
                      <w:rFonts w:hint="eastAsia" w:asci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固态</w:t>
                  </w:r>
                </w:p>
              </w:tc>
              <w:tc>
                <w:tcPr>
                  <w:tcW w:w="844" w:type="dxa"/>
                  <w:noWrap w:val="0"/>
                  <w:vAlign w:val="center"/>
                </w:tcPr>
                <w:p w14:paraId="455E975C">
                  <w:pPr>
                    <w:pStyle w:val="67"/>
                    <w:jc w:val="center"/>
                    <w:rPr>
                      <w:rFonts w:hint="eastAsia" w:asci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袋装</w:t>
                  </w:r>
                </w:p>
              </w:tc>
            </w:tr>
            <w:tr w14:paraId="6793CC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restart"/>
                  <w:noWrap w:val="0"/>
                  <w:vAlign w:val="center"/>
                </w:tcPr>
                <w:p w14:paraId="5F75B8A3">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HW05木材防腐剂废物</w:t>
                  </w:r>
                </w:p>
              </w:tc>
              <w:tc>
                <w:tcPr>
                  <w:tcW w:w="814" w:type="dxa"/>
                  <w:vMerge w:val="restart"/>
                  <w:noWrap w:val="0"/>
                  <w:vAlign w:val="center"/>
                </w:tcPr>
                <w:p w14:paraId="74975257">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木材加工</w:t>
                  </w:r>
                </w:p>
              </w:tc>
              <w:tc>
                <w:tcPr>
                  <w:tcW w:w="1196" w:type="dxa"/>
                  <w:noWrap w:val="0"/>
                  <w:vAlign w:val="center"/>
                </w:tcPr>
                <w:p w14:paraId="39793E9D">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201-001-05</w:t>
                  </w:r>
                </w:p>
              </w:tc>
              <w:tc>
                <w:tcPr>
                  <w:tcW w:w="2960" w:type="dxa"/>
                  <w:noWrap w:val="0"/>
                  <w:vAlign w:val="center"/>
                </w:tcPr>
                <w:p w14:paraId="0E032D7C">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使用五氯酚进行木材防腐过程中产生的废水处理污泥，以及木材防腐处理过程中产生的沾染该防腐剂的废弃木材残片</w:t>
                  </w:r>
                </w:p>
              </w:tc>
              <w:tc>
                <w:tcPr>
                  <w:tcW w:w="872" w:type="dxa"/>
                  <w:noWrap w:val="0"/>
                  <w:vAlign w:val="center"/>
                </w:tcPr>
                <w:p w14:paraId="0BBB1CC9">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T</w:t>
                  </w:r>
                </w:p>
              </w:tc>
              <w:tc>
                <w:tcPr>
                  <w:tcW w:w="843" w:type="dxa"/>
                  <w:noWrap w:val="0"/>
                  <w:vAlign w:val="center"/>
                </w:tcPr>
                <w:p w14:paraId="77B15778">
                  <w:pPr>
                    <w:pStyle w:val="67"/>
                    <w:jc w:val="center"/>
                    <w:rPr>
                      <w:rFonts w:hint="eastAsia" w:asci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固态</w:t>
                  </w:r>
                </w:p>
              </w:tc>
              <w:tc>
                <w:tcPr>
                  <w:tcW w:w="844" w:type="dxa"/>
                  <w:noWrap w:val="0"/>
                  <w:vAlign w:val="center"/>
                </w:tcPr>
                <w:p w14:paraId="4387F84A">
                  <w:pPr>
                    <w:pStyle w:val="67"/>
                    <w:jc w:val="center"/>
                    <w:rPr>
                      <w:rFonts w:hint="eastAsia" w:asci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袋装</w:t>
                  </w:r>
                </w:p>
              </w:tc>
            </w:tr>
            <w:tr w14:paraId="37256E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5469E8DC">
                  <w:pPr>
                    <w:pStyle w:val="67"/>
                    <w:jc w:val="center"/>
                    <w:rPr>
                      <w:rFonts w:ascii="Times New Roman" w:cs="Times New Roman"/>
                      <w:color w:val="auto"/>
                      <w:sz w:val="21"/>
                      <w:szCs w:val="21"/>
                      <w:highlight w:val="none"/>
                    </w:rPr>
                  </w:pPr>
                </w:p>
              </w:tc>
              <w:tc>
                <w:tcPr>
                  <w:tcW w:w="814" w:type="dxa"/>
                  <w:vMerge w:val="continue"/>
                  <w:noWrap w:val="0"/>
                  <w:vAlign w:val="center"/>
                </w:tcPr>
                <w:p w14:paraId="284DBD30">
                  <w:pPr>
                    <w:pStyle w:val="67"/>
                    <w:jc w:val="center"/>
                    <w:rPr>
                      <w:rFonts w:ascii="Times New Roman" w:cs="Times New Roman"/>
                      <w:color w:val="auto"/>
                      <w:sz w:val="21"/>
                      <w:szCs w:val="21"/>
                      <w:highlight w:val="none"/>
                    </w:rPr>
                  </w:pPr>
                </w:p>
              </w:tc>
              <w:tc>
                <w:tcPr>
                  <w:tcW w:w="1196" w:type="dxa"/>
                  <w:noWrap w:val="0"/>
                  <w:vAlign w:val="center"/>
                </w:tcPr>
                <w:p w14:paraId="4E633473">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201-002-05</w:t>
                  </w:r>
                </w:p>
              </w:tc>
              <w:tc>
                <w:tcPr>
                  <w:tcW w:w="2960" w:type="dxa"/>
                  <w:noWrap w:val="0"/>
                  <w:vAlign w:val="center"/>
                </w:tcPr>
                <w:p w14:paraId="2AB40DEB">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使用杂酚油进行木材防腐过程中产生的废水处理污泥，以及木材防腐处理过程中产生的沾染该防腐剂的废弃木材残片</w:t>
                  </w:r>
                </w:p>
              </w:tc>
              <w:tc>
                <w:tcPr>
                  <w:tcW w:w="872" w:type="dxa"/>
                  <w:noWrap w:val="0"/>
                  <w:vAlign w:val="center"/>
                </w:tcPr>
                <w:p w14:paraId="76DF3355">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T</w:t>
                  </w:r>
                </w:p>
              </w:tc>
              <w:tc>
                <w:tcPr>
                  <w:tcW w:w="843" w:type="dxa"/>
                  <w:shd w:val="clear" w:color="auto" w:fill="auto"/>
                  <w:noWrap w:val="0"/>
                  <w:vAlign w:val="center"/>
                </w:tcPr>
                <w:p w14:paraId="0863654A">
                  <w:pPr>
                    <w:pStyle w:val="67"/>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固态</w:t>
                  </w:r>
                </w:p>
              </w:tc>
              <w:tc>
                <w:tcPr>
                  <w:tcW w:w="844" w:type="dxa"/>
                  <w:shd w:val="clear" w:color="auto" w:fill="auto"/>
                  <w:noWrap w:val="0"/>
                  <w:vAlign w:val="center"/>
                </w:tcPr>
                <w:p w14:paraId="3A50ED9A">
                  <w:pPr>
                    <w:pStyle w:val="67"/>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袋装</w:t>
                  </w:r>
                </w:p>
              </w:tc>
            </w:tr>
            <w:tr w14:paraId="74C22A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03BD07BB">
                  <w:pPr>
                    <w:pStyle w:val="67"/>
                    <w:jc w:val="center"/>
                    <w:rPr>
                      <w:rFonts w:ascii="Times New Roman" w:cs="Times New Roman"/>
                      <w:color w:val="auto"/>
                      <w:sz w:val="21"/>
                      <w:szCs w:val="21"/>
                      <w:highlight w:val="none"/>
                    </w:rPr>
                  </w:pPr>
                </w:p>
              </w:tc>
              <w:tc>
                <w:tcPr>
                  <w:tcW w:w="814" w:type="dxa"/>
                  <w:vMerge w:val="continue"/>
                  <w:noWrap w:val="0"/>
                  <w:vAlign w:val="center"/>
                </w:tcPr>
                <w:p w14:paraId="1F30E008">
                  <w:pPr>
                    <w:pStyle w:val="67"/>
                    <w:jc w:val="center"/>
                    <w:rPr>
                      <w:rFonts w:ascii="Times New Roman" w:cs="Times New Roman"/>
                      <w:color w:val="auto"/>
                      <w:sz w:val="21"/>
                      <w:szCs w:val="21"/>
                      <w:highlight w:val="none"/>
                    </w:rPr>
                  </w:pPr>
                </w:p>
              </w:tc>
              <w:tc>
                <w:tcPr>
                  <w:tcW w:w="1196" w:type="dxa"/>
                  <w:noWrap w:val="0"/>
                  <w:vAlign w:val="center"/>
                </w:tcPr>
                <w:p w14:paraId="475FE41E">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201-003-05</w:t>
                  </w:r>
                </w:p>
              </w:tc>
              <w:tc>
                <w:tcPr>
                  <w:tcW w:w="2960" w:type="dxa"/>
                  <w:noWrap w:val="0"/>
                  <w:vAlign w:val="center"/>
                </w:tcPr>
                <w:p w14:paraId="6E8360AB">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使用含砷、铬等无机防腐剂进行木材防腐过程中产生的废水处理污泥，以及木材防腐处理过程中产生的沾染该防腐剂的废弃木材残片</w:t>
                  </w:r>
                </w:p>
              </w:tc>
              <w:tc>
                <w:tcPr>
                  <w:tcW w:w="872" w:type="dxa"/>
                  <w:noWrap w:val="0"/>
                  <w:vAlign w:val="center"/>
                </w:tcPr>
                <w:p w14:paraId="4B0FD714">
                  <w:pPr>
                    <w:widowControl/>
                    <w:jc w:val="center"/>
                    <w:textAlignment w:val="center"/>
                    <w:rPr>
                      <w:rFonts w:ascii="Times New Roman" w:hAnsi="Times New Roman"/>
                      <w:szCs w:val="21"/>
                      <w:highlight w:val="none"/>
                    </w:rPr>
                  </w:pPr>
                  <w:r>
                    <w:rPr>
                      <w:rFonts w:ascii="Times New Roman" w:hAnsi="Times New Roman"/>
                      <w:kern w:val="0"/>
                      <w:szCs w:val="21"/>
                      <w:highlight w:val="none"/>
                      <w:lang w:bidi="ar"/>
                    </w:rPr>
                    <w:t>T</w:t>
                  </w:r>
                </w:p>
              </w:tc>
              <w:tc>
                <w:tcPr>
                  <w:tcW w:w="843" w:type="dxa"/>
                  <w:shd w:val="clear" w:color="auto" w:fill="auto"/>
                  <w:noWrap w:val="0"/>
                  <w:vAlign w:val="center"/>
                </w:tcPr>
                <w:p w14:paraId="71B1C7A3">
                  <w:pPr>
                    <w:pStyle w:val="67"/>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固态</w:t>
                  </w:r>
                </w:p>
              </w:tc>
              <w:tc>
                <w:tcPr>
                  <w:tcW w:w="844" w:type="dxa"/>
                  <w:shd w:val="clear" w:color="auto" w:fill="auto"/>
                  <w:noWrap w:val="0"/>
                  <w:vAlign w:val="center"/>
                </w:tcPr>
                <w:p w14:paraId="0D916881">
                  <w:pPr>
                    <w:pStyle w:val="67"/>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袋装</w:t>
                  </w:r>
                </w:p>
              </w:tc>
            </w:tr>
            <w:tr w14:paraId="3E2974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restart"/>
                  <w:noWrap w:val="0"/>
                  <w:vAlign w:val="center"/>
                </w:tcPr>
                <w:p w14:paraId="4C7586FC">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HW06废有机溶剂与含有机溶剂废物</w:t>
                  </w:r>
                </w:p>
              </w:tc>
              <w:tc>
                <w:tcPr>
                  <w:tcW w:w="814" w:type="dxa"/>
                  <w:vMerge w:val="restart"/>
                  <w:noWrap w:val="0"/>
                  <w:vAlign w:val="center"/>
                </w:tcPr>
                <w:p w14:paraId="5AF0DDE9">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非特定行业</w:t>
                  </w:r>
                </w:p>
              </w:tc>
              <w:tc>
                <w:tcPr>
                  <w:tcW w:w="1196" w:type="dxa"/>
                  <w:shd w:val="clear" w:color="auto" w:fill="auto"/>
                  <w:noWrap w:val="0"/>
                  <w:vAlign w:val="center"/>
                </w:tcPr>
                <w:p w14:paraId="2218824B">
                  <w:pPr>
                    <w:widowControl/>
                    <w:jc w:val="center"/>
                    <w:textAlignment w:val="center"/>
                    <w:rPr>
                      <w:rFonts w:ascii="Times New Roman" w:hAnsi="Times New Roman" w:eastAsia="宋体" w:cs="Times New Roman"/>
                      <w:kern w:val="0"/>
                      <w:sz w:val="21"/>
                      <w:szCs w:val="21"/>
                      <w:highlight w:val="none"/>
                      <w:lang w:val="en-US" w:eastAsia="zh-CN" w:bidi="ar"/>
                    </w:rPr>
                  </w:pPr>
                  <w:r>
                    <w:rPr>
                      <w:rFonts w:ascii="Times New Roman" w:hAnsi="Times New Roman"/>
                      <w:kern w:val="0"/>
                      <w:szCs w:val="21"/>
                      <w:highlight w:val="none"/>
                      <w:lang w:bidi="ar"/>
                    </w:rPr>
                    <w:t>900-402-06</w:t>
                  </w:r>
                </w:p>
              </w:tc>
              <w:tc>
                <w:tcPr>
                  <w:tcW w:w="2960" w:type="dxa"/>
                  <w:shd w:val="clear" w:color="auto" w:fill="auto"/>
                  <w:noWrap w:val="0"/>
                  <w:vAlign w:val="center"/>
                </w:tcPr>
                <w:p w14:paraId="70D8A124">
                  <w:pPr>
                    <w:widowControl/>
                    <w:jc w:val="left"/>
                    <w:rPr>
                      <w:rFonts w:ascii="Times New Roman" w:hAnsi="Times New Roman" w:eastAsia="宋体" w:cs="Times New Roman"/>
                      <w:kern w:val="0"/>
                      <w:sz w:val="21"/>
                      <w:szCs w:val="21"/>
                      <w:highlight w:val="none"/>
                      <w:lang w:val="en-US" w:eastAsia="zh-CN" w:bidi="ar"/>
                    </w:rPr>
                  </w:pPr>
                  <w:r>
                    <w:rPr>
                      <w:rFonts w:ascii="Times New Roman" w:hAnsi="Times New Roman"/>
                      <w:kern w:val="0"/>
                      <w:szCs w:val="21"/>
                      <w:highlight w:val="none"/>
                      <w:lang w:bidi="ar"/>
                    </w:rPr>
                    <w:t>工业生产中作为清洗剂、萃取剂、溶剂或反应介质使用后废弃的有机溶剂，包括苯、苯乙烯、丁醇、丙酮、正己烷、甲苯、邻二甲苯、间二甲苯、对二甲苯、1,2,4-三甲苯、乙苯、乙醇、异丙醇、乙醚、丙醚、乙酸甲酯、乙酸乙酯、乙酸丁酯、丙酸丁酯、苯酚，以及在使用前混合的含有一种或多种上述溶剂的混合/调和溶剂</w:t>
                  </w:r>
                </w:p>
              </w:tc>
              <w:tc>
                <w:tcPr>
                  <w:tcW w:w="872" w:type="dxa"/>
                  <w:shd w:val="clear" w:color="auto" w:fill="auto"/>
                  <w:noWrap w:val="0"/>
                  <w:vAlign w:val="center"/>
                </w:tcPr>
                <w:p w14:paraId="539400F9">
                  <w:pPr>
                    <w:widowControl/>
                    <w:jc w:val="center"/>
                    <w:textAlignment w:val="center"/>
                    <w:rPr>
                      <w:rFonts w:ascii="Times New Roman" w:hAnsi="Times New Roman" w:eastAsia="宋体" w:cs="Times New Roman"/>
                      <w:kern w:val="0"/>
                      <w:sz w:val="21"/>
                      <w:szCs w:val="21"/>
                      <w:highlight w:val="none"/>
                      <w:lang w:val="en-US" w:eastAsia="zh-CN" w:bidi="ar"/>
                    </w:rPr>
                  </w:pPr>
                  <w:r>
                    <w:rPr>
                      <w:rFonts w:ascii="Times New Roman" w:hAnsi="Times New Roman"/>
                      <w:kern w:val="0"/>
                      <w:szCs w:val="21"/>
                      <w:highlight w:val="none"/>
                      <w:lang w:bidi="ar"/>
                    </w:rPr>
                    <w:t>T,I,R</w:t>
                  </w:r>
                </w:p>
              </w:tc>
              <w:tc>
                <w:tcPr>
                  <w:tcW w:w="843" w:type="dxa"/>
                  <w:shd w:val="clear" w:color="auto" w:fill="auto"/>
                  <w:noWrap w:val="0"/>
                  <w:vAlign w:val="center"/>
                </w:tcPr>
                <w:p w14:paraId="6203C74A">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液态</w:t>
                  </w:r>
                </w:p>
              </w:tc>
              <w:tc>
                <w:tcPr>
                  <w:tcW w:w="844" w:type="dxa"/>
                  <w:shd w:val="clear" w:color="auto" w:fill="auto"/>
                  <w:noWrap w:val="0"/>
                  <w:vAlign w:val="center"/>
                </w:tcPr>
                <w:p w14:paraId="07FE5D33">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塑料桶装</w:t>
                  </w:r>
                </w:p>
              </w:tc>
            </w:tr>
            <w:tr w14:paraId="3C2416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5065D1A9">
                  <w:pPr>
                    <w:pStyle w:val="67"/>
                    <w:jc w:val="center"/>
                    <w:rPr>
                      <w:rFonts w:ascii="Times New Roman" w:cs="Times New Roman"/>
                      <w:color w:val="auto"/>
                      <w:sz w:val="21"/>
                      <w:szCs w:val="21"/>
                      <w:highlight w:val="none"/>
                    </w:rPr>
                  </w:pPr>
                </w:p>
              </w:tc>
              <w:tc>
                <w:tcPr>
                  <w:tcW w:w="814" w:type="dxa"/>
                  <w:vMerge w:val="continue"/>
                  <w:noWrap w:val="0"/>
                  <w:vAlign w:val="center"/>
                </w:tcPr>
                <w:p w14:paraId="44757DA6">
                  <w:pPr>
                    <w:pStyle w:val="67"/>
                    <w:jc w:val="center"/>
                    <w:rPr>
                      <w:rFonts w:ascii="Times New Roman" w:cs="Times New Roman"/>
                      <w:color w:val="auto"/>
                      <w:sz w:val="21"/>
                      <w:szCs w:val="21"/>
                      <w:highlight w:val="none"/>
                    </w:rPr>
                  </w:pPr>
                </w:p>
              </w:tc>
              <w:tc>
                <w:tcPr>
                  <w:tcW w:w="1196" w:type="dxa"/>
                  <w:noWrap w:val="0"/>
                  <w:vAlign w:val="center"/>
                </w:tcPr>
                <w:p w14:paraId="2B22DE6E">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900-404-06</w:t>
                  </w:r>
                </w:p>
              </w:tc>
              <w:tc>
                <w:tcPr>
                  <w:tcW w:w="2960" w:type="dxa"/>
                  <w:noWrap w:val="0"/>
                  <w:vAlign w:val="center"/>
                </w:tcPr>
                <w:p w14:paraId="489D5BFF">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工业生产中作为清洗剂、萃取剂、溶剂或反应介质使用后废弃的其他列入《危险化学品目录》的有机溶剂，以及在使用前混合的含有一种或多种上述溶剂的混合/调和溶剂</w:t>
                  </w:r>
                </w:p>
              </w:tc>
              <w:tc>
                <w:tcPr>
                  <w:tcW w:w="872" w:type="dxa"/>
                  <w:noWrap w:val="0"/>
                  <w:vAlign w:val="center"/>
                </w:tcPr>
                <w:p w14:paraId="673C5C4B">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T,I,R</w:t>
                  </w:r>
                </w:p>
              </w:tc>
              <w:tc>
                <w:tcPr>
                  <w:tcW w:w="843" w:type="dxa"/>
                  <w:shd w:val="clear" w:color="auto" w:fill="auto"/>
                  <w:noWrap w:val="0"/>
                  <w:vAlign w:val="center"/>
                </w:tcPr>
                <w:p w14:paraId="2DA9C410">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液态</w:t>
                  </w:r>
                </w:p>
              </w:tc>
              <w:tc>
                <w:tcPr>
                  <w:tcW w:w="844" w:type="dxa"/>
                  <w:shd w:val="clear" w:color="auto" w:fill="auto"/>
                  <w:noWrap w:val="0"/>
                  <w:vAlign w:val="center"/>
                </w:tcPr>
                <w:p w14:paraId="18A2FDE8">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塑料桶装</w:t>
                  </w:r>
                </w:p>
              </w:tc>
            </w:tr>
            <w:tr w14:paraId="3FEA01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restart"/>
                  <w:noWrap w:val="0"/>
                  <w:vAlign w:val="center"/>
                </w:tcPr>
                <w:p w14:paraId="67C5C99C">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HW08废矿物油与含矿物油废物</w:t>
                  </w:r>
                </w:p>
              </w:tc>
              <w:tc>
                <w:tcPr>
                  <w:tcW w:w="814" w:type="dxa"/>
                  <w:vMerge w:val="restart"/>
                  <w:noWrap w:val="0"/>
                  <w:vAlign w:val="center"/>
                </w:tcPr>
                <w:p w14:paraId="0138C7E6">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非特定行业</w:t>
                  </w:r>
                </w:p>
              </w:tc>
              <w:tc>
                <w:tcPr>
                  <w:tcW w:w="1196" w:type="dxa"/>
                  <w:noWrap w:val="0"/>
                  <w:vAlign w:val="center"/>
                </w:tcPr>
                <w:p w14:paraId="0126B48C">
                  <w:pPr>
                    <w:jc w:val="center"/>
                    <w:rPr>
                      <w:rFonts w:ascii="Times New Roman" w:hAnsi="Times New Roman"/>
                      <w:szCs w:val="21"/>
                      <w:highlight w:val="none"/>
                    </w:rPr>
                  </w:pPr>
                  <w:r>
                    <w:rPr>
                      <w:rFonts w:ascii="Times New Roman" w:hAnsi="Times New Roman"/>
                      <w:szCs w:val="21"/>
                      <w:highlight w:val="none"/>
                    </w:rPr>
                    <w:t>900-199-08</w:t>
                  </w:r>
                </w:p>
              </w:tc>
              <w:tc>
                <w:tcPr>
                  <w:tcW w:w="2960" w:type="dxa"/>
                  <w:noWrap w:val="0"/>
                  <w:vAlign w:val="center"/>
                </w:tcPr>
                <w:p w14:paraId="798D3791">
                  <w:pPr>
                    <w:widowControl/>
                    <w:jc w:val="left"/>
                    <w:rPr>
                      <w:rFonts w:ascii="Times New Roman" w:hAnsi="Times New Roman"/>
                      <w:szCs w:val="21"/>
                      <w:highlight w:val="none"/>
                    </w:rPr>
                  </w:pPr>
                  <w:r>
                    <w:rPr>
                      <w:rFonts w:ascii="Times New Roman" w:hAnsi="Times New Roman"/>
                      <w:kern w:val="0"/>
                      <w:szCs w:val="21"/>
                      <w:highlight w:val="none"/>
                      <w:lang w:bidi="ar"/>
                    </w:rPr>
                    <w:t>内燃机、汽车、轮船等集中拆解过程产生的废矿物油及油泥</w:t>
                  </w:r>
                </w:p>
              </w:tc>
              <w:tc>
                <w:tcPr>
                  <w:tcW w:w="872" w:type="dxa"/>
                  <w:noWrap w:val="0"/>
                  <w:vAlign w:val="center"/>
                </w:tcPr>
                <w:p w14:paraId="493B2F08">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T,I</w:t>
                  </w:r>
                </w:p>
              </w:tc>
              <w:tc>
                <w:tcPr>
                  <w:tcW w:w="843" w:type="dxa"/>
                  <w:noWrap w:val="0"/>
                  <w:vAlign w:val="center"/>
                </w:tcPr>
                <w:p w14:paraId="0BD78AE1">
                  <w:pPr>
                    <w:widowControl/>
                    <w:jc w:val="center"/>
                    <w:textAlignment w:val="center"/>
                    <w:rPr>
                      <w:rFonts w:hint="eastAsia" w:ascii="Times New Roman" w:hAnsi="Times New Roman" w:eastAsia="宋体"/>
                      <w:kern w:val="0"/>
                      <w:szCs w:val="21"/>
                      <w:highlight w:val="none"/>
                      <w:lang w:val="en-US" w:eastAsia="zh-CN" w:bidi="ar"/>
                    </w:rPr>
                  </w:pPr>
                  <w:r>
                    <w:rPr>
                      <w:rFonts w:hint="eastAsia"/>
                      <w:kern w:val="0"/>
                      <w:szCs w:val="21"/>
                      <w:highlight w:val="none"/>
                      <w:lang w:val="en-US" w:eastAsia="zh-CN" w:bidi="ar"/>
                    </w:rPr>
                    <w:t>液态</w:t>
                  </w:r>
                </w:p>
              </w:tc>
              <w:tc>
                <w:tcPr>
                  <w:tcW w:w="844" w:type="dxa"/>
                  <w:noWrap w:val="0"/>
                  <w:vAlign w:val="center"/>
                </w:tcPr>
                <w:p w14:paraId="464759CC">
                  <w:pPr>
                    <w:widowControl/>
                    <w:jc w:val="center"/>
                    <w:textAlignment w:val="center"/>
                    <w:rPr>
                      <w:rFonts w:hint="default" w:ascii="Times New Roman" w:hAnsi="Times New Roman" w:eastAsia="宋体"/>
                      <w:kern w:val="0"/>
                      <w:szCs w:val="21"/>
                      <w:highlight w:val="none"/>
                      <w:lang w:val="en-US" w:eastAsia="zh-CN" w:bidi="ar"/>
                    </w:rPr>
                  </w:pPr>
                  <w:r>
                    <w:rPr>
                      <w:rFonts w:hint="eastAsia"/>
                      <w:kern w:val="0"/>
                      <w:szCs w:val="21"/>
                      <w:highlight w:val="none"/>
                      <w:lang w:val="en-US" w:eastAsia="zh-CN" w:bidi="ar"/>
                    </w:rPr>
                    <w:t>油罐</w:t>
                  </w:r>
                </w:p>
              </w:tc>
            </w:tr>
            <w:tr w14:paraId="5757AF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4AE18A62">
                  <w:pPr>
                    <w:pStyle w:val="67"/>
                    <w:jc w:val="center"/>
                    <w:rPr>
                      <w:rFonts w:ascii="Times New Roman" w:cs="Times New Roman"/>
                      <w:color w:val="auto"/>
                      <w:sz w:val="21"/>
                      <w:szCs w:val="21"/>
                      <w:highlight w:val="none"/>
                    </w:rPr>
                  </w:pPr>
                </w:p>
              </w:tc>
              <w:tc>
                <w:tcPr>
                  <w:tcW w:w="814" w:type="dxa"/>
                  <w:vMerge w:val="continue"/>
                  <w:noWrap w:val="0"/>
                  <w:vAlign w:val="center"/>
                </w:tcPr>
                <w:p w14:paraId="26947DE7">
                  <w:pPr>
                    <w:pStyle w:val="67"/>
                    <w:jc w:val="center"/>
                    <w:rPr>
                      <w:rFonts w:ascii="Times New Roman" w:cs="Times New Roman"/>
                      <w:color w:val="auto"/>
                      <w:sz w:val="21"/>
                      <w:szCs w:val="21"/>
                      <w:highlight w:val="none"/>
                    </w:rPr>
                  </w:pPr>
                </w:p>
              </w:tc>
              <w:tc>
                <w:tcPr>
                  <w:tcW w:w="1196" w:type="dxa"/>
                  <w:noWrap w:val="0"/>
                  <w:vAlign w:val="center"/>
                </w:tcPr>
                <w:p w14:paraId="0F9D8E9C">
                  <w:pPr>
                    <w:jc w:val="center"/>
                    <w:rPr>
                      <w:rFonts w:ascii="Times New Roman" w:hAnsi="Times New Roman"/>
                      <w:szCs w:val="21"/>
                      <w:highlight w:val="none"/>
                    </w:rPr>
                  </w:pPr>
                  <w:r>
                    <w:rPr>
                      <w:rFonts w:ascii="Times New Roman" w:hAnsi="Times New Roman"/>
                      <w:szCs w:val="21"/>
                      <w:highlight w:val="none"/>
                    </w:rPr>
                    <w:t>900-200-08</w:t>
                  </w:r>
                </w:p>
              </w:tc>
              <w:tc>
                <w:tcPr>
                  <w:tcW w:w="2960" w:type="dxa"/>
                  <w:noWrap w:val="0"/>
                  <w:vAlign w:val="center"/>
                </w:tcPr>
                <w:p w14:paraId="5FDE9577">
                  <w:pPr>
                    <w:jc w:val="left"/>
                    <w:rPr>
                      <w:rFonts w:ascii="Times New Roman" w:hAnsi="Times New Roman"/>
                      <w:szCs w:val="21"/>
                      <w:highlight w:val="none"/>
                    </w:rPr>
                  </w:pPr>
                  <w:r>
                    <w:rPr>
                      <w:rFonts w:ascii="Times New Roman" w:hAnsi="Times New Roman"/>
                      <w:szCs w:val="21"/>
                      <w:highlight w:val="none"/>
                    </w:rPr>
                    <w:t>珩磨、研磨、打磨过程产生的废矿物油及油泥</w:t>
                  </w:r>
                </w:p>
              </w:tc>
              <w:tc>
                <w:tcPr>
                  <w:tcW w:w="872" w:type="dxa"/>
                  <w:noWrap w:val="0"/>
                  <w:vAlign w:val="center"/>
                </w:tcPr>
                <w:p w14:paraId="0D45C555">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T,I</w:t>
                  </w:r>
                </w:p>
              </w:tc>
              <w:tc>
                <w:tcPr>
                  <w:tcW w:w="843" w:type="dxa"/>
                  <w:noWrap w:val="0"/>
                  <w:vAlign w:val="center"/>
                </w:tcPr>
                <w:p w14:paraId="7CD1AB3A">
                  <w:pPr>
                    <w:widowControl/>
                    <w:jc w:val="center"/>
                    <w:textAlignment w:val="center"/>
                    <w:rPr>
                      <w:rFonts w:hint="eastAsia" w:ascii="Times New Roman" w:hAnsi="Times New Roman" w:eastAsia="宋体"/>
                      <w:kern w:val="0"/>
                      <w:szCs w:val="21"/>
                      <w:highlight w:val="none"/>
                      <w:lang w:val="en-US" w:eastAsia="zh-CN" w:bidi="ar"/>
                    </w:rPr>
                  </w:pPr>
                  <w:r>
                    <w:rPr>
                      <w:rFonts w:hint="eastAsia"/>
                      <w:kern w:val="0"/>
                      <w:szCs w:val="21"/>
                      <w:highlight w:val="none"/>
                      <w:lang w:val="en-US" w:eastAsia="zh-CN" w:bidi="ar"/>
                    </w:rPr>
                    <w:t>液态</w:t>
                  </w:r>
                </w:p>
              </w:tc>
              <w:tc>
                <w:tcPr>
                  <w:tcW w:w="844" w:type="dxa"/>
                  <w:noWrap w:val="0"/>
                  <w:vAlign w:val="center"/>
                </w:tcPr>
                <w:p w14:paraId="508BAF00">
                  <w:pPr>
                    <w:widowControl/>
                    <w:jc w:val="center"/>
                    <w:textAlignment w:val="center"/>
                    <w:rPr>
                      <w:rFonts w:ascii="Times New Roman" w:hAnsi="Times New Roman"/>
                      <w:kern w:val="0"/>
                      <w:szCs w:val="21"/>
                      <w:highlight w:val="none"/>
                      <w:lang w:bidi="ar"/>
                    </w:rPr>
                  </w:pPr>
                  <w:r>
                    <w:rPr>
                      <w:rFonts w:hint="eastAsia"/>
                      <w:kern w:val="0"/>
                      <w:szCs w:val="21"/>
                      <w:highlight w:val="none"/>
                      <w:lang w:val="en-US" w:eastAsia="zh-CN" w:bidi="ar"/>
                    </w:rPr>
                    <w:t>油罐</w:t>
                  </w:r>
                </w:p>
              </w:tc>
            </w:tr>
            <w:tr w14:paraId="0425B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2280A255">
                  <w:pPr>
                    <w:pStyle w:val="67"/>
                    <w:jc w:val="center"/>
                    <w:rPr>
                      <w:rFonts w:ascii="Times New Roman" w:cs="Times New Roman"/>
                      <w:color w:val="auto"/>
                      <w:sz w:val="21"/>
                      <w:szCs w:val="21"/>
                      <w:highlight w:val="none"/>
                    </w:rPr>
                  </w:pPr>
                </w:p>
              </w:tc>
              <w:tc>
                <w:tcPr>
                  <w:tcW w:w="814" w:type="dxa"/>
                  <w:vMerge w:val="continue"/>
                  <w:noWrap w:val="0"/>
                  <w:vAlign w:val="center"/>
                </w:tcPr>
                <w:p w14:paraId="71250D4E">
                  <w:pPr>
                    <w:pStyle w:val="67"/>
                    <w:jc w:val="center"/>
                    <w:rPr>
                      <w:rFonts w:ascii="Times New Roman" w:cs="Times New Roman"/>
                      <w:color w:val="auto"/>
                      <w:sz w:val="21"/>
                      <w:szCs w:val="21"/>
                      <w:highlight w:val="none"/>
                    </w:rPr>
                  </w:pPr>
                </w:p>
              </w:tc>
              <w:tc>
                <w:tcPr>
                  <w:tcW w:w="1196" w:type="dxa"/>
                  <w:noWrap w:val="0"/>
                  <w:vAlign w:val="center"/>
                </w:tcPr>
                <w:p w14:paraId="18C55DBB">
                  <w:pPr>
                    <w:jc w:val="center"/>
                    <w:rPr>
                      <w:rFonts w:ascii="Times New Roman" w:hAnsi="Times New Roman"/>
                      <w:szCs w:val="21"/>
                      <w:highlight w:val="none"/>
                    </w:rPr>
                  </w:pPr>
                  <w:r>
                    <w:rPr>
                      <w:rFonts w:ascii="Times New Roman" w:hAnsi="Times New Roman"/>
                      <w:szCs w:val="21"/>
                      <w:highlight w:val="none"/>
                    </w:rPr>
                    <w:t>900-201-08</w:t>
                  </w:r>
                </w:p>
              </w:tc>
              <w:tc>
                <w:tcPr>
                  <w:tcW w:w="2960" w:type="dxa"/>
                  <w:noWrap w:val="0"/>
                  <w:vAlign w:val="center"/>
                </w:tcPr>
                <w:p w14:paraId="2F517251">
                  <w:pPr>
                    <w:widowControl/>
                    <w:jc w:val="left"/>
                    <w:rPr>
                      <w:rFonts w:ascii="Times New Roman" w:hAnsi="Times New Roman"/>
                      <w:szCs w:val="21"/>
                      <w:highlight w:val="none"/>
                    </w:rPr>
                  </w:pPr>
                  <w:r>
                    <w:rPr>
                      <w:rFonts w:ascii="Times New Roman" w:hAnsi="Times New Roman"/>
                      <w:kern w:val="0"/>
                      <w:szCs w:val="21"/>
                      <w:highlight w:val="none"/>
                      <w:lang w:bidi="ar"/>
                    </w:rPr>
                    <w:t>清洗金属零部件过程中产生的废弃煤油、柴油、汽油及其他由石油和煤炼制生产的溶剂油</w:t>
                  </w:r>
                </w:p>
              </w:tc>
              <w:tc>
                <w:tcPr>
                  <w:tcW w:w="872" w:type="dxa"/>
                  <w:noWrap w:val="0"/>
                  <w:vAlign w:val="center"/>
                </w:tcPr>
                <w:p w14:paraId="4B516D22">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T,I</w:t>
                  </w:r>
                </w:p>
              </w:tc>
              <w:tc>
                <w:tcPr>
                  <w:tcW w:w="843" w:type="dxa"/>
                  <w:noWrap w:val="0"/>
                  <w:vAlign w:val="center"/>
                </w:tcPr>
                <w:p w14:paraId="2FF4805F">
                  <w:pPr>
                    <w:widowControl/>
                    <w:jc w:val="center"/>
                    <w:textAlignment w:val="center"/>
                    <w:rPr>
                      <w:rFonts w:hint="eastAsia" w:ascii="Times New Roman" w:hAnsi="Times New Roman" w:eastAsia="宋体"/>
                      <w:kern w:val="0"/>
                      <w:szCs w:val="21"/>
                      <w:highlight w:val="none"/>
                      <w:lang w:val="en-US" w:eastAsia="zh-CN" w:bidi="ar"/>
                    </w:rPr>
                  </w:pPr>
                  <w:r>
                    <w:rPr>
                      <w:rFonts w:hint="eastAsia"/>
                      <w:kern w:val="0"/>
                      <w:szCs w:val="21"/>
                      <w:highlight w:val="none"/>
                      <w:lang w:val="en-US" w:eastAsia="zh-CN" w:bidi="ar"/>
                    </w:rPr>
                    <w:t>液态</w:t>
                  </w:r>
                </w:p>
              </w:tc>
              <w:tc>
                <w:tcPr>
                  <w:tcW w:w="844" w:type="dxa"/>
                  <w:noWrap w:val="0"/>
                  <w:vAlign w:val="center"/>
                </w:tcPr>
                <w:p w14:paraId="0DB0FA99">
                  <w:pPr>
                    <w:widowControl/>
                    <w:jc w:val="center"/>
                    <w:textAlignment w:val="center"/>
                    <w:rPr>
                      <w:rFonts w:ascii="Times New Roman" w:hAnsi="Times New Roman"/>
                      <w:kern w:val="0"/>
                      <w:szCs w:val="21"/>
                      <w:highlight w:val="none"/>
                      <w:lang w:bidi="ar"/>
                    </w:rPr>
                  </w:pPr>
                  <w:r>
                    <w:rPr>
                      <w:rFonts w:hint="eastAsia"/>
                      <w:kern w:val="0"/>
                      <w:szCs w:val="21"/>
                      <w:highlight w:val="none"/>
                      <w:lang w:val="en-US" w:eastAsia="zh-CN" w:bidi="ar"/>
                    </w:rPr>
                    <w:t>油罐</w:t>
                  </w:r>
                </w:p>
              </w:tc>
            </w:tr>
            <w:tr w14:paraId="12D0A7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36D4C9DF">
                  <w:pPr>
                    <w:pStyle w:val="67"/>
                    <w:jc w:val="center"/>
                    <w:rPr>
                      <w:rFonts w:ascii="Times New Roman" w:cs="Times New Roman"/>
                      <w:color w:val="auto"/>
                      <w:sz w:val="21"/>
                      <w:szCs w:val="21"/>
                      <w:highlight w:val="none"/>
                    </w:rPr>
                  </w:pPr>
                </w:p>
              </w:tc>
              <w:tc>
                <w:tcPr>
                  <w:tcW w:w="814" w:type="dxa"/>
                  <w:vMerge w:val="continue"/>
                  <w:noWrap w:val="0"/>
                  <w:vAlign w:val="center"/>
                </w:tcPr>
                <w:p w14:paraId="490B10A2">
                  <w:pPr>
                    <w:pStyle w:val="67"/>
                    <w:jc w:val="center"/>
                    <w:rPr>
                      <w:rFonts w:ascii="Times New Roman" w:cs="Times New Roman"/>
                      <w:color w:val="auto"/>
                      <w:sz w:val="21"/>
                      <w:szCs w:val="21"/>
                      <w:highlight w:val="none"/>
                    </w:rPr>
                  </w:pPr>
                </w:p>
              </w:tc>
              <w:tc>
                <w:tcPr>
                  <w:tcW w:w="1196" w:type="dxa"/>
                  <w:noWrap w:val="0"/>
                  <w:vAlign w:val="center"/>
                </w:tcPr>
                <w:p w14:paraId="57ED207C">
                  <w:pPr>
                    <w:jc w:val="center"/>
                    <w:rPr>
                      <w:rFonts w:ascii="Times New Roman" w:hAnsi="Times New Roman"/>
                      <w:szCs w:val="21"/>
                      <w:highlight w:val="none"/>
                    </w:rPr>
                  </w:pPr>
                  <w:r>
                    <w:rPr>
                      <w:rFonts w:ascii="Times New Roman" w:hAnsi="Times New Roman"/>
                      <w:szCs w:val="21"/>
                      <w:highlight w:val="none"/>
                    </w:rPr>
                    <w:t>900-203-08</w:t>
                  </w:r>
                </w:p>
              </w:tc>
              <w:tc>
                <w:tcPr>
                  <w:tcW w:w="2960" w:type="dxa"/>
                  <w:noWrap w:val="0"/>
                  <w:vAlign w:val="center"/>
                </w:tcPr>
                <w:p w14:paraId="598F0B8B">
                  <w:pPr>
                    <w:jc w:val="left"/>
                    <w:rPr>
                      <w:rFonts w:ascii="Times New Roman" w:hAnsi="Times New Roman"/>
                      <w:szCs w:val="21"/>
                      <w:highlight w:val="none"/>
                    </w:rPr>
                  </w:pPr>
                  <w:r>
                    <w:rPr>
                      <w:rFonts w:ascii="Times New Roman" w:hAnsi="Times New Roman"/>
                      <w:szCs w:val="21"/>
                      <w:highlight w:val="none"/>
                    </w:rPr>
                    <w:t>使用淬火油进行表面硬化处理产生的废矿物油</w:t>
                  </w:r>
                </w:p>
              </w:tc>
              <w:tc>
                <w:tcPr>
                  <w:tcW w:w="872" w:type="dxa"/>
                  <w:noWrap w:val="0"/>
                  <w:vAlign w:val="center"/>
                </w:tcPr>
                <w:p w14:paraId="21ECB359">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noWrap w:val="0"/>
                  <w:vAlign w:val="center"/>
                </w:tcPr>
                <w:p w14:paraId="4C26FDD7">
                  <w:pPr>
                    <w:widowControl/>
                    <w:jc w:val="center"/>
                    <w:textAlignment w:val="center"/>
                    <w:rPr>
                      <w:rFonts w:ascii="Times New Roman" w:hAnsi="Times New Roman"/>
                      <w:kern w:val="0"/>
                      <w:szCs w:val="21"/>
                      <w:highlight w:val="none"/>
                      <w:lang w:bidi="ar"/>
                    </w:rPr>
                  </w:pPr>
                  <w:r>
                    <w:rPr>
                      <w:rFonts w:hint="eastAsia"/>
                      <w:kern w:val="0"/>
                      <w:szCs w:val="21"/>
                      <w:highlight w:val="none"/>
                      <w:lang w:val="en-US" w:eastAsia="zh-CN" w:bidi="ar"/>
                    </w:rPr>
                    <w:t>液态</w:t>
                  </w:r>
                </w:p>
              </w:tc>
              <w:tc>
                <w:tcPr>
                  <w:tcW w:w="844" w:type="dxa"/>
                  <w:noWrap w:val="0"/>
                  <w:vAlign w:val="center"/>
                </w:tcPr>
                <w:p w14:paraId="1597D327">
                  <w:pPr>
                    <w:widowControl/>
                    <w:jc w:val="center"/>
                    <w:textAlignment w:val="center"/>
                    <w:rPr>
                      <w:rFonts w:ascii="Times New Roman" w:hAnsi="Times New Roman"/>
                      <w:kern w:val="0"/>
                      <w:szCs w:val="21"/>
                      <w:highlight w:val="none"/>
                      <w:lang w:bidi="ar"/>
                    </w:rPr>
                  </w:pPr>
                  <w:r>
                    <w:rPr>
                      <w:rFonts w:hint="eastAsia"/>
                      <w:kern w:val="0"/>
                      <w:szCs w:val="21"/>
                      <w:highlight w:val="none"/>
                      <w:lang w:val="en-US" w:eastAsia="zh-CN" w:bidi="ar"/>
                    </w:rPr>
                    <w:t>油罐</w:t>
                  </w:r>
                </w:p>
              </w:tc>
            </w:tr>
            <w:tr w14:paraId="590EB4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77B09781">
                  <w:pPr>
                    <w:pStyle w:val="67"/>
                    <w:jc w:val="center"/>
                    <w:rPr>
                      <w:rFonts w:ascii="Times New Roman" w:cs="Times New Roman"/>
                      <w:color w:val="auto"/>
                      <w:sz w:val="21"/>
                      <w:szCs w:val="21"/>
                      <w:highlight w:val="none"/>
                    </w:rPr>
                  </w:pPr>
                </w:p>
              </w:tc>
              <w:tc>
                <w:tcPr>
                  <w:tcW w:w="814" w:type="dxa"/>
                  <w:vMerge w:val="continue"/>
                  <w:noWrap w:val="0"/>
                  <w:vAlign w:val="center"/>
                </w:tcPr>
                <w:p w14:paraId="20292903">
                  <w:pPr>
                    <w:pStyle w:val="67"/>
                    <w:jc w:val="center"/>
                    <w:rPr>
                      <w:rFonts w:ascii="Times New Roman" w:cs="Times New Roman"/>
                      <w:color w:val="auto"/>
                      <w:sz w:val="21"/>
                      <w:szCs w:val="21"/>
                      <w:highlight w:val="none"/>
                    </w:rPr>
                  </w:pPr>
                </w:p>
              </w:tc>
              <w:tc>
                <w:tcPr>
                  <w:tcW w:w="1196" w:type="dxa"/>
                  <w:noWrap w:val="0"/>
                  <w:vAlign w:val="center"/>
                </w:tcPr>
                <w:p w14:paraId="1B7A9D75">
                  <w:pPr>
                    <w:jc w:val="center"/>
                    <w:rPr>
                      <w:rFonts w:ascii="Times New Roman" w:hAnsi="Times New Roman"/>
                      <w:szCs w:val="21"/>
                      <w:highlight w:val="none"/>
                    </w:rPr>
                  </w:pPr>
                  <w:r>
                    <w:rPr>
                      <w:rFonts w:ascii="Times New Roman" w:hAnsi="Times New Roman"/>
                      <w:szCs w:val="21"/>
                      <w:highlight w:val="none"/>
                    </w:rPr>
                    <w:t>900-204-08</w:t>
                  </w:r>
                </w:p>
              </w:tc>
              <w:tc>
                <w:tcPr>
                  <w:tcW w:w="2960" w:type="dxa"/>
                  <w:noWrap w:val="0"/>
                  <w:vAlign w:val="center"/>
                </w:tcPr>
                <w:p w14:paraId="78457D5B">
                  <w:pPr>
                    <w:jc w:val="left"/>
                    <w:rPr>
                      <w:rFonts w:ascii="Times New Roman" w:hAnsi="Times New Roman"/>
                      <w:szCs w:val="21"/>
                      <w:highlight w:val="none"/>
                    </w:rPr>
                  </w:pPr>
                  <w:r>
                    <w:rPr>
                      <w:rFonts w:ascii="Times New Roman" w:hAnsi="Times New Roman"/>
                      <w:szCs w:val="21"/>
                      <w:highlight w:val="none"/>
                    </w:rPr>
                    <w:t>使用轧制油、冷却剂及酸进行金属轧制产生的废矿物油</w:t>
                  </w:r>
                </w:p>
              </w:tc>
              <w:tc>
                <w:tcPr>
                  <w:tcW w:w="872" w:type="dxa"/>
                  <w:noWrap w:val="0"/>
                  <w:vAlign w:val="center"/>
                </w:tcPr>
                <w:p w14:paraId="7E87024E">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noWrap w:val="0"/>
                  <w:vAlign w:val="center"/>
                </w:tcPr>
                <w:p w14:paraId="62DEF47B">
                  <w:pPr>
                    <w:widowControl/>
                    <w:jc w:val="center"/>
                    <w:textAlignment w:val="center"/>
                    <w:rPr>
                      <w:rFonts w:ascii="Times New Roman" w:hAnsi="Times New Roman"/>
                      <w:kern w:val="0"/>
                      <w:szCs w:val="21"/>
                      <w:highlight w:val="none"/>
                      <w:lang w:bidi="ar"/>
                    </w:rPr>
                  </w:pPr>
                  <w:r>
                    <w:rPr>
                      <w:rFonts w:hint="eastAsia"/>
                      <w:kern w:val="0"/>
                      <w:szCs w:val="21"/>
                      <w:highlight w:val="none"/>
                      <w:lang w:val="en-US" w:eastAsia="zh-CN" w:bidi="ar"/>
                    </w:rPr>
                    <w:t>液态</w:t>
                  </w:r>
                </w:p>
              </w:tc>
              <w:tc>
                <w:tcPr>
                  <w:tcW w:w="844" w:type="dxa"/>
                  <w:noWrap w:val="0"/>
                  <w:vAlign w:val="center"/>
                </w:tcPr>
                <w:p w14:paraId="25DBD7B8">
                  <w:pPr>
                    <w:widowControl/>
                    <w:jc w:val="center"/>
                    <w:textAlignment w:val="center"/>
                    <w:rPr>
                      <w:rFonts w:ascii="Times New Roman" w:hAnsi="Times New Roman"/>
                      <w:kern w:val="0"/>
                      <w:szCs w:val="21"/>
                      <w:highlight w:val="none"/>
                      <w:lang w:bidi="ar"/>
                    </w:rPr>
                  </w:pPr>
                  <w:r>
                    <w:rPr>
                      <w:rFonts w:hint="eastAsia"/>
                      <w:kern w:val="0"/>
                      <w:szCs w:val="21"/>
                      <w:highlight w:val="none"/>
                      <w:lang w:val="en-US" w:eastAsia="zh-CN" w:bidi="ar"/>
                    </w:rPr>
                    <w:t>油罐</w:t>
                  </w:r>
                </w:p>
              </w:tc>
            </w:tr>
            <w:tr w14:paraId="01F87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035F4B08">
                  <w:pPr>
                    <w:pStyle w:val="67"/>
                    <w:jc w:val="center"/>
                    <w:rPr>
                      <w:rFonts w:ascii="Times New Roman" w:cs="Times New Roman"/>
                      <w:color w:val="auto"/>
                      <w:sz w:val="21"/>
                      <w:szCs w:val="21"/>
                      <w:highlight w:val="none"/>
                    </w:rPr>
                  </w:pPr>
                </w:p>
              </w:tc>
              <w:tc>
                <w:tcPr>
                  <w:tcW w:w="814" w:type="dxa"/>
                  <w:vMerge w:val="continue"/>
                  <w:noWrap w:val="0"/>
                  <w:vAlign w:val="center"/>
                </w:tcPr>
                <w:p w14:paraId="421FAB49">
                  <w:pPr>
                    <w:pStyle w:val="67"/>
                    <w:jc w:val="center"/>
                    <w:rPr>
                      <w:rFonts w:ascii="Times New Roman" w:cs="Times New Roman"/>
                      <w:color w:val="auto"/>
                      <w:sz w:val="21"/>
                      <w:szCs w:val="21"/>
                      <w:highlight w:val="none"/>
                    </w:rPr>
                  </w:pPr>
                </w:p>
              </w:tc>
              <w:tc>
                <w:tcPr>
                  <w:tcW w:w="1196" w:type="dxa"/>
                  <w:noWrap w:val="0"/>
                  <w:vAlign w:val="center"/>
                </w:tcPr>
                <w:p w14:paraId="48796CBF">
                  <w:pPr>
                    <w:jc w:val="center"/>
                    <w:rPr>
                      <w:rFonts w:ascii="Times New Roman" w:hAnsi="Times New Roman"/>
                      <w:szCs w:val="21"/>
                      <w:highlight w:val="none"/>
                    </w:rPr>
                  </w:pPr>
                  <w:r>
                    <w:rPr>
                      <w:rFonts w:ascii="Times New Roman" w:hAnsi="Times New Roman"/>
                      <w:szCs w:val="21"/>
                      <w:highlight w:val="none"/>
                    </w:rPr>
                    <w:t>900-205-08</w:t>
                  </w:r>
                </w:p>
              </w:tc>
              <w:tc>
                <w:tcPr>
                  <w:tcW w:w="2960" w:type="dxa"/>
                  <w:noWrap w:val="0"/>
                  <w:vAlign w:val="center"/>
                </w:tcPr>
                <w:p w14:paraId="2FB75006">
                  <w:pPr>
                    <w:jc w:val="left"/>
                    <w:rPr>
                      <w:rFonts w:ascii="Times New Roman" w:hAnsi="Times New Roman"/>
                      <w:szCs w:val="21"/>
                      <w:highlight w:val="none"/>
                    </w:rPr>
                  </w:pPr>
                  <w:r>
                    <w:rPr>
                      <w:rFonts w:ascii="Times New Roman" w:hAnsi="Times New Roman"/>
                      <w:szCs w:val="21"/>
                      <w:highlight w:val="none"/>
                    </w:rPr>
                    <w:t>镀锡及焊锡回收工艺产生的废矿物油</w:t>
                  </w:r>
                </w:p>
              </w:tc>
              <w:tc>
                <w:tcPr>
                  <w:tcW w:w="872" w:type="dxa"/>
                  <w:noWrap w:val="0"/>
                  <w:vAlign w:val="center"/>
                </w:tcPr>
                <w:p w14:paraId="0D33451C">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noWrap w:val="0"/>
                  <w:vAlign w:val="center"/>
                </w:tcPr>
                <w:p w14:paraId="148F593F">
                  <w:pPr>
                    <w:widowControl/>
                    <w:jc w:val="center"/>
                    <w:textAlignment w:val="center"/>
                    <w:rPr>
                      <w:rFonts w:ascii="Times New Roman" w:hAnsi="Times New Roman"/>
                      <w:kern w:val="0"/>
                      <w:szCs w:val="21"/>
                      <w:highlight w:val="none"/>
                      <w:lang w:bidi="ar"/>
                    </w:rPr>
                  </w:pPr>
                  <w:r>
                    <w:rPr>
                      <w:rFonts w:hint="eastAsia"/>
                      <w:kern w:val="0"/>
                      <w:szCs w:val="21"/>
                      <w:highlight w:val="none"/>
                      <w:lang w:val="en-US" w:eastAsia="zh-CN" w:bidi="ar"/>
                    </w:rPr>
                    <w:t>液态</w:t>
                  </w:r>
                </w:p>
              </w:tc>
              <w:tc>
                <w:tcPr>
                  <w:tcW w:w="844" w:type="dxa"/>
                  <w:noWrap w:val="0"/>
                  <w:vAlign w:val="center"/>
                </w:tcPr>
                <w:p w14:paraId="612D9A75">
                  <w:pPr>
                    <w:widowControl/>
                    <w:jc w:val="center"/>
                    <w:textAlignment w:val="center"/>
                    <w:rPr>
                      <w:rFonts w:ascii="Times New Roman" w:hAnsi="Times New Roman"/>
                      <w:kern w:val="0"/>
                      <w:szCs w:val="21"/>
                      <w:highlight w:val="none"/>
                      <w:lang w:bidi="ar"/>
                    </w:rPr>
                  </w:pPr>
                  <w:r>
                    <w:rPr>
                      <w:rFonts w:hint="eastAsia"/>
                      <w:kern w:val="0"/>
                      <w:szCs w:val="21"/>
                      <w:highlight w:val="none"/>
                      <w:lang w:val="en-US" w:eastAsia="zh-CN" w:bidi="ar"/>
                    </w:rPr>
                    <w:t>油罐</w:t>
                  </w:r>
                </w:p>
              </w:tc>
            </w:tr>
            <w:tr w14:paraId="6EFA01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6EE40679">
                  <w:pPr>
                    <w:pStyle w:val="67"/>
                    <w:jc w:val="center"/>
                    <w:rPr>
                      <w:rFonts w:ascii="Times New Roman" w:cs="Times New Roman"/>
                      <w:color w:val="auto"/>
                      <w:sz w:val="21"/>
                      <w:szCs w:val="21"/>
                      <w:highlight w:val="none"/>
                    </w:rPr>
                  </w:pPr>
                </w:p>
              </w:tc>
              <w:tc>
                <w:tcPr>
                  <w:tcW w:w="814" w:type="dxa"/>
                  <w:vMerge w:val="continue"/>
                  <w:noWrap w:val="0"/>
                  <w:vAlign w:val="center"/>
                </w:tcPr>
                <w:p w14:paraId="13B19C11">
                  <w:pPr>
                    <w:pStyle w:val="67"/>
                    <w:jc w:val="center"/>
                    <w:rPr>
                      <w:rFonts w:ascii="Times New Roman" w:cs="Times New Roman"/>
                      <w:color w:val="auto"/>
                      <w:sz w:val="21"/>
                      <w:szCs w:val="21"/>
                      <w:highlight w:val="none"/>
                    </w:rPr>
                  </w:pPr>
                </w:p>
              </w:tc>
              <w:tc>
                <w:tcPr>
                  <w:tcW w:w="1196" w:type="dxa"/>
                  <w:noWrap w:val="0"/>
                  <w:vAlign w:val="center"/>
                </w:tcPr>
                <w:p w14:paraId="7D45D893">
                  <w:pPr>
                    <w:jc w:val="center"/>
                    <w:rPr>
                      <w:rFonts w:ascii="Times New Roman" w:hAnsi="Times New Roman"/>
                      <w:szCs w:val="21"/>
                      <w:highlight w:val="none"/>
                    </w:rPr>
                  </w:pPr>
                  <w:r>
                    <w:rPr>
                      <w:rFonts w:ascii="Times New Roman" w:hAnsi="Times New Roman"/>
                      <w:szCs w:val="21"/>
                      <w:highlight w:val="none"/>
                    </w:rPr>
                    <w:t>900-209-08</w:t>
                  </w:r>
                </w:p>
              </w:tc>
              <w:tc>
                <w:tcPr>
                  <w:tcW w:w="2960" w:type="dxa"/>
                  <w:noWrap w:val="0"/>
                  <w:vAlign w:val="center"/>
                </w:tcPr>
                <w:p w14:paraId="417927E4">
                  <w:pPr>
                    <w:jc w:val="left"/>
                    <w:rPr>
                      <w:rFonts w:ascii="Times New Roman" w:hAnsi="Times New Roman"/>
                      <w:szCs w:val="21"/>
                      <w:highlight w:val="none"/>
                    </w:rPr>
                  </w:pPr>
                  <w:r>
                    <w:rPr>
                      <w:rFonts w:ascii="Times New Roman" w:hAnsi="Times New Roman"/>
                      <w:szCs w:val="21"/>
                      <w:highlight w:val="none"/>
                    </w:rPr>
                    <w:t>金属、塑料的定型和物理机械表面处理过程中产生的废石蜡和润滑油</w:t>
                  </w:r>
                </w:p>
              </w:tc>
              <w:tc>
                <w:tcPr>
                  <w:tcW w:w="872" w:type="dxa"/>
                  <w:noWrap w:val="0"/>
                  <w:vAlign w:val="center"/>
                </w:tcPr>
                <w:p w14:paraId="5790C6B6">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T,I</w:t>
                  </w:r>
                </w:p>
              </w:tc>
              <w:tc>
                <w:tcPr>
                  <w:tcW w:w="843" w:type="dxa"/>
                  <w:noWrap w:val="0"/>
                  <w:vAlign w:val="center"/>
                </w:tcPr>
                <w:p w14:paraId="4E4119E3">
                  <w:pPr>
                    <w:widowControl/>
                    <w:jc w:val="center"/>
                    <w:textAlignment w:val="center"/>
                    <w:rPr>
                      <w:rFonts w:ascii="Times New Roman" w:hAnsi="Times New Roman"/>
                      <w:kern w:val="0"/>
                      <w:szCs w:val="21"/>
                      <w:highlight w:val="none"/>
                      <w:lang w:bidi="ar"/>
                    </w:rPr>
                  </w:pPr>
                  <w:r>
                    <w:rPr>
                      <w:rFonts w:hint="eastAsia"/>
                      <w:kern w:val="0"/>
                      <w:szCs w:val="21"/>
                      <w:highlight w:val="none"/>
                      <w:lang w:val="en-US" w:eastAsia="zh-CN" w:bidi="ar"/>
                    </w:rPr>
                    <w:t>液态</w:t>
                  </w:r>
                </w:p>
              </w:tc>
              <w:tc>
                <w:tcPr>
                  <w:tcW w:w="844" w:type="dxa"/>
                  <w:noWrap w:val="0"/>
                  <w:vAlign w:val="center"/>
                </w:tcPr>
                <w:p w14:paraId="2724B82D">
                  <w:pPr>
                    <w:widowControl/>
                    <w:jc w:val="center"/>
                    <w:textAlignment w:val="center"/>
                    <w:rPr>
                      <w:rFonts w:ascii="Times New Roman" w:hAnsi="Times New Roman"/>
                      <w:kern w:val="0"/>
                      <w:szCs w:val="21"/>
                      <w:highlight w:val="none"/>
                      <w:lang w:bidi="ar"/>
                    </w:rPr>
                  </w:pPr>
                  <w:r>
                    <w:rPr>
                      <w:rFonts w:hint="eastAsia"/>
                      <w:kern w:val="0"/>
                      <w:szCs w:val="21"/>
                      <w:highlight w:val="none"/>
                      <w:lang w:val="en-US" w:eastAsia="zh-CN" w:bidi="ar"/>
                    </w:rPr>
                    <w:t>油罐</w:t>
                  </w:r>
                </w:p>
              </w:tc>
            </w:tr>
            <w:tr w14:paraId="3CAA0C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4D4FA9F7">
                  <w:pPr>
                    <w:pStyle w:val="67"/>
                    <w:jc w:val="center"/>
                    <w:rPr>
                      <w:rFonts w:ascii="Times New Roman" w:cs="Times New Roman"/>
                      <w:color w:val="auto"/>
                      <w:sz w:val="21"/>
                      <w:szCs w:val="21"/>
                      <w:highlight w:val="none"/>
                    </w:rPr>
                  </w:pPr>
                </w:p>
              </w:tc>
              <w:tc>
                <w:tcPr>
                  <w:tcW w:w="814" w:type="dxa"/>
                  <w:vMerge w:val="continue"/>
                  <w:noWrap w:val="0"/>
                  <w:vAlign w:val="center"/>
                </w:tcPr>
                <w:p w14:paraId="729860B3">
                  <w:pPr>
                    <w:pStyle w:val="67"/>
                    <w:jc w:val="center"/>
                    <w:rPr>
                      <w:rFonts w:ascii="Times New Roman" w:cs="Times New Roman"/>
                      <w:color w:val="auto"/>
                      <w:sz w:val="21"/>
                      <w:szCs w:val="21"/>
                      <w:highlight w:val="none"/>
                    </w:rPr>
                  </w:pPr>
                </w:p>
              </w:tc>
              <w:tc>
                <w:tcPr>
                  <w:tcW w:w="1196" w:type="dxa"/>
                  <w:noWrap w:val="0"/>
                  <w:vAlign w:val="center"/>
                </w:tcPr>
                <w:p w14:paraId="444795E9">
                  <w:pPr>
                    <w:jc w:val="center"/>
                    <w:rPr>
                      <w:rFonts w:ascii="Times New Roman" w:hAnsi="Times New Roman"/>
                      <w:szCs w:val="21"/>
                      <w:highlight w:val="none"/>
                    </w:rPr>
                  </w:pPr>
                  <w:r>
                    <w:rPr>
                      <w:rFonts w:ascii="Times New Roman" w:hAnsi="Times New Roman"/>
                      <w:szCs w:val="21"/>
                      <w:highlight w:val="none"/>
                    </w:rPr>
                    <w:t>900-210-08</w:t>
                  </w:r>
                </w:p>
              </w:tc>
              <w:tc>
                <w:tcPr>
                  <w:tcW w:w="2960" w:type="dxa"/>
                  <w:noWrap w:val="0"/>
                  <w:vAlign w:val="center"/>
                </w:tcPr>
                <w:p w14:paraId="7FF178FD">
                  <w:pPr>
                    <w:widowControl/>
                    <w:jc w:val="left"/>
                    <w:rPr>
                      <w:rFonts w:ascii="Times New Roman" w:hAnsi="Times New Roman"/>
                      <w:szCs w:val="21"/>
                      <w:highlight w:val="none"/>
                    </w:rPr>
                  </w:pPr>
                  <w:r>
                    <w:rPr>
                      <w:rFonts w:ascii="Times New Roman" w:hAnsi="Times New Roman"/>
                      <w:kern w:val="0"/>
                      <w:szCs w:val="21"/>
                      <w:highlight w:val="none"/>
                      <w:lang w:bidi="ar"/>
                    </w:rPr>
                    <w:t>含油废水处理中隔油、气浮、沉淀等处理过程中产生的浮油、浮渣和污泥（不包括废水生化处理污泥）</w:t>
                  </w:r>
                </w:p>
              </w:tc>
              <w:tc>
                <w:tcPr>
                  <w:tcW w:w="872" w:type="dxa"/>
                  <w:noWrap w:val="0"/>
                  <w:vAlign w:val="center"/>
                </w:tcPr>
                <w:p w14:paraId="6AD7F1DE">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T,I</w:t>
                  </w:r>
                </w:p>
              </w:tc>
              <w:tc>
                <w:tcPr>
                  <w:tcW w:w="843" w:type="dxa"/>
                  <w:noWrap w:val="0"/>
                  <w:vAlign w:val="center"/>
                </w:tcPr>
                <w:p w14:paraId="4E3C9BC3">
                  <w:pPr>
                    <w:widowControl/>
                    <w:jc w:val="center"/>
                    <w:textAlignment w:val="center"/>
                    <w:rPr>
                      <w:rFonts w:ascii="Times New Roman" w:hAnsi="Times New Roman"/>
                      <w:kern w:val="0"/>
                      <w:szCs w:val="21"/>
                      <w:highlight w:val="none"/>
                      <w:lang w:bidi="ar"/>
                    </w:rPr>
                  </w:pPr>
                  <w:r>
                    <w:rPr>
                      <w:rFonts w:hint="eastAsia"/>
                      <w:kern w:val="0"/>
                      <w:szCs w:val="21"/>
                      <w:highlight w:val="none"/>
                      <w:lang w:val="en-US" w:eastAsia="zh-CN" w:bidi="ar"/>
                    </w:rPr>
                    <w:t>液态</w:t>
                  </w:r>
                </w:p>
              </w:tc>
              <w:tc>
                <w:tcPr>
                  <w:tcW w:w="844" w:type="dxa"/>
                  <w:noWrap w:val="0"/>
                  <w:vAlign w:val="center"/>
                </w:tcPr>
                <w:p w14:paraId="2A8E6341">
                  <w:pPr>
                    <w:widowControl/>
                    <w:jc w:val="center"/>
                    <w:textAlignment w:val="center"/>
                    <w:rPr>
                      <w:rFonts w:ascii="Times New Roman" w:hAnsi="Times New Roman"/>
                      <w:kern w:val="0"/>
                      <w:szCs w:val="21"/>
                      <w:highlight w:val="none"/>
                      <w:lang w:bidi="ar"/>
                    </w:rPr>
                  </w:pPr>
                  <w:r>
                    <w:rPr>
                      <w:rFonts w:hint="eastAsia"/>
                      <w:kern w:val="0"/>
                      <w:szCs w:val="21"/>
                      <w:highlight w:val="none"/>
                      <w:lang w:val="en-US" w:eastAsia="zh-CN" w:bidi="ar"/>
                    </w:rPr>
                    <w:t>油罐</w:t>
                  </w:r>
                </w:p>
              </w:tc>
            </w:tr>
            <w:tr w14:paraId="43CB41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6D46BDB0">
                  <w:pPr>
                    <w:pStyle w:val="67"/>
                    <w:jc w:val="center"/>
                    <w:rPr>
                      <w:rFonts w:ascii="Times New Roman" w:cs="Times New Roman"/>
                      <w:color w:val="auto"/>
                      <w:sz w:val="21"/>
                      <w:szCs w:val="21"/>
                      <w:highlight w:val="none"/>
                    </w:rPr>
                  </w:pPr>
                </w:p>
              </w:tc>
              <w:tc>
                <w:tcPr>
                  <w:tcW w:w="814" w:type="dxa"/>
                  <w:vMerge w:val="continue"/>
                  <w:noWrap w:val="0"/>
                  <w:vAlign w:val="center"/>
                </w:tcPr>
                <w:p w14:paraId="11CC830D">
                  <w:pPr>
                    <w:pStyle w:val="67"/>
                    <w:jc w:val="center"/>
                    <w:rPr>
                      <w:rFonts w:ascii="Times New Roman" w:cs="Times New Roman"/>
                      <w:color w:val="auto"/>
                      <w:sz w:val="21"/>
                      <w:szCs w:val="21"/>
                      <w:highlight w:val="none"/>
                    </w:rPr>
                  </w:pPr>
                </w:p>
              </w:tc>
              <w:tc>
                <w:tcPr>
                  <w:tcW w:w="1196" w:type="dxa"/>
                  <w:noWrap w:val="0"/>
                  <w:vAlign w:val="center"/>
                </w:tcPr>
                <w:p w14:paraId="59764983">
                  <w:pPr>
                    <w:jc w:val="center"/>
                    <w:rPr>
                      <w:rFonts w:ascii="Times New Roman" w:hAnsi="Times New Roman"/>
                      <w:szCs w:val="21"/>
                      <w:highlight w:val="none"/>
                    </w:rPr>
                  </w:pPr>
                  <w:r>
                    <w:rPr>
                      <w:rFonts w:ascii="Times New Roman" w:hAnsi="Times New Roman"/>
                      <w:szCs w:val="21"/>
                      <w:highlight w:val="none"/>
                    </w:rPr>
                    <w:t>900-213-08</w:t>
                  </w:r>
                </w:p>
              </w:tc>
              <w:tc>
                <w:tcPr>
                  <w:tcW w:w="2960" w:type="dxa"/>
                  <w:noWrap w:val="0"/>
                  <w:vAlign w:val="center"/>
                </w:tcPr>
                <w:p w14:paraId="7FC678C4">
                  <w:pPr>
                    <w:widowControl/>
                    <w:jc w:val="left"/>
                    <w:rPr>
                      <w:rFonts w:ascii="Times New Roman" w:hAnsi="Times New Roman"/>
                      <w:szCs w:val="21"/>
                      <w:highlight w:val="none"/>
                    </w:rPr>
                  </w:pPr>
                  <w:r>
                    <w:rPr>
                      <w:rFonts w:ascii="Times New Roman" w:hAnsi="Times New Roman"/>
                      <w:kern w:val="0"/>
                      <w:szCs w:val="21"/>
                      <w:highlight w:val="none"/>
                      <w:lang w:bidi="ar"/>
                    </w:rPr>
                    <w:t>废矿物油再生净化过程中产生的沉淀残渣、过滤残渣、废过滤吸附介质</w:t>
                  </w:r>
                </w:p>
              </w:tc>
              <w:tc>
                <w:tcPr>
                  <w:tcW w:w="872" w:type="dxa"/>
                  <w:noWrap w:val="0"/>
                  <w:vAlign w:val="center"/>
                </w:tcPr>
                <w:p w14:paraId="298A5B01">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T,I</w:t>
                  </w:r>
                </w:p>
              </w:tc>
              <w:tc>
                <w:tcPr>
                  <w:tcW w:w="843" w:type="dxa"/>
                  <w:noWrap w:val="0"/>
                  <w:vAlign w:val="center"/>
                </w:tcPr>
                <w:p w14:paraId="03568C7D">
                  <w:pPr>
                    <w:widowControl/>
                    <w:jc w:val="center"/>
                    <w:textAlignment w:val="center"/>
                    <w:rPr>
                      <w:rFonts w:ascii="Times New Roman" w:hAnsi="Times New Roman"/>
                      <w:kern w:val="0"/>
                      <w:szCs w:val="21"/>
                      <w:highlight w:val="none"/>
                      <w:lang w:bidi="ar"/>
                    </w:rPr>
                  </w:pPr>
                  <w:r>
                    <w:rPr>
                      <w:rFonts w:hint="eastAsia"/>
                      <w:kern w:val="0"/>
                      <w:szCs w:val="21"/>
                      <w:highlight w:val="none"/>
                      <w:lang w:val="en-US" w:eastAsia="zh-CN" w:bidi="ar"/>
                    </w:rPr>
                    <w:t>液态</w:t>
                  </w:r>
                </w:p>
              </w:tc>
              <w:tc>
                <w:tcPr>
                  <w:tcW w:w="844" w:type="dxa"/>
                  <w:noWrap w:val="0"/>
                  <w:vAlign w:val="center"/>
                </w:tcPr>
                <w:p w14:paraId="391D5F8D">
                  <w:pPr>
                    <w:widowControl/>
                    <w:jc w:val="center"/>
                    <w:textAlignment w:val="center"/>
                    <w:rPr>
                      <w:rFonts w:ascii="Times New Roman" w:hAnsi="Times New Roman"/>
                      <w:kern w:val="0"/>
                      <w:szCs w:val="21"/>
                      <w:highlight w:val="none"/>
                      <w:lang w:bidi="ar"/>
                    </w:rPr>
                  </w:pPr>
                  <w:r>
                    <w:rPr>
                      <w:rFonts w:hint="eastAsia"/>
                      <w:kern w:val="0"/>
                      <w:szCs w:val="21"/>
                      <w:highlight w:val="none"/>
                      <w:lang w:val="en-US" w:eastAsia="zh-CN" w:bidi="ar"/>
                    </w:rPr>
                    <w:t>油罐</w:t>
                  </w:r>
                </w:p>
              </w:tc>
            </w:tr>
            <w:tr w14:paraId="5D1FD9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2C5F5614">
                  <w:pPr>
                    <w:pStyle w:val="67"/>
                    <w:jc w:val="center"/>
                    <w:rPr>
                      <w:rFonts w:ascii="Times New Roman" w:cs="Times New Roman"/>
                      <w:color w:val="auto"/>
                      <w:sz w:val="21"/>
                      <w:szCs w:val="21"/>
                      <w:highlight w:val="none"/>
                    </w:rPr>
                  </w:pPr>
                </w:p>
              </w:tc>
              <w:tc>
                <w:tcPr>
                  <w:tcW w:w="814" w:type="dxa"/>
                  <w:vMerge w:val="continue"/>
                  <w:noWrap w:val="0"/>
                  <w:vAlign w:val="center"/>
                </w:tcPr>
                <w:p w14:paraId="634321C1">
                  <w:pPr>
                    <w:pStyle w:val="67"/>
                    <w:jc w:val="center"/>
                    <w:rPr>
                      <w:rFonts w:ascii="Times New Roman" w:cs="Times New Roman"/>
                      <w:color w:val="auto"/>
                      <w:sz w:val="21"/>
                      <w:szCs w:val="21"/>
                      <w:highlight w:val="none"/>
                    </w:rPr>
                  </w:pPr>
                </w:p>
              </w:tc>
              <w:tc>
                <w:tcPr>
                  <w:tcW w:w="1196" w:type="dxa"/>
                  <w:noWrap w:val="0"/>
                  <w:vAlign w:val="center"/>
                </w:tcPr>
                <w:p w14:paraId="6EEA71B0">
                  <w:pPr>
                    <w:jc w:val="center"/>
                    <w:rPr>
                      <w:rFonts w:ascii="Times New Roman" w:hAnsi="Times New Roman"/>
                      <w:szCs w:val="21"/>
                      <w:highlight w:val="none"/>
                    </w:rPr>
                  </w:pPr>
                  <w:r>
                    <w:rPr>
                      <w:rFonts w:ascii="Times New Roman" w:hAnsi="Times New Roman"/>
                      <w:szCs w:val="21"/>
                      <w:highlight w:val="none"/>
                    </w:rPr>
                    <w:t>900-214-08</w:t>
                  </w:r>
                </w:p>
              </w:tc>
              <w:tc>
                <w:tcPr>
                  <w:tcW w:w="2960" w:type="dxa"/>
                  <w:noWrap w:val="0"/>
                  <w:vAlign w:val="center"/>
                </w:tcPr>
                <w:p w14:paraId="5372C81B">
                  <w:pPr>
                    <w:widowControl/>
                    <w:jc w:val="left"/>
                    <w:rPr>
                      <w:rFonts w:ascii="Times New Roman" w:hAnsi="Times New Roman"/>
                      <w:szCs w:val="21"/>
                      <w:highlight w:val="none"/>
                    </w:rPr>
                  </w:pPr>
                  <w:r>
                    <w:rPr>
                      <w:rFonts w:ascii="Times New Roman" w:hAnsi="Times New Roman"/>
                      <w:kern w:val="0"/>
                      <w:szCs w:val="21"/>
                      <w:highlight w:val="none"/>
                      <w:lang w:bidi="ar"/>
                    </w:rPr>
                    <w:t>车辆、轮船及</w:t>
                  </w:r>
                  <w:r>
                    <w:rPr>
                      <w:rFonts w:hint="eastAsia"/>
                      <w:kern w:val="0"/>
                      <w:szCs w:val="21"/>
                      <w:highlight w:val="none"/>
                      <w:lang w:eastAsia="zh-CN" w:bidi="ar"/>
                    </w:rPr>
                    <w:t>其他机械</w:t>
                  </w:r>
                  <w:r>
                    <w:rPr>
                      <w:rFonts w:ascii="Times New Roman" w:hAnsi="Times New Roman"/>
                      <w:kern w:val="0"/>
                      <w:szCs w:val="21"/>
                      <w:highlight w:val="none"/>
                      <w:lang w:bidi="ar"/>
                    </w:rPr>
                    <w:t>维修过程中产生的废发动机油、制动器油、自动变速器油、齿轮油等废润滑油</w:t>
                  </w:r>
                </w:p>
              </w:tc>
              <w:tc>
                <w:tcPr>
                  <w:tcW w:w="872" w:type="dxa"/>
                  <w:noWrap w:val="0"/>
                  <w:vAlign w:val="center"/>
                </w:tcPr>
                <w:p w14:paraId="0DA97A2F">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T,I</w:t>
                  </w:r>
                </w:p>
              </w:tc>
              <w:tc>
                <w:tcPr>
                  <w:tcW w:w="843" w:type="dxa"/>
                  <w:noWrap w:val="0"/>
                  <w:vAlign w:val="center"/>
                </w:tcPr>
                <w:p w14:paraId="5D6A67A3">
                  <w:pPr>
                    <w:widowControl/>
                    <w:jc w:val="center"/>
                    <w:textAlignment w:val="center"/>
                    <w:rPr>
                      <w:rFonts w:ascii="Times New Roman" w:hAnsi="Times New Roman"/>
                      <w:kern w:val="0"/>
                      <w:szCs w:val="21"/>
                      <w:highlight w:val="none"/>
                      <w:lang w:bidi="ar"/>
                    </w:rPr>
                  </w:pPr>
                  <w:r>
                    <w:rPr>
                      <w:rFonts w:hint="eastAsia"/>
                      <w:kern w:val="0"/>
                      <w:szCs w:val="21"/>
                      <w:highlight w:val="none"/>
                      <w:lang w:val="en-US" w:eastAsia="zh-CN" w:bidi="ar"/>
                    </w:rPr>
                    <w:t>液态</w:t>
                  </w:r>
                </w:p>
              </w:tc>
              <w:tc>
                <w:tcPr>
                  <w:tcW w:w="844" w:type="dxa"/>
                  <w:noWrap w:val="0"/>
                  <w:vAlign w:val="center"/>
                </w:tcPr>
                <w:p w14:paraId="76FDE3AB">
                  <w:pPr>
                    <w:widowControl/>
                    <w:jc w:val="center"/>
                    <w:textAlignment w:val="center"/>
                    <w:rPr>
                      <w:rFonts w:ascii="Times New Roman" w:hAnsi="Times New Roman"/>
                      <w:kern w:val="0"/>
                      <w:szCs w:val="21"/>
                      <w:highlight w:val="none"/>
                      <w:lang w:bidi="ar"/>
                    </w:rPr>
                  </w:pPr>
                  <w:r>
                    <w:rPr>
                      <w:rFonts w:hint="eastAsia"/>
                      <w:kern w:val="0"/>
                      <w:szCs w:val="21"/>
                      <w:highlight w:val="none"/>
                      <w:lang w:val="en-US" w:eastAsia="zh-CN" w:bidi="ar"/>
                    </w:rPr>
                    <w:t>油罐</w:t>
                  </w:r>
                </w:p>
              </w:tc>
            </w:tr>
            <w:tr w14:paraId="4948F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0D5EA488">
                  <w:pPr>
                    <w:pStyle w:val="67"/>
                    <w:jc w:val="center"/>
                    <w:rPr>
                      <w:rFonts w:ascii="Times New Roman" w:cs="Times New Roman"/>
                      <w:color w:val="auto"/>
                      <w:sz w:val="21"/>
                      <w:szCs w:val="21"/>
                      <w:highlight w:val="none"/>
                    </w:rPr>
                  </w:pPr>
                </w:p>
              </w:tc>
              <w:tc>
                <w:tcPr>
                  <w:tcW w:w="814" w:type="dxa"/>
                  <w:vMerge w:val="continue"/>
                  <w:noWrap w:val="0"/>
                  <w:vAlign w:val="center"/>
                </w:tcPr>
                <w:p w14:paraId="123C441D">
                  <w:pPr>
                    <w:pStyle w:val="67"/>
                    <w:jc w:val="center"/>
                    <w:rPr>
                      <w:rFonts w:ascii="Times New Roman" w:cs="Times New Roman"/>
                      <w:color w:val="auto"/>
                      <w:sz w:val="21"/>
                      <w:szCs w:val="21"/>
                      <w:highlight w:val="none"/>
                    </w:rPr>
                  </w:pPr>
                </w:p>
              </w:tc>
              <w:tc>
                <w:tcPr>
                  <w:tcW w:w="1196" w:type="dxa"/>
                  <w:noWrap w:val="0"/>
                  <w:vAlign w:val="center"/>
                </w:tcPr>
                <w:p w14:paraId="275DE067">
                  <w:pPr>
                    <w:jc w:val="center"/>
                    <w:rPr>
                      <w:rFonts w:ascii="Times New Roman" w:hAnsi="Times New Roman"/>
                      <w:szCs w:val="21"/>
                      <w:highlight w:val="none"/>
                    </w:rPr>
                  </w:pPr>
                  <w:r>
                    <w:rPr>
                      <w:rFonts w:ascii="Times New Roman" w:hAnsi="Times New Roman"/>
                      <w:szCs w:val="21"/>
                      <w:highlight w:val="none"/>
                    </w:rPr>
                    <w:t>900-215-08</w:t>
                  </w:r>
                </w:p>
              </w:tc>
              <w:tc>
                <w:tcPr>
                  <w:tcW w:w="2960" w:type="dxa"/>
                  <w:noWrap w:val="0"/>
                  <w:vAlign w:val="center"/>
                </w:tcPr>
                <w:p w14:paraId="51A9E30A">
                  <w:pPr>
                    <w:widowControl/>
                    <w:jc w:val="left"/>
                    <w:rPr>
                      <w:rFonts w:ascii="Times New Roman" w:hAnsi="Times New Roman"/>
                      <w:szCs w:val="21"/>
                      <w:highlight w:val="none"/>
                    </w:rPr>
                  </w:pPr>
                  <w:r>
                    <w:rPr>
                      <w:rFonts w:ascii="Times New Roman" w:hAnsi="Times New Roman"/>
                      <w:kern w:val="0"/>
                      <w:szCs w:val="21"/>
                      <w:highlight w:val="none"/>
                      <w:lang w:bidi="ar"/>
                    </w:rPr>
                    <w:t>废矿物油裂解再生过程中产生的裂解残渣</w:t>
                  </w:r>
                </w:p>
              </w:tc>
              <w:tc>
                <w:tcPr>
                  <w:tcW w:w="872" w:type="dxa"/>
                  <w:noWrap w:val="0"/>
                  <w:vAlign w:val="center"/>
                </w:tcPr>
                <w:p w14:paraId="61EE6FBC">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T,I</w:t>
                  </w:r>
                </w:p>
              </w:tc>
              <w:tc>
                <w:tcPr>
                  <w:tcW w:w="843" w:type="dxa"/>
                  <w:noWrap w:val="0"/>
                  <w:vAlign w:val="center"/>
                </w:tcPr>
                <w:p w14:paraId="4930783A">
                  <w:pPr>
                    <w:widowControl/>
                    <w:jc w:val="center"/>
                    <w:textAlignment w:val="center"/>
                    <w:rPr>
                      <w:rFonts w:ascii="Times New Roman" w:hAnsi="Times New Roman"/>
                      <w:kern w:val="0"/>
                      <w:szCs w:val="21"/>
                      <w:highlight w:val="none"/>
                      <w:lang w:bidi="ar"/>
                    </w:rPr>
                  </w:pPr>
                  <w:r>
                    <w:rPr>
                      <w:rFonts w:hint="eastAsia"/>
                      <w:kern w:val="0"/>
                      <w:szCs w:val="21"/>
                      <w:highlight w:val="none"/>
                      <w:lang w:val="en-US" w:eastAsia="zh-CN" w:bidi="ar"/>
                    </w:rPr>
                    <w:t>液态</w:t>
                  </w:r>
                </w:p>
              </w:tc>
              <w:tc>
                <w:tcPr>
                  <w:tcW w:w="844" w:type="dxa"/>
                  <w:noWrap w:val="0"/>
                  <w:vAlign w:val="center"/>
                </w:tcPr>
                <w:p w14:paraId="7D745297">
                  <w:pPr>
                    <w:widowControl/>
                    <w:jc w:val="center"/>
                    <w:textAlignment w:val="center"/>
                    <w:rPr>
                      <w:rFonts w:ascii="Times New Roman" w:hAnsi="Times New Roman"/>
                      <w:kern w:val="0"/>
                      <w:szCs w:val="21"/>
                      <w:highlight w:val="none"/>
                      <w:lang w:bidi="ar"/>
                    </w:rPr>
                  </w:pPr>
                  <w:r>
                    <w:rPr>
                      <w:rFonts w:hint="eastAsia"/>
                      <w:kern w:val="0"/>
                      <w:szCs w:val="21"/>
                      <w:highlight w:val="none"/>
                      <w:lang w:val="en-US" w:eastAsia="zh-CN" w:bidi="ar"/>
                    </w:rPr>
                    <w:t>油罐</w:t>
                  </w:r>
                </w:p>
              </w:tc>
            </w:tr>
            <w:tr w14:paraId="2578E7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6276149A">
                  <w:pPr>
                    <w:pStyle w:val="67"/>
                    <w:jc w:val="center"/>
                    <w:rPr>
                      <w:rFonts w:ascii="Times New Roman" w:cs="Times New Roman"/>
                      <w:color w:val="auto"/>
                      <w:sz w:val="21"/>
                      <w:szCs w:val="21"/>
                      <w:highlight w:val="none"/>
                    </w:rPr>
                  </w:pPr>
                </w:p>
              </w:tc>
              <w:tc>
                <w:tcPr>
                  <w:tcW w:w="814" w:type="dxa"/>
                  <w:vMerge w:val="continue"/>
                  <w:noWrap w:val="0"/>
                  <w:vAlign w:val="center"/>
                </w:tcPr>
                <w:p w14:paraId="2552BC5D">
                  <w:pPr>
                    <w:pStyle w:val="67"/>
                    <w:jc w:val="center"/>
                    <w:rPr>
                      <w:rFonts w:ascii="Times New Roman" w:cs="Times New Roman"/>
                      <w:color w:val="auto"/>
                      <w:sz w:val="21"/>
                      <w:szCs w:val="21"/>
                      <w:highlight w:val="none"/>
                    </w:rPr>
                  </w:pPr>
                </w:p>
              </w:tc>
              <w:tc>
                <w:tcPr>
                  <w:tcW w:w="1196" w:type="dxa"/>
                  <w:noWrap w:val="0"/>
                  <w:vAlign w:val="center"/>
                </w:tcPr>
                <w:p w14:paraId="5BAEFB2A">
                  <w:pPr>
                    <w:jc w:val="center"/>
                    <w:rPr>
                      <w:rFonts w:ascii="Times New Roman" w:hAnsi="Times New Roman"/>
                      <w:szCs w:val="21"/>
                      <w:highlight w:val="none"/>
                    </w:rPr>
                  </w:pPr>
                  <w:r>
                    <w:rPr>
                      <w:rFonts w:ascii="Times New Roman" w:hAnsi="Times New Roman"/>
                      <w:szCs w:val="21"/>
                      <w:highlight w:val="none"/>
                    </w:rPr>
                    <w:t>900-216-08</w:t>
                  </w:r>
                </w:p>
              </w:tc>
              <w:tc>
                <w:tcPr>
                  <w:tcW w:w="2960" w:type="dxa"/>
                  <w:noWrap w:val="0"/>
                  <w:vAlign w:val="center"/>
                </w:tcPr>
                <w:p w14:paraId="317F9C04">
                  <w:pPr>
                    <w:widowControl/>
                    <w:jc w:val="left"/>
                    <w:rPr>
                      <w:rFonts w:ascii="Times New Roman" w:hAnsi="Times New Roman"/>
                      <w:szCs w:val="21"/>
                      <w:highlight w:val="none"/>
                    </w:rPr>
                  </w:pPr>
                  <w:r>
                    <w:rPr>
                      <w:rFonts w:ascii="Times New Roman" w:hAnsi="Times New Roman"/>
                      <w:kern w:val="0"/>
                      <w:szCs w:val="21"/>
                      <w:highlight w:val="none"/>
                      <w:lang w:bidi="ar"/>
                    </w:rPr>
                    <w:t>使用防锈油进行铸件表面防锈处理过程中产生的废防锈油</w:t>
                  </w:r>
                </w:p>
              </w:tc>
              <w:tc>
                <w:tcPr>
                  <w:tcW w:w="872" w:type="dxa"/>
                  <w:noWrap w:val="0"/>
                  <w:vAlign w:val="center"/>
                </w:tcPr>
                <w:p w14:paraId="19E0D7D4">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T,I</w:t>
                  </w:r>
                </w:p>
              </w:tc>
              <w:tc>
                <w:tcPr>
                  <w:tcW w:w="843" w:type="dxa"/>
                  <w:noWrap w:val="0"/>
                  <w:vAlign w:val="center"/>
                </w:tcPr>
                <w:p w14:paraId="7D3FB5FB">
                  <w:pPr>
                    <w:widowControl/>
                    <w:jc w:val="center"/>
                    <w:textAlignment w:val="center"/>
                    <w:rPr>
                      <w:rFonts w:ascii="Times New Roman" w:hAnsi="Times New Roman"/>
                      <w:kern w:val="0"/>
                      <w:szCs w:val="21"/>
                      <w:highlight w:val="none"/>
                      <w:lang w:bidi="ar"/>
                    </w:rPr>
                  </w:pPr>
                  <w:r>
                    <w:rPr>
                      <w:rFonts w:hint="eastAsia"/>
                      <w:kern w:val="0"/>
                      <w:szCs w:val="21"/>
                      <w:highlight w:val="none"/>
                      <w:lang w:val="en-US" w:eastAsia="zh-CN" w:bidi="ar"/>
                    </w:rPr>
                    <w:t>液态</w:t>
                  </w:r>
                </w:p>
              </w:tc>
              <w:tc>
                <w:tcPr>
                  <w:tcW w:w="844" w:type="dxa"/>
                  <w:noWrap w:val="0"/>
                  <w:vAlign w:val="center"/>
                </w:tcPr>
                <w:p w14:paraId="1C6CA33F">
                  <w:pPr>
                    <w:widowControl/>
                    <w:jc w:val="center"/>
                    <w:textAlignment w:val="center"/>
                    <w:rPr>
                      <w:rFonts w:ascii="Times New Roman" w:hAnsi="Times New Roman"/>
                      <w:kern w:val="0"/>
                      <w:szCs w:val="21"/>
                      <w:highlight w:val="none"/>
                      <w:lang w:bidi="ar"/>
                    </w:rPr>
                  </w:pPr>
                  <w:r>
                    <w:rPr>
                      <w:rFonts w:hint="eastAsia"/>
                      <w:kern w:val="0"/>
                      <w:szCs w:val="21"/>
                      <w:highlight w:val="none"/>
                      <w:lang w:val="en-US" w:eastAsia="zh-CN" w:bidi="ar"/>
                    </w:rPr>
                    <w:t>油罐</w:t>
                  </w:r>
                </w:p>
              </w:tc>
            </w:tr>
            <w:tr w14:paraId="0E88EE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7D603170">
                  <w:pPr>
                    <w:pStyle w:val="67"/>
                    <w:jc w:val="center"/>
                    <w:rPr>
                      <w:rFonts w:ascii="Times New Roman" w:cs="Times New Roman"/>
                      <w:color w:val="auto"/>
                      <w:sz w:val="21"/>
                      <w:szCs w:val="21"/>
                      <w:highlight w:val="none"/>
                    </w:rPr>
                  </w:pPr>
                </w:p>
              </w:tc>
              <w:tc>
                <w:tcPr>
                  <w:tcW w:w="814" w:type="dxa"/>
                  <w:vMerge w:val="continue"/>
                  <w:noWrap w:val="0"/>
                  <w:vAlign w:val="center"/>
                </w:tcPr>
                <w:p w14:paraId="3D0A588C">
                  <w:pPr>
                    <w:pStyle w:val="67"/>
                    <w:jc w:val="center"/>
                    <w:rPr>
                      <w:rFonts w:ascii="Times New Roman" w:cs="Times New Roman"/>
                      <w:color w:val="auto"/>
                      <w:sz w:val="21"/>
                      <w:szCs w:val="21"/>
                      <w:highlight w:val="none"/>
                    </w:rPr>
                  </w:pPr>
                </w:p>
              </w:tc>
              <w:tc>
                <w:tcPr>
                  <w:tcW w:w="1196" w:type="dxa"/>
                  <w:noWrap w:val="0"/>
                  <w:vAlign w:val="center"/>
                </w:tcPr>
                <w:p w14:paraId="30D6981D">
                  <w:pPr>
                    <w:jc w:val="center"/>
                    <w:rPr>
                      <w:rFonts w:ascii="Times New Roman" w:hAnsi="Times New Roman"/>
                      <w:szCs w:val="21"/>
                      <w:highlight w:val="none"/>
                    </w:rPr>
                  </w:pPr>
                  <w:r>
                    <w:rPr>
                      <w:rFonts w:ascii="Times New Roman" w:hAnsi="Times New Roman"/>
                      <w:szCs w:val="21"/>
                      <w:highlight w:val="none"/>
                    </w:rPr>
                    <w:t>900-217-08</w:t>
                  </w:r>
                </w:p>
              </w:tc>
              <w:tc>
                <w:tcPr>
                  <w:tcW w:w="2960" w:type="dxa"/>
                  <w:noWrap w:val="0"/>
                  <w:vAlign w:val="center"/>
                </w:tcPr>
                <w:p w14:paraId="2A74E383">
                  <w:pPr>
                    <w:widowControl/>
                    <w:jc w:val="left"/>
                    <w:rPr>
                      <w:rFonts w:ascii="Times New Roman" w:hAnsi="Times New Roman"/>
                      <w:szCs w:val="21"/>
                      <w:highlight w:val="none"/>
                    </w:rPr>
                  </w:pPr>
                  <w:r>
                    <w:rPr>
                      <w:rFonts w:ascii="Times New Roman" w:hAnsi="Times New Roman"/>
                      <w:kern w:val="0"/>
                      <w:szCs w:val="21"/>
                      <w:highlight w:val="none"/>
                      <w:lang w:bidi="ar"/>
                    </w:rPr>
                    <w:t>使用工业齿轮油进行机械设备润滑过程中产生的废润滑油</w:t>
                  </w:r>
                </w:p>
              </w:tc>
              <w:tc>
                <w:tcPr>
                  <w:tcW w:w="872" w:type="dxa"/>
                  <w:noWrap w:val="0"/>
                  <w:vAlign w:val="center"/>
                </w:tcPr>
                <w:p w14:paraId="312A0B5B">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T,I</w:t>
                  </w:r>
                </w:p>
              </w:tc>
              <w:tc>
                <w:tcPr>
                  <w:tcW w:w="843" w:type="dxa"/>
                  <w:noWrap w:val="0"/>
                  <w:vAlign w:val="center"/>
                </w:tcPr>
                <w:p w14:paraId="67A844F2">
                  <w:pPr>
                    <w:widowControl/>
                    <w:jc w:val="center"/>
                    <w:textAlignment w:val="center"/>
                    <w:rPr>
                      <w:rFonts w:ascii="Times New Roman" w:hAnsi="Times New Roman"/>
                      <w:kern w:val="0"/>
                      <w:szCs w:val="21"/>
                      <w:highlight w:val="none"/>
                      <w:lang w:bidi="ar"/>
                    </w:rPr>
                  </w:pPr>
                  <w:r>
                    <w:rPr>
                      <w:rFonts w:hint="eastAsia"/>
                      <w:kern w:val="0"/>
                      <w:szCs w:val="21"/>
                      <w:highlight w:val="none"/>
                      <w:lang w:val="en-US" w:eastAsia="zh-CN" w:bidi="ar"/>
                    </w:rPr>
                    <w:t>液态</w:t>
                  </w:r>
                </w:p>
              </w:tc>
              <w:tc>
                <w:tcPr>
                  <w:tcW w:w="844" w:type="dxa"/>
                  <w:noWrap w:val="0"/>
                  <w:vAlign w:val="center"/>
                </w:tcPr>
                <w:p w14:paraId="4F7D0A3E">
                  <w:pPr>
                    <w:widowControl/>
                    <w:jc w:val="center"/>
                    <w:textAlignment w:val="center"/>
                    <w:rPr>
                      <w:rFonts w:ascii="Times New Roman" w:hAnsi="Times New Roman"/>
                      <w:kern w:val="0"/>
                      <w:szCs w:val="21"/>
                      <w:highlight w:val="none"/>
                      <w:lang w:bidi="ar"/>
                    </w:rPr>
                  </w:pPr>
                  <w:r>
                    <w:rPr>
                      <w:rFonts w:hint="eastAsia"/>
                      <w:kern w:val="0"/>
                      <w:szCs w:val="21"/>
                      <w:highlight w:val="none"/>
                      <w:lang w:val="en-US" w:eastAsia="zh-CN" w:bidi="ar"/>
                    </w:rPr>
                    <w:t>油罐</w:t>
                  </w:r>
                </w:p>
              </w:tc>
            </w:tr>
            <w:tr w14:paraId="1FBA93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695849E6">
                  <w:pPr>
                    <w:pStyle w:val="67"/>
                    <w:jc w:val="center"/>
                    <w:rPr>
                      <w:rFonts w:ascii="Times New Roman" w:cs="Times New Roman"/>
                      <w:color w:val="auto"/>
                      <w:sz w:val="21"/>
                      <w:szCs w:val="21"/>
                      <w:highlight w:val="none"/>
                    </w:rPr>
                  </w:pPr>
                </w:p>
              </w:tc>
              <w:tc>
                <w:tcPr>
                  <w:tcW w:w="814" w:type="dxa"/>
                  <w:vMerge w:val="continue"/>
                  <w:noWrap w:val="0"/>
                  <w:vAlign w:val="center"/>
                </w:tcPr>
                <w:p w14:paraId="003C6A91">
                  <w:pPr>
                    <w:pStyle w:val="67"/>
                    <w:jc w:val="center"/>
                    <w:rPr>
                      <w:rFonts w:ascii="Times New Roman" w:cs="Times New Roman"/>
                      <w:color w:val="auto"/>
                      <w:sz w:val="21"/>
                      <w:szCs w:val="21"/>
                      <w:highlight w:val="none"/>
                    </w:rPr>
                  </w:pPr>
                </w:p>
              </w:tc>
              <w:tc>
                <w:tcPr>
                  <w:tcW w:w="1196" w:type="dxa"/>
                  <w:noWrap w:val="0"/>
                  <w:vAlign w:val="center"/>
                </w:tcPr>
                <w:p w14:paraId="3F0C4575">
                  <w:pPr>
                    <w:jc w:val="center"/>
                    <w:rPr>
                      <w:rFonts w:ascii="Times New Roman" w:hAnsi="Times New Roman"/>
                      <w:szCs w:val="21"/>
                      <w:highlight w:val="none"/>
                    </w:rPr>
                  </w:pPr>
                  <w:r>
                    <w:rPr>
                      <w:rFonts w:ascii="Times New Roman" w:hAnsi="Times New Roman"/>
                      <w:szCs w:val="21"/>
                      <w:highlight w:val="none"/>
                    </w:rPr>
                    <w:t>900-218-08</w:t>
                  </w:r>
                </w:p>
              </w:tc>
              <w:tc>
                <w:tcPr>
                  <w:tcW w:w="2960" w:type="dxa"/>
                  <w:noWrap w:val="0"/>
                  <w:vAlign w:val="center"/>
                </w:tcPr>
                <w:p w14:paraId="4E2B97D3">
                  <w:pPr>
                    <w:widowControl/>
                    <w:jc w:val="left"/>
                    <w:rPr>
                      <w:rFonts w:ascii="Times New Roman" w:hAnsi="Times New Roman"/>
                      <w:szCs w:val="21"/>
                      <w:highlight w:val="none"/>
                    </w:rPr>
                  </w:pPr>
                  <w:r>
                    <w:rPr>
                      <w:rFonts w:ascii="Times New Roman" w:hAnsi="Times New Roman"/>
                      <w:kern w:val="0"/>
                      <w:szCs w:val="21"/>
                      <w:highlight w:val="none"/>
                      <w:lang w:bidi="ar"/>
                    </w:rPr>
                    <w:t>液压设备维护、更换和拆解过程中产生的废液压油</w:t>
                  </w:r>
                </w:p>
              </w:tc>
              <w:tc>
                <w:tcPr>
                  <w:tcW w:w="872" w:type="dxa"/>
                  <w:noWrap w:val="0"/>
                  <w:vAlign w:val="center"/>
                </w:tcPr>
                <w:p w14:paraId="0D4C6E4B">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T,I</w:t>
                  </w:r>
                </w:p>
              </w:tc>
              <w:tc>
                <w:tcPr>
                  <w:tcW w:w="843" w:type="dxa"/>
                  <w:noWrap w:val="0"/>
                  <w:vAlign w:val="center"/>
                </w:tcPr>
                <w:p w14:paraId="60961CE2">
                  <w:pPr>
                    <w:widowControl/>
                    <w:jc w:val="center"/>
                    <w:textAlignment w:val="center"/>
                    <w:rPr>
                      <w:rFonts w:ascii="Times New Roman" w:hAnsi="Times New Roman"/>
                      <w:kern w:val="0"/>
                      <w:szCs w:val="21"/>
                      <w:highlight w:val="none"/>
                      <w:lang w:bidi="ar"/>
                    </w:rPr>
                  </w:pPr>
                  <w:r>
                    <w:rPr>
                      <w:rFonts w:hint="eastAsia"/>
                      <w:kern w:val="0"/>
                      <w:szCs w:val="21"/>
                      <w:highlight w:val="none"/>
                      <w:lang w:val="en-US" w:eastAsia="zh-CN" w:bidi="ar"/>
                    </w:rPr>
                    <w:t>液态</w:t>
                  </w:r>
                </w:p>
              </w:tc>
              <w:tc>
                <w:tcPr>
                  <w:tcW w:w="844" w:type="dxa"/>
                  <w:noWrap w:val="0"/>
                  <w:vAlign w:val="center"/>
                </w:tcPr>
                <w:p w14:paraId="20BC75A3">
                  <w:pPr>
                    <w:widowControl/>
                    <w:jc w:val="center"/>
                    <w:textAlignment w:val="center"/>
                    <w:rPr>
                      <w:rFonts w:ascii="Times New Roman" w:hAnsi="Times New Roman"/>
                      <w:kern w:val="0"/>
                      <w:szCs w:val="21"/>
                      <w:highlight w:val="none"/>
                      <w:lang w:bidi="ar"/>
                    </w:rPr>
                  </w:pPr>
                  <w:r>
                    <w:rPr>
                      <w:rFonts w:hint="eastAsia"/>
                      <w:kern w:val="0"/>
                      <w:szCs w:val="21"/>
                      <w:highlight w:val="none"/>
                      <w:lang w:val="en-US" w:eastAsia="zh-CN" w:bidi="ar"/>
                    </w:rPr>
                    <w:t>油罐</w:t>
                  </w:r>
                </w:p>
              </w:tc>
            </w:tr>
            <w:tr w14:paraId="222683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0A33553F">
                  <w:pPr>
                    <w:pStyle w:val="67"/>
                    <w:jc w:val="center"/>
                    <w:rPr>
                      <w:rFonts w:ascii="Times New Roman" w:cs="Times New Roman"/>
                      <w:color w:val="auto"/>
                      <w:sz w:val="21"/>
                      <w:szCs w:val="21"/>
                      <w:highlight w:val="none"/>
                    </w:rPr>
                  </w:pPr>
                </w:p>
              </w:tc>
              <w:tc>
                <w:tcPr>
                  <w:tcW w:w="814" w:type="dxa"/>
                  <w:vMerge w:val="continue"/>
                  <w:noWrap w:val="0"/>
                  <w:vAlign w:val="center"/>
                </w:tcPr>
                <w:p w14:paraId="3419CA99">
                  <w:pPr>
                    <w:pStyle w:val="67"/>
                    <w:jc w:val="center"/>
                    <w:rPr>
                      <w:rFonts w:ascii="Times New Roman" w:cs="Times New Roman"/>
                      <w:color w:val="auto"/>
                      <w:sz w:val="21"/>
                      <w:szCs w:val="21"/>
                      <w:highlight w:val="none"/>
                    </w:rPr>
                  </w:pPr>
                </w:p>
              </w:tc>
              <w:tc>
                <w:tcPr>
                  <w:tcW w:w="1196" w:type="dxa"/>
                  <w:noWrap w:val="0"/>
                  <w:vAlign w:val="center"/>
                </w:tcPr>
                <w:p w14:paraId="0B4D55B0">
                  <w:pPr>
                    <w:jc w:val="center"/>
                    <w:rPr>
                      <w:rFonts w:ascii="Times New Roman" w:hAnsi="Times New Roman"/>
                      <w:szCs w:val="21"/>
                      <w:highlight w:val="none"/>
                    </w:rPr>
                  </w:pPr>
                  <w:r>
                    <w:rPr>
                      <w:rFonts w:ascii="Times New Roman" w:hAnsi="Times New Roman"/>
                      <w:szCs w:val="21"/>
                      <w:highlight w:val="none"/>
                    </w:rPr>
                    <w:t>900-219-08</w:t>
                  </w:r>
                </w:p>
              </w:tc>
              <w:tc>
                <w:tcPr>
                  <w:tcW w:w="2960" w:type="dxa"/>
                  <w:noWrap w:val="0"/>
                  <w:vAlign w:val="center"/>
                </w:tcPr>
                <w:p w14:paraId="5F213D15">
                  <w:pPr>
                    <w:widowControl/>
                    <w:jc w:val="left"/>
                    <w:rPr>
                      <w:rFonts w:ascii="Times New Roman" w:hAnsi="Times New Roman"/>
                      <w:szCs w:val="21"/>
                      <w:highlight w:val="none"/>
                    </w:rPr>
                  </w:pPr>
                  <w:r>
                    <w:rPr>
                      <w:rFonts w:ascii="Times New Roman" w:hAnsi="Times New Roman"/>
                      <w:kern w:val="0"/>
                      <w:szCs w:val="21"/>
                      <w:highlight w:val="none"/>
                      <w:lang w:bidi="ar"/>
                    </w:rPr>
                    <w:t>冷冻压缩设备维护、更换和拆解过程中产生的废冷冻机油</w:t>
                  </w:r>
                </w:p>
              </w:tc>
              <w:tc>
                <w:tcPr>
                  <w:tcW w:w="872" w:type="dxa"/>
                  <w:noWrap w:val="0"/>
                  <w:vAlign w:val="center"/>
                </w:tcPr>
                <w:p w14:paraId="684D943F">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T,I</w:t>
                  </w:r>
                </w:p>
              </w:tc>
              <w:tc>
                <w:tcPr>
                  <w:tcW w:w="843" w:type="dxa"/>
                  <w:noWrap w:val="0"/>
                  <w:vAlign w:val="center"/>
                </w:tcPr>
                <w:p w14:paraId="629E5F19">
                  <w:pPr>
                    <w:widowControl/>
                    <w:jc w:val="center"/>
                    <w:textAlignment w:val="center"/>
                    <w:rPr>
                      <w:rFonts w:ascii="Times New Roman" w:hAnsi="Times New Roman"/>
                      <w:kern w:val="0"/>
                      <w:szCs w:val="21"/>
                      <w:highlight w:val="none"/>
                      <w:lang w:bidi="ar"/>
                    </w:rPr>
                  </w:pPr>
                  <w:r>
                    <w:rPr>
                      <w:rFonts w:hint="eastAsia"/>
                      <w:kern w:val="0"/>
                      <w:szCs w:val="21"/>
                      <w:highlight w:val="none"/>
                      <w:lang w:val="en-US" w:eastAsia="zh-CN" w:bidi="ar"/>
                    </w:rPr>
                    <w:t>液态</w:t>
                  </w:r>
                </w:p>
              </w:tc>
              <w:tc>
                <w:tcPr>
                  <w:tcW w:w="844" w:type="dxa"/>
                  <w:noWrap w:val="0"/>
                  <w:vAlign w:val="center"/>
                </w:tcPr>
                <w:p w14:paraId="12F99762">
                  <w:pPr>
                    <w:widowControl/>
                    <w:jc w:val="center"/>
                    <w:textAlignment w:val="center"/>
                    <w:rPr>
                      <w:rFonts w:ascii="Times New Roman" w:hAnsi="Times New Roman"/>
                      <w:kern w:val="0"/>
                      <w:szCs w:val="21"/>
                      <w:highlight w:val="none"/>
                      <w:lang w:bidi="ar"/>
                    </w:rPr>
                  </w:pPr>
                  <w:r>
                    <w:rPr>
                      <w:rFonts w:hint="eastAsia"/>
                      <w:kern w:val="0"/>
                      <w:szCs w:val="21"/>
                      <w:highlight w:val="none"/>
                      <w:lang w:val="en-US" w:eastAsia="zh-CN" w:bidi="ar"/>
                    </w:rPr>
                    <w:t>油罐</w:t>
                  </w:r>
                </w:p>
              </w:tc>
            </w:tr>
            <w:tr w14:paraId="7EC069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4D258AD4">
                  <w:pPr>
                    <w:pStyle w:val="67"/>
                    <w:jc w:val="center"/>
                    <w:rPr>
                      <w:rFonts w:ascii="Times New Roman" w:cs="Times New Roman"/>
                      <w:color w:val="auto"/>
                      <w:sz w:val="21"/>
                      <w:szCs w:val="21"/>
                      <w:highlight w:val="none"/>
                    </w:rPr>
                  </w:pPr>
                </w:p>
              </w:tc>
              <w:tc>
                <w:tcPr>
                  <w:tcW w:w="814" w:type="dxa"/>
                  <w:vMerge w:val="continue"/>
                  <w:noWrap w:val="0"/>
                  <w:vAlign w:val="center"/>
                </w:tcPr>
                <w:p w14:paraId="79528F43">
                  <w:pPr>
                    <w:pStyle w:val="67"/>
                    <w:jc w:val="center"/>
                    <w:rPr>
                      <w:rFonts w:ascii="Times New Roman" w:cs="Times New Roman"/>
                      <w:color w:val="auto"/>
                      <w:sz w:val="21"/>
                      <w:szCs w:val="21"/>
                      <w:highlight w:val="none"/>
                    </w:rPr>
                  </w:pPr>
                </w:p>
              </w:tc>
              <w:tc>
                <w:tcPr>
                  <w:tcW w:w="1196" w:type="dxa"/>
                  <w:noWrap w:val="0"/>
                  <w:vAlign w:val="center"/>
                </w:tcPr>
                <w:p w14:paraId="1BFFD5F4">
                  <w:pPr>
                    <w:jc w:val="center"/>
                    <w:rPr>
                      <w:rFonts w:ascii="Times New Roman" w:hAnsi="Times New Roman"/>
                      <w:szCs w:val="21"/>
                      <w:highlight w:val="none"/>
                    </w:rPr>
                  </w:pPr>
                  <w:r>
                    <w:rPr>
                      <w:rFonts w:ascii="Times New Roman" w:hAnsi="Times New Roman"/>
                      <w:szCs w:val="21"/>
                      <w:highlight w:val="none"/>
                    </w:rPr>
                    <w:t>900-220-08</w:t>
                  </w:r>
                </w:p>
              </w:tc>
              <w:tc>
                <w:tcPr>
                  <w:tcW w:w="2960" w:type="dxa"/>
                  <w:noWrap w:val="0"/>
                  <w:vAlign w:val="center"/>
                </w:tcPr>
                <w:p w14:paraId="4EEE82FE">
                  <w:pPr>
                    <w:widowControl/>
                    <w:jc w:val="left"/>
                    <w:rPr>
                      <w:rFonts w:ascii="Times New Roman" w:hAnsi="Times New Roman"/>
                      <w:szCs w:val="21"/>
                      <w:highlight w:val="none"/>
                    </w:rPr>
                  </w:pPr>
                  <w:r>
                    <w:rPr>
                      <w:rFonts w:ascii="Times New Roman" w:hAnsi="Times New Roman"/>
                      <w:kern w:val="0"/>
                      <w:szCs w:val="21"/>
                      <w:highlight w:val="none"/>
                      <w:lang w:bidi="ar"/>
                    </w:rPr>
                    <w:t>变压器维护、更换和拆解过程中产生的废变压器油</w:t>
                  </w:r>
                </w:p>
              </w:tc>
              <w:tc>
                <w:tcPr>
                  <w:tcW w:w="872" w:type="dxa"/>
                  <w:noWrap w:val="0"/>
                  <w:vAlign w:val="center"/>
                </w:tcPr>
                <w:p w14:paraId="575E04F6">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T,I</w:t>
                  </w:r>
                </w:p>
              </w:tc>
              <w:tc>
                <w:tcPr>
                  <w:tcW w:w="843" w:type="dxa"/>
                  <w:noWrap w:val="0"/>
                  <w:vAlign w:val="center"/>
                </w:tcPr>
                <w:p w14:paraId="1AF76ECD">
                  <w:pPr>
                    <w:widowControl/>
                    <w:jc w:val="center"/>
                    <w:textAlignment w:val="center"/>
                    <w:rPr>
                      <w:rFonts w:ascii="Times New Roman" w:hAnsi="Times New Roman"/>
                      <w:kern w:val="0"/>
                      <w:szCs w:val="21"/>
                      <w:highlight w:val="none"/>
                      <w:lang w:bidi="ar"/>
                    </w:rPr>
                  </w:pPr>
                  <w:r>
                    <w:rPr>
                      <w:rFonts w:hint="eastAsia"/>
                      <w:kern w:val="0"/>
                      <w:szCs w:val="21"/>
                      <w:highlight w:val="none"/>
                      <w:lang w:val="en-US" w:eastAsia="zh-CN" w:bidi="ar"/>
                    </w:rPr>
                    <w:t>液态</w:t>
                  </w:r>
                </w:p>
              </w:tc>
              <w:tc>
                <w:tcPr>
                  <w:tcW w:w="844" w:type="dxa"/>
                  <w:noWrap w:val="0"/>
                  <w:vAlign w:val="center"/>
                </w:tcPr>
                <w:p w14:paraId="3CE6F11C">
                  <w:pPr>
                    <w:widowControl/>
                    <w:jc w:val="center"/>
                    <w:textAlignment w:val="center"/>
                    <w:rPr>
                      <w:rFonts w:ascii="Times New Roman" w:hAnsi="Times New Roman"/>
                      <w:kern w:val="0"/>
                      <w:szCs w:val="21"/>
                      <w:highlight w:val="none"/>
                      <w:lang w:bidi="ar"/>
                    </w:rPr>
                  </w:pPr>
                  <w:r>
                    <w:rPr>
                      <w:rFonts w:hint="eastAsia"/>
                      <w:kern w:val="0"/>
                      <w:szCs w:val="21"/>
                      <w:highlight w:val="none"/>
                      <w:lang w:val="en-US" w:eastAsia="zh-CN" w:bidi="ar"/>
                    </w:rPr>
                    <w:t>油罐</w:t>
                  </w:r>
                </w:p>
              </w:tc>
            </w:tr>
            <w:tr w14:paraId="6CD4C3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6817DD86">
                  <w:pPr>
                    <w:pStyle w:val="67"/>
                    <w:jc w:val="center"/>
                    <w:rPr>
                      <w:rFonts w:ascii="Times New Roman" w:cs="Times New Roman"/>
                      <w:color w:val="auto"/>
                      <w:sz w:val="21"/>
                      <w:szCs w:val="21"/>
                      <w:highlight w:val="none"/>
                    </w:rPr>
                  </w:pPr>
                </w:p>
              </w:tc>
              <w:tc>
                <w:tcPr>
                  <w:tcW w:w="814" w:type="dxa"/>
                  <w:vMerge w:val="continue"/>
                  <w:noWrap w:val="0"/>
                  <w:vAlign w:val="center"/>
                </w:tcPr>
                <w:p w14:paraId="010A4297">
                  <w:pPr>
                    <w:pStyle w:val="67"/>
                    <w:jc w:val="center"/>
                    <w:rPr>
                      <w:rFonts w:ascii="Times New Roman" w:cs="Times New Roman"/>
                      <w:color w:val="auto"/>
                      <w:sz w:val="21"/>
                      <w:szCs w:val="21"/>
                      <w:highlight w:val="none"/>
                    </w:rPr>
                  </w:pPr>
                </w:p>
              </w:tc>
              <w:tc>
                <w:tcPr>
                  <w:tcW w:w="1196" w:type="dxa"/>
                  <w:noWrap w:val="0"/>
                  <w:vAlign w:val="center"/>
                </w:tcPr>
                <w:p w14:paraId="4A3FB285">
                  <w:pPr>
                    <w:jc w:val="center"/>
                    <w:rPr>
                      <w:rFonts w:ascii="Times New Roman" w:hAnsi="Times New Roman"/>
                      <w:szCs w:val="21"/>
                      <w:highlight w:val="none"/>
                    </w:rPr>
                  </w:pPr>
                  <w:r>
                    <w:rPr>
                      <w:rFonts w:ascii="Times New Roman" w:hAnsi="Times New Roman"/>
                      <w:szCs w:val="21"/>
                      <w:highlight w:val="none"/>
                    </w:rPr>
                    <w:t>900-221-08</w:t>
                  </w:r>
                </w:p>
              </w:tc>
              <w:tc>
                <w:tcPr>
                  <w:tcW w:w="2960" w:type="dxa"/>
                  <w:noWrap w:val="0"/>
                  <w:vAlign w:val="center"/>
                </w:tcPr>
                <w:p w14:paraId="50A05B6C">
                  <w:pPr>
                    <w:widowControl/>
                    <w:jc w:val="left"/>
                    <w:rPr>
                      <w:rFonts w:ascii="Times New Roman" w:hAnsi="Times New Roman"/>
                      <w:szCs w:val="21"/>
                      <w:highlight w:val="none"/>
                    </w:rPr>
                  </w:pPr>
                  <w:r>
                    <w:rPr>
                      <w:rFonts w:ascii="Times New Roman" w:hAnsi="Times New Roman"/>
                      <w:kern w:val="0"/>
                      <w:szCs w:val="21"/>
                      <w:highlight w:val="none"/>
                      <w:lang w:bidi="ar"/>
                    </w:rPr>
                    <w:t>废燃料油及燃料油储存过程中产生的油泥</w:t>
                  </w:r>
                </w:p>
              </w:tc>
              <w:tc>
                <w:tcPr>
                  <w:tcW w:w="872" w:type="dxa"/>
                  <w:noWrap w:val="0"/>
                  <w:vAlign w:val="center"/>
                </w:tcPr>
                <w:p w14:paraId="28F44EF2">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T,I</w:t>
                  </w:r>
                </w:p>
              </w:tc>
              <w:tc>
                <w:tcPr>
                  <w:tcW w:w="843" w:type="dxa"/>
                  <w:noWrap w:val="0"/>
                  <w:vAlign w:val="center"/>
                </w:tcPr>
                <w:p w14:paraId="5A0D749B">
                  <w:pPr>
                    <w:widowControl/>
                    <w:jc w:val="center"/>
                    <w:textAlignment w:val="center"/>
                    <w:rPr>
                      <w:rFonts w:ascii="Times New Roman" w:hAnsi="Times New Roman"/>
                      <w:kern w:val="0"/>
                      <w:szCs w:val="21"/>
                      <w:highlight w:val="none"/>
                      <w:lang w:bidi="ar"/>
                    </w:rPr>
                  </w:pPr>
                  <w:r>
                    <w:rPr>
                      <w:rFonts w:hint="eastAsia"/>
                      <w:kern w:val="0"/>
                      <w:szCs w:val="21"/>
                      <w:highlight w:val="none"/>
                      <w:lang w:val="en-US" w:eastAsia="zh-CN" w:bidi="ar"/>
                    </w:rPr>
                    <w:t>液态</w:t>
                  </w:r>
                </w:p>
              </w:tc>
              <w:tc>
                <w:tcPr>
                  <w:tcW w:w="844" w:type="dxa"/>
                  <w:noWrap w:val="0"/>
                  <w:vAlign w:val="center"/>
                </w:tcPr>
                <w:p w14:paraId="06FB75BF">
                  <w:pPr>
                    <w:widowControl/>
                    <w:jc w:val="center"/>
                    <w:textAlignment w:val="center"/>
                    <w:rPr>
                      <w:rFonts w:ascii="Times New Roman" w:hAnsi="Times New Roman"/>
                      <w:kern w:val="0"/>
                      <w:szCs w:val="21"/>
                      <w:highlight w:val="none"/>
                      <w:lang w:bidi="ar"/>
                    </w:rPr>
                  </w:pPr>
                  <w:r>
                    <w:rPr>
                      <w:rFonts w:hint="eastAsia"/>
                      <w:kern w:val="0"/>
                      <w:szCs w:val="21"/>
                      <w:highlight w:val="none"/>
                      <w:lang w:val="en-US" w:eastAsia="zh-CN" w:bidi="ar"/>
                    </w:rPr>
                    <w:t>油罐</w:t>
                  </w:r>
                </w:p>
              </w:tc>
            </w:tr>
            <w:tr w14:paraId="4837D9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6D7A7509">
                  <w:pPr>
                    <w:pStyle w:val="67"/>
                    <w:jc w:val="center"/>
                    <w:rPr>
                      <w:rFonts w:ascii="Times New Roman" w:cs="Times New Roman"/>
                      <w:color w:val="auto"/>
                      <w:sz w:val="21"/>
                      <w:szCs w:val="21"/>
                      <w:highlight w:val="none"/>
                    </w:rPr>
                  </w:pPr>
                </w:p>
              </w:tc>
              <w:tc>
                <w:tcPr>
                  <w:tcW w:w="814" w:type="dxa"/>
                  <w:vMerge w:val="continue"/>
                  <w:noWrap w:val="0"/>
                  <w:vAlign w:val="center"/>
                </w:tcPr>
                <w:p w14:paraId="5EDDEBCF">
                  <w:pPr>
                    <w:pStyle w:val="67"/>
                    <w:jc w:val="center"/>
                    <w:rPr>
                      <w:rFonts w:ascii="Times New Roman" w:cs="Times New Roman"/>
                      <w:color w:val="auto"/>
                      <w:sz w:val="21"/>
                      <w:szCs w:val="21"/>
                      <w:highlight w:val="none"/>
                    </w:rPr>
                  </w:pPr>
                </w:p>
              </w:tc>
              <w:tc>
                <w:tcPr>
                  <w:tcW w:w="1196" w:type="dxa"/>
                  <w:noWrap w:val="0"/>
                  <w:vAlign w:val="center"/>
                </w:tcPr>
                <w:p w14:paraId="4D6F2286">
                  <w:pPr>
                    <w:jc w:val="center"/>
                    <w:rPr>
                      <w:rFonts w:ascii="Times New Roman" w:hAnsi="Times New Roman"/>
                      <w:szCs w:val="21"/>
                      <w:highlight w:val="none"/>
                    </w:rPr>
                  </w:pPr>
                  <w:r>
                    <w:rPr>
                      <w:rFonts w:ascii="Times New Roman" w:hAnsi="Times New Roman"/>
                      <w:szCs w:val="21"/>
                      <w:highlight w:val="none"/>
                    </w:rPr>
                    <w:t>900-249-08</w:t>
                  </w:r>
                </w:p>
              </w:tc>
              <w:tc>
                <w:tcPr>
                  <w:tcW w:w="2960" w:type="dxa"/>
                  <w:noWrap w:val="0"/>
                  <w:vAlign w:val="center"/>
                </w:tcPr>
                <w:p w14:paraId="1AA65AA8">
                  <w:pPr>
                    <w:widowControl/>
                    <w:jc w:val="left"/>
                    <w:rPr>
                      <w:rFonts w:ascii="Times New Roman" w:hAnsi="Times New Roman"/>
                      <w:szCs w:val="21"/>
                      <w:highlight w:val="none"/>
                    </w:rPr>
                  </w:pPr>
                  <w:r>
                    <w:rPr>
                      <w:rFonts w:ascii="Times New Roman" w:hAnsi="Times New Roman"/>
                      <w:kern w:val="0"/>
                      <w:szCs w:val="21"/>
                      <w:highlight w:val="none"/>
                      <w:lang w:bidi="ar"/>
                    </w:rPr>
                    <w:t>其他生产、销售、使用过程中产生的废矿物油及沾染矿物油的废弃包装物</w:t>
                  </w:r>
                </w:p>
              </w:tc>
              <w:tc>
                <w:tcPr>
                  <w:tcW w:w="872" w:type="dxa"/>
                  <w:noWrap w:val="0"/>
                  <w:vAlign w:val="center"/>
                </w:tcPr>
                <w:p w14:paraId="6C9BDBC7">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T,I</w:t>
                  </w:r>
                </w:p>
              </w:tc>
              <w:tc>
                <w:tcPr>
                  <w:tcW w:w="843" w:type="dxa"/>
                  <w:noWrap w:val="0"/>
                  <w:vAlign w:val="center"/>
                </w:tcPr>
                <w:p w14:paraId="0F566957">
                  <w:pPr>
                    <w:widowControl/>
                    <w:jc w:val="center"/>
                    <w:textAlignment w:val="center"/>
                    <w:rPr>
                      <w:rFonts w:hint="eastAsia" w:ascii="Times New Roman" w:hAnsi="Times New Roman" w:eastAsia="宋体"/>
                      <w:kern w:val="0"/>
                      <w:szCs w:val="21"/>
                      <w:highlight w:val="none"/>
                      <w:lang w:val="en-US" w:eastAsia="zh-CN" w:bidi="ar"/>
                    </w:rPr>
                  </w:pPr>
                  <w:r>
                    <w:rPr>
                      <w:rFonts w:hint="eastAsia"/>
                      <w:kern w:val="0"/>
                      <w:szCs w:val="21"/>
                      <w:highlight w:val="none"/>
                      <w:lang w:val="en-US" w:eastAsia="zh-CN" w:bidi="ar"/>
                    </w:rPr>
                    <w:t>固态</w:t>
                  </w:r>
                </w:p>
              </w:tc>
              <w:tc>
                <w:tcPr>
                  <w:tcW w:w="844" w:type="dxa"/>
                  <w:noWrap w:val="0"/>
                  <w:vAlign w:val="center"/>
                </w:tcPr>
                <w:p w14:paraId="19722836">
                  <w:pPr>
                    <w:widowControl/>
                    <w:jc w:val="center"/>
                    <w:textAlignment w:val="center"/>
                    <w:rPr>
                      <w:rFonts w:hint="eastAsia" w:ascii="Times New Roman" w:hAnsi="Times New Roman" w:eastAsia="宋体"/>
                      <w:kern w:val="0"/>
                      <w:szCs w:val="21"/>
                      <w:highlight w:val="none"/>
                      <w:lang w:val="en-US" w:eastAsia="zh-CN" w:bidi="ar"/>
                    </w:rPr>
                  </w:pPr>
                  <w:r>
                    <w:rPr>
                      <w:rFonts w:hint="eastAsia"/>
                      <w:kern w:val="0"/>
                      <w:szCs w:val="21"/>
                      <w:highlight w:val="none"/>
                      <w:lang w:val="en-US" w:eastAsia="zh-CN" w:bidi="ar"/>
                    </w:rPr>
                    <w:t>袋装</w:t>
                  </w:r>
                </w:p>
              </w:tc>
            </w:tr>
            <w:tr w14:paraId="2EEFB7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restart"/>
                  <w:noWrap w:val="0"/>
                  <w:vAlign w:val="center"/>
                </w:tcPr>
                <w:p w14:paraId="1B2C2AAE">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HW09油/水、烃/水混合物或乳化液</w:t>
                  </w:r>
                </w:p>
              </w:tc>
              <w:tc>
                <w:tcPr>
                  <w:tcW w:w="814" w:type="dxa"/>
                  <w:vMerge w:val="restart"/>
                  <w:noWrap w:val="0"/>
                  <w:vAlign w:val="center"/>
                </w:tcPr>
                <w:p w14:paraId="5658C627">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非特定行业</w:t>
                  </w:r>
                </w:p>
              </w:tc>
              <w:tc>
                <w:tcPr>
                  <w:tcW w:w="1196" w:type="dxa"/>
                  <w:noWrap w:val="0"/>
                  <w:vAlign w:val="center"/>
                </w:tcPr>
                <w:p w14:paraId="1D0CC769">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900-005-09</w:t>
                  </w:r>
                </w:p>
              </w:tc>
              <w:tc>
                <w:tcPr>
                  <w:tcW w:w="2960" w:type="dxa"/>
                  <w:noWrap w:val="0"/>
                  <w:vAlign w:val="center"/>
                </w:tcPr>
                <w:p w14:paraId="035C4E8F">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水压机维护、更换和拆解过程中产生的油/水、烃/水混合物或乳化液</w:t>
                  </w:r>
                </w:p>
              </w:tc>
              <w:tc>
                <w:tcPr>
                  <w:tcW w:w="872" w:type="dxa"/>
                  <w:noWrap w:val="0"/>
                  <w:vAlign w:val="center"/>
                </w:tcPr>
                <w:p w14:paraId="18B2C882">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noWrap w:val="0"/>
                  <w:vAlign w:val="center"/>
                </w:tcPr>
                <w:p w14:paraId="4B4C8C52">
                  <w:pPr>
                    <w:widowControl/>
                    <w:jc w:val="center"/>
                    <w:textAlignment w:val="center"/>
                    <w:rPr>
                      <w:rFonts w:hint="eastAsia" w:ascii="Times New Roman" w:hAnsi="Times New Roman" w:eastAsia="宋体"/>
                      <w:kern w:val="0"/>
                      <w:szCs w:val="21"/>
                      <w:highlight w:val="none"/>
                      <w:lang w:val="en-US" w:eastAsia="zh-CN" w:bidi="ar"/>
                    </w:rPr>
                  </w:pPr>
                  <w:r>
                    <w:rPr>
                      <w:rFonts w:hint="eastAsia"/>
                      <w:kern w:val="0"/>
                      <w:szCs w:val="21"/>
                      <w:highlight w:val="none"/>
                      <w:lang w:val="en-US" w:eastAsia="zh-CN" w:bidi="ar"/>
                    </w:rPr>
                    <w:t>液态</w:t>
                  </w:r>
                </w:p>
              </w:tc>
              <w:tc>
                <w:tcPr>
                  <w:tcW w:w="844" w:type="dxa"/>
                  <w:noWrap w:val="0"/>
                  <w:vAlign w:val="center"/>
                </w:tcPr>
                <w:p w14:paraId="2E721F80">
                  <w:pPr>
                    <w:widowControl/>
                    <w:jc w:val="center"/>
                    <w:textAlignment w:val="center"/>
                    <w:rPr>
                      <w:rFonts w:hint="default" w:ascii="Times New Roman" w:hAnsi="Times New Roman" w:eastAsia="宋体"/>
                      <w:kern w:val="0"/>
                      <w:szCs w:val="21"/>
                      <w:highlight w:val="none"/>
                      <w:lang w:val="en-US" w:eastAsia="zh-CN" w:bidi="ar"/>
                    </w:rPr>
                  </w:pPr>
                  <w:r>
                    <w:rPr>
                      <w:rFonts w:hint="eastAsia"/>
                      <w:kern w:val="0"/>
                      <w:szCs w:val="21"/>
                      <w:highlight w:val="none"/>
                      <w:lang w:val="en-US" w:eastAsia="zh-CN" w:bidi="ar"/>
                    </w:rPr>
                    <w:t>铁桶</w:t>
                  </w:r>
                </w:p>
              </w:tc>
            </w:tr>
            <w:tr w14:paraId="2268C4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2" w:hRule="atLeast"/>
              </w:trPr>
              <w:tc>
                <w:tcPr>
                  <w:tcW w:w="846" w:type="dxa"/>
                  <w:vMerge w:val="continue"/>
                  <w:noWrap w:val="0"/>
                  <w:vAlign w:val="center"/>
                </w:tcPr>
                <w:p w14:paraId="509BECD0">
                  <w:pPr>
                    <w:pStyle w:val="67"/>
                    <w:jc w:val="center"/>
                    <w:rPr>
                      <w:rFonts w:ascii="Times New Roman" w:cs="Times New Roman"/>
                      <w:color w:val="auto"/>
                      <w:sz w:val="21"/>
                      <w:szCs w:val="21"/>
                      <w:highlight w:val="none"/>
                    </w:rPr>
                  </w:pPr>
                </w:p>
              </w:tc>
              <w:tc>
                <w:tcPr>
                  <w:tcW w:w="814" w:type="dxa"/>
                  <w:vMerge w:val="continue"/>
                  <w:noWrap w:val="0"/>
                  <w:vAlign w:val="center"/>
                </w:tcPr>
                <w:p w14:paraId="76F8D525">
                  <w:pPr>
                    <w:pStyle w:val="67"/>
                    <w:jc w:val="center"/>
                    <w:rPr>
                      <w:rFonts w:ascii="Times New Roman" w:cs="Times New Roman"/>
                      <w:color w:val="auto"/>
                      <w:sz w:val="21"/>
                      <w:szCs w:val="21"/>
                      <w:highlight w:val="none"/>
                    </w:rPr>
                  </w:pPr>
                </w:p>
              </w:tc>
              <w:tc>
                <w:tcPr>
                  <w:tcW w:w="1196" w:type="dxa"/>
                  <w:noWrap w:val="0"/>
                  <w:vAlign w:val="center"/>
                </w:tcPr>
                <w:p w14:paraId="44B97DDC">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900-006-09</w:t>
                  </w:r>
                </w:p>
              </w:tc>
              <w:tc>
                <w:tcPr>
                  <w:tcW w:w="2960" w:type="dxa"/>
                  <w:noWrap w:val="0"/>
                  <w:vAlign w:val="center"/>
                </w:tcPr>
                <w:p w14:paraId="407864C5">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使用切削油或切削液进行机械加工过程中产生的油/水、烃/水混合物或乳化液</w:t>
                  </w:r>
                </w:p>
              </w:tc>
              <w:tc>
                <w:tcPr>
                  <w:tcW w:w="872" w:type="dxa"/>
                  <w:noWrap w:val="0"/>
                  <w:vAlign w:val="center"/>
                </w:tcPr>
                <w:p w14:paraId="6D06B310">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noWrap w:val="0"/>
                  <w:vAlign w:val="center"/>
                </w:tcPr>
                <w:p w14:paraId="1FE8FA50">
                  <w:pPr>
                    <w:widowControl/>
                    <w:jc w:val="center"/>
                    <w:textAlignment w:val="center"/>
                    <w:rPr>
                      <w:rFonts w:ascii="Times New Roman" w:hAnsi="Times New Roman"/>
                      <w:kern w:val="0"/>
                      <w:szCs w:val="21"/>
                      <w:highlight w:val="none"/>
                      <w:lang w:bidi="ar"/>
                    </w:rPr>
                  </w:pPr>
                  <w:r>
                    <w:rPr>
                      <w:rFonts w:hint="eastAsia"/>
                      <w:kern w:val="0"/>
                      <w:szCs w:val="21"/>
                      <w:highlight w:val="none"/>
                      <w:lang w:val="en-US" w:eastAsia="zh-CN" w:bidi="ar"/>
                    </w:rPr>
                    <w:t>液态</w:t>
                  </w:r>
                </w:p>
              </w:tc>
              <w:tc>
                <w:tcPr>
                  <w:tcW w:w="844" w:type="dxa"/>
                  <w:noWrap w:val="0"/>
                  <w:vAlign w:val="center"/>
                </w:tcPr>
                <w:p w14:paraId="78B114DC">
                  <w:pPr>
                    <w:widowControl/>
                    <w:jc w:val="center"/>
                    <w:textAlignment w:val="center"/>
                    <w:rPr>
                      <w:rFonts w:ascii="Times New Roman" w:hAnsi="Times New Roman"/>
                      <w:kern w:val="0"/>
                      <w:szCs w:val="21"/>
                      <w:highlight w:val="none"/>
                      <w:lang w:bidi="ar"/>
                    </w:rPr>
                  </w:pPr>
                  <w:r>
                    <w:rPr>
                      <w:rFonts w:hint="eastAsia"/>
                      <w:kern w:val="0"/>
                      <w:szCs w:val="21"/>
                      <w:highlight w:val="none"/>
                      <w:lang w:val="en-US" w:eastAsia="zh-CN" w:bidi="ar"/>
                    </w:rPr>
                    <w:t>铁桶</w:t>
                  </w:r>
                </w:p>
              </w:tc>
            </w:tr>
            <w:tr w14:paraId="2E05D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0C61FF9E">
                  <w:pPr>
                    <w:pStyle w:val="67"/>
                    <w:jc w:val="center"/>
                    <w:rPr>
                      <w:rFonts w:ascii="Times New Roman" w:cs="Times New Roman"/>
                      <w:color w:val="auto"/>
                      <w:sz w:val="21"/>
                      <w:szCs w:val="21"/>
                      <w:highlight w:val="none"/>
                    </w:rPr>
                  </w:pPr>
                </w:p>
              </w:tc>
              <w:tc>
                <w:tcPr>
                  <w:tcW w:w="814" w:type="dxa"/>
                  <w:vMerge w:val="continue"/>
                  <w:noWrap w:val="0"/>
                  <w:vAlign w:val="center"/>
                </w:tcPr>
                <w:p w14:paraId="3A4C13BF">
                  <w:pPr>
                    <w:pStyle w:val="67"/>
                    <w:jc w:val="center"/>
                    <w:rPr>
                      <w:rFonts w:ascii="Times New Roman" w:cs="Times New Roman"/>
                      <w:color w:val="auto"/>
                      <w:sz w:val="21"/>
                      <w:szCs w:val="21"/>
                      <w:highlight w:val="none"/>
                    </w:rPr>
                  </w:pPr>
                </w:p>
              </w:tc>
              <w:tc>
                <w:tcPr>
                  <w:tcW w:w="1196" w:type="dxa"/>
                  <w:noWrap w:val="0"/>
                  <w:vAlign w:val="center"/>
                </w:tcPr>
                <w:p w14:paraId="745EDB7E">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900-007-09</w:t>
                  </w:r>
                </w:p>
              </w:tc>
              <w:tc>
                <w:tcPr>
                  <w:tcW w:w="2960" w:type="dxa"/>
                  <w:noWrap w:val="0"/>
                  <w:vAlign w:val="center"/>
                </w:tcPr>
                <w:p w14:paraId="5C102B91">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其他工艺过程中产生的油/水、烃/水混合物或乳化液</w:t>
                  </w:r>
                </w:p>
              </w:tc>
              <w:tc>
                <w:tcPr>
                  <w:tcW w:w="872" w:type="dxa"/>
                  <w:noWrap w:val="0"/>
                  <w:vAlign w:val="center"/>
                </w:tcPr>
                <w:p w14:paraId="40335AAF">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noWrap w:val="0"/>
                  <w:vAlign w:val="center"/>
                </w:tcPr>
                <w:p w14:paraId="1992D7A4">
                  <w:pPr>
                    <w:widowControl/>
                    <w:jc w:val="center"/>
                    <w:textAlignment w:val="center"/>
                    <w:rPr>
                      <w:rFonts w:ascii="Times New Roman" w:hAnsi="Times New Roman"/>
                      <w:kern w:val="0"/>
                      <w:szCs w:val="21"/>
                      <w:highlight w:val="none"/>
                      <w:lang w:bidi="ar"/>
                    </w:rPr>
                  </w:pPr>
                  <w:r>
                    <w:rPr>
                      <w:rFonts w:hint="eastAsia"/>
                      <w:kern w:val="0"/>
                      <w:szCs w:val="21"/>
                      <w:highlight w:val="none"/>
                      <w:lang w:val="en-US" w:eastAsia="zh-CN" w:bidi="ar"/>
                    </w:rPr>
                    <w:t>液态</w:t>
                  </w:r>
                </w:p>
              </w:tc>
              <w:tc>
                <w:tcPr>
                  <w:tcW w:w="844" w:type="dxa"/>
                  <w:noWrap w:val="0"/>
                  <w:vAlign w:val="center"/>
                </w:tcPr>
                <w:p w14:paraId="23795473">
                  <w:pPr>
                    <w:widowControl/>
                    <w:jc w:val="center"/>
                    <w:textAlignment w:val="center"/>
                    <w:rPr>
                      <w:rFonts w:ascii="Times New Roman" w:hAnsi="Times New Roman"/>
                      <w:kern w:val="0"/>
                      <w:szCs w:val="21"/>
                      <w:highlight w:val="none"/>
                      <w:lang w:bidi="ar"/>
                    </w:rPr>
                  </w:pPr>
                  <w:r>
                    <w:rPr>
                      <w:rFonts w:hint="eastAsia"/>
                      <w:kern w:val="0"/>
                      <w:szCs w:val="21"/>
                      <w:highlight w:val="none"/>
                      <w:lang w:val="en-US" w:eastAsia="zh-CN" w:bidi="ar"/>
                    </w:rPr>
                    <w:t>铁桶</w:t>
                  </w:r>
                </w:p>
              </w:tc>
            </w:tr>
            <w:tr w14:paraId="19F7A3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restart"/>
                  <w:noWrap w:val="0"/>
                  <w:vAlign w:val="center"/>
                </w:tcPr>
                <w:p w14:paraId="43DC0A88">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HW11精（蒸）馏残渣</w:t>
                  </w:r>
                </w:p>
              </w:tc>
              <w:tc>
                <w:tcPr>
                  <w:tcW w:w="814" w:type="dxa"/>
                  <w:vMerge w:val="restart"/>
                  <w:noWrap w:val="0"/>
                  <w:vAlign w:val="center"/>
                </w:tcPr>
                <w:p w14:paraId="4C08EBBE">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燃气生产和供应业</w:t>
                  </w:r>
                </w:p>
              </w:tc>
              <w:tc>
                <w:tcPr>
                  <w:tcW w:w="1196" w:type="dxa"/>
                  <w:noWrap w:val="0"/>
                  <w:vAlign w:val="center"/>
                </w:tcPr>
                <w:p w14:paraId="12996A4F">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451-001-11</w:t>
                  </w:r>
                </w:p>
              </w:tc>
              <w:tc>
                <w:tcPr>
                  <w:tcW w:w="2960" w:type="dxa"/>
                  <w:noWrap w:val="0"/>
                  <w:vAlign w:val="center"/>
                </w:tcPr>
                <w:p w14:paraId="61D42A6B">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煤气生产行业煤气净化过程中产生的煤焦油渣</w:t>
                  </w:r>
                </w:p>
              </w:tc>
              <w:tc>
                <w:tcPr>
                  <w:tcW w:w="872" w:type="dxa"/>
                  <w:noWrap w:val="0"/>
                  <w:vAlign w:val="center"/>
                </w:tcPr>
                <w:p w14:paraId="778E119B">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noWrap w:val="0"/>
                  <w:vAlign w:val="center"/>
                </w:tcPr>
                <w:p w14:paraId="5536DA11">
                  <w:pPr>
                    <w:widowControl/>
                    <w:jc w:val="center"/>
                    <w:textAlignment w:val="center"/>
                    <w:rPr>
                      <w:rFonts w:hint="eastAsia" w:ascii="Times New Roman" w:hAnsi="Times New Roman" w:eastAsia="宋体"/>
                      <w:kern w:val="0"/>
                      <w:szCs w:val="21"/>
                      <w:highlight w:val="none"/>
                      <w:lang w:val="en-US" w:eastAsia="zh-CN" w:bidi="ar"/>
                    </w:rPr>
                  </w:pPr>
                  <w:r>
                    <w:rPr>
                      <w:rFonts w:hint="eastAsia"/>
                      <w:kern w:val="0"/>
                      <w:szCs w:val="21"/>
                      <w:highlight w:val="none"/>
                      <w:lang w:val="en-US" w:eastAsia="zh-CN" w:bidi="ar"/>
                    </w:rPr>
                    <w:t>固态</w:t>
                  </w:r>
                </w:p>
              </w:tc>
              <w:tc>
                <w:tcPr>
                  <w:tcW w:w="844" w:type="dxa"/>
                  <w:noWrap w:val="0"/>
                  <w:vAlign w:val="center"/>
                </w:tcPr>
                <w:p w14:paraId="58BB9E05">
                  <w:pPr>
                    <w:widowControl/>
                    <w:jc w:val="center"/>
                    <w:textAlignment w:val="center"/>
                    <w:rPr>
                      <w:rFonts w:hint="eastAsia" w:ascii="Times New Roman" w:hAnsi="Times New Roman" w:eastAsia="宋体"/>
                      <w:kern w:val="0"/>
                      <w:szCs w:val="21"/>
                      <w:highlight w:val="none"/>
                      <w:lang w:val="en-US" w:eastAsia="zh-CN" w:bidi="ar"/>
                    </w:rPr>
                  </w:pPr>
                  <w:r>
                    <w:rPr>
                      <w:rFonts w:hint="eastAsia"/>
                      <w:kern w:val="0"/>
                      <w:szCs w:val="21"/>
                      <w:highlight w:val="none"/>
                      <w:lang w:val="en-US" w:eastAsia="zh-CN" w:bidi="ar"/>
                    </w:rPr>
                    <w:t>袋装</w:t>
                  </w:r>
                </w:p>
              </w:tc>
            </w:tr>
            <w:tr w14:paraId="792C59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64D35BC0">
                  <w:pPr>
                    <w:pStyle w:val="67"/>
                    <w:jc w:val="center"/>
                    <w:rPr>
                      <w:rFonts w:ascii="Times New Roman" w:cs="Times New Roman"/>
                      <w:color w:val="auto"/>
                      <w:sz w:val="21"/>
                      <w:szCs w:val="21"/>
                      <w:highlight w:val="none"/>
                    </w:rPr>
                  </w:pPr>
                </w:p>
              </w:tc>
              <w:tc>
                <w:tcPr>
                  <w:tcW w:w="814" w:type="dxa"/>
                  <w:vMerge w:val="continue"/>
                  <w:noWrap w:val="0"/>
                  <w:vAlign w:val="center"/>
                </w:tcPr>
                <w:p w14:paraId="6EF52057">
                  <w:pPr>
                    <w:pStyle w:val="67"/>
                    <w:jc w:val="center"/>
                    <w:rPr>
                      <w:rFonts w:ascii="Times New Roman" w:cs="Times New Roman"/>
                      <w:color w:val="auto"/>
                      <w:sz w:val="21"/>
                      <w:szCs w:val="21"/>
                      <w:highlight w:val="none"/>
                    </w:rPr>
                  </w:pPr>
                </w:p>
              </w:tc>
              <w:tc>
                <w:tcPr>
                  <w:tcW w:w="1196" w:type="dxa"/>
                  <w:noWrap w:val="0"/>
                  <w:vAlign w:val="center"/>
                </w:tcPr>
                <w:p w14:paraId="1878ABE8">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451-002-11</w:t>
                  </w:r>
                </w:p>
              </w:tc>
              <w:tc>
                <w:tcPr>
                  <w:tcW w:w="2960" w:type="dxa"/>
                  <w:noWrap w:val="0"/>
                  <w:vAlign w:val="center"/>
                </w:tcPr>
                <w:p w14:paraId="63A8AA41">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煤气生产过程中产生的废水处理污泥（不包括废水生化处理污泥）</w:t>
                  </w:r>
                </w:p>
              </w:tc>
              <w:tc>
                <w:tcPr>
                  <w:tcW w:w="872" w:type="dxa"/>
                  <w:noWrap w:val="0"/>
                  <w:vAlign w:val="center"/>
                </w:tcPr>
                <w:p w14:paraId="72A3AA3A">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noWrap w:val="0"/>
                  <w:vAlign w:val="center"/>
                </w:tcPr>
                <w:p w14:paraId="1DD210BD">
                  <w:pPr>
                    <w:widowControl/>
                    <w:jc w:val="center"/>
                    <w:textAlignment w:val="center"/>
                    <w:rPr>
                      <w:rFonts w:hint="eastAsia" w:ascii="Times New Roman" w:hAnsi="Times New Roman" w:eastAsia="宋体"/>
                      <w:kern w:val="0"/>
                      <w:szCs w:val="21"/>
                      <w:highlight w:val="none"/>
                      <w:lang w:val="en-US" w:eastAsia="zh-CN" w:bidi="ar"/>
                    </w:rPr>
                  </w:pPr>
                  <w:r>
                    <w:rPr>
                      <w:rFonts w:hint="eastAsia"/>
                      <w:kern w:val="0"/>
                      <w:szCs w:val="21"/>
                      <w:highlight w:val="none"/>
                      <w:lang w:val="en-US" w:eastAsia="zh-CN" w:bidi="ar"/>
                    </w:rPr>
                    <w:t>半固态</w:t>
                  </w:r>
                </w:p>
              </w:tc>
              <w:tc>
                <w:tcPr>
                  <w:tcW w:w="844" w:type="dxa"/>
                  <w:noWrap w:val="0"/>
                  <w:vAlign w:val="center"/>
                </w:tcPr>
                <w:p w14:paraId="63DC6AB4">
                  <w:pPr>
                    <w:widowControl/>
                    <w:jc w:val="center"/>
                    <w:textAlignment w:val="center"/>
                    <w:rPr>
                      <w:rFonts w:hint="default" w:ascii="Times New Roman" w:hAnsi="Times New Roman" w:eastAsia="宋体"/>
                      <w:kern w:val="0"/>
                      <w:szCs w:val="21"/>
                      <w:highlight w:val="none"/>
                      <w:lang w:val="en-US" w:eastAsia="zh-CN" w:bidi="ar"/>
                    </w:rPr>
                  </w:pPr>
                  <w:r>
                    <w:rPr>
                      <w:rFonts w:hint="eastAsia"/>
                      <w:kern w:val="0"/>
                      <w:szCs w:val="21"/>
                      <w:highlight w:val="none"/>
                      <w:lang w:val="en-US" w:eastAsia="zh-CN" w:bidi="ar"/>
                    </w:rPr>
                    <w:t>塑料桶</w:t>
                  </w:r>
                </w:p>
              </w:tc>
            </w:tr>
            <w:tr w14:paraId="0B5981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302A6080">
                  <w:pPr>
                    <w:pStyle w:val="67"/>
                    <w:jc w:val="center"/>
                    <w:rPr>
                      <w:rFonts w:ascii="Times New Roman" w:cs="Times New Roman"/>
                      <w:color w:val="auto"/>
                      <w:sz w:val="21"/>
                      <w:szCs w:val="21"/>
                      <w:highlight w:val="none"/>
                    </w:rPr>
                  </w:pPr>
                </w:p>
              </w:tc>
              <w:tc>
                <w:tcPr>
                  <w:tcW w:w="814" w:type="dxa"/>
                  <w:vMerge w:val="continue"/>
                  <w:noWrap w:val="0"/>
                  <w:vAlign w:val="center"/>
                </w:tcPr>
                <w:p w14:paraId="77653CED">
                  <w:pPr>
                    <w:pStyle w:val="67"/>
                    <w:jc w:val="center"/>
                    <w:rPr>
                      <w:rFonts w:ascii="Times New Roman" w:cs="Times New Roman"/>
                      <w:color w:val="auto"/>
                      <w:sz w:val="21"/>
                      <w:szCs w:val="21"/>
                      <w:highlight w:val="none"/>
                    </w:rPr>
                  </w:pPr>
                </w:p>
              </w:tc>
              <w:tc>
                <w:tcPr>
                  <w:tcW w:w="1196" w:type="dxa"/>
                  <w:noWrap w:val="0"/>
                  <w:vAlign w:val="center"/>
                </w:tcPr>
                <w:p w14:paraId="14287E72">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451-003-11</w:t>
                  </w:r>
                </w:p>
              </w:tc>
              <w:tc>
                <w:tcPr>
                  <w:tcW w:w="2960" w:type="dxa"/>
                  <w:noWrap w:val="0"/>
                  <w:vAlign w:val="center"/>
                </w:tcPr>
                <w:p w14:paraId="1B04D0C5">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煤气生产过程中煤气冷凝产生的煤焦油</w:t>
                  </w:r>
                </w:p>
              </w:tc>
              <w:tc>
                <w:tcPr>
                  <w:tcW w:w="872" w:type="dxa"/>
                  <w:noWrap w:val="0"/>
                  <w:vAlign w:val="center"/>
                </w:tcPr>
                <w:p w14:paraId="5B278D3D">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noWrap w:val="0"/>
                  <w:vAlign w:val="center"/>
                </w:tcPr>
                <w:p w14:paraId="501472C5">
                  <w:pPr>
                    <w:widowControl/>
                    <w:jc w:val="center"/>
                    <w:textAlignment w:val="center"/>
                    <w:rPr>
                      <w:rFonts w:hint="eastAsia" w:ascii="Times New Roman" w:hAnsi="Times New Roman" w:eastAsia="宋体"/>
                      <w:kern w:val="0"/>
                      <w:szCs w:val="21"/>
                      <w:highlight w:val="none"/>
                      <w:lang w:val="en-US" w:eastAsia="zh-CN" w:bidi="ar"/>
                    </w:rPr>
                  </w:pPr>
                  <w:r>
                    <w:rPr>
                      <w:rFonts w:hint="eastAsia"/>
                      <w:kern w:val="0"/>
                      <w:szCs w:val="21"/>
                      <w:highlight w:val="none"/>
                      <w:lang w:val="en-US" w:eastAsia="zh-CN" w:bidi="ar"/>
                    </w:rPr>
                    <w:t>液态</w:t>
                  </w:r>
                </w:p>
              </w:tc>
              <w:tc>
                <w:tcPr>
                  <w:tcW w:w="844" w:type="dxa"/>
                  <w:noWrap w:val="0"/>
                  <w:vAlign w:val="center"/>
                </w:tcPr>
                <w:p w14:paraId="4241CDE1">
                  <w:pPr>
                    <w:widowControl/>
                    <w:jc w:val="center"/>
                    <w:textAlignment w:val="center"/>
                    <w:rPr>
                      <w:rFonts w:hint="eastAsia" w:ascii="Times New Roman" w:hAnsi="Times New Roman" w:eastAsia="宋体"/>
                      <w:kern w:val="0"/>
                      <w:szCs w:val="21"/>
                      <w:highlight w:val="none"/>
                      <w:lang w:val="en-US" w:eastAsia="zh-CN" w:bidi="ar"/>
                    </w:rPr>
                  </w:pPr>
                  <w:r>
                    <w:rPr>
                      <w:rFonts w:hint="eastAsia"/>
                      <w:kern w:val="0"/>
                      <w:szCs w:val="21"/>
                      <w:highlight w:val="none"/>
                      <w:lang w:val="en-US" w:eastAsia="zh-CN" w:bidi="ar"/>
                    </w:rPr>
                    <w:t>塑料桶</w:t>
                  </w:r>
                </w:p>
              </w:tc>
            </w:tr>
            <w:tr w14:paraId="2AF319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58D3D3E7">
                  <w:pPr>
                    <w:pStyle w:val="67"/>
                    <w:jc w:val="center"/>
                    <w:rPr>
                      <w:rFonts w:ascii="Times New Roman" w:cs="Times New Roman"/>
                      <w:color w:val="auto"/>
                      <w:sz w:val="21"/>
                      <w:szCs w:val="21"/>
                      <w:highlight w:val="none"/>
                    </w:rPr>
                  </w:pPr>
                </w:p>
              </w:tc>
              <w:tc>
                <w:tcPr>
                  <w:tcW w:w="814" w:type="dxa"/>
                  <w:noWrap w:val="0"/>
                  <w:vAlign w:val="center"/>
                </w:tcPr>
                <w:p w14:paraId="775D6D5A">
                  <w:pPr>
                    <w:widowControl/>
                    <w:jc w:val="left"/>
                    <w:rPr>
                      <w:rFonts w:ascii="Times New Roman" w:hAnsi="Times New Roman"/>
                      <w:szCs w:val="21"/>
                      <w:highlight w:val="none"/>
                    </w:rPr>
                  </w:pPr>
                  <w:r>
                    <w:rPr>
                      <w:rFonts w:ascii="Times New Roman" w:hAnsi="Times New Roman"/>
                      <w:kern w:val="0"/>
                      <w:szCs w:val="21"/>
                      <w:highlight w:val="none"/>
                      <w:lang w:bidi="ar"/>
                    </w:rPr>
                    <w:t>石墨及其他非金属矿物制品制造</w:t>
                  </w:r>
                </w:p>
              </w:tc>
              <w:tc>
                <w:tcPr>
                  <w:tcW w:w="1196" w:type="dxa"/>
                  <w:noWrap w:val="0"/>
                  <w:vAlign w:val="center"/>
                </w:tcPr>
                <w:p w14:paraId="37659A09">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309-001-11</w:t>
                  </w:r>
                </w:p>
              </w:tc>
              <w:tc>
                <w:tcPr>
                  <w:tcW w:w="2960" w:type="dxa"/>
                  <w:noWrap w:val="0"/>
                  <w:vAlign w:val="center"/>
                </w:tcPr>
                <w:p w14:paraId="6EBE31EB">
                  <w:pPr>
                    <w:widowControl/>
                    <w:jc w:val="left"/>
                    <w:rPr>
                      <w:rFonts w:hint="eastAsia" w:ascii="Times New Roman" w:hAnsi="Times New Roman" w:eastAsia="宋体"/>
                      <w:kern w:val="0"/>
                      <w:szCs w:val="21"/>
                      <w:highlight w:val="none"/>
                      <w:lang w:eastAsia="zh-CN" w:bidi="ar"/>
                    </w:rPr>
                  </w:pPr>
                  <w:r>
                    <w:rPr>
                      <w:rFonts w:ascii="Times New Roman" w:hAnsi="Times New Roman"/>
                      <w:kern w:val="0"/>
                      <w:szCs w:val="21"/>
                      <w:highlight w:val="none"/>
                      <w:lang w:bidi="ar"/>
                    </w:rPr>
                    <w:t>电解铝及其他有色金属电解精炼过程中预焙阳极、碳块及</w:t>
                  </w:r>
                  <w:r>
                    <w:rPr>
                      <w:rFonts w:hint="eastAsia"/>
                      <w:kern w:val="0"/>
                      <w:szCs w:val="21"/>
                      <w:highlight w:val="none"/>
                      <w:lang w:eastAsia="zh-CN" w:bidi="ar"/>
                    </w:rPr>
                    <w:t>其他</w:t>
                  </w:r>
                  <w:r>
                    <w:rPr>
                      <w:rFonts w:ascii="Times New Roman" w:hAnsi="Times New Roman"/>
                      <w:kern w:val="0"/>
                      <w:szCs w:val="21"/>
                      <w:highlight w:val="none"/>
                      <w:lang w:bidi="ar"/>
                    </w:rPr>
                    <w:t>碳素制品制造过程烟气处理所产生的含焦油废物</w:t>
                  </w:r>
                </w:p>
              </w:tc>
              <w:tc>
                <w:tcPr>
                  <w:tcW w:w="872" w:type="dxa"/>
                  <w:noWrap w:val="0"/>
                  <w:vAlign w:val="center"/>
                </w:tcPr>
                <w:p w14:paraId="30ADDB85">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noWrap w:val="0"/>
                  <w:vAlign w:val="center"/>
                </w:tcPr>
                <w:p w14:paraId="654A9716">
                  <w:pPr>
                    <w:widowControl/>
                    <w:jc w:val="center"/>
                    <w:textAlignment w:val="center"/>
                    <w:rPr>
                      <w:rFonts w:hint="eastAsia" w:ascii="Times New Roman" w:hAnsi="Times New Roman" w:eastAsia="宋体"/>
                      <w:kern w:val="0"/>
                      <w:szCs w:val="21"/>
                      <w:highlight w:val="none"/>
                      <w:lang w:val="en-US" w:eastAsia="zh-CN" w:bidi="ar"/>
                    </w:rPr>
                  </w:pPr>
                  <w:r>
                    <w:rPr>
                      <w:rFonts w:hint="eastAsia"/>
                      <w:kern w:val="0"/>
                      <w:szCs w:val="21"/>
                      <w:highlight w:val="none"/>
                      <w:lang w:val="en-US" w:eastAsia="zh-CN" w:bidi="ar"/>
                    </w:rPr>
                    <w:t>半固态</w:t>
                  </w:r>
                </w:p>
              </w:tc>
              <w:tc>
                <w:tcPr>
                  <w:tcW w:w="844" w:type="dxa"/>
                  <w:noWrap w:val="0"/>
                  <w:vAlign w:val="center"/>
                </w:tcPr>
                <w:p w14:paraId="56507201">
                  <w:pPr>
                    <w:widowControl/>
                    <w:jc w:val="center"/>
                    <w:textAlignment w:val="center"/>
                    <w:rPr>
                      <w:rFonts w:hint="eastAsia" w:ascii="Times New Roman" w:hAnsi="Times New Roman" w:eastAsia="宋体"/>
                      <w:kern w:val="0"/>
                      <w:szCs w:val="21"/>
                      <w:highlight w:val="none"/>
                      <w:lang w:val="en-US" w:eastAsia="zh-CN" w:bidi="ar"/>
                    </w:rPr>
                  </w:pPr>
                  <w:r>
                    <w:rPr>
                      <w:rFonts w:hint="eastAsia"/>
                      <w:kern w:val="0"/>
                      <w:szCs w:val="21"/>
                      <w:highlight w:val="none"/>
                      <w:lang w:val="en-US" w:eastAsia="zh-CN" w:bidi="ar"/>
                    </w:rPr>
                    <w:t>塑料桶</w:t>
                  </w:r>
                </w:p>
              </w:tc>
            </w:tr>
            <w:tr w14:paraId="7A8ABA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4B5B9A17">
                  <w:pPr>
                    <w:pStyle w:val="67"/>
                    <w:jc w:val="center"/>
                    <w:rPr>
                      <w:rFonts w:ascii="Times New Roman" w:cs="Times New Roman"/>
                      <w:color w:val="auto"/>
                      <w:sz w:val="21"/>
                      <w:szCs w:val="21"/>
                      <w:highlight w:val="none"/>
                    </w:rPr>
                  </w:pPr>
                </w:p>
              </w:tc>
              <w:tc>
                <w:tcPr>
                  <w:tcW w:w="814" w:type="dxa"/>
                  <w:noWrap w:val="0"/>
                  <w:vAlign w:val="center"/>
                </w:tcPr>
                <w:p w14:paraId="205BA61B">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非特定行业</w:t>
                  </w:r>
                </w:p>
              </w:tc>
              <w:tc>
                <w:tcPr>
                  <w:tcW w:w="1196" w:type="dxa"/>
                  <w:noWrap w:val="0"/>
                  <w:vAlign w:val="center"/>
                </w:tcPr>
                <w:p w14:paraId="14070D8B">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900-013-11</w:t>
                  </w:r>
                </w:p>
              </w:tc>
              <w:tc>
                <w:tcPr>
                  <w:tcW w:w="2960" w:type="dxa"/>
                  <w:noWrap w:val="0"/>
                  <w:vAlign w:val="center"/>
                </w:tcPr>
                <w:p w14:paraId="7C644F2C">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其他化工生产过程（不包括以生物质为主要原料的加工过程）中精馏、蒸馏和热解工艺产生的高沸点釜底残余物</w:t>
                  </w:r>
                </w:p>
              </w:tc>
              <w:tc>
                <w:tcPr>
                  <w:tcW w:w="872" w:type="dxa"/>
                  <w:noWrap w:val="0"/>
                  <w:vAlign w:val="center"/>
                </w:tcPr>
                <w:p w14:paraId="6694B46A">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3E763FED">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半固态</w:t>
                  </w:r>
                </w:p>
              </w:tc>
              <w:tc>
                <w:tcPr>
                  <w:tcW w:w="844" w:type="dxa"/>
                  <w:shd w:val="clear" w:color="auto" w:fill="auto"/>
                  <w:noWrap w:val="0"/>
                  <w:vAlign w:val="center"/>
                </w:tcPr>
                <w:p w14:paraId="5F5F4358">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塑料桶</w:t>
                  </w:r>
                </w:p>
              </w:tc>
            </w:tr>
            <w:tr w14:paraId="3AAB2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restart"/>
                  <w:noWrap w:val="0"/>
                  <w:vAlign w:val="center"/>
                </w:tcPr>
                <w:p w14:paraId="2C063344">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HW12染料、涂料废物</w:t>
                  </w:r>
                </w:p>
              </w:tc>
              <w:tc>
                <w:tcPr>
                  <w:tcW w:w="814" w:type="dxa"/>
                  <w:vMerge w:val="restart"/>
                  <w:noWrap w:val="0"/>
                  <w:vAlign w:val="center"/>
                </w:tcPr>
                <w:p w14:paraId="3AC13502">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非特定行业</w:t>
                  </w:r>
                </w:p>
              </w:tc>
              <w:tc>
                <w:tcPr>
                  <w:tcW w:w="1196" w:type="dxa"/>
                  <w:noWrap w:val="0"/>
                  <w:vAlign w:val="center"/>
                </w:tcPr>
                <w:p w14:paraId="47CC29E6">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900-250-12</w:t>
                  </w:r>
                </w:p>
              </w:tc>
              <w:tc>
                <w:tcPr>
                  <w:tcW w:w="2960" w:type="dxa"/>
                  <w:noWrap w:val="0"/>
                  <w:vAlign w:val="center"/>
                </w:tcPr>
                <w:p w14:paraId="6CC4C750">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使用有机溶剂、光漆进行光漆涂布、喷漆工艺过程中产生的废物</w:t>
                  </w:r>
                </w:p>
              </w:tc>
              <w:tc>
                <w:tcPr>
                  <w:tcW w:w="872" w:type="dxa"/>
                  <w:noWrap w:val="0"/>
                  <w:vAlign w:val="center"/>
                </w:tcPr>
                <w:p w14:paraId="08296DEE">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T,I</w:t>
                  </w:r>
                </w:p>
              </w:tc>
              <w:tc>
                <w:tcPr>
                  <w:tcW w:w="843" w:type="dxa"/>
                  <w:noWrap w:val="0"/>
                  <w:vAlign w:val="center"/>
                </w:tcPr>
                <w:p w14:paraId="56A8D917">
                  <w:pPr>
                    <w:widowControl/>
                    <w:jc w:val="center"/>
                    <w:textAlignment w:val="center"/>
                    <w:rPr>
                      <w:rFonts w:hint="eastAsia" w:ascii="Times New Roman" w:hAnsi="Times New Roman" w:eastAsia="宋体"/>
                      <w:kern w:val="0"/>
                      <w:szCs w:val="21"/>
                      <w:highlight w:val="none"/>
                      <w:lang w:val="en-US" w:eastAsia="zh-CN" w:bidi="ar"/>
                    </w:rPr>
                  </w:pPr>
                  <w:r>
                    <w:rPr>
                      <w:rFonts w:hint="eastAsia"/>
                      <w:kern w:val="0"/>
                      <w:szCs w:val="21"/>
                      <w:highlight w:val="none"/>
                      <w:lang w:val="en-US" w:eastAsia="zh-CN" w:bidi="ar"/>
                    </w:rPr>
                    <w:t>半固态</w:t>
                  </w:r>
                </w:p>
              </w:tc>
              <w:tc>
                <w:tcPr>
                  <w:tcW w:w="844" w:type="dxa"/>
                  <w:noWrap w:val="0"/>
                  <w:vAlign w:val="center"/>
                </w:tcPr>
                <w:p w14:paraId="64409B39">
                  <w:pPr>
                    <w:widowControl/>
                    <w:jc w:val="center"/>
                    <w:textAlignment w:val="center"/>
                    <w:rPr>
                      <w:rFonts w:hint="eastAsia" w:ascii="Times New Roman" w:hAnsi="Times New Roman" w:eastAsia="宋体"/>
                      <w:kern w:val="0"/>
                      <w:szCs w:val="21"/>
                      <w:highlight w:val="none"/>
                      <w:lang w:val="en-US" w:eastAsia="zh-CN" w:bidi="ar"/>
                    </w:rPr>
                  </w:pPr>
                  <w:r>
                    <w:rPr>
                      <w:rFonts w:hint="eastAsia"/>
                      <w:kern w:val="0"/>
                      <w:szCs w:val="21"/>
                      <w:highlight w:val="none"/>
                      <w:lang w:val="en-US" w:eastAsia="zh-CN" w:bidi="ar"/>
                    </w:rPr>
                    <w:t>塑料桶</w:t>
                  </w:r>
                </w:p>
              </w:tc>
            </w:tr>
            <w:tr w14:paraId="7B308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45F7F51B">
                  <w:pPr>
                    <w:pStyle w:val="67"/>
                    <w:jc w:val="center"/>
                    <w:rPr>
                      <w:rFonts w:ascii="Times New Roman" w:cs="Times New Roman"/>
                      <w:color w:val="auto"/>
                      <w:sz w:val="21"/>
                      <w:szCs w:val="21"/>
                      <w:highlight w:val="none"/>
                    </w:rPr>
                  </w:pPr>
                </w:p>
              </w:tc>
              <w:tc>
                <w:tcPr>
                  <w:tcW w:w="814" w:type="dxa"/>
                  <w:vMerge w:val="continue"/>
                  <w:noWrap w:val="0"/>
                  <w:vAlign w:val="center"/>
                </w:tcPr>
                <w:p w14:paraId="0FC8AA33">
                  <w:pPr>
                    <w:pStyle w:val="67"/>
                    <w:jc w:val="center"/>
                    <w:rPr>
                      <w:rFonts w:ascii="Times New Roman" w:cs="Times New Roman"/>
                      <w:color w:val="auto"/>
                      <w:sz w:val="21"/>
                      <w:szCs w:val="21"/>
                      <w:highlight w:val="none"/>
                    </w:rPr>
                  </w:pPr>
                </w:p>
              </w:tc>
              <w:tc>
                <w:tcPr>
                  <w:tcW w:w="1196" w:type="dxa"/>
                  <w:noWrap w:val="0"/>
                  <w:vAlign w:val="center"/>
                </w:tcPr>
                <w:p w14:paraId="15FB0610">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900-251-12</w:t>
                  </w:r>
                </w:p>
              </w:tc>
              <w:tc>
                <w:tcPr>
                  <w:tcW w:w="2960" w:type="dxa"/>
                  <w:noWrap w:val="0"/>
                  <w:vAlign w:val="center"/>
                </w:tcPr>
                <w:p w14:paraId="5E1623F6">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使用油漆（不包括水性漆）、有机溶剂进行阻挡层涂敷过程中产生的废物</w:t>
                  </w:r>
                </w:p>
              </w:tc>
              <w:tc>
                <w:tcPr>
                  <w:tcW w:w="872" w:type="dxa"/>
                  <w:noWrap w:val="0"/>
                  <w:vAlign w:val="center"/>
                </w:tcPr>
                <w:p w14:paraId="4AE14515">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T,I</w:t>
                  </w:r>
                </w:p>
              </w:tc>
              <w:tc>
                <w:tcPr>
                  <w:tcW w:w="843" w:type="dxa"/>
                  <w:shd w:val="clear" w:color="auto" w:fill="auto"/>
                  <w:noWrap w:val="0"/>
                  <w:vAlign w:val="center"/>
                </w:tcPr>
                <w:p w14:paraId="2AD8B22D">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半固态</w:t>
                  </w:r>
                </w:p>
              </w:tc>
              <w:tc>
                <w:tcPr>
                  <w:tcW w:w="844" w:type="dxa"/>
                  <w:shd w:val="clear" w:color="auto" w:fill="auto"/>
                  <w:noWrap w:val="0"/>
                  <w:vAlign w:val="center"/>
                </w:tcPr>
                <w:p w14:paraId="0E1B854F">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塑料桶</w:t>
                  </w:r>
                </w:p>
              </w:tc>
            </w:tr>
            <w:tr w14:paraId="158AA1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669B5C41">
                  <w:pPr>
                    <w:pStyle w:val="67"/>
                    <w:jc w:val="center"/>
                    <w:rPr>
                      <w:rFonts w:ascii="Times New Roman" w:cs="Times New Roman"/>
                      <w:color w:val="auto"/>
                      <w:sz w:val="21"/>
                      <w:szCs w:val="21"/>
                      <w:highlight w:val="none"/>
                    </w:rPr>
                  </w:pPr>
                </w:p>
              </w:tc>
              <w:tc>
                <w:tcPr>
                  <w:tcW w:w="814" w:type="dxa"/>
                  <w:vMerge w:val="continue"/>
                  <w:noWrap w:val="0"/>
                  <w:vAlign w:val="center"/>
                </w:tcPr>
                <w:p w14:paraId="007B1BA1">
                  <w:pPr>
                    <w:pStyle w:val="67"/>
                    <w:jc w:val="center"/>
                    <w:rPr>
                      <w:rFonts w:ascii="Times New Roman" w:cs="Times New Roman"/>
                      <w:color w:val="auto"/>
                      <w:sz w:val="21"/>
                      <w:szCs w:val="21"/>
                      <w:highlight w:val="none"/>
                    </w:rPr>
                  </w:pPr>
                </w:p>
              </w:tc>
              <w:tc>
                <w:tcPr>
                  <w:tcW w:w="1196" w:type="dxa"/>
                  <w:noWrap w:val="0"/>
                  <w:vAlign w:val="center"/>
                </w:tcPr>
                <w:p w14:paraId="7B701DBB">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900-252-12</w:t>
                  </w:r>
                </w:p>
              </w:tc>
              <w:tc>
                <w:tcPr>
                  <w:tcW w:w="2960" w:type="dxa"/>
                  <w:noWrap w:val="0"/>
                  <w:vAlign w:val="center"/>
                </w:tcPr>
                <w:p w14:paraId="7F653A2A">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使用油漆（不包括水性漆）、有机溶剂进行喷漆、上漆过程中产生的废物</w:t>
                  </w:r>
                </w:p>
              </w:tc>
              <w:tc>
                <w:tcPr>
                  <w:tcW w:w="872" w:type="dxa"/>
                  <w:noWrap w:val="0"/>
                  <w:vAlign w:val="center"/>
                </w:tcPr>
                <w:p w14:paraId="5053942A">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T,I</w:t>
                  </w:r>
                </w:p>
              </w:tc>
              <w:tc>
                <w:tcPr>
                  <w:tcW w:w="843" w:type="dxa"/>
                  <w:shd w:val="clear" w:color="auto" w:fill="auto"/>
                  <w:noWrap w:val="0"/>
                  <w:vAlign w:val="center"/>
                </w:tcPr>
                <w:p w14:paraId="23CAC3B3">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半固态</w:t>
                  </w:r>
                </w:p>
              </w:tc>
              <w:tc>
                <w:tcPr>
                  <w:tcW w:w="844" w:type="dxa"/>
                  <w:shd w:val="clear" w:color="auto" w:fill="auto"/>
                  <w:noWrap w:val="0"/>
                  <w:vAlign w:val="center"/>
                </w:tcPr>
                <w:p w14:paraId="10D9DA59">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塑料桶</w:t>
                  </w:r>
                </w:p>
              </w:tc>
            </w:tr>
            <w:tr w14:paraId="649C0E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1C1275B1">
                  <w:pPr>
                    <w:pStyle w:val="67"/>
                    <w:jc w:val="center"/>
                    <w:rPr>
                      <w:rFonts w:ascii="Times New Roman" w:cs="Times New Roman"/>
                      <w:color w:val="auto"/>
                      <w:sz w:val="21"/>
                      <w:szCs w:val="21"/>
                      <w:highlight w:val="none"/>
                    </w:rPr>
                  </w:pPr>
                </w:p>
              </w:tc>
              <w:tc>
                <w:tcPr>
                  <w:tcW w:w="814" w:type="dxa"/>
                  <w:vMerge w:val="continue"/>
                  <w:noWrap w:val="0"/>
                  <w:vAlign w:val="center"/>
                </w:tcPr>
                <w:p w14:paraId="1CADF70F">
                  <w:pPr>
                    <w:pStyle w:val="67"/>
                    <w:jc w:val="center"/>
                    <w:rPr>
                      <w:rFonts w:ascii="Times New Roman" w:cs="Times New Roman"/>
                      <w:color w:val="auto"/>
                      <w:sz w:val="21"/>
                      <w:szCs w:val="21"/>
                      <w:highlight w:val="none"/>
                    </w:rPr>
                  </w:pPr>
                </w:p>
              </w:tc>
              <w:tc>
                <w:tcPr>
                  <w:tcW w:w="1196" w:type="dxa"/>
                  <w:noWrap w:val="0"/>
                  <w:vAlign w:val="center"/>
                </w:tcPr>
                <w:p w14:paraId="45A4C826">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900-253-12</w:t>
                  </w:r>
                </w:p>
              </w:tc>
              <w:tc>
                <w:tcPr>
                  <w:tcW w:w="2960" w:type="dxa"/>
                  <w:noWrap w:val="0"/>
                  <w:vAlign w:val="center"/>
                </w:tcPr>
                <w:p w14:paraId="59004DE5">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使用油墨和有机溶剂进行丝网印刷过程中产生的废物</w:t>
                  </w:r>
                </w:p>
              </w:tc>
              <w:tc>
                <w:tcPr>
                  <w:tcW w:w="872" w:type="dxa"/>
                  <w:noWrap w:val="0"/>
                  <w:vAlign w:val="center"/>
                </w:tcPr>
                <w:p w14:paraId="21CB629B">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T,I</w:t>
                  </w:r>
                </w:p>
              </w:tc>
              <w:tc>
                <w:tcPr>
                  <w:tcW w:w="843" w:type="dxa"/>
                  <w:shd w:val="clear" w:color="auto" w:fill="auto"/>
                  <w:noWrap w:val="0"/>
                  <w:vAlign w:val="center"/>
                </w:tcPr>
                <w:p w14:paraId="15C5C44D">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半固态</w:t>
                  </w:r>
                </w:p>
              </w:tc>
              <w:tc>
                <w:tcPr>
                  <w:tcW w:w="844" w:type="dxa"/>
                  <w:shd w:val="clear" w:color="auto" w:fill="auto"/>
                  <w:noWrap w:val="0"/>
                  <w:vAlign w:val="center"/>
                </w:tcPr>
                <w:p w14:paraId="0EEE4C0D">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塑料桶</w:t>
                  </w:r>
                </w:p>
              </w:tc>
            </w:tr>
            <w:tr w14:paraId="3D1700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2344D645">
                  <w:pPr>
                    <w:pStyle w:val="67"/>
                    <w:jc w:val="center"/>
                    <w:rPr>
                      <w:rFonts w:ascii="Times New Roman" w:cs="Times New Roman"/>
                      <w:color w:val="auto"/>
                      <w:sz w:val="21"/>
                      <w:szCs w:val="21"/>
                      <w:highlight w:val="none"/>
                    </w:rPr>
                  </w:pPr>
                </w:p>
              </w:tc>
              <w:tc>
                <w:tcPr>
                  <w:tcW w:w="814" w:type="dxa"/>
                  <w:vMerge w:val="continue"/>
                  <w:noWrap w:val="0"/>
                  <w:vAlign w:val="center"/>
                </w:tcPr>
                <w:p w14:paraId="4ACDBB85">
                  <w:pPr>
                    <w:pStyle w:val="67"/>
                    <w:jc w:val="center"/>
                    <w:rPr>
                      <w:rFonts w:ascii="Times New Roman" w:cs="Times New Roman"/>
                      <w:color w:val="auto"/>
                      <w:sz w:val="21"/>
                      <w:szCs w:val="21"/>
                      <w:highlight w:val="none"/>
                    </w:rPr>
                  </w:pPr>
                </w:p>
              </w:tc>
              <w:tc>
                <w:tcPr>
                  <w:tcW w:w="1196" w:type="dxa"/>
                  <w:noWrap w:val="0"/>
                  <w:vAlign w:val="center"/>
                </w:tcPr>
                <w:p w14:paraId="28C47B7C">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900-254-12</w:t>
                  </w:r>
                </w:p>
              </w:tc>
              <w:tc>
                <w:tcPr>
                  <w:tcW w:w="2960" w:type="dxa"/>
                  <w:noWrap w:val="0"/>
                  <w:vAlign w:val="center"/>
                </w:tcPr>
                <w:p w14:paraId="02CD4E78">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使用遮盖油、有机溶剂进行遮盖油的涂敷过程中产生的废物</w:t>
                  </w:r>
                </w:p>
              </w:tc>
              <w:tc>
                <w:tcPr>
                  <w:tcW w:w="872" w:type="dxa"/>
                  <w:noWrap w:val="0"/>
                  <w:vAlign w:val="center"/>
                </w:tcPr>
                <w:p w14:paraId="2E0A433B">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T,I</w:t>
                  </w:r>
                </w:p>
              </w:tc>
              <w:tc>
                <w:tcPr>
                  <w:tcW w:w="843" w:type="dxa"/>
                  <w:shd w:val="clear" w:color="auto" w:fill="auto"/>
                  <w:noWrap w:val="0"/>
                  <w:vAlign w:val="center"/>
                </w:tcPr>
                <w:p w14:paraId="1ACB6949">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半固态</w:t>
                  </w:r>
                </w:p>
              </w:tc>
              <w:tc>
                <w:tcPr>
                  <w:tcW w:w="844" w:type="dxa"/>
                  <w:shd w:val="clear" w:color="auto" w:fill="auto"/>
                  <w:noWrap w:val="0"/>
                  <w:vAlign w:val="center"/>
                </w:tcPr>
                <w:p w14:paraId="3539E61B">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塑料桶</w:t>
                  </w:r>
                </w:p>
              </w:tc>
            </w:tr>
            <w:tr w14:paraId="793212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424046FF">
                  <w:pPr>
                    <w:pStyle w:val="67"/>
                    <w:jc w:val="center"/>
                    <w:rPr>
                      <w:rFonts w:ascii="Times New Roman" w:cs="Times New Roman"/>
                      <w:color w:val="auto"/>
                      <w:sz w:val="21"/>
                      <w:szCs w:val="21"/>
                      <w:highlight w:val="none"/>
                    </w:rPr>
                  </w:pPr>
                </w:p>
              </w:tc>
              <w:tc>
                <w:tcPr>
                  <w:tcW w:w="814" w:type="dxa"/>
                  <w:vMerge w:val="continue"/>
                  <w:noWrap w:val="0"/>
                  <w:vAlign w:val="center"/>
                </w:tcPr>
                <w:p w14:paraId="2CDF9AA7">
                  <w:pPr>
                    <w:pStyle w:val="67"/>
                    <w:jc w:val="center"/>
                    <w:rPr>
                      <w:rFonts w:ascii="Times New Roman" w:cs="Times New Roman"/>
                      <w:color w:val="auto"/>
                      <w:sz w:val="21"/>
                      <w:szCs w:val="21"/>
                      <w:highlight w:val="none"/>
                    </w:rPr>
                  </w:pPr>
                </w:p>
              </w:tc>
              <w:tc>
                <w:tcPr>
                  <w:tcW w:w="1196" w:type="dxa"/>
                  <w:noWrap w:val="0"/>
                  <w:vAlign w:val="center"/>
                </w:tcPr>
                <w:p w14:paraId="603EE432">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900-255-12</w:t>
                  </w:r>
                </w:p>
              </w:tc>
              <w:tc>
                <w:tcPr>
                  <w:tcW w:w="2960" w:type="dxa"/>
                  <w:noWrap w:val="0"/>
                  <w:vAlign w:val="center"/>
                </w:tcPr>
                <w:p w14:paraId="3E01999C">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使用各种颜料进行着色过程中产生的废颜料</w:t>
                  </w:r>
                </w:p>
              </w:tc>
              <w:tc>
                <w:tcPr>
                  <w:tcW w:w="872" w:type="dxa"/>
                  <w:noWrap w:val="0"/>
                  <w:vAlign w:val="center"/>
                </w:tcPr>
                <w:p w14:paraId="04E1ACEE">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66973023">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半固态</w:t>
                  </w:r>
                </w:p>
              </w:tc>
              <w:tc>
                <w:tcPr>
                  <w:tcW w:w="844" w:type="dxa"/>
                  <w:shd w:val="clear" w:color="auto" w:fill="auto"/>
                  <w:noWrap w:val="0"/>
                  <w:vAlign w:val="center"/>
                </w:tcPr>
                <w:p w14:paraId="508297E2">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塑料桶</w:t>
                  </w:r>
                </w:p>
              </w:tc>
            </w:tr>
            <w:tr w14:paraId="1EAAD4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000D8B11">
                  <w:pPr>
                    <w:pStyle w:val="67"/>
                    <w:jc w:val="center"/>
                    <w:rPr>
                      <w:rFonts w:ascii="Times New Roman" w:cs="Times New Roman"/>
                      <w:color w:val="auto"/>
                      <w:sz w:val="21"/>
                      <w:szCs w:val="21"/>
                      <w:highlight w:val="none"/>
                    </w:rPr>
                  </w:pPr>
                </w:p>
              </w:tc>
              <w:tc>
                <w:tcPr>
                  <w:tcW w:w="814" w:type="dxa"/>
                  <w:vMerge w:val="continue"/>
                  <w:noWrap w:val="0"/>
                  <w:vAlign w:val="center"/>
                </w:tcPr>
                <w:p w14:paraId="4CBAFCB4">
                  <w:pPr>
                    <w:pStyle w:val="67"/>
                    <w:jc w:val="center"/>
                    <w:rPr>
                      <w:rFonts w:ascii="Times New Roman" w:cs="Times New Roman"/>
                      <w:color w:val="auto"/>
                      <w:sz w:val="21"/>
                      <w:szCs w:val="21"/>
                      <w:highlight w:val="none"/>
                    </w:rPr>
                  </w:pPr>
                </w:p>
              </w:tc>
              <w:tc>
                <w:tcPr>
                  <w:tcW w:w="1196" w:type="dxa"/>
                  <w:noWrap w:val="0"/>
                  <w:vAlign w:val="center"/>
                </w:tcPr>
                <w:p w14:paraId="1622B1C8">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900-256-12</w:t>
                  </w:r>
                </w:p>
              </w:tc>
              <w:tc>
                <w:tcPr>
                  <w:tcW w:w="2960" w:type="dxa"/>
                  <w:noWrap w:val="0"/>
                  <w:vAlign w:val="center"/>
                </w:tcPr>
                <w:p w14:paraId="6838393D">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使用酸、碱或有机溶剂清洗容器设备过程中剥离下的废油漆、废染料、废涂料</w:t>
                  </w:r>
                </w:p>
              </w:tc>
              <w:tc>
                <w:tcPr>
                  <w:tcW w:w="872" w:type="dxa"/>
                  <w:noWrap w:val="0"/>
                  <w:vAlign w:val="center"/>
                </w:tcPr>
                <w:p w14:paraId="4DA411F2">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T,I,C</w:t>
                  </w:r>
                </w:p>
              </w:tc>
              <w:tc>
                <w:tcPr>
                  <w:tcW w:w="843" w:type="dxa"/>
                  <w:shd w:val="clear" w:color="auto" w:fill="auto"/>
                  <w:noWrap w:val="0"/>
                  <w:vAlign w:val="center"/>
                </w:tcPr>
                <w:p w14:paraId="4F56417D">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半固态</w:t>
                  </w:r>
                </w:p>
              </w:tc>
              <w:tc>
                <w:tcPr>
                  <w:tcW w:w="844" w:type="dxa"/>
                  <w:shd w:val="clear" w:color="auto" w:fill="auto"/>
                  <w:noWrap w:val="0"/>
                  <w:vAlign w:val="center"/>
                </w:tcPr>
                <w:p w14:paraId="18D62018">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塑料桶</w:t>
                  </w:r>
                </w:p>
              </w:tc>
            </w:tr>
            <w:tr w14:paraId="37B9EC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062E2C80">
                  <w:pPr>
                    <w:pStyle w:val="67"/>
                    <w:jc w:val="center"/>
                    <w:rPr>
                      <w:rFonts w:ascii="Times New Roman" w:cs="Times New Roman"/>
                      <w:color w:val="auto"/>
                      <w:sz w:val="21"/>
                      <w:szCs w:val="21"/>
                      <w:highlight w:val="none"/>
                    </w:rPr>
                  </w:pPr>
                </w:p>
              </w:tc>
              <w:tc>
                <w:tcPr>
                  <w:tcW w:w="814" w:type="dxa"/>
                  <w:vMerge w:val="continue"/>
                  <w:noWrap w:val="0"/>
                  <w:vAlign w:val="center"/>
                </w:tcPr>
                <w:p w14:paraId="7B2A691C">
                  <w:pPr>
                    <w:pStyle w:val="67"/>
                    <w:jc w:val="center"/>
                    <w:rPr>
                      <w:rFonts w:ascii="Times New Roman" w:cs="Times New Roman"/>
                      <w:color w:val="auto"/>
                      <w:sz w:val="21"/>
                      <w:szCs w:val="21"/>
                      <w:highlight w:val="none"/>
                    </w:rPr>
                  </w:pPr>
                </w:p>
              </w:tc>
              <w:tc>
                <w:tcPr>
                  <w:tcW w:w="1196" w:type="dxa"/>
                  <w:noWrap w:val="0"/>
                  <w:vAlign w:val="center"/>
                </w:tcPr>
                <w:p w14:paraId="2D179311">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900-299-12</w:t>
                  </w:r>
                </w:p>
              </w:tc>
              <w:tc>
                <w:tcPr>
                  <w:tcW w:w="2960" w:type="dxa"/>
                  <w:noWrap w:val="0"/>
                  <w:vAlign w:val="center"/>
                </w:tcPr>
                <w:p w14:paraId="729E9D42">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生产、销售及使用过程中产生的失效、变质、不合格、淘汰、伪劣的油墨、染料、颜料、油漆（不包括水性漆）</w:t>
                  </w:r>
                </w:p>
              </w:tc>
              <w:tc>
                <w:tcPr>
                  <w:tcW w:w="872" w:type="dxa"/>
                  <w:noWrap w:val="0"/>
                  <w:vAlign w:val="center"/>
                </w:tcPr>
                <w:p w14:paraId="5CE83EB7">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44BDF65C">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半固态</w:t>
                  </w:r>
                </w:p>
              </w:tc>
              <w:tc>
                <w:tcPr>
                  <w:tcW w:w="844" w:type="dxa"/>
                  <w:shd w:val="clear" w:color="auto" w:fill="auto"/>
                  <w:noWrap w:val="0"/>
                  <w:vAlign w:val="center"/>
                </w:tcPr>
                <w:p w14:paraId="67E1252D">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塑料桶</w:t>
                  </w:r>
                </w:p>
              </w:tc>
            </w:tr>
            <w:tr w14:paraId="16C0A9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restart"/>
                  <w:noWrap w:val="0"/>
                  <w:vAlign w:val="center"/>
                </w:tcPr>
                <w:p w14:paraId="5882C42C">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HW13有机树脂类废物</w:t>
                  </w:r>
                </w:p>
              </w:tc>
              <w:tc>
                <w:tcPr>
                  <w:tcW w:w="814" w:type="dxa"/>
                  <w:vMerge w:val="restart"/>
                  <w:noWrap w:val="0"/>
                  <w:vAlign w:val="center"/>
                </w:tcPr>
                <w:p w14:paraId="67B6E7C0">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非特定行业</w:t>
                  </w:r>
                </w:p>
              </w:tc>
              <w:tc>
                <w:tcPr>
                  <w:tcW w:w="1196" w:type="dxa"/>
                  <w:noWrap w:val="0"/>
                  <w:vAlign w:val="center"/>
                </w:tcPr>
                <w:p w14:paraId="60964F3B">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900-014-13</w:t>
                  </w:r>
                </w:p>
              </w:tc>
              <w:tc>
                <w:tcPr>
                  <w:tcW w:w="2960" w:type="dxa"/>
                  <w:noWrap w:val="0"/>
                  <w:vAlign w:val="center"/>
                </w:tcPr>
                <w:p w14:paraId="4E1F1090">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废弃的粘合剂和密封剂（不包括水基型和热熔型粘合剂和密封剂）</w:t>
                  </w:r>
                </w:p>
              </w:tc>
              <w:tc>
                <w:tcPr>
                  <w:tcW w:w="872" w:type="dxa"/>
                  <w:noWrap w:val="0"/>
                  <w:vAlign w:val="center"/>
                </w:tcPr>
                <w:p w14:paraId="45DF9055">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noWrap w:val="0"/>
                  <w:vAlign w:val="center"/>
                </w:tcPr>
                <w:p w14:paraId="7F3647D0">
                  <w:pPr>
                    <w:widowControl/>
                    <w:jc w:val="center"/>
                    <w:textAlignment w:val="center"/>
                    <w:rPr>
                      <w:rFonts w:hint="eastAsia" w:ascii="Times New Roman" w:hAnsi="Times New Roman" w:eastAsia="宋体"/>
                      <w:kern w:val="0"/>
                      <w:szCs w:val="21"/>
                      <w:highlight w:val="none"/>
                      <w:lang w:val="en-US" w:eastAsia="zh-CN" w:bidi="ar"/>
                    </w:rPr>
                  </w:pPr>
                  <w:r>
                    <w:rPr>
                      <w:rFonts w:hint="eastAsia"/>
                      <w:kern w:val="0"/>
                      <w:szCs w:val="21"/>
                      <w:highlight w:val="none"/>
                      <w:lang w:val="en-US" w:eastAsia="zh-CN" w:bidi="ar"/>
                    </w:rPr>
                    <w:t>液态</w:t>
                  </w:r>
                </w:p>
              </w:tc>
              <w:tc>
                <w:tcPr>
                  <w:tcW w:w="844" w:type="dxa"/>
                  <w:noWrap w:val="0"/>
                  <w:vAlign w:val="center"/>
                </w:tcPr>
                <w:p w14:paraId="6792D30C">
                  <w:pPr>
                    <w:widowControl/>
                    <w:jc w:val="center"/>
                    <w:textAlignment w:val="center"/>
                    <w:rPr>
                      <w:rFonts w:hint="eastAsia" w:ascii="Times New Roman" w:hAnsi="Times New Roman" w:eastAsia="宋体"/>
                      <w:kern w:val="0"/>
                      <w:szCs w:val="21"/>
                      <w:highlight w:val="none"/>
                      <w:lang w:val="en-US" w:eastAsia="zh-CN" w:bidi="ar"/>
                    </w:rPr>
                  </w:pPr>
                  <w:r>
                    <w:rPr>
                      <w:rFonts w:hint="eastAsia"/>
                      <w:kern w:val="0"/>
                      <w:szCs w:val="21"/>
                      <w:highlight w:val="none"/>
                      <w:lang w:val="en-US" w:eastAsia="zh-CN" w:bidi="ar"/>
                    </w:rPr>
                    <w:t>塑料桶</w:t>
                  </w:r>
                </w:p>
              </w:tc>
            </w:tr>
            <w:tr w14:paraId="3B333C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37057974">
                  <w:pPr>
                    <w:pStyle w:val="67"/>
                    <w:jc w:val="center"/>
                    <w:rPr>
                      <w:rFonts w:ascii="Times New Roman" w:cs="Times New Roman"/>
                      <w:color w:val="auto"/>
                      <w:sz w:val="21"/>
                      <w:szCs w:val="21"/>
                      <w:highlight w:val="none"/>
                    </w:rPr>
                  </w:pPr>
                </w:p>
              </w:tc>
              <w:tc>
                <w:tcPr>
                  <w:tcW w:w="814" w:type="dxa"/>
                  <w:vMerge w:val="continue"/>
                  <w:noWrap w:val="0"/>
                  <w:vAlign w:val="center"/>
                </w:tcPr>
                <w:p w14:paraId="33EFDAC6">
                  <w:pPr>
                    <w:pStyle w:val="67"/>
                    <w:jc w:val="center"/>
                    <w:rPr>
                      <w:rFonts w:ascii="Times New Roman" w:cs="Times New Roman"/>
                      <w:color w:val="auto"/>
                      <w:sz w:val="21"/>
                      <w:szCs w:val="21"/>
                      <w:highlight w:val="none"/>
                    </w:rPr>
                  </w:pPr>
                </w:p>
              </w:tc>
              <w:tc>
                <w:tcPr>
                  <w:tcW w:w="1196" w:type="dxa"/>
                  <w:noWrap w:val="0"/>
                  <w:vAlign w:val="center"/>
                </w:tcPr>
                <w:p w14:paraId="0144E311">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900-015-13</w:t>
                  </w:r>
                </w:p>
              </w:tc>
              <w:tc>
                <w:tcPr>
                  <w:tcW w:w="2960" w:type="dxa"/>
                  <w:noWrap w:val="0"/>
                  <w:vAlign w:val="center"/>
                </w:tcPr>
                <w:p w14:paraId="110CC727">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湿法冶金、表面处理和制药行业重金属、抗生素提取、分离过程产生的废弃离子交换树脂，以及工业废水处理过程产生的废弃离子交换树脂</w:t>
                  </w:r>
                </w:p>
              </w:tc>
              <w:tc>
                <w:tcPr>
                  <w:tcW w:w="872" w:type="dxa"/>
                  <w:noWrap w:val="0"/>
                  <w:vAlign w:val="center"/>
                </w:tcPr>
                <w:p w14:paraId="5E55A8DE">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noWrap w:val="0"/>
                  <w:vAlign w:val="center"/>
                </w:tcPr>
                <w:p w14:paraId="50C99AD5">
                  <w:pPr>
                    <w:widowControl/>
                    <w:jc w:val="center"/>
                    <w:textAlignment w:val="center"/>
                    <w:rPr>
                      <w:rFonts w:hint="eastAsia" w:ascii="Times New Roman" w:hAnsi="Times New Roman" w:eastAsia="宋体"/>
                      <w:kern w:val="0"/>
                      <w:szCs w:val="21"/>
                      <w:highlight w:val="none"/>
                      <w:lang w:val="en-US" w:eastAsia="zh-CN" w:bidi="ar"/>
                    </w:rPr>
                  </w:pPr>
                  <w:r>
                    <w:rPr>
                      <w:rFonts w:hint="eastAsia"/>
                      <w:kern w:val="0"/>
                      <w:szCs w:val="21"/>
                      <w:highlight w:val="none"/>
                      <w:lang w:val="en-US" w:eastAsia="zh-CN" w:bidi="ar"/>
                    </w:rPr>
                    <w:t>半固态</w:t>
                  </w:r>
                </w:p>
              </w:tc>
              <w:tc>
                <w:tcPr>
                  <w:tcW w:w="844" w:type="dxa"/>
                  <w:noWrap w:val="0"/>
                  <w:vAlign w:val="center"/>
                </w:tcPr>
                <w:p w14:paraId="35D085CD">
                  <w:pPr>
                    <w:widowControl/>
                    <w:jc w:val="center"/>
                    <w:textAlignment w:val="center"/>
                    <w:rPr>
                      <w:rFonts w:hint="eastAsia" w:ascii="Times New Roman" w:hAnsi="Times New Roman" w:eastAsia="宋体"/>
                      <w:kern w:val="0"/>
                      <w:szCs w:val="21"/>
                      <w:highlight w:val="none"/>
                      <w:lang w:val="en-US" w:eastAsia="zh-CN" w:bidi="ar"/>
                    </w:rPr>
                  </w:pPr>
                  <w:r>
                    <w:rPr>
                      <w:rFonts w:hint="eastAsia"/>
                      <w:kern w:val="0"/>
                      <w:szCs w:val="21"/>
                      <w:highlight w:val="none"/>
                      <w:lang w:val="en-US" w:eastAsia="zh-CN" w:bidi="ar"/>
                    </w:rPr>
                    <w:t>塑料桶</w:t>
                  </w:r>
                </w:p>
              </w:tc>
            </w:tr>
            <w:tr w14:paraId="42A22E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24496D90">
                  <w:pPr>
                    <w:pStyle w:val="67"/>
                    <w:jc w:val="center"/>
                    <w:rPr>
                      <w:rFonts w:ascii="Times New Roman" w:cs="Times New Roman"/>
                      <w:color w:val="auto"/>
                      <w:sz w:val="21"/>
                      <w:szCs w:val="21"/>
                      <w:highlight w:val="none"/>
                    </w:rPr>
                  </w:pPr>
                </w:p>
              </w:tc>
              <w:tc>
                <w:tcPr>
                  <w:tcW w:w="814" w:type="dxa"/>
                  <w:vMerge w:val="continue"/>
                  <w:noWrap w:val="0"/>
                  <w:vAlign w:val="center"/>
                </w:tcPr>
                <w:p w14:paraId="144D6BE7">
                  <w:pPr>
                    <w:pStyle w:val="67"/>
                    <w:jc w:val="center"/>
                    <w:rPr>
                      <w:rFonts w:ascii="Times New Roman" w:cs="Times New Roman"/>
                      <w:color w:val="auto"/>
                      <w:sz w:val="21"/>
                      <w:szCs w:val="21"/>
                      <w:highlight w:val="none"/>
                    </w:rPr>
                  </w:pPr>
                </w:p>
              </w:tc>
              <w:tc>
                <w:tcPr>
                  <w:tcW w:w="1196" w:type="dxa"/>
                  <w:noWrap w:val="0"/>
                  <w:vAlign w:val="center"/>
                </w:tcPr>
                <w:p w14:paraId="65920C42">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900-016-13</w:t>
                  </w:r>
                </w:p>
              </w:tc>
              <w:tc>
                <w:tcPr>
                  <w:tcW w:w="2960" w:type="dxa"/>
                  <w:noWrap w:val="0"/>
                  <w:vAlign w:val="center"/>
                </w:tcPr>
                <w:p w14:paraId="2FDF5953">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使用酸、碱或有机溶剂清洗容器设备剥离下的树脂状、粘稠杂物</w:t>
                  </w:r>
                </w:p>
              </w:tc>
              <w:tc>
                <w:tcPr>
                  <w:tcW w:w="872" w:type="dxa"/>
                  <w:noWrap w:val="0"/>
                  <w:vAlign w:val="center"/>
                </w:tcPr>
                <w:p w14:paraId="6C52AF55">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noWrap w:val="0"/>
                  <w:vAlign w:val="center"/>
                </w:tcPr>
                <w:p w14:paraId="6CB52EB3">
                  <w:pPr>
                    <w:widowControl/>
                    <w:jc w:val="center"/>
                    <w:textAlignment w:val="center"/>
                    <w:rPr>
                      <w:rFonts w:hint="eastAsia" w:ascii="Times New Roman" w:hAnsi="Times New Roman" w:eastAsia="宋体"/>
                      <w:kern w:val="0"/>
                      <w:szCs w:val="21"/>
                      <w:highlight w:val="none"/>
                      <w:lang w:val="en-US" w:eastAsia="zh-CN" w:bidi="ar"/>
                    </w:rPr>
                  </w:pPr>
                  <w:r>
                    <w:rPr>
                      <w:rFonts w:hint="eastAsia"/>
                      <w:kern w:val="0"/>
                      <w:szCs w:val="21"/>
                      <w:highlight w:val="none"/>
                      <w:lang w:val="en-US" w:eastAsia="zh-CN" w:bidi="ar"/>
                    </w:rPr>
                    <w:t>半固态</w:t>
                  </w:r>
                </w:p>
              </w:tc>
              <w:tc>
                <w:tcPr>
                  <w:tcW w:w="844" w:type="dxa"/>
                  <w:noWrap w:val="0"/>
                  <w:vAlign w:val="center"/>
                </w:tcPr>
                <w:p w14:paraId="3C5F2108">
                  <w:pPr>
                    <w:widowControl/>
                    <w:jc w:val="center"/>
                    <w:textAlignment w:val="center"/>
                    <w:rPr>
                      <w:rFonts w:hint="eastAsia" w:ascii="Times New Roman" w:hAnsi="Times New Roman" w:eastAsia="宋体"/>
                      <w:kern w:val="0"/>
                      <w:szCs w:val="21"/>
                      <w:highlight w:val="none"/>
                      <w:lang w:val="en-US" w:eastAsia="zh-CN" w:bidi="ar"/>
                    </w:rPr>
                  </w:pPr>
                  <w:r>
                    <w:rPr>
                      <w:rFonts w:hint="eastAsia"/>
                      <w:kern w:val="0"/>
                      <w:szCs w:val="21"/>
                      <w:highlight w:val="none"/>
                      <w:lang w:val="en-US" w:eastAsia="zh-CN" w:bidi="ar"/>
                    </w:rPr>
                    <w:t>塑料桶</w:t>
                  </w:r>
                </w:p>
              </w:tc>
            </w:tr>
            <w:tr w14:paraId="5384B9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restart"/>
                  <w:noWrap w:val="0"/>
                  <w:vAlign w:val="center"/>
                </w:tcPr>
                <w:p w14:paraId="301B9655">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HW16感光材料废物</w:t>
                  </w:r>
                </w:p>
              </w:tc>
              <w:tc>
                <w:tcPr>
                  <w:tcW w:w="814" w:type="dxa"/>
                  <w:vMerge w:val="restart"/>
                  <w:noWrap w:val="0"/>
                  <w:vAlign w:val="center"/>
                </w:tcPr>
                <w:p w14:paraId="0334CF67">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印刷</w:t>
                  </w:r>
                </w:p>
              </w:tc>
              <w:tc>
                <w:tcPr>
                  <w:tcW w:w="1196" w:type="dxa"/>
                  <w:noWrap w:val="0"/>
                  <w:vAlign w:val="center"/>
                </w:tcPr>
                <w:p w14:paraId="279767F0">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231-001-16</w:t>
                  </w:r>
                </w:p>
              </w:tc>
              <w:tc>
                <w:tcPr>
                  <w:tcW w:w="2960" w:type="dxa"/>
                  <w:noWrap w:val="0"/>
                  <w:vAlign w:val="center"/>
                </w:tcPr>
                <w:p w14:paraId="4E2FC024">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使用显影剂进行胶卷显影，使用定影剂进行胶卷定影，以及使用铁氰化钾、硫代硫酸盐进行影像减薄（漂白）产生的废显（定）影剂、胶片和废像纸</w:t>
                  </w:r>
                </w:p>
              </w:tc>
              <w:tc>
                <w:tcPr>
                  <w:tcW w:w="872" w:type="dxa"/>
                  <w:noWrap w:val="0"/>
                  <w:vAlign w:val="center"/>
                </w:tcPr>
                <w:p w14:paraId="79017C97">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noWrap w:val="0"/>
                  <w:vAlign w:val="center"/>
                </w:tcPr>
                <w:p w14:paraId="124DD38B">
                  <w:pPr>
                    <w:widowControl/>
                    <w:jc w:val="center"/>
                    <w:textAlignment w:val="center"/>
                    <w:rPr>
                      <w:rFonts w:hint="eastAsia" w:ascii="Times New Roman" w:hAnsi="Times New Roman" w:eastAsia="宋体"/>
                      <w:kern w:val="0"/>
                      <w:szCs w:val="21"/>
                      <w:highlight w:val="none"/>
                      <w:lang w:val="en-US" w:eastAsia="zh-CN" w:bidi="ar"/>
                    </w:rPr>
                  </w:pPr>
                  <w:r>
                    <w:rPr>
                      <w:rFonts w:hint="eastAsia"/>
                      <w:kern w:val="0"/>
                      <w:szCs w:val="21"/>
                      <w:highlight w:val="none"/>
                      <w:lang w:val="en-US" w:eastAsia="zh-CN" w:bidi="ar"/>
                    </w:rPr>
                    <w:t>固态</w:t>
                  </w:r>
                </w:p>
              </w:tc>
              <w:tc>
                <w:tcPr>
                  <w:tcW w:w="844" w:type="dxa"/>
                  <w:noWrap w:val="0"/>
                  <w:vAlign w:val="center"/>
                </w:tcPr>
                <w:p w14:paraId="203FC0EF">
                  <w:pPr>
                    <w:widowControl/>
                    <w:jc w:val="center"/>
                    <w:textAlignment w:val="center"/>
                    <w:rPr>
                      <w:rFonts w:hint="eastAsia" w:ascii="Times New Roman" w:hAnsi="Times New Roman" w:eastAsia="宋体"/>
                      <w:kern w:val="0"/>
                      <w:szCs w:val="21"/>
                      <w:highlight w:val="none"/>
                      <w:lang w:val="en-US" w:eastAsia="zh-CN" w:bidi="ar"/>
                    </w:rPr>
                  </w:pPr>
                  <w:r>
                    <w:rPr>
                      <w:rFonts w:hint="eastAsia"/>
                      <w:kern w:val="0"/>
                      <w:szCs w:val="21"/>
                      <w:highlight w:val="none"/>
                      <w:lang w:val="en-US" w:eastAsia="zh-CN" w:bidi="ar"/>
                    </w:rPr>
                    <w:t>袋装</w:t>
                  </w:r>
                </w:p>
              </w:tc>
            </w:tr>
            <w:tr w14:paraId="53CDC0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45FDFB16">
                  <w:pPr>
                    <w:pStyle w:val="67"/>
                    <w:jc w:val="center"/>
                    <w:rPr>
                      <w:rFonts w:ascii="Times New Roman" w:cs="Times New Roman"/>
                      <w:color w:val="auto"/>
                      <w:sz w:val="21"/>
                      <w:szCs w:val="21"/>
                      <w:highlight w:val="none"/>
                    </w:rPr>
                  </w:pPr>
                </w:p>
              </w:tc>
              <w:tc>
                <w:tcPr>
                  <w:tcW w:w="814" w:type="dxa"/>
                  <w:vMerge w:val="continue"/>
                  <w:noWrap w:val="0"/>
                  <w:vAlign w:val="center"/>
                </w:tcPr>
                <w:p w14:paraId="5EF1CA14">
                  <w:pPr>
                    <w:pStyle w:val="67"/>
                    <w:jc w:val="center"/>
                    <w:rPr>
                      <w:rFonts w:ascii="Times New Roman" w:cs="Times New Roman"/>
                      <w:color w:val="auto"/>
                      <w:sz w:val="21"/>
                      <w:szCs w:val="21"/>
                      <w:highlight w:val="none"/>
                    </w:rPr>
                  </w:pPr>
                </w:p>
              </w:tc>
              <w:tc>
                <w:tcPr>
                  <w:tcW w:w="1196" w:type="dxa"/>
                  <w:noWrap w:val="0"/>
                  <w:vAlign w:val="center"/>
                </w:tcPr>
                <w:p w14:paraId="34C2D469">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231-002-16</w:t>
                  </w:r>
                </w:p>
              </w:tc>
              <w:tc>
                <w:tcPr>
                  <w:tcW w:w="2960" w:type="dxa"/>
                  <w:noWrap w:val="0"/>
                  <w:vAlign w:val="center"/>
                </w:tcPr>
                <w:p w14:paraId="0CB71D61">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使用显影剂进行印刷显影、抗蚀图形显影，以及凸版印刷产生的废显（定）影剂、胶片和废像纸</w:t>
                  </w:r>
                </w:p>
              </w:tc>
              <w:tc>
                <w:tcPr>
                  <w:tcW w:w="872" w:type="dxa"/>
                  <w:noWrap w:val="0"/>
                  <w:vAlign w:val="center"/>
                </w:tcPr>
                <w:p w14:paraId="03A2C67F">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59FD0DD6">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606B3517">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4E698D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6EFA1A08">
                  <w:pPr>
                    <w:pStyle w:val="67"/>
                    <w:jc w:val="center"/>
                    <w:rPr>
                      <w:rFonts w:ascii="Times New Roman" w:cs="Times New Roman"/>
                      <w:color w:val="auto"/>
                      <w:sz w:val="21"/>
                      <w:szCs w:val="21"/>
                      <w:highlight w:val="none"/>
                    </w:rPr>
                  </w:pPr>
                </w:p>
              </w:tc>
              <w:tc>
                <w:tcPr>
                  <w:tcW w:w="814" w:type="dxa"/>
                  <w:noWrap w:val="0"/>
                  <w:vAlign w:val="center"/>
                </w:tcPr>
                <w:p w14:paraId="1690117D">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非特定行业</w:t>
                  </w:r>
                </w:p>
              </w:tc>
              <w:tc>
                <w:tcPr>
                  <w:tcW w:w="1196" w:type="dxa"/>
                  <w:noWrap w:val="0"/>
                  <w:vAlign w:val="center"/>
                </w:tcPr>
                <w:p w14:paraId="708C8930">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900-019-16</w:t>
                  </w:r>
                </w:p>
              </w:tc>
              <w:tc>
                <w:tcPr>
                  <w:tcW w:w="2960" w:type="dxa"/>
                  <w:noWrap w:val="0"/>
                  <w:vAlign w:val="center"/>
                </w:tcPr>
                <w:p w14:paraId="6704AD70">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其他行业产生的废显（定）影剂、胶片和废像纸</w:t>
                  </w:r>
                </w:p>
              </w:tc>
              <w:tc>
                <w:tcPr>
                  <w:tcW w:w="872" w:type="dxa"/>
                  <w:noWrap w:val="0"/>
                  <w:vAlign w:val="center"/>
                </w:tcPr>
                <w:p w14:paraId="6930DFC2">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75E49B03">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59A73C1D">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65F70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restart"/>
                  <w:noWrap w:val="0"/>
                  <w:vAlign w:val="center"/>
                </w:tcPr>
                <w:p w14:paraId="413396A0">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HW17表面处理废物</w:t>
                  </w:r>
                </w:p>
              </w:tc>
              <w:tc>
                <w:tcPr>
                  <w:tcW w:w="814" w:type="dxa"/>
                  <w:vMerge w:val="restart"/>
                  <w:noWrap w:val="0"/>
                  <w:vAlign w:val="center"/>
                </w:tcPr>
                <w:p w14:paraId="3CEECF68">
                  <w:pPr>
                    <w:pStyle w:val="67"/>
                    <w:jc w:val="center"/>
                    <w:rPr>
                      <w:rFonts w:ascii="Times New Roman" w:cs="Times New Roman"/>
                      <w:color w:val="auto"/>
                      <w:sz w:val="21"/>
                      <w:szCs w:val="21"/>
                      <w:highlight w:val="none"/>
                    </w:rPr>
                  </w:pPr>
                </w:p>
              </w:tc>
              <w:tc>
                <w:tcPr>
                  <w:tcW w:w="1196" w:type="dxa"/>
                  <w:noWrap w:val="0"/>
                  <w:vAlign w:val="center"/>
                </w:tcPr>
                <w:p w14:paraId="381FDD73">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336-051-17</w:t>
                  </w:r>
                </w:p>
              </w:tc>
              <w:tc>
                <w:tcPr>
                  <w:tcW w:w="2960" w:type="dxa"/>
                  <w:noWrap w:val="0"/>
                  <w:vAlign w:val="center"/>
                </w:tcPr>
                <w:p w14:paraId="128C29D0">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使用氯化锌、氯化铵进行敏化处理产生的废渣和废水处理污泥</w:t>
                  </w:r>
                </w:p>
              </w:tc>
              <w:tc>
                <w:tcPr>
                  <w:tcW w:w="872" w:type="dxa"/>
                  <w:noWrap w:val="0"/>
                  <w:vAlign w:val="center"/>
                </w:tcPr>
                <w:p w14:paraId="389C73DF">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413A5697">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430CA15A">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35C2BA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4DC407EB">
                  <w:pPr>
                    <w:pStyle w:val="67"/>
                    <w:jc w:val="center"/>
                    <w:rPr>
                      <w:rFonts w:ascii="Times New Roman" w:cs="Times New Roman"/>
                      <w:color w:val="auto"/>
                      <w:sz w:val="21"/>
                      <w:szCs w:val="21"/>
                      <w:highlight w:val="none"/>
                    </w:rPr>
                  </w:pPr>
                </w:p>
              </w:tc>
              <w:tc>
                <w:tcPr>
                  <w:tcW w:w="814" w:type="dxa"/>
                  <w:vMerge w:val="continue"/>
                  <w:noWrap w:val="0"/>
                  <w:vAlign w:val="center"/>
                </w:tcPr>
                <w:p w14:paraId="3410FA44">
                  <w:pPr>
                    <w:pStyle w:val="67"/>
                    <w:jc w:val="center"/>
                    <w:rPr>
                      <w:rFonts w:ascii="Times New Roman" w:cs="Times New Roman"/>
                      <w:color w:val="auto"/>
                      <w:sz w:val="21"/>
                      <w:szCs w:val="21"/>
                      <w:highlight w:val="none"/>
                    </w:rPr>
                  </w:pPr>
                </w:p>
              </w:tc>
              <w:tc>
                <w:tcPr>
                  <w:tcW w:w="1196" w:type="dxa"/>
                  <w:noWrap w:val="0"/>
                  <w:vAlign w:val="center"/>
                </w:tcPr>
                <w:p w14:paraId="33A75624">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336-052-17</w:t>
                  </w:r>
                </w:p>
              </w:tc>
              <w:tc>
                <w:tcPr>
                  <w:tcW w:w="2960" w:type="dxa"/>
                  <w:noWrap w:val="0"/>
                  <w:vAlign w:val="center"/>
                </w:tcPr>
                <w:p w14:paraId="0A61B238">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使用锌和电镀化学品进行镀锌产生的废槽液、槽渣和废水处理污泥</w:t>
                  </w:r>
                </w:p>
              </w:tc>
              <w:tc>
                <w:tcPr>
                  <w:tcW w:w="872" w:type="dxa"/>
                  <w:noWrap w:val="0"/>
                  <w:vAlign w:val="center"/>
                </w:tcPr>
                <w:p w14:paraId="7CF83A2E">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6EBA01B9">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3A25B8A0">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0BE08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5A21A277">
                  <w:pPr>
                    <w:pStyle w:val="67"/>
                    <w:jc w:val="center"/>
                    <w:rPr>
                      <w:rFonts w:ascii="Times New Roman" w:cs="Times New Roman"/>
                      <w:color w:val="auto"/>
                      <w:sz w:val="21"/>
                      <w:szCs w:val="21"/>
                      <w:highlight w:val="none"/>
                    </w:rPr>
                  </w:pPr>
                </w:p>
              </w:tc>
              <w:tc>
                <w:tcPr>
                  <w:tcW w:w="814" w:type="dxa"/>
                  <w:vMerge w:val="continue"/>
                  <w:noWrap w:val="0"/>
                  <w:vAlign w:val="center"/>
                </w:tcPr>
                <w:p w14:paraId="657CA2E2">
                  <w:pPr>
                    <w:pStyle w:val="67"/>
                    <w:jc w:val="center"/>
                    <w:rPr>
                      <w:rFonts w:ascii="Times New Roman" w:cs="Times New Roman"/>
                      <w:color w:val="auto"/>
                      <w:sz w:val="21"/>
                      <w:szCs w:val="21"/>
                      <w:highlight w:val="none"/>
                    </w:rPr>
                  </w:pPr>
                </w:p>
              </w:tc>
              <w:tc>
                <w:tcPr>
                  <w:tcW w:w="1196" w:type="dxa"/>
                  <w:noWrap w:val="0"/>
                  <w:vAlign w:val="center"/>
                </w:tcPr>
                <w:p w14:paraId="77C41AE7">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336-053-17</w:t>
                  </w:r>
                </w:p>
              </w:tc>
              <w:tc>
                <w:tcPr>
                  <w:tcW w:w="2960" w:type="dxa"/>
                  <w:noWrap w:val="0"/>
                  <w:vAlign w:val="center"/>
                </w:tcPr>
                <w:p w14:paraId="7D4ABE9F">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使用镉和电镀化学品进行镀镉产生的废槽液、槽渣和废水处理污泥</w:t>
                  </w:r>
                </w:p>
              </w:tc>
              <w:tc>
                <w:tcPr>
                  <w:tcW w:w="872" w:type="dxa"/>
                  <w:noWrap w:val="0"/>
                  <w:vAlign w:val="center"/>
                </w:tcPr>
                <w:p w14:paraId="48DEA7D3">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52451A78">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4C5AB9AA">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7F6F45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04B42CB4">
                  <w:pPr>
                    <w:pStyle w:val="67"/>
                    <w:jc w:val="center"/>
                    <w:rPr>
                      <w:rFonts w:ascii="Times New Roman" w:cs="Times New Roman"/>
                      <w:color w:val="auto"/>
                      <w:sz w:val="21"/>
                      <w:szCs w:val="21"/>
                      <w:highlight w:val="none"/>
                    </w:rPr>
                  </w:pPr>
                </w:p>
              </w:tc>
              <w:tc>
                <w:tcPr>
                  <w:tcW w:w="814" w:type="dxa"/>
                  <w:vMerge w:val="continue"/>
                  <w:noWrap w:val="0"/>
                  <w:vAlign w:val="center"/>
                </w:tcPr>
                <w:p w14:paraId="6D781562">
                  <w:pPr>
                    <w:pStyle w:val="67"/>
                    <w:jc w:val="center"/>
                    <w:rPr>
                      <w:rFonts w:ascii="Times New Roman" w:cs="Times New Roman"/>
                      <w:color w:val="auto"/>
                      <w:sz w:val="21"/>
                      <w:szCs w:val="21"/>
                      <w:highlight w:val="none"/>
                    </w:rPr>
                  </w:pPr>
                </w:p>
              </w:tc>
              <w:tc>
                <w:tcPr>
                  <w:tcW w:w="1196" w:type="dxa"/>
                  <w:noWrap w:val="0"/>
                  <w:vAlign w:val="center"/>
                </w:tcPr>
                <w:p w14:paraId="05702713">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336-054-17</w:t>
                  </w:r>
                </w:p>
              </w:tc>
              <w:tc>
                <w:tcPr>
                  <w:tcW w:w="2960" w:type="dxa"/>
                  <w:noWrap w:val="0"/>
                  <w:vAlign w:val="center"/>
                </w:tcPr>
                <w:p w14:paraId="49AC7C3F">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使用镍和电镀化学品进行镀镍产生的废槽液、槽渣和废水处理污泥</w:t>
                  </w:r>
                </w:p>
              </w:tc>
              <w:tc>
                <w:tcPr>
                  <w:tcW w:w="872" w:type="dxa"/>
                  <w:noWrap w:val="0"/>
                  <w:vAlign w:val="center"/>
                </w:tcPr>
                <w:p w14:paraId="357FB01E">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33264944">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7F2F0C6C">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21749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2996380D">
                  <w:pPr>
                    <w:pStyle w:val="67"/>
                    <w:jc w:val="center"/>
                    <w:rPr>
                      <w:rFonts w:ascii="Times New Roman" w:cs="Times New Roman"/>
                      <w:color w:val="auto"/>
                      <w:sz w:val="21"/>
                      <w:szCs w:val="21"/>
                      <w:highlight w:val="none"/>
                    </w:rPr>
                  </w:pPr>
                </w:p>
              </w:tc>
              <w:tc>
                <w:tcPr>
                  <w:tcW w:w="814" w:type="dxa"/>
                  <w:vMerge w:val="continue"/>
                  <w:noWrap w:val="0"/>
                  <w:vAlign w:val="center"/>
                </w:tcPr>
                <w:p w14:paraId="3B49F15D">
                  <w:pPr>
                    <w:pStyle w:val="67"/>
                    <w:jc w:val="center"/>
                    <w:rPr>
                      <w:rFonts w:ascii="Times New Roman" w:cs="Times New Roman"/>
                      <w:color w:val="auto"/>
                      <w:sz w:val="21"/>
                      <w:szCs w:val="21"/>
                      <w:highlight w:val="none"/>
                    </w:rPr>
                  </w:pPr>
                </w:p>
              </w:tc>
              <w:tc>
                <w:tcPr>
                  <w:tcW w:w="1196" w:type="dxa"/>
                  <w:noWrap w:val="0"/>
                  <w:vAlign w:val="center"/>
                </w:tcPr>
                <w:p w14:paraId="36301BD1">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336-055-17</w:t>
                  </w:r>
                </w:p>
              </w:tc>
              <w:tc>
                <w:tcPr>
                  <w:tcW w:w="2960" w:type="dxa"/>
                  <w:noWrap w:val="0"/>
                  <w:vAlign w:val="center"/>
                </w:tcPr>
                <w:p w14:paraId="27AB94D6">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使用镀镍液进行镀镍产生的废槽液、槽渣和废水处理污泥</w:t>
                  </w:r>
                </w:p>
              </w:tc>
              <w:tc>
                <w:tcPr>
                  <w:tcW w:w="872" w:type="dxa"/>
                  <w:noWrap w:val="0"/>
                  <w:vAlign w:val="center"/>
                </w:tcPr>
                <w:p w14:paraId="30A49BA9">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74FB4D97">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62255225">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54C54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05FE9765">
                  <w:pPr>
                    <w:pStyle w:val="67"/>
                    <w:jc w:val="center"/>
                    <w:rPr>
                      <w:rFonts w:ascii="Times New Roman" w:cs="Times New Roman"/>
                      <w:color w:val="auto"/>
                      <w:sz w:val="21"/>
                      <w:szCs w:val="21"/>
                      <w:highlight w:val="none"/>
                    </w:rPr>
                  </w:pPr>
                </w:p>
              </w:tc>
              <w:tc>
                <w:tcPr>
                  <w:tcW w:w="814" w:type="dxa"/>
                  <w:vMerge w:val="continue"/>
                  <w:noWrap w:val="0"/>
                  <w:vAlign w:val="center"/>
                </w:tcPr>
                <w:p w14:paraId="6FFF8381">
                  <w:pPr>
                    <w:pStyle w:val="67"/>
                    <w:jc w:val="center"/>
                    <w:rPr>
                      <w:rFonts w:ascii="Times New Roman" w:cs="Times New Roman"/>
                      <w:color w:val="auto"/>
                      <w:sz w:val="21"/>
                      <w:szCs w:val="21"/>
                      <w:highlight w:val="none"/>
                    </w:rPr>
                  </w:pPr>
                </w:p>
              </w:tc>
              <w:tc>
                <w:tcPr>
                  <w:tcW w:w="1196" w:type="dxa"/>
                  <w:noWrap w:val="0"/>
                  <w:vAlign w:val="center"/>
                </w:tcPr>
                <w:p w14:paraId="211B6142">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336-057-17</w:t>
                  </w:r>
                </w:p>
              </w:tc>
              <w:tc>
                <w:tcPr>
                  <w:tcW w:w="2960" w:type="dxa"/>
                  <w:noWrap w:val="0"/>
                  <w:vAlign w:val="center"/>
                </w:tcPr>
                <w:p w14:paraId="01D8374C">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使用金和电镀化学品进行镀金产生的废槽液、槽渣和废水处理污泥</w:t>
                  </w:r>
                </w:p>
              </w:tc>
              <w:tc>
                <w:tcPr>
                  <w:tcW w:w="872" w:type="dxa"/>
                  <w:noWrap w:val="0"/>
                  <w:vAlign w:val="center"/>
                </w:tcPr>
                <w:p w14:paraId="78AD6E7A">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783208B7">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3D3FD399">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0F8917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4D3ED970">
                  <w:pPr>
                    <w:pStyle w:val="67"/>
                    <w:jc w:val="center"/>
                    <w:rPr>
                      <w:rFonts w:ascii="Times New Roman" w:cs="Times New Roman"/>
                      <w:color w:val="auto"/>
                      <w:sz w:val="21"/>
                      <w:szCs w:val="21"/>
                      <w:highlight w:val="none"/>
                    </w:rPr>
                  </w:pPr>
                </w:p>
              </w:tc>
              <w:tc>
                <w:tcPr>
                  <w:tcW w:w="814" w:type="dxa"/>
                  <w:vMerge w:val="continue"/>
                  <w:noWrap w:val="0"/>
                  <w:vAlign w:val="center"/>
                </w:tcPr>
                <w:p w14:paraId="02185FEE">
                  <w:pPr>
                    <w:pStyle w:val="67"/>
                    <w:jc w:val="center"/>
                    <w:rPr>
                      <w:rFonts w:ascii="Times New Roman" w:cs="Times New Roman"/>
                      <w:color w:val="auto"/>
                      <w:sz w:val="21"/>
                      <w:szCs w:val="21"/>
                      <w:highlight w:val="none"/>
                    </w:rPr>
                  </w:pPr>
                </w:p>
              </w:tc>
              <w:tc>
                <w:tcPr>
                  <w:tcW w:w="1196" w:type="dxa"/>
                  <w:noWrap w:val="0"/>
                  <w:vAlign w:val="center"/>
                </w:tcPr>
                <w:p w14:paraId="150F4A36">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336-058-17</w:t>
                  </w:r>
                </w:p>
              </w:tc>
              <w:tc>
                <w:tcPr>
                  <w:tcW w:w="2960" w:type="dxa"/>
                  <w:noWrap w:val="0"/>
                  <w:vAlign w:val="center"/>
                </w:tcPr>
                <w:p w14:paraId="5A0B5F10">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使用镀铜液进行化学镀铜产生的废槽液、槽渣和废水处理污泥</w:t>
                  </w:r>
                </w:p>
              </w:tc>
              <w:tc>
                <w:tcPr>
                  <w:tcW w:w="872" w:type="dxa"/>
                  <w:noWrap w:val="0"/>
                  <w:vAlign w:val="center"/>
                </w:tcPr>
                <w:p w14:paraId="3C23F010">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16622B9F">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514D946A">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33610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0865C48C">
                  <w:pPr>
                    <w:pStyle w:val="67"/>
                    <w:jc w:val="center"/>
                    <w:rPr>
                      <w:rFonts w:ascii="Times New Roman" w:cs="Times New Roman"/>
                      <w:color w:val="auto"/>
                      <w:sz w:val="21"/>
                      <w:szCs w:val="21"/>
                      <w:highlight w:val="none"/>
                    </w:rPr>
                  </w:pPr>
                </w:p>
              </w:tc>
              <w:tc>
                <w:tcPr>
                  <w:tcW w:w="814" w:type="dxa"/>
                  <w:vMerge w:val="continue"/>
                  <w:noWrap w:val="0"/>
                  <w:vAlign w:val="center"/>
                </w:tcPr>
                <w:p w14:paraId="36C834D3">
                  <w:pPr>
                    <w:pStyle w:val="67"/>
                    <w:jc w:val="center"/>
                    <w:rPr>
                      <w:rFonts w:ascii="Times New Roman" w:cs="Times New Roman"/>
                      <w:color w:val="auto"/>
                      <w:sz w:val="21"/>
                      <w:szCs w:val="21"/>
                      <w:highlight w:val="none"/>
                    </w:rPr>
                  </w:pPr>
                </w:p>
              </w:tc>
              <w:tc>
                <w:tcPr>
                  <w:tcW w:w="1196" w:type="dxa"/>
                  <w:noWrap w:val="0"/>
                  <w:vAlign w:val="center"/>
                </w:tcPr>
                <w:p w14:paraId="0B006EA2">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336-059-17</w:t>
                  </w:r>
                </w:p>
              </w:tc>
              <w:tc>
                <w:tcPr>
                  <w:tcW w:w="2960" w:type="dxa"/>
                  <w:noWrap w:val="0"/>
                  <w:vAlign w:val="center"/>
                </w:tcPr>
                <w:p w14:paraId="4C87C18D">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使用钯和锡盐进行活化处理产生的废渣和废水处理污泥</w:t>
                  </w:r>
                </w:p>
              </w:tc>
              <w:tc>
                <w:tcPr>
                  <w:tcW w:w="872" w:type="dxa"/>
                  <w:noWrap w:val="0"/>
                  <w:vAlign w:val="center"/>
                </w:tcPr>
                <w:p w14:paraId="2732DFA7">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57A6CA26">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459BF732">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235052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3A53F265">
                  <w:pPr>
                    <w:pStyle w:val="67"/>
                    <w:jc w:val="center"/>
                    <w:rPr>
                      <w:rFonts w:ascii="Times New Roman" w:cs="Times New Roman"/>
                      <w:color w:val="auto"/>
                      <w:sz w:val="21"/>
                      <w:szCs w:val="21"/>
                      <w:highlight w:val="none"/>
                    </w:rPr>
                  </w:pPr>
                </w:p>
              </w:tc>
              <w:tc>
                <w:tcPr>
                  <w:tcW w:w="814" w:type="dxa"/>
                  <w:vMerge w:val="continue"/>
                  <w:noWrap w:val="0"/>
                  <w:vAlign w:val="center"/>
                </w:tcPr>
                <w:p w14:paraId="441DF11A">
                  <w:pPr>
                    <w:pStyle w:val="67"/>
                    <w:jc w:val="center"/>
                    <w:rPr>
                      <w:rFonts w:ascii="Times New Roman" w:cs="Times New Roman"/>
                      <w:color w:val="auto"/>
                      <w:sz w:val="21"/>
                      <w:szCs w:val="21"/>
                      <w:highlight w:val="none"/>
                    </w:rPr>
                  </w:pPr>
                </w:p>
              </w:tc>
              <w:tc>
                <w:tcPr>
                  <w:tcW w:w="1196" w:type="dxa"/>
                  <w:noWrap w:val="0"/>
                  <w:vAlign w:val="center"/>
                </w:tcPr>
                <w:p w14:paraId="79F193D3">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336-060-17</w:t>
                  </w:r>
                </w:p>
              </w:tc>
              <w:tc>
                <w:tcPr>
                  <w:tcW w:w="2960" w:type="dxa"/>
                  <w:noWrap w:val="0"/>
                  <w:vAlign w:val="center"/>
                </w:tcPr>
                <w:p w14:paraId="564517BF">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使用铬和电镀化学品进行镀黑铬产生的废槽液、槽渣和废水处理污泥</w:t>
                  </w:r>
                </w:p>
              </w:tc>
              <w:tc>
                <w:tcPr>
                  <w:tcW w:w="872" w:type="dxa"/>
                  <w:noWrap w:val="0"/>
                  <w:vAlign w:val="center"/>
                </w:tcPr>
                <w:p w14:paraId="75F46695">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46F3102A">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0A74198E">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274557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57C7B603">
                  <w:pPr>
                    <w:pStyle w:val="67"/>
                    <w:jc w:val="center"/>
                    <w:rPr>
                      <w:rFonts w:ascii="Times New Roman" w:cs="Times New Roman"/>
                      <w:color w:val="auto"/>
                      <w:sz w:val="21"/>
                      <w:szCs w:val="21"/>
                      <w:highlight w:val="none"/>
                    </w:rPr>
                  </w:pPr>
                </w:p>
              </w:tc>
              <w:tc>
                <w:tcPr>
                  <w:tcW w:w="814" w:type="dxa"/>
                  <w:vMerge w:val="continue"/>
                  <w:noWrap w:val="0"/>
                  <w:vAlign w:val="center"/>
                </w:tcPr>
                <w:p w14:paraId="0C8110C6">
                  <w:pPr>
                    <w:pStyle w:val="67"/>
                    <w:jc w:val="center"/>
                    <w:rPr>
                      <w:rFonts w:ascii="Times New Roman" w:cs="Times New Roman"/>
                      <w:color w:val="auto"/>
                      <w:sz w:val="21"/>
                      <w:szCs w:val="21"/>
                      <w:highlight w:val="none"/>
                    </w:rPr>
                  </w:pPr>
                </w:p>
              </w:tc>
              <w:tc>
                <w:tcPr>
                  <w:tcW w:w="1196" w:type="dxa"/>
                  <w:noWrap w:val="0"/>
                  <w:vAlign w:val="center"/>
                </w:tcPr>
                <w:p w14:paraId="21069187">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336-061-17</w:t>
                  </w:r>
                </w:p>
              </w:tc>
              <w:tc>
                <w:tcPr>
                  <w:tcW w:w="2960" w:type="dxa"/>
                  <w:noWrap w:val="0"/>
                  <w:vAlign w:val="center"/>
                </w:tcPr>
                <w:p w14:paraId="62FE74F9">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使用高锰酸钾进行钻孔除胶处理产生的废渣和废水处理污泥</w:t>
                  </w:r>
                </w:p>
              </w:tc>
              <w:tc>
                <w:tcPr>
                  <w:tcW w:w="872" w:type="dxa"/>
                  <w:noWrap w:val="0"/>
                  <w:vAlign w:val="center"/>
                </w:tcPr>
                <w:p w14:paraId="18A402D7">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6CC6F572">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307C8ACD">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7037AC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67DC1BB9">
                  <w:pPr>
                    <w:pStyle w:val="67"/>
                    <w:jc w:val="center"/>
                    <w:rPr>
                      <w:rFonts w:ascii="Times New Roman" w:cs="Times New Roman"/>
                      <w:color w:val="auto"/>
                      <w:sz w:val="21"/>
                      <w:szCs w:val="21"/>
                      <w:highlight w:val="none"/>
                    </w:rPr>
                  </w:pPr>
                </w:p>
              </w:tc>
              <w:tc>
                <w:tcPr>
                  <w:tcW w:w="814" w:type="dxa"/>
                  <w:vMerge w:val="continue"/>
                  <w:noWrap w:val="0"/>
                  <w:vAlign w:val="center"/>
                </w:tcPr>
                <w:p w14:paraId="1723711C">
                  <w:pPr>
                    <w:pStyle w:val="67"/>
                    <w:jc w:val="center"/>
                    <w:rPr>
                      <w:rFonts w:ascii="Times New Roman" w:cs="Times New Roman"/>
                      <w:color w:val="auto"/>
                      <w:sz w:val="21"/>
                      <w:szCs w:val="21"/>
                      <w:highlight w:val="none"/>
                    </w:rPr>
                  </w:pPr>
                </w:p>
              </w:tc>
              <w:tc>
                <w:tcPr>
                  <w:tcW w:w="1196" w:type="dxa"/>
                  <w:noWrap w:val="0"/>
                  <w:vAlign w:val="center"/>
                </w:tcPr>
                <w:p w14:paraId="38BDD787">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336-062-17</w:t>
                  </w:r>
                </w:p>
              </w:tc>
              <w:tc>
                <w:tcPr>
                  <w:tcW w:w="2960" w:type="dxa"/>
                  <w:noWrap w:val="0"/>
                  <w:vAlign w:val="center"/>
                </w:tcPr>
                <w:p w14:paraId="33320D31">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使用铜和电镀化学品进行镀铜产生的废槽液、槽渣和废水处理污泥</w:t>
                  </w:r>
                </w:p>
              </w:tc>
              <w:tc>
                <w:tcPr>
                  <w:tcW w:w="872" w:type="dxa"/>
                  <w:noWrap w:val="0"/>
                  <w:vAlign w:val="center"/>
                </w:tcPr>
                <w:p w14:paraId="2A93133A">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20D685AC">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26BD9EE6">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5BE339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0CE43F71">
                  <w:pPr>
                    <w:pStyle w:val="67"/>
                    <w:jc w:val="center"/>
                    <w:rPr>
                      <w:rFonts w:ascii="Times New Roman" w:cs="Times New Roman"/>
                      <w:color w:val="auto"/>
                      <w:sz w:val="21"/>
                      <w:szCs w:val="21"/>
                      <w:highlight w:val="none"/>
                    </w:rPr>
                  </w:pPr>
                </w:p>
              </w:tc>
              <w:tc>
                <w:tcPr>
                  <w:tcW w:w="814" w:type="dxa"/>
                  <w:vMerge w:val="continue"/>
                  <w:noWrap w:val="0"/>
                  <w:vAlign w:val="center"/>
                </w:tcPr>
                <w:p w14:paraId="44873117">
                  <w:pPr>
                    <w:pStyle w:val="67"/>
                    <w:jc w:val="center"/>
                    <w:rPr>
                      <w:rFonts w:ascii="Times New Roman" w:cs="Times New Roman"/>
                      <w:color w:val="auto"/>
                      <w:sz w:val="21"/>
                      <w:szCs w:val="21"/>
                      <w:highlight w:val="none"/>
                    </w:rPr>
                  </w:pPr>
                </w:p>
              </w:tc>
              <w:tc>
                <w:tcPr>
                  <w:tcW w:w="1196" w:type="dxa"/>
                  <w:noWrap w:val="0"/>
                  <w:vAlign w:val="center"/>
                </w:tcPr>
                <w:p w14:paraId="5EE178A1">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336-063-17</w:t>
                  </w:r>
                </w:p>
              </w:tc>
              <w:tc>
                <w:tcPr>
                  <w:tcW w:w="2960" w:type="dxa"/>
                  <w:noWrap w:val="0"/>
                  <w:vAlign w:val="center"/>
                </w:tcPr>
                <w:p w14:paraId="09228B06">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其他电镀工艺产生的废槽液、槽渣和废水处理污泥</w:t>
                  </w:r>
                </w:p>
              </w:tc>
              <w:tc>
                <w:tcPr>
                  <w:tcW w:w="872" w:type="dxa"/>
                  <w:noWrap w:val="0"/>
                  <w:vAlign w:val="center"/>
                </w:tcPr>
                <w:p w14:paraId="1154C5DE">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6D206B47">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4E3D8864">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1B455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102BC7CD">
                  <w:pPr>
                    <w:pStyle w:val="67"/>
                    <w:jc w:val="center"/>
                    <w:rPr>
                      <w:rFonts w:ascii="Times New Roman" w:cs="Times New Roman"/>
                      <w:color w:val="auto"/>
                      <w:sz w:val="21"/>
                      <w:szCs w:val="21"/>
                      <w:highlight w:val="none"/>
                    </w:rPr>
                  </w:pPr>
                </w:p>
              </w:tc>
              <w:tc>
                <w:tcPr>
                  <w:tcW w:w="814" w:type="dxa"/>
                  <w:vMerge w:val="continue"/>
                  <w:noWrap w:val="0"/>
                  <w:vAlign w:val="center"/>
                </w:tcPr>
                <w:p w14:paraId="23BB0CE6">
                  <w:pPr>
                    <w:pStyle w:val="67"/>
                    <w:jc w:val="center"/>
                    <w:rPr>
                      <w:rFonts w:ascii="Times New Roman" w:cs="Times New Roman"/>
                      <w:color w:val="auto"/>
                      <w:sz w:val="21"/>
                      <w:szCs w:val="21"/>
                      <w:highlight w:val="none"/>
                    </w:rPr>
                  </w:pPr>
                </w:p>
              </w:tc>
              <w:tc>
                <w:tcPr>
                  <w:tcW w:w="1196" w:type="dxa"/>
                  <w:noWrap w:val="0"/>
                  <w:vAlign w:val="center"/>
                </w:tcPr>
                <w:p w14:paraId="35964CD3">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336-064-17</w:t>
                  </w:r>
                </w:p>
              </w:tc>
              <w:tc>
                <w:tcPr>
                  <w:tcW w:w="2960" w:type="dxa"/>
                  <w:noWrap w:val="0"/>
                  <w:vAlign w:val="center"/>
                </w:tcPr>
                <w:p w14:paraId="2DA834C5">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金属或塑料表面酸（碱）洗、除油、除锈、洗涤、磷化、出光、化抛工艺产生的废腐蚀液、废洗涤液、废槽液、槽渣和废水处理污泥（不包括：铝、镁材（板）表面酸（碱）洗、粗化、硫酸阳极处理、磷酸化学抛光废水处理污泥，铝电解电容器用铝电极箔化学腐蚀、非硼酸系化成液化成废水处理污泥，铝材挤压加工模具碱洗（煲模）废水处理污泥，碳钢酸洗除锈废水处理污泥）</w:t>
                  </w:r>
                </w:p>
              </w:tc>
              <w:tc>
                <w:tcPr>
                  <w:tcW w:w="872" w:type="dxa"/>
                  <w:noWrap w:val="0"/>
                  <w:vAlign w:val="center"/>
                </w:tcPr>
                <w:p w14:paraId="23C31F0D">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T/C</w:t>
                  </w:r>
                </w:p>
              </w:tc>
              <w:tc>
                <w:tcPr>
                  <w:tcW w:w="843" w:type="dxa"/>
                  <w:shd w:val="clear" w:color="auto" w:fill="auto"/>
                  <w:noWrap w:val="0"/>
                  <w:vAlign w:val="center"/>
                </w:tcPr>
                <w:p w14:paraId="000B3E15">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液态、半固态</w:t>
                  </w:r>
                </w:p>
              </w:tc>
              <w:tc>
                <w:tcPr>
                  <w:tcW w:w="844" w:type="dxa"/>
                  <w:shd w:val="clear" w:color="auto" w:fill="auto"/>
                  <w:noWrap w:val="0"/>
                  <w:vAlign w:val="center"/>
                </w:tcPr>
                <w:p w14:paraId="4B6371CD">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塑料桶装</w:t>
                  </w:r>
                </w:p>
              </w:tc>
            </w:tr>
            <w:tr w14:paraId="1457DF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21C8C03D">
                  <w:pPr>
                    <w:pStyle w:val="67"/>
                    <w:jc w:val="center"/>
                    <w:rPr>
                      <w:rFonts w:ascii="Times New Roman" w:cs="Times New Roman"/>
                      <w:color w:val="auto"/>
                      <w:sz w:val="21"/>
                      <w:szCs w:val="21"/>
                      <w:highlight w:val="none"/>
                    </w:rPr>
                  </w:pPr>
                </w:p>
              </w:tc>
              <w:tc>
                <w:tcPr>
                  <w:tcW w:w="814" w:type="dxa"/>
                  <w:vMerge w:val="continue"/>
                  <w:noWrap w:val="0"/>
                  <w:vAlign w:val="center"/>
                </w:tcPr>
                <w:p w14:paraId="46B3D9B8">
                  <w:pPr>
                    <w:pStyle w:val="67"/>
                    <w:jc w:val="center"/>
                    <w:rPr>
                      <w:rFonts w:ascii="Times New Roman" w:cs="Times New Roman"/>
                      <w:color w:val="auto"/>
                      <w:sz w:val="21"/>
                      <w:szCs w:val="21"/>
                      <w:highlight w:val="none"/>
                    </w:rPr>
                  </w:pPr>
                </w:p>
              </w:tc>
              <w:tc>
                <w:tcPr>
                  <w:tcW w:w="1196" w:type="dxa"/>
                  <w:noWrap w:val="0"/>
                  <w:vAlign w:val="center"/>
                </w:tcPr>
                <w:p w14:paraId="26942CE1">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336-066-17</w:t>
                  </w:r>
                </w:p>
              </w:tc>
              <w:tc>
                <w:tcPr>
                  <w:tcW w:w="2960" w:type="dxa"/>
                  <w:noWrap w:val="0"/>
                  <w:vAlign w:val="center"/>
                </w:tcPr>
                <w:p w14:paraId="2A75E655">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镀层剥除过程中产生的废槽液、槽渣和废水处理污泥</w:t>
                  </w:r>
                </w:p>
              </w:tc>
              <w:tc>
                <w:tcPr>
                  <w:tcW w:w="872" w:type="dxa"/>
                  <w:noWrap w:val="0"/>
                  <w:vAlign w:val="center"/>
                </w:tcPr>
                <w:p w14:paraId="58E622E3">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52E4B2AD">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液态、半固态</w:t>
                  </w:r>
                </w:p>
              </w:tc>
              <w:tc>
                <w:tcPr>
                  <w:tcW w:w="844" w:type="dxa"/>
                  <w:shd w:val="clear" w:color="auto" w:fill="auto"/>
                  <w:noWrap w:val="0"/>
                  <w:vAlign w:val="center"/>
                </w:tcPr>
                <w:p w14:paraId="0C5B020C">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塑料桶装</w:t>
                  </w:r>
                </w:p>
              </w:tc>
            </w:tr>
            <w:tr w14:paraId="52CC80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6A7CBD0C">
                  <w:pPr>
                    <w:pStyle w:val="67"/>
                    <w:jc w:val="center"/>
                    <w:rPr>
                      <w:rFonts w:ascii="Times New Roman" w:cs="Times New Roman"/>
                      <w:color w:val="auto"/>
                      <w:sz w:val="21"/>
                      <w:szCs w:val="21"/>
                      <w:highlight w:val="none"/>
                    </w:rPr>
                  </w:pPr>
                </w:p>
              </w:tc>
              <w:tc>
                <w:tcPr>
                  <w:tcW w:w="814" w:type="dxa"/>
                  <w:vMerge w:val="continue"/>
                  <w:noWrap w:val="0"/>
                  <w:vAlign w:val="center"/>
                </w:tcPr>
                <w:p w14:paraId="0EC3BE84">
                  <w:pPr>
                    <w:pStyle w:val="67"/>
                    <w:jc w:val="center"/>
                    <w:rPr>
                      <w:rFonts w:ascii="Times New Roman" w:cs="Times New Roman"/>
                      <w:color w:val="auto"/>
                      <w:sz w:val="21"/>
                      <w:szCs w:val="21"/>
                      <w:highlight w:val="none"/>
                    </w:rPr>
                  </w:pPr>
                </w:p>
              </w:tc>
              <w:tc>
                <w:tcPr>
                  <w:tcW w:w="1196" w:type="dxa"/>
                  <w:noWrap w:val="0"/>
                  <w:vAlign w:val="center"/>
                </w:tcPr>
                <w:p w14:paraId="3726900B">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336-067-17</w:t>
                  </w:r>
                </w:p>
              </w:tc>
              <w:tc>
                <w:tcPr>
                  <w:tcW w:w="2960" w:type="dxa"/>
                  <w:noWrap w:val="0"/>
                  <w:vAlign w:val="center"/>
                </w:tcPr>
                <w:p w14:paraId="33E4A30E">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使用含重铬酸盐的胶体、有机溶剂、黏合剂进行漩流式抗蚀涂布产生的废渣和废水处理污泥</w:t>
                  </w:r>
                </w:p>
              </w:tc>
              <w:tc>
                <w:tcPr>
                  <w:tcW w:w="872" w:type="dxa"/>
                  <w:noWrap w:val="0"/>
                  <w:vAlign w:val="center"/>
                </w:tcPr>
                <w:p w14:paraId="6FFE97D1">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2B71943A">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液态、半固态</w:t>
                  </w:r>
                </w:p>
              </w:tc>
              <w:tc>
                <w:tcPr>
                  <w:tcW w:w="844" w:type="dxa"/>
                  <w:shd w:val="clear" w:color="auto" w:fill="auto"/>
                  <w:noWrap w:val="0"/>
                  <w:vAlign w:val="center"/>
                </w:tcPr>
                <w:p w14:paraId="0679A6D0">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塑料桶装</w:t>
                  </w:r>
                </w:p>
              </w:tc>
            </w:tr>
            <w:tr w14:paraId="74D3ED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5D1ADB3F">
                  <w:pPr>
                    <w:pStyle w:val="67"/>
                    <w:jc w:val="center"/>
                    <w:rPr>
                      <w:rFonts w:ascii="Times New Roman" w:cs="Times New Roman"/>
                      <w:color w:val="auto"/>
                      <w:sz w:val="21"/>
                      <w:szCs w:val="21"/>
                      <w:highlight w:val="none"/>
                    </w:rPr>
                  </w:pPr>
                </w:p>
              </w:tc>
              <w:tc>
                <w:tcPr>
                  <w:tcW w:w="814" w:type="dxa"/>
                  <w:vMerge w:val="continue"/>
                  <w:noWrap w:val="0"/>
                  <w:vAlign w:val="center"/>
                </w:tcPr>
                <w:p w14:paraId="102C781D">
                  <w:pPr>
                    <w:pStyle w:val="67"/>
                    <w:jc w:val="center"/>
                    <w:rPr>
                      <w:rFonts w:ascii="Times New Roman" w:cs="Times New Roman"/>
                      <w:color w:val="auto"/>
                      <w:sz w:val="21"/>
                      <w:szCs w:val="21"/>
                      <w:highlight w:val="none"/>
                    </w:rPr>
                  </w:pPr>
                </w:p>
              </w:tc>
              <w:tc>
                <w:tcPr>
                  <w:tcW w:w="1196" w:type="dxa"/>
                  <w:noWrap w:val="0"/>
                  <w:vAlign w:val="center"/>
                </w:tcPr>
                <w:p w14:paraId="2F76EF6C">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336-068-17</w:t>
                  </w:r>
                </w:p>
              </w:tc>
              <w:tc>
                <w:tcPr>
                  <w:tcW w:w="2960" w:type="dxa"/>
                  <w:noWrap w:val="0"/>
                  <w:vAlign w:val="center"/>
                </w:tcPr>
                <w:p w14:paraId="5F704F1D">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使用铬化合物进行抗蚀层化学硬化产生的废渣和废水处理污泥</w:t>
                  </w:r>
                </w:p>
              </w:tc>
              <w:tc>
                <w:tcPr>
                  <w:tcW w:w="872" w:type="dxa"/>
                  <w:noWrap w:val="0"/>
                  <w:vAlign w:val="center"/>
                </w:tcPr>
                <w:p w14:paraId="0EB99B66">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118DF3C9">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液态、半固态</w:t>
                  </w:r>
                </w:p>
              </w:tc>
              <w:tc>
                <w:tcPr>
                  <w:tcW w:w="844" w:type="dxa"/>
                  <w:shd w:val="clear" w:color="auto" w:fill="auto"/>
                  <w:noWrap w:val="0"/>
                  <w:vAlign w:val="center"/>
                </w:tcPr>
                <w:p w14:paraId="48C37639">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塑料桶装</w:t>
                  </w:r>
                </w:p>
              </w:tc>
            </w:tr>
            <w:tr w14:paraId="7BEF74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1D0C3AF2">
                  <w:pPr>
                    <w:pStyle w:val="67"/>
                    <w:jc w:val="center"/>
                    <w:rPr>
                      <w:rFonts w:ascii="Times New Roman" w:cs="Times New Roman"/>
                      <w:color w:val="auto"/>
                      <w:sz w:val="21"/>
                      <w:szCs w:val="21"/>
                      <w:highlight w:val="none"/>
                    </w:rPr>
                  </w:pPr>
                </w:p>
              </w:tc>
              <w:tc>
                <w:tcPr>
                  <w:tcW w:w="814" w:type="dxa"/>
                  <w:vMerge w:val="continue"/>
                  <w:noWrap w:val="0"/>
                  <w:vAlign w:val="center"/>
                </w:tcPr>
                <w:p w14:paraId="2AF31C62">
                  <w:pPr>
                    <w:pStyle w:val="67"/>
                    <w:jc w:val="center"/>
                    <w:rPr>
                      <w:rFonts w:ascii="Times New Roman" w:cs="Times New Roman"/>
                      <w:color w:val="auto"/>
                      <w:sz w:val="21"/>
                      <w:szCs w:val="21"/>
                      <w:highlight w:val="none"/>
                    </w:rPr>
                  </w:pPr>
                </w:p>
              </w:tc>
              <w:tc>
                <w:tcPr>
                  <w:tcW w:w="1196" w:type="dxa"/>
                  <w:noWrap w:val="0"/>
                  <w:vAlign w:val="center"/>
                </w:tcPr>
                <w:p w14:paraId="26AEAB3E">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336-069-17</w:t>
                  </w:r>
                </w:p>
              </w:tc>
              <w:tc>
                <w:tcPr>
                  <w:tcW w:w="2960" w:type="dxa"/>
                  <w:noWrap w:val="0"/>
                  <w:vAlign w:val="center"/>
                </w:tcPr>
                <w:p w14:paraId="32F5307A">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使用铬酸镀铬产生的废槽液、槽渣和废水处理污泥</w:t>
                  </w:r>
                </w:p>
              </w:tc>
              <w:tc>
                <w:tcPr>
                  <w:tcW w:w="872" w:type="dxa"/>
                  <w:noWrap w:val="0"/>
                  <w:vAlign w:val="center"/>
                </w:tcPr>
                <w:p w14:paraId="6C3DFD34">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460256FA">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液态、半固态</w:t>
                  </w:r>
                </w:p>
              </w:tc>
              <w:tc>
                <w:tcPr>
                  <w:tcW w:w="844" w:type="dxa"/>
                  <w:shd w:val="clear" w:color="auto" w:fill="auto"/>
                  <w:noWrap w:val="0"/>
                  <w:vAlign w:val="center"/>
                </w:tcPr>
                <w:p w14:paraId="4042D09C">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塑料桶装</w:t>
                  </w:r>
                </w:p>
              </w:tc>
            </w:tr>
            <w:tr w14:paraId="26BC84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1C1A2C8B">
                  <w:pPr>
                    <w:pStyle w:val="67"/>
                    <w:jc w:val="center"/>
                    <w:rPr>
                      <w:rFonts w:ascii="Times New Roman" w:cs="Times New Roman"/>
                      <w:color w:val="auto"/>
                      <w:sz w:val="21"/>
                      <w:szCs w:val="21"/>
                      <w:highlight w:val="none"/>
                    </w:rPr>
                  </w:pPr>
                </w:p>
              </w:tc>
              <w:tc>
                <w:tcPr>
                  <w:tcW w:w="814" w:type="dxa"/>
                  <w:vMerge w:val="continue"/>
                  <w:noWrap w:val="0"/>
                  <w:vAlign w:val="center"/>
                </w:tcPr>
                <w:p w14:paraId="77412F09">
                  <w:pPr>
                    <w:pStyle w:val="67"/>
                    <w:jc w:val="center"/>
                    <w:rPr>
                      <w:rFonts w:ascii="Times New Roman" w:cs="Times New Roman"/>
                      <w:color w:val="auto"/>
                      <w:sz w:val="21"/>
                      <w:szCs w:val="21"/>
                      <w:highlight w:val="none"/>
                    </w:rPr>
                  </w:pPr>
                </w:p>
              </w:tc>
              <w:tc>
                <w:tcPr>
                  <w:tcW w:w="1196" w:type="dxa"/>
                  <w:noWrap w:val="0"/>
                  <w:vAlign w:val="center"/>
                </w:tcPr>
                <w:p w14:paraId="60596994">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336-100-17</w:t>
                  </w:r>
                </w:p>
              </w:tc>
              <w:tc>
                <w:tcPr>
                  <w:tcW w:w="2960" w:type="dxa"/>
                  <w:noWrap w:val="0"/>
                  <w:vAlign w:val="center"/>
                </w:tcPr>
                <w:p w14:paraId="7E42C7BD">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使用铬酸进行阳极氧化产生的废槽液、槽渣和废水处理污泥</w:t>
                  </w:r>
                </w:p>
              </w:tc>
              <w:tc>
                <w:tcPr>
                  <w:tcW w:w="872" w:type="dxa"/>
                  <w:noWrap w:val="0"/>
                  <w:vAlign w:val="center"/>
                </w:tcPr>
                <w:p w14:paraId="48B39CBE">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32A4580E">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液态、半固态</w:t>
                  </w:r>
                </w:p>
              </w:tc>
              <w:tc>
                <w:tcPr>
                  <w:tcW w:w="844" w:type="dxa"/>
                  <w:shd w:val="clear" w:color="auto" w:fill="auto"/>
                  <w:noWrap w:val="0"/>
                  <w:vAlign w:val="center"/>
                </w:tcPr>
                <w:p w14:paraId="4CE4366C">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塑料桶装</w:t>
                  </w:r>
                </w:p>
              </w:tc>
            </w:tr>
            <w:tr w14:paraId="5437B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05E3D53E">
                  <w:pPr>
                    <w:pStyle w:val="67"/>
                    <w:jc w:val="center"/>
                    <w:rPr>
                      <w:rFonts w:ascii="Times New Roman" w:cs="Times New Roman"/>
                      <w:color w:val="auto"/>
                      <w:sz w:val="21"/>
                      <w:szCs w:val="21"/>
                      <w:highlight w:val="none"/>
                    </w:rPr>
                  </w:pPr>
                </w:p>
              </w:tc>
              <w:tc>
                <w:tcPr>
                  <w:tcW w:w="814" w:type="dxa"/>
                  <w:vMerge w:val="continue"/>
                  <w:noWrap w:val="0"/>
                  <w:vAlign w:val="center"/>
                </w:tcPr>
                <w:p w14:paraId="4739EAB9">
                  <w:pPr>
                    <w:pStyle w:val="67"/>
                    <w:jc w:val="center"/>
                    <w:rPr>
                      <w:rFonts w:ascii="Times New Roman" w:cs="Times New Roman"/>
                      <w:color w:val="auto"/>
                      <w:sz w:val="21"/>
                      <w:szCs w:val="21"/>
                      <w:highlight w:val="none"/>
                    </w:rPr>
                  </w:pPr>
                </w:p>
              </w:tc>
              <w:tc>
                <w:tcPr>
                  <w:tcW w:w="1196" w:type="dxa"/>
                  <w:noWrap w:val="0"/>
                  <w:vAlign w:val="center"/>
                </w:tcPr>
                <w:p w14:paraId="5A1D8D76">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336-101-17</w:t>
                  </w:r>
                </w:p>
              </w:tc>
              <w:tc>
                <w:tcPr>
                  <w:tcW w:w="2960" w:type="dxa"/>
                  <w:noWrap w:val="0"/>
                  <w:vAlign w:val="center"/>
                </w:tcPr>
                <w:p w14:paraId="4D706437">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使用铬酸进行塑料表面粗化产生的废槽液、槽渣和废水处理污泥</w:t>
                  </w:r>
                </w:p>
              </w:tc>
              <w:tc>
                <w:tcPr>
                  <w:tcW w:w="872" w:type="dxa"/>
                  <w:noWrap w:val="0"/>
                  <w:vAlign w:val="center"/>
                </w:tcPr>
                <w:p w14:paraId="2B32CC58">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7013B770">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液态、半固态</w:t>
                  </w:r>
                </w:p>
              </w:tc>
              <w:tc>
                <w:tcPr>
                  <w:tcW w:w="844" w:type="dxa"/>
                  <w:shd w:val="clear" w:color="auto" w:fill="auto"/>
                  <w:noWrap w:val="0"/>
                  <w:vAlign w:val="center"/>
                </w:tcPr>
                <w:p w14:paraId="570B2676">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塑料桶装</w:t>
                  </w:r>
                </w:p>
              </w:tc>
            </w:tr>
            <w:tr w14:paraId="292954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restart"/>
                  <w:noWrap w:val="0"/>
                  <w:vAlign w:val="center"/>
                </w:tcPr>
                <w:p w14:paraId="5981A40B">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HW21含铬废物</w:t>
                  </w:r>
                </w:p>
              </w:tc>
              <w:tc>
                <w:tcPr>
                  <w:tcW w:w="814" w:type="dxa"/>
                  <w:vMerge w:val="restart"/>
                  <w:noWrap w:val="0"/>
                  <w:vAlign w:val="center"/>
                </w:tcPr>
                <w:p w14:paraId="1999B26B">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铁合金也冶炼</w:t>
                  </w:r>
                </w:p>
              </w:tc>
              <w:tc>
                <w:tcPr>
                  <w:tcW w:w="1196" w:type="dxa"/>
                  <w:noWrap w:val="0"/>
                  <w:vAlign w:val="center"/>
                </w:tcPr>
                <w:p w14:paraId="1A074EF2">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314-001-21</w:t>
                  </w:r>
                </w:p>
              </w:tc>
              <w:tc>
                <w:tcPr>
                  <w:tcW w:w="2960" w:type="dxa"/>
                  <w:noWrap w:val="0"/>
                  <w:vAlign w:val="center"/>
                </w:tcPr>
                <w:p w14:paraId="7B395CBD">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铬铁硅合金生产过程中集（除）尘装置收集的粉尘</w:t>
                  </w:r>
                </w:p>
              </w:tc>
              <w:tc>
                <w:tcPr>
                  <w:tcW w:w="872" w:type="dxa"/>
                  <w:noWrap w:val="0"/>
                  <w:vAlign w:val="center"/>
                </w:tcPr>
                <w:p w14:paraId="3B215E46">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noWrap w:val="0"/>
                  <w:vAlign w:val="center"/>
                </w:tcPr>
                <w:p w14:paraId="681FE6D6">
                  <w:pPr>
                    <w:widowControl/>
                    <w:jc w:val="center"/>
                    <w:textAlignment w:val="center"/>
                    <w:rPr>
                      <w:rFonts w:hint="eastAsia" w:ascii="Times New Roman" w:hAnsi="Times New Roman" w:eastAsia="宋体"/>
                      <w:kern w:val="0"/>
                      <w:szCs w:val="21"/>
                      <w:highlight w:val="none"/>
                      <w:lang w:val="en-US" w:eastAsia="zh-CN" w:bidi="ar"/>
                    </w:rPr>
                  </w:pPr>
                  <w:r>
                    <w:rPr>
                      <w:rFonts w:hint="eastAsia"/>
                      <w:kern w:val="0"/>
                      <w:szCs w:val="21"/>
                      <w:highlight w:val="none"/>
                      <w:lang w:val="en-US" w:eastAsia="zh-CN" w:bidi="ar"/>
                    </w:rPr>
                    <w:t>固态</w:t>
                  </w:r>
                </w:p>
              </w:tc>
              <w:tc>
                <w:tcPr>
                  <w:tcW w:w="844" w:type="dxa"/>
                  <w:noWrap w:val="0"/>
                  <w:vAlign w:val="center"/>
                </w:tcPr>
                <w:p w14:paraId="35567929">
                  <w:pPr>
                    <w:widowControl/>
                    <w:jc w:val="center"/>
                    <w:textAlignment w:val="center"/>
                    <w:rPr>
                      <w:rFonts w:hint="eastAsia" w:ascii="Times New Roman" w:hAnsi="Times New Roman" w:eastAsia="宋体"/>
                      <w:kern w:val="0"/>
                      <w:szCs w:val="21"/>
                      <w:highlight w:val="none"/>
                      <w:lang w:val="en-US" w:eastAsia="zh-CN" w:bidi="ar"/>
                    </w:rPr>
                  </w:pPr>
                  <w:r>
                    <w:rPr>
                      <w:rFonts w:hint="eastAsia"/>
                      <w:kern w:val="0"/>
                      <w:szCs w:val="21"/>
                      <w:highlight w:val="none"/>
                      <w:lang w:val="en-US" w:eastAsia="zh-CN" w:bidi="ar"/>
                    </w:rPr>
                    <w:t>袋装</w:t>
                  </w:r>
                </w:p>
              </w:tc>
            </w:tr>
            <w:tr w14:paraId="73453F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5C9DB524">
                  <w:pPr>
                    <w:pStyle w:val="67"/>
                    <w:jc w:val="center"/>
                    <w:rPr>
                      <w:rFonts w:ascii="Times New Roman" w:cs="Times New Roman"/>
                      <w:color w:val="auto"/>
                      <w:sz w:val="21"/>
                      <w:szCs w:val="21"/>
                      <w:highlight w:val="none"/>
                    </w:rPr>
                  </w:pPr>
                </w:p>
              </w:tc>
              <w:tc>
                <w:tcPr>
                  <w:tcW w:w="814" w:type="dxa"/>
                  <w:vMerge w:val="continue"/>
                  <w:noWrap w:val="0"/>
                  <w:vAlign w:val="center"/>
                </w:tcPr>
                <w:p w14:paraId="51B2777E">
                  <w:pPr>
                    <w:pStyle w:val="67"/>
                    <w:jc w:val="center"/>
                    <w:rPr>
                      <w:rFonts w:ascii="Times New Roman" w:cs="Times New Roman"/>
                      <w:color w:val="auto"/>
                      <w:sz w:val="21"/>
                      <w:szCs w:val="21"/>
                      <w:highlight w:val="none"/>
                    </w:rPr>
                  </w:pPr>
                </w:p>
              </w:tc>
              <w:tc>
                <w:tcPr>
                  <w:tcW w:w="1196" w:type="dxa"/>
                  <w:noWrap w:val="0"/>
                  <w:vAlign w:val="center"/>
                </w:tcPr>
                <w:p w14:paraId="4B9BD827">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314-002-21</w:t>
                  </w:r>
                </w:p>
              </w:tc>
              <w:tc>
                <w:tcPr>
                  <w:tcW w:w="2960" w:type="dxa"/>
                  <w:noWrap w:val="0"/>
                  <w:vAlign w:val="center"/>
                </w:tcPr>
                <w:p w14:paraId="1900EDB0">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铁铬合金生产过程中集（除）尘装置收集的粉尘</w:t>
                  </w:r>
                </w:p>
              </w:tc>
              <w:tc>
                <w:tcPr>
                  <w:tcW w:w="872" w:type="dxa"/>
                  <w:noWrap w:val="0"/>
                  <w:vAlign w:val="center"/>
                </w:tcPr>
                <w:p w14:paraId="7AD3914A">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4E129DA4">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683241D2">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4A75E8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510E3CCB">
                  <w:pPr>
                    <w:pStyle w:val="67"/>
                    <w:jc w:val="center"/>
                    <w:rPr>
                      <w:rFonts w:ascii="Times New Roman" w:cs="Times New Roman"/>
                      <w:color w:val="auto"/>
                      <w:sz w:val="21"/>
                      <w:szCs w:val="21"/>
                      <w:highlight w:val="none"/>
                    </w:rPr>
                  </w:pPr>
                </w:p>
              </w:tc>
              <w:tc>
                <w:tcPr>
                  <w:tcW w:w="814" w:type="dxa"/>
                  <w:vMerge w:val="continue"/>
                  <w:noWrap w:val="0"/>
                  <w:vAlign w:val="center"/>
                </w:tcPr>
                <w:p w14:paraId="0D1842CC">
                  <w:pPr>
                    <w:pStyle w:val="67"/>
                    <w:jc w:val="center"/>
                    <w:rPr>
                      <w:rFonts w:ascii="Times New Roman" w:cs="Times New Roman"/>
                      <w:color w:val="auto"/>
                      <w:sz w:val="21"/>
                      <w:szCs w:val="21"/>
                      <w:highlight w:val="none"/>
                    </w:rPr>
                  </w:pPr>
                </w:p>
              </w:tc>
              <w:tc>
                <w:tcPr>
                  <w:tcW w:w="1196" w:type="dxa"/>
                  <w:noWrap w:val="0"/>
                  <w:vAlign w:val="center"/>
                </w:tcPr>
                <w:p w14:paraId="2575107E">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314-003-21</w:t>
                  </w:r>
                </w:p>
              </w:tc>
              <w:tc>
                <w:tcPr>
                  <w:tcW w:w="2960" w:type="dxa"/>
                  <w:noWrap w:val="0"/>
                  <w:vAlign w:val="center"/>
                </w:tcPr>
                <w:p w14:paraId="58AAC629">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铁铬合金生产过程中金属铬冶炼产生的铬浸出渣</w:t>
                  </w:r>
                </w:p>
              </w:tc>
              <w:tc>
                <w:tcPr>
                  <w:tcW w:w="872" w:type="dxa"/>
                  <w:noWrap w:val="0"/>
                  <w:vAlign w:val="center"/>
                </w:tcPr>
                <w:p w14:paraId="44FF654F">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2590738D">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54BED5D5">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4CB9F2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4CC9E0D3">
                  <w:pPr>
                    <w:pStyle w:val="67"/>
                    <w:jc w:val="center"/>
                    <w:rPr>
                      <w:rFonts w:ascii="Times New Roman" w:cs="Times New Roman"/>
                      <w:color w:val="auto"/>
                      <w:sz w:val="21"/>
                      <w:szCs w:val="21"/>
                      <w:highlight w:val="none"/>
                    </w:rPr>
                  </w:pPr>
                </w:p>
              </w:tc>
              <w:tc>
                <w:tcPr>
                  <w:tcW w:w="814" w:type="dxa"/>
                  <w:noWrap w:val="0"/>
                  <w:vAlign w:val="center"/>
                </w:tcPr>
                <w:p w14:paraId="170AD547">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金属表面处理及热处理加工</w:t>
                  </w:r>
                </w:p>
              </w:tc>
              <w:tc>
                <w:tcPr>
                  <w:tcW w:w="1196" w:type="dxa"/>
                  <w:noWrap w:val="0"/>
                  <w:vAlign w:val="center"/>
                </w:tcPr>
                <w:p w14:paraId="2BA05EFC">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336-100-21</w:t>
                  </w:r>
                </w:p>
              </w:tc>
              <w:tc>
                <w:tcPr>
                  <w:tcW w:w="2960" w:type="dxa"/>
                  <w:noWrap w:val="0"/>
                  <w:vAlign w:val="center"/>
                </w:tcPr>
                <w:p w14:paraId="0574703C">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使用铬酸进行阳极氧化产生的废槽液、槽渣和废水处理污泥</w:t>
                  </w:r>
                </w:p>
              </w:tc>
              <w:tc>
                <w:tcPr>
                  <w:tcW w:w="872" w:type="dxa"/>
                  <w:noWrap w:val="0"/>
                  <w:vAlign w:val="center"/>
                </w:tcPr>
                <w:p w14:paraId="3E691FD3">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7CD07C9C">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液态、半固态</w:t>
                  </w:r>
                </w:p>
              </w:tc>
              <w:tc>
                <w:tcPr>
                  <w:tcW w:w="844" w:type="dxa"/>
                  <w:shd w:val="clear" w:color="auto" w:fill="auto"/>
                  <w:noWrap w:val="0"/>
                  <w:vAlign w:val="center"/>
                </w:tcPr>
                <w:p w14:paraId="196B4CC3">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塑料桶</w:t>
                  </w:r>
                </w:p>
              </w:tc>
            </w:tr>
            <w:tr w14:paraId="3B0E11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062A9183">
                  <w:pPr>
                    <w:pStyle w:val="67"/>
                    <w:jc w:val="center"/>
                    <w:rPr>
                      <w:rFonts w:ascii="Times New Roman" w:cs="Times New Roman"/>
                      <w:color w:val="auto"/>
                      <w:sz w:val="21"/>
                      <w:szCs w:val="21"/>
                      <w:highlight w:val="none"/>
                    </w:rPr>
                  </w:pPr>
                </w:p>
              </w:tc>
              <w:tc>
                <w:tcPr>
                  <w:tcW w:w="814" w:type="dxa"/>
                  <w:noWrap w:val="0"/>
                  <w:vAlign w:val="center"/>
                </w:tcPr>
                <w:p w14:paraId="1406181C">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电子元件及电子专用材料制造</w:t>
                  </w:r>
                </w:p>
              </w:tc>
              <w:tc>
                <w:tcPr>
                  <w:tcW w:w="1196" w:type="dxa"/>
                  <w:noWrap w:val="0"/>
                  <w:vAlign w:val="center"/>
                </w:tcPr>
                <w:p w14:paraId="6892C5F2">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398-002-21</w:t>
                  </w:r>
                </w:p>
              </w:tc>
              <w:tc>
                <w:tcPr>
                  <w:tcW w:w="2960" w:type="dxa"/>
                  <w:noWrap w:val="0"/>
                  <w:vAlign w:val="center"/>
                </w:tcPr>
                <w:p w14:paraId="6E9FC6A3">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使用铬酸进行钻孔除胶处理产生的废渣和废水处理污泥</w:t>
                  </w:r>
                </w:p>
              </w:tc>
              <w:tc>
                <w:tcPr>
                  <w:tcW w:w="872" w:type="dxa"/>
                  <w:noWrap w:val="0"/>
                  <w:vAlign w:val="center"/>
                </w:tcPr>
                <w:p w14:paraId="02E601BF">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393FD41A">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液态、半固态</w:t>
                  </w:r>
                </w:p>
              </w:tc>
              <w:tc>
                <w:tcPr>
                  <w:tcW w:w="844" w:type="dxa"/>
                  <w:shd w:val="clear" w:color="auto" w:fill="auto"/>
                  <w:noWrap w:val="0"/>
                  <w:vAlign w:val="center"/>
                </w:tcPr>
                <w:p w14:paraId="44EADC7F">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塑料桶</w:t>
                  </w:r>
                </w:p>
              </w:tc>
            </w:tr>
            <w:tr w14:paraId="7BEC84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restart"/>
                  <w:noWrap w:val="0"/>
                  <w:vAlign w:val="center"/>
                </w:tcPr>
                <w:p w14:paraId="522CAF4C">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HW22含铜废物</w:t>
                  </w:r>
                </w:p>
              </w:tc>
              <w:tc>
                <w:tcPr>
                  <w:tcW w:w="814" w:type="dxa"/>
                  <w:noWrap w:val="0"/>
                  <w:vAlign w:val="center"/>
                </w:tcPr>
                <w:p w14:paraId="6A1C3483">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玻璃制造</w:t>
                  </w:r>
                </w:p>
              </w:tc>
              <w:tc>
                <w:tcPr>
                  <w:tcW w:w="1196" w:type="dxa"/>
                  <w:noWrap w:val="0"/>
                  <w:vAlign w:val="center"/>
                </w:tcPr>
                <w:p w14:paraId="4A5E1A26">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304-001-22</w:t>
                  </w:r>
                </w:p>
              </w:tc>
              <w:tc>
                <w:tcPr>
                  <w:tcW w:w="2960" w:type="dxa"/>
                  <w:noWrap w:val="0"/>
                  <w:vAlign w:val="center"/>
                </w:tcPr>
                <w:p w14:paraId="600C8279">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使用硫酸铜进行敷金属法镀铜产生的废槽液、槽渣和废水处理污泥</w:t>
                  </w:r>
                </w:p>
              </w:tc>
              <w:tc>
                <w:tcPr>
                  <w:tcW w:w="872" w:type="dxa"/>
                  <w:noWrap w:val="0"/>
                  <w:vAlign w:val="center"/>
                </w:tcPr>
                <w:p w14:paraId="01968F91">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165D5462">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液态、半固态</w:t>
                  </w:r>
                </w:p>
              </w:tc>
              <w:tc>
                <w:tcPr>
                  <w:tcW w:w="844" w:type="dxa"/>
                  <w:shd w:val="clear" w:color="auto" w:fill="auto"/>
                  <w:noWrap w:val="0"/>
                  <w:vAlign w:val="center"/>
                </w:tcPr>
                <w:p w14:paraId="3437EE44">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塑料桶</w:t>
                  </w:r>
                </w:p>
              </w:tc>
            </w:tr>
            <w:tr w14:paraId="14EFD1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7B354221">
                  <w:pPr>
                    <w:pStyle w:val="67"/>
                    <w:jc w:val="center"/>
                    <w:rPr>
                      <w:rFonts w:ascii="Times New Roman" w:cs="Times New Roman"/>
                      <w:color w:val="auto"/>
                      <w:sz w:val="21"/>
                      <w:szCs w:val="21"/>
                      <w:highlight w:val="none"/>
                    </w:rPr>
                  </w:pPr>
                </w:p>
              </w:tc>
              <w:tc>
                <w:tcPr>
                  <w:tcW w:w="814" w:type="dxa"/>
                  <w:vMerge w:val="restart"/>
                  <w:noWrap w:val="0"/>
                  <w:vAlign w:val="center"/>
                </w:tcPr>
                <w:p w14:paraId="1521CE1A">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电子元件及电子专用材料制造</w:t>
                  </w:r>
                </w:p>
              </w:tc>
              <w:tc>
                <w:tcPr>
                  <w:tcW w:w="1196" w:type="dxa"/>
                  <w:noWrap w:val="0"/>
                  <w:vAlign w:val="center"/>
                </w:tcPr>
                <w:p w14:paraId="5432AA1C">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398-004-22</w:t>
                  </w:r>
                </w:p>
              </w:tc>
              <w:tc>
                <w:tcPr>
                  <w:tcW w:w="2960" w:type="dxa"/>
                  <w:noWrap w:val="0"/>
                  <w:vAlign w:val="center"/>
                </w:tcPr>
                <w:p w14:paraId="55B434F2">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线路板生产过程中产生的废蚀铜液</w:t>
                  </w:r>
                </w:p>
              </w:tc>
              <w:tc>
                <w:tcPr>
                  <w:tcW w:w="872" w:type="dxa"/>
                  <w:noWrap w:val="0"/>
                  <w:vAlign w:val="center"/>
                </w:tcPr>
                <w:p w14:paraId="796C7150">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noWrap w:val="0"/>
                  <w:vAlign w:val="center"/>
                </w:tcPr>
                <w:p w14:paraId="1EEB3DD1">
                  <w:pPr>
                    <w:widowControl/>
                    <w:jc w:val="center"/>
                    <w:textAlignment w:val="center"/>
                    <w:rPr>
                      <w:rFonts w:hint="eastAsia" w:ascii="Times New Roman" w:hAnsi="Times New Roman" w:eastAsia="宋体"/>
                      <w:kern w:val="0"/>
                      <w:szCs w:val="21"/>
                      <w:highlight w:val="none"/>
                      <w:lang w:val="en-US" w:eastAsia="zh-CN" w:bidi="ar"/>
                    </w:rPr>
                  </w:pPr>
                  <w:r>
                    <w:rPr>
                      <w:rFonts w:hint="eastAsia"/>
                      <w:kern w:val="0"/>
                      <w:szCs w:val="21"/>
                      <w:highlight w:val="none"/>
                      <w:lang w:val="en-US" w:eastAsia="zh-CN" w:bidi="ar"/>
                    </w:rPr>
                    <w:t>液态</w:t>
                  </w:r>
                </w:p>
              </w:tc>
              <w:tc>
                <w:tcPr>
                  <w:tcW w:w="844" w:type="dxa"/>
                  <w:noWrap w:val="0"/>
                  <w:vAlign w:val="center"/>
                </w:tcPr>
                <w:p w14:paraId="4FF13A73">
                  <w:pPr>
                    <w:widowControl/>
                    <w:jc w:val="center"/>
                    <w:textAlignment w:val="center"/>
                    <w:rPr>
                      <w:rFonts w:ascii="Times New Roman" w:hAnsi="Times New Roman"/>
                      <w:kern w:val="0"/>
                      <w:szCs w:val="21"/>
                      <w:highlight w:val="none"/>
                      <w:lang w:bidi="ar"/>
                    </w:rPr>
                  </w:pPr>
                  <w:r>
                    <w:rPr>
                      <w:rFonts w:hint="eastAsia"/>
                      <w:kern w:val="0"/>
                      <w:szCs w:val="21"/>
                      <w:highlight w:val="none"/>
                      <w:lang w:val="en-US" w:eastAsia="zh-CN" w:bidi="ar"/>
                    </w:rPr>
                    <w:t>塑料桶</w:t>
                  </w:r>
                </w:p>
              </w:tc>
            </w:tr>
            <w:tr w14:paraId="26B3B7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0787B121">
                  <w:pPr>
                    <w:pStyle w:val="67"/>
                    <w:jc w:val="center"/>
                    <w:rPr>
                      <w:rFonts w:ascii="Times New Roman" w:cs="Times New Roman"/>
                      <w:color w:val="auto"/>
                      <w:sz w:val="21"/>
                      <w:szCs w:val="21"/>
                      <w:highlight w:val="none"/>
                    </w:rPr>
                  </w:pPr>
                </w:p>
              </w:tc>
              <w:tc>
                <w:tcPr>
                  <w:tcW w:w="814" w:type="dxa"/>
                  <w:vMerge w:val="continue"/>
                  <w:noWrap w:val="0"/>
                  <w:vAlign w:val="center"/>
                </w:tcPr>
                <w:p w14:paraId="358F4AA5">
                  <w:pPr>
                    <w:pStyle w:val="67"/>
                    <w:jc w:val="center"/>
                    <w:rPr>
                      <w:rFonts w:ascii="Times New Roman" w:cs="Times New Roman"/>
                      <w:color w:val="auto"/>
                      <w:sz w:val="21"/>
                      <w:szCs w:val="21"/>
                      <w:highlight w:val="none"/>
                    </w:rPr>
                  </w:pPr>
                </w:p>
              </w:tc>
              <w:tc>
                <w:tcPr>
                  <w:tcW w:w="1196" w:type="dxa"/>
                  <w:noWrap w:val="0"/>
                  <w:vAlign w:val="center"/>
                </w:tcPr>
                <w:p w14:paraId="4971D8E2">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398-005-22</w:t>
                  </w:r>
                </w:p>
              </w:tc>
              <w:tc>
                <w:tcPr>
                  <w:tcW w:w="2960" w:type="dxa"/>
                  <w:noWrap w:val="0"/>
                  <w:vAlign w:val="center"/>
                </w:tcPr>
                <w:p w14:paraId="5B489D06">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使用酸进行铜氧化处理产生的废液和废水处理污泥</w:t>
                  </w:r>
                </w:p>
              </w:tc>
              <w:tc>
                <w:tcPr>
                  <w:tcW w:w="872" w:type="dxa"/>
                  <w:noWrap w:val="0"/>
                  <w:vAlign w:val="center"/>
                </w:tcPr>
                <w:p w14:paraId="1B25E6B5">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66D9D26E">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液态、半固态</w:t>
                  </w:r>
                </w:p>
              </w:tc>
              <w:tc>
                <w:tcPr>
                  <w:tcW w:w="844" w:type="dxa"/>
                  <w:shd w:val="clear" w:color="auto" w:fill="auto"/>
                  <w:noWrap w:val="0"/>
                  <w:vAlign w:val="center"/>
                </w:tcPr>
                <w:p w14:paraId="2EDECBAB">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塑料桶</w:t>
                  </w:r>
                </w:p>
              </w:tc>
            </w:tr>
            <w:tr w14:paraId="34447E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13848712">
                  <w:pPr>
                    <w:pStyle w:val="67"/>
                    <w:jc w:val="center"/>
                    <w:rPr>
                      <w:rFonts w:ascii="Times New Roman" w:cs="Times New Roman"/>
                      <w:color w:val="auto"/>
                      <w:sz w:val="21"/>
                      <w:szCs w:val="21"/>
                      <w:highlight w:val="none"/>
                    </w:rPr>
                  </w:pPr>
                </w:p>
              </w:tc>
              <w:tc>
                <w:tcPr>
                  <w:tcW w:w="814" w:type="dxa"/>
                  <w:vMerge w:val="continue"/>
                  <w:noWrap w:val="0"/>
                  <w:vAlign w:val="center"/>
                </w:tcPr>
                <w:p w14:paraId="48788DD9">
                  <w:pPr>
                    <w:pStyle w:val="67"/>
                    <w:jc w:val="center"/>
                    <w:rPr>
                      <w:rFonts w:ascii="Times New Roman" w:cs="Times New Roman"/>
                      <w:color w:val="auto"/>
                      <w:sz w:val="21"/>
                      <w:szCs w:val="21"/>
                      <w:highlight w:val="none"/>
                    </w:rPr>
                  </w:pPr>
                </w:p>
              </w:tc>
              <w:tc>
                <w:tcPr>
                  <w:tcW w:w="1196" w:type="dxa"/>
                  <w:noWrap w:val="0"/>
                  <w:vAlign w:val="center"/>
                </w:tcPr>
                <w:p w14:paraId="63EE96C8">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398-051-22</w:t>
                  </w:r>
                </w:p>
              </w:tc>
              <w:tc>
                <w:tcPr>
                  <w:tcW w:w="2960" w:type="dxa"/>
                  <w:noWrap w:val="0"/>
                  <w:vAlign w:val="center"/>
                </w:tcPr>
                <w:p w14:paraId="55778CF6">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铜板蚀刻过程中产生的废蚀刻液和废水处理污泥</w:t>
                  </w:r>
                </w:p>
              </w:tc>
              <w:tc>
                <w:tcPr>
                  <w:tcW w:w="872" w:type="dxa"/>
                  <w:noWrap w:val="0"/>
                  <w:vAlign w:val="center"/>
                </w:tcPr>
                <w:p w14:paraId="3CEA2EC5">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3E8DC83F">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液态、半固态</w:t>
                  </w:r>
                </w:p>
              </w:tc>
              <w:tc>
                <w:tcPr>
                  <w:tcW w:w="844" w:type="dxa"/>
                  <w:shd w:val="clear" w:color="auto" w:fill="auto"/>
                  <w:noWrap w:val="0"/>
                  <w:vAlign w:val="center"/>
                </w:tcPr>
                <w:p w14:paraId="6C15CD27">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塑料桶</w:t>
                  </w:r>
                </w:p>
              </w:tc>
            </w:tr>
            <w:tr w14:paraId="1E4671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restart"/>
                  <w:noWrap w:val="0"/>
                  <w:vAlign w:val="center"/>
                </w:tcPr>
                <w:p w14:paraId="62B18908">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HW23含锌废物</w:t>
                  </w:r>
                </w:p>
              </w:tc>
              <w:tc>
                <w:tcPr>
                  <w:tcW w:w="814" w:type="dxa"/>
                  <w:noWrap w:val="0"/>
                  <w:vAlign w:val="center"/>
                </w:tcPr>
                <w:p w14:paraId="1C12BAFE">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金属表面处理及热处理加工</w:t>
                  </w:r>
                </w:p>
              </w:tc>
              <w:tc>
                <w:tcPr>
                  <w:tcW w:w="1196" w:type="dxa"/>
                  <w:noWrap w:val="0"/>
                  <w:vAlign w:val="center"/>
                </w:tcPr>
                <w:p w14:paraId="747FFA1C">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336-103-23</w:t>
                  </w:r>
                </w:p>
              </w:tc>
              <w:tc>
                <w:tcPr>
                  <w:tcW w:w="2960" w:type="dxa"/>
                  <w:noWrap w:val="0"/>
                  <w:vAlign w:val="center"/>
                </w:tcPr>
                <w:p w14:paraId="3C396CF8">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热镀锌过程中产生的废助镀熔（溶）剂和集（除）尘装置收集的粉尘</w:t>
                  </w:r>
                </w:p>
              </w:tc>
              <w:tc>
                <w:tcPr>
                  <w:tcW w:w="872" w:type="dxa"/>
                  <w:noWrap w:val="0"/>
                  <w:vAlign w:val="center"/>
                </w:tcPr>
                <w:p w14:paraId="4B356511">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noWrap w:val="0"/>
                  <w:vAlign w:val="center"/>
                </w:tcPr>
                <w:p w14:paraId="553A4C89">
                  <w:pPr>
                    <w:widowControl/>
                    <w:jc w:val="center"/>
                    <w:textAlignment w:val="center"/>
                    <w:rPr>
                      <w:rFonts w:hint="eastAsia" w:ascii="Times New Roman" w:hAnsi="Times New Roman" w:eastAsia="宋体"/>
                      <w:kern w:val="0"/>
                      <w:szCs w:val="21"/>
                      <w:highlight w:val="none"/>
                      <w:lang w:val="en-US" w:eastAsia="zh-CN" w:bidi="ar"/>
                    </w:rPr>
                  </w:pPr>
                  <w:r>
                    <w:rPr>
                      <w:rFonts w:hint="eastAsia"/>
                      <w:kern w:val="0"/>
                      <w:szCs w:val="21"/>
                      <w:highlight w:val="none"/>
                      <w:lang w:val="en-US" w:eastAsia="zh-CN" w:bidi="ar"/>
                    </w:rPr>
                    <w:t>固态</w:t>
                  </w:r>
                </w:p>
              </w:tc>
              <w:tc>
                <w:tcPr>
                  <w:tcW w:w="844" w:type="dxa"/>
                  <w:noWrap w:val="0"/>
                  <w:vAlign w:val="center"/>
                </w:tcPr>
                <w:p w14:paraId="4EED18A8">
                  <w:pPr>
                    <w:widowControl/>
                    <w:jc w:val="center"/>
                    <w:textAlignment w:val="center"/>
                    <w:rPr>
                      <w:rFonts w:hint="eastAsia" w:ascii="Times New Roman" w:hAnsi="Times New Roman" w:eastAsia="宋体"/>
                      <w:kern w:val="0"/>
                      <w:szCs w:val="21"/>
                      <w:highlight w:val="none"/>
                      <w:lang w:val="en-US" w:eastAsia="zh-CN" w:bidi="ar"/>
                    </w:rPr>
                  </w:pPr>
                  <w:r>
                    <w:rPr>
                      <w:rFonts w:hint="eastAsia"/>
                      <w:kern w:val="0"/>
                      <w:szCs w:val="21"/>
                      <w:highlight w:val="none"/>
                      <w:lang w:val="en-US" w:eastAsia="zh-CN" w:bidi="ar"/>
                    </w:rPr>
                    <w:t>袋装</w:t>
                  </w:r>
                </w:p>
              </w:tc>
            </w:tr>
            <w:tr w14:paraId="55EBA4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12580A6C">
                  <w:pPr>
                    <w:pStyle w:val="67"/>
                    <w:jc w:val="center"/>
                    <w:rPr>
                      <w:rFonts w:ascii="Times New Roman" w:cs="Times New Roman"/>
                      <w:color w:val="auto"/>
                      <w:sz w:val="21"/>
                      <w:szCs w:val="21"/>
                      <w:highlight w:val="none"/>
                    </w:rPr>
                  </w:pPr>
                </w:p>
              </w:tc>
              <w:tc>
                <w:tcPr>
                  <w:tcW w:w="814" w:type="dxa"/>
                  <w:noWrap w:val="0"/>
                  <w:vAlign w:val="center"/>
                </w:tcPr>
                <w:p w14:paraId="6488D062">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电池制造</w:t>
                  </w:r>
                </w:p>
              </w:tc>
              <w:tc>
                <w:tcPr>
                  <w:tcW w:w="1196" w:type="dxa"/>
                  <w:noWrap w:val="0"/>
                  <w:vAlign w:val="center"/>
                </w:tcPr>
                <w:p w14:paraId="5C36743E">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384-001-23</w:t>
                  </w:r>
                </w:p>
              </w:tc>
              <w:tc>
                <w:tcPr>
                  <w:tcW w:w="2960" w:type="dxa"/>
                  <w:noWrap w:val="0"/>
                  <w:vAlign w:val="center"/>
                </w:tcPr>
                <w:p w14:paraId="7E8F321D">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碱性锌锰电池、锌氧化银电池、锌空气电池生产过程中产生的废锌浆</w:t>
                  </w:r>
                </w:p>
              </w:tc>
              <w:tc>
                <w:tcPr>
                  <w:tcW w:w="872" w:type="dxa"/>
                  <w:noWrap w:val="0"/>
                  <w:vAlign w:val="center"/>
                </w:tcPr>
                <w:p w14:paraId="21715D78">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noWrap w:val="0"/>
                  <w:vAlign w:val="center"/>
                </w:tcPr>
                <w:p w14:paraId="5A4B8F60">
                  <w:pPr>
                    <w:widowControl/>
                    <w:jc w:val="center"/>
                    <w:textAlignment w:val="center"/>
                    <w:rPr>
                      <w:rFonts w:hint="eastAsia" w:ascii="Times New Roman" w:hAnsi="Times New Roman" w:eastAsia="宋体"/>
                      <w:kern w:val="0"/>
                      <w:szCs w:val="21"/>
                      <w:highlight w:val="none"/>
                      <w:lang w:val="en-US" w:eastAsia="zh-CN" w:bidi="ar"/>
                    </w:rPr>
                  </w:pPr>
                  <w:r>
                    <w:rPr>
                      <w:rFonts w:hint="eastAsia"/>
                      <w:kern w:val="0"/>
                      <w:szCs w:val="21"/>
                      <w:highlight w:val="none"/>
                      <w:lang w:val="en-US" w:eastAsia="zh-CN" w:bidi="ar"/>
                    </w:rPr>
                    <w:t>半固态</w:t>
                  </w:r>
                </w:p>
              </w:tc>
              <w:tc>
                <w:tcPr>
                  <w:tcW w:w="844" w:type="dxa"/>
                  <w:noWrap w:val="0"/>
                  <w:vAlign w:val="center"/>
                </w:tcPr>
                <w:p w14:paraId="4F97DB34">
                  <w:pPr>
                    <w:widowControl/>
                    <w:jc w:val="center"/>
                    <w:textAlignment w:val="center"/>
                    <w:rPr>
                      <w:rFonts w:hint="eastAsia" w:ascii="Times New Roman" w:hAnsi="Times New Roman" w:eastAsia="宋体"/>
                      <w:kern w:val="0"/>
                      <w:szCs w:val="21"/>
                      <w:highlight w:val="none"/>
                      <w:lang w:val="en-US" w:eastAsia="zh-CN" w:bidi="ar"/>
                    </w:rPr>
                  </w:pPr>
                  <w:r>
                    <w:rPr>
                      <w:rFonts w:hint="eastAsia"/>
                      <w:kern w:val="0"/>
                      <w:szCs w:val="21"/>
                      <w:highlight w:val="none"/>
                      <w:lang w:val="en-US" w:eastAsia="zh-CN" w:bidi="ar"/>
                    </w:rPr>
                    <w:t>铁桶</w:t>
                  </w:r>
                </w:p>
              </w:tc>
            </w:tr>
            <w:tr w14:paraId="560F12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3B3AB2B1">
                  <w:pPr>
                    <w:pStyle w:val="67"/>
                    <w:jc w:val="center"/>
                    <w:rPr>
                      <w:rFonts w:ascii="Times New Roman" w:cs="Times New Roman"/>
                      <w:color w:val="auto"/>
                      <w:sz w:val="21"/>
                      <w:szCs w:val="21"/>
                      <w:highlight w:val="none"/>
                    </w:rPr>
                  </w:pPr>
                </w:p>
              </w:tc>
              <w:tc>
                <w:tcPr>
                  <w:tcW w:w="814" w:type="dxa"/>
                  <w:noWrap w:val="0"/>
                  <w:vAlign w:val="center"/>
                </w:tcPr>
                <w:p w14:paraId="73332739">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炼钢</w:t>
                  </w:r>
                </w:p>
              </w:tc>
              <w:tc>
                <w:tcPr>
                  <w:tcW w:w="1196" w:type="dxa"/>
                  <w:noWrap w:val="0"/>
                  <w:vAlign w:val="center"/>
                </w:tcPr>
                <w:p w14:paraId="3F68D167">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312-001-23</w:t>
                  </w:r>
                </w:p>
              </w:tc>
              <w:tc>
                <w:tcPr>
                  <w:tcW w:w="2960" w:type="dxa"/>
                  <w:noWrap w:val="0"/>
                  <w:vAlign w:val="center"/>
                </w:tcPr>
                <w:p w14:paraId="02F49DD6">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废钢电炉炼钢过程中集（除）尘装置收集的粉尘和废水处理污泥</w:t>
                  </w:r>
                </w:p>
              </w:tc>
              <w:tc>
                <w:tcPr>
                  <w:tcW w:w="872" w:type="dxa"/>
                  <w:noWrap w:val="0"/>
                  <w:vAlign w:val="center"/>
                </w:tcPr>
                <w:p w14:paraId="0BB4B2D2">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5093FFB6">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74942823">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4AEB88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48B3F224">
                  <w:pPr>
                    <w:pStyle w:val="67"/>
                    <w:jc w:val="center"/>
                    <w:rPr>
                      <w:rFonts w:ascii="Times New Roman" w:cs="Times New Roman"/>
                      <w:color w:val="auto"/>
                      <w:sz w:val="21"/>
                      <w:szCs w:val="21"/>
                      <w:highlight w:val="none"/>
                    </w:rPr>
                  </w:pPr>
                </w:p>
              </w:tc>
              <w:tc>
                <w:tcPr>
                  <w:tcW w:w="814" w:type="dxa"/>
                  <w:noWrap w:val="0"/>
                  <w:vAlign w:val="center"/>
                </w:tcPr>
                <w:p w14:paraId="3A5661AA">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非特定行业</w:t>
                  </w:r>
                </w:p>
              </w:tc>
              <w:tc>
                <w:tcPr>
                  <w:tcW w:w="1196" w:type="dxa"/>
                  <w:noWrap w:val="0"/>
                  <w:vAlign w:val="center"/>
                </w:tcPr>
                <w:p w14:paraId="6AA76A7F">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900-021-23</w:t>
                  </w:r>
                </w:p>
              </w:tc>
              <w:tc>
                <w:tcPr>
                  <w:tcW w:w="2960" w:type="dxa"/>
                  <w:noWrap w:val="0"/>
                  <w:vAlign w:val="center"/>
                </w:tcPr>
                <w:p w14:paraId="0CF3161D">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使用氢氧化钠、锌粉进行贵金属沉淀过程中产生的废液和废水处理污泥</w:t>
                  </w:r>
                </w:p>
              </w:tc>
              <w:tc>
                <w:tcPr>
                  <w:tcW w:w="872" w:type="dxa"/>
                  <w:noWrap w:val="0"/>
                  <w:vAlign w:val="center"/>
                </w:tcPr>
                <w:p w14:paraId="74A52347">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7E5B75CC">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3DEA5FB1">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6CF8C6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restart"/>
                  <w:noWrap w:val="0"/>
                  <w:vAlign w:val="center"/>
                </w:tcPr>
                <w:p w14:paraId="29AA3D06">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HW29含汞废物</w:t>
                  </w:r>
                </w:p>
              </w:tc>
              <w:tc>
                <w:tcPr>
                  <w:tcW w:w="814" w:type="dxa"/>
                  <w:vMerge w:val="restart"/>
                  <w:noWrap w:val="0"/>
                  <w:vAlign w:val="center"/>
                </w:tcPr>
                <w:p w14:paraId="11AE2757">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非特定行业</w:t>
                  </w:r>
                </w:p>
              </w:tc>
              <w:tc>
                <w:tcPr>
                  <w:tcW w:w="1196" w:type="dxa"/>
                  <w:noWrap w:val="0"/>
                  <w:vAlign w:val="center"/>
                </w:tcPr>
                <w:p w14:paraId="1E8E097D">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900-023-29</w:t>
                  </w:r>
                </w:p>
              </w:tc>
              <w:tc>
                <w:tcPr>
                  <w:tcW w:w="2960" w:type="dxa"/>
                  <w:noWrap w:val="0"/>
                  <w:vAlign w:val="center"/>
                </w:tcPr>
                <w:p w14:paraId="14E94131">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生产、销售及使用过程中产生的废含汞荧光灯管及其他废含汞电光源，及废弃含汞电光源处理处置过程中产生的废荧光粉、废活性炭和废水处理污泥</w:t>
                  </w:r>
                </w:p>
              </w:tc>
              <w:tc>
                <w:tcPr>
                  <w:tcW w:w="872" w:type="dxa"/>
                  <w:noWrap w:val="0"/>
                  <w:vAlign w:val="center"/>
                </w:tcPr>
                <w:p w14:paraId="1AEA94CF">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75D52ED5">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474CC24B">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0FD6CE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29143279">
                  <w:pPr>
                    <w:pStyle w:val="67"/>
                    <w:jc w:val="center"/>
                    <w:rPr>
                      <w:rFonts w:ascii="Times New Roman" w:cs="Times New Roman"/>
                      <w:color w:val="auto"/>
                      <w:sz w:val="21"/>
                      <w:szCs w:val="21"/>
                      <w:highlight w:val="none"/>
                    </w:rPr>
                  </w:pPr>
                </w:p>
              </w:tc>
              <w:tc>
                <w:tcPr>
                  <w:tcW w:w="814" w:type="dxa"/>
                  <w:vMerge w:val="continue"/>
                  <w:noWrap w:val="0"/>
                  <w:vAlign w:val="center"/>
                </w:tcPr>
                <w:p w14:paraId="7DC91073">
                  <w:pPr>
                    <w:pStyle w:val="67"/>
                    <w:jc w:val="center"/>
                    <w:rPr>
                      <w:rFonts w:ascii="Times New Roman" w:cs="Times New Roman"/>
                      <w:color w:val="auto"/>
                      <w:sz w:val="21"/>
                      <w:szCs w:val="21"/>
                      <w:highlight w:val="none"/>
                    </w:rPr>
                  </w:pPr>
                </w:p>
              </w:tc>
              <w:tc>
                <w:tcPr>
                  <w:tcW w:w="1196" w:type="dxa"/>
                  <w:noWrap w:val="0"/>
                  <w:vAlign w:val="center"/>
                </w:tcPr>
                <w:p w14:paraId="052CDAFE">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900-024-29</w:t>
                  </w:r>
                </w:p>
              </w:tc>
              <w:tc>
                <w:tcPr>
                  <w:tcW w:w="2960" w:type="dxa"/>
                  <w:noWrap w:val="0"/>
                  <w:vAlign w:val="center"/>
                </w:tcPr>
                <w:p w14:paraId="0314ACE1">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生产、销售及使用过程中产生的废含汞温度计、废含汞血压计、废含汞真空表、废含汞压力计、废氧化汞电池和废汞开关</w:t>
                  </w:r>
                </w:p>
              </w:tc>
              <w:tc>
                <w:tcPr>
                  <w:tcW w:w="872" w:type="dxa"/>
                  <w:noWrap w:val="0"/>
                  <w:vAlign w:val="center"/>
                </w:tcPr>
                <w:p w14:paraId="27665344">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6F6866CA">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3BC45558">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631AA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restart"/>
                  <w:noWrap w:val="0"/>
                  <w:vAlign w:val="center"/>
                </w:tcPr>
                <w:p w14:paraId="4BB56E04">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HW34废酸</w:t>
                  </w:r>
                </w:p>
              </w:tc>
              <w:tc>
                <w:tcPr>
                  <w:tcW w:w="814" w:type="dxa"/>
                  <w:vMerge w:val="restart"/>
                  <w:noWrap w:val="0"/>
                  <w:vAlign w:val="center"/>
                </w:tcPr>
                <w:p w14:paraId="47A3FFF3">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非特定行业</w:t>
                  </w:r>
                </w:p>
              </w:tc>
              <w:tc>
                <w:tcPr>
                  <w:tcW w:w="1196" w:type="dxa"/>
                  <w:noWrap w:val="0"/>
                  <w:vAlign w:val="center"/>
                </w:tcPr>
                <w:p w14:paraId="3E746CAB">
                  <w:pPr>
                    <w:widowControl/>
                    <w:jc w:val="center"/>
                    <w:textAlignment w:val="center"/>
                    <w:rPr>
                      <w:rFonts w:ascii="Times New Roman" w:hAnsi="Times New Roman"/>
                      <w:szCs w:val="21"/>
                      <w:highlight w:val="none"/>
                    </w:rPr>
                  </w:pPr>
                  <w:r>
                    <w:rPr>
                      <w:rFonts w:ascii="Times New Roman" w:hAnsi="Times New Roman"/>
                      <w:szCs w:val="21"/>
                      <w:highlight w:val="none"/>
                    </w:rPr>
                    <w:t>900-300-34</w:t>
                  </w:r>
                </w:p>
              </w:tc>
              <w:tc>
                <w:tcPr>
                  <w:tcW w:w="2960" w:type="dxa"/>
                  <w:noWrap w:val="0"/>
                  <w:vAlign w:val="center"/>
                </w:tcPr>
                <w:p w14:paraId="1772850B">
                  <w:pPr>
                    <w:widowControl/>
                    <w:jc w:val="left"/>
                    <w:rPr>
                      <w:rFonts w:ascii="Times New Roman" w:hAnsi="Times New Roman"/>
                      <w:szCs w:val="21"/>
                      <w:highlight w:val="none"/>
                    </w:rPr>
                  </w:pPr>
                  <w:r>
                    <w:rPr>
                      <w:rFonts w:ascii="Times New Roman" w:hAnsi="Times New Roman"/>
                      <w:kern w:val="0"/>
                      <w:szCs w:val="21"/>
                      <w:highlight w:val="none"/>
                      <w:lang w:bidi="ar"/>
                    </w:rPr>
                    <w:t>使用酸进行清洗产生的废酸液</w:t>
                  </w:r>
                </w:p>
              </w:tc>
              <w:tc>
                <w:tcPr>
                  <w:tcW w:w="872" w:type="dxa"/>
                  <w:noWrap w:val="0"/>
                  <w:vAlign w:val="center"/>
                </w:tcPr>
                <w:p w14:paraId="39728013">
                  <w:pPr>
                    <w:widowControl/>
                    <w:jc w:val="center"/>
                    <w:textAlignment w:val="center"/>
                    <w:rPr>
                      <w:rFonts w:ascii="Times New Roman" w:hAnsi="Times New Roman"/>
                      <w:szCs w:val="21"/>
                      <w:highlight w:val="none"/>
                    </w:rPr>
                  </w:pPr>
                  <w:r>
                    <w:rPr>
                      <w:rFonts w:ascii="Times New Roman" w:hAnsi="Times New Roman"/>
                      <w:szCs w:val="21"/>
                      <w:highlight w:val="none"/>
                    </w:rPr>
                    <w:t>C,T</w:t>
                  </w:r>
                </w:p>
              </w:tc>
              <w:tc>
                <w:tcPr>
                  <w:tcW w:w="843" w:type="dxa"/>
                  <w:noWrap w:val="0"/>
                  <w:vAlign w:val="center"/>
                </w:tcPr>
                <w:p w14:paraId="6D887D96">
                  <w:pPr>
                    <w:widowControl/>
                    <w:jc w:val="center"/>
                    <w:textAlignment w:val="center"/>
                    <w:rPr>
                      <w:rFonts w:hint="eastAsia" w:ascii="Times New Roman" w:hAnsi="Times New Roman" w:eastAsia="宋体"/>
                      <w:szCs w:val="21"/>
                      <w:highlight w:val="none"/>
                      <w:lang w:val="en-US" w:eastAsia="zh-CN"/>
                    </w:rPr>
                  </w:pPr>
                  <w:r>
                    <w:rPr>
                      <w:rFonts w:hint="eastAsia"/>
                      <w:szCs w:val="21"/>
                      <w:highlight w:val="none"/>
                      <w:lang w:val="en-US" w:eastAsia="zh-CN"/>
                    </w:rPr>
                    <w:t>液态</w:t>
                  </w:r>
                </w:p>
              </w:tc>
              <w:tc>
                <w:tcPr>
                  <w:tcW w:w="844" w:type="dxa"/>
                  <w:noWrap w:val="0"/>
                  <w:vAlign w:val="center"/>
                </w:tcPr>
                <w:p w14:paraId="7C76440A">
                  <w:pPr>
                    <w:widowControl/>
                    <w:jc w:val="center"/>
                    <w:textAlignment w:val="center"/>
                    <w:rPr>
                      <w:rFonts w:hint="eastAsia" w:ascii="Times New Roman" w:hAnsi="Times New Roman" w:eastAsia="宋体"/>
                      <w:szCs w:val="21"/>
                      <w:highlight w:val="none"/>
                      <w:lang w:val="en-US" w:eastAsia="zh-CN"/>
                    </w:rPr>
                  </w:pPr>
                  <w:r>
                    <w:rPr>
                      <w:rFonts w:hint="eastAsia"/>
                      <w:szCs w:val="21"/>
                      <w:highlight w:val="none"/>
                      <w:lang w:val="en-US" w:eastAsia="zh-CN"/>
                    </w:rPr>
                    <w:t>塑料桶</w:t>
                  </w:r>
                </w:p>
              </w:tc>
            </w:tr>
            <w:tr w14:paraId="409D46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42766E5D">
                  <w:pPr>
                    <w:pStyle w:val="67"/>
                    <w:jc w:val="center"/>
                    <w:rPr>
                      <w:rFonts w:ascii="Times New Roman" w:cs="Times New Roman"/>
                      <w:color w:val="auto"/>
                      <w:sz w:val="21"/>
                      <w:szCs w:val="21"/>
                      <w:highlight w:val="none"/>
                    </w:rPr>
                  </w:pPr>
                </w:p>
              </w:tc>
              <w:tc>
                <w:tcPr>
                  <w:tcW w:w="814" w:type="dxa"/>
                  <w:vMerge w:val="continue"/>
                  <w:noWrap w:val="0"/>
                  <w:vAlign w:val="center"/>
                </w:tcPr>
                <w:p w14:paraId="3927CABC">
                  <w:pPr>
                    <w:pStyle w:val="67"/>
                    <w:jc w:val="center"/>
                    <w:rPr>
                      <w:rFonts w:ascii="Times New Roman" w:cs="Times New Roman"/>
                      <w:color w:val="auto"/>
                      <w:sz w:val="21"/>
                      <w:szCs w:val="21"/>
                      <w:highlight w:val="none"/>
                    </w:rPr>
                  </w:pPr>
                </w:p>
              </w:tc>
              <w:tc>
                <w:tcPr>
                  <w:tcW w:w="1196" w:type="dxa"/>
                  <w:noWrap w:val="0"/>
                  <w:vAlign w:val="center"/>
                </w:tcPr>
                <w:p w14:paraId="282AC261">
                  <w:pPr>
                    <w:widowControl/>
                    <w:jc w:val="center"/>
                    <w:textAlignment w:val="center"/>
                    <w:rPr>
                      <w:rFonts w:ascii="Times New Roman" w:hAnsi="Times New Roman"/>
                      <w:szCs w:val="21"/>
                      <w:highlight w:val="none"/>
                    </w:rPr>
                  </w:pPr>
                  <w:r>
                    <w:rPr>
                      <w:rFonts w:ascii="Times New Roman" w:hAnsi="Times New Roman"/>
                      <w:szCs w:val="21"/>
                      <w:highlight w:val="none"/>
                    </w:rPr>
                    <w:t>900-301-34</w:t>
                  </w:r>
                </w:p>
              </w:tc>
              <w:tc>
                <w:tcPr>
                  <w:tcW w:w="2960" w:type="dxa"/>
                  <w:noWrap w:val="0"/>
                  <w:vAlign w:val="center"/>
                </w:tcPr>
                <w:p w14:paraId="63D76B1B">
                  <w:pPr>
                    <w:widowControl/>
                    <w:jc w:val="left"/>
                    <w:rPr>
                      <w:rFonts w:ascii="Times New Roman" w:hAnsi="Times New Roman"/>
                      <w:szCs w:val="21"/>
                      <w:highlight w:val="none"/>
                    </w:rPr>
                  </w:pPr>
                  <w:r>
                    <w:rPr>
                      <w:rFonts w:ascii="Times New Roman" w:hAnsi="Times New Roman"/>
                      <w:kern w:val="0"/>
                      <w:szCs w:val="21"/>
                      <w:highlight w:val="none"/>
                      <w:lang w:bidi="ar"/>
                    </w:rPr>
                    <w:t>使用硫酸进行酸性碳化产生的废酸液</w:t>
                  </w:r>
                </w:p>
              </w:tc>
              <w:tc>
                <w:tcPr>
                  <w:tcW w:w="872" w:type="dxa"/>
                  <w:noWrap w:val="0"/>
                  <w:vAlign w:val="center"/>
                </w:tcPr>
                <w:p w14:paraId="75172DAE">
                  <w:pPr>
                    <w:widowControl/>
                    <w:jc w:val="center"/>
                    <w:textAlignment w:val="center"/>
                    <w:rPr>
                      <w:rFonts w:ascii="Times New Roman" w:hAnsi="Times New Roman"/>
                      <w:szCs w:val="21"/>
                      <w:highlight w:val="none"/>
                    </w:rPr>
                  </w:pPr>
                  <w:r>
                    <w:rPr>
                      <w:rFonts w:ascii="Times New Roman" w:hAnsi="Times New Roman"/>
                      <w:szCs w:val="21"/>
                      <w:highlight w:val="none"/>
                    </w:rPr>
                    <w:t>C,T</w:t>
                  </w:r>
                </w:p>
              </w:tc>
              <w:tc>
                <w:tcPr>
                  <w:tcW w:w="843" w:type="dxa"/>
                  <w:shd w:val="clear" w:color="auto" w:fill="auto"/>
                  <w:noWrap w:val="0"/>
                  <w:vAlign w:val="center"/>
                </w:tcPr>
                <w:p w14:paraId="2F93BA57">
                  <w:pPr>
                    <w:widowControl/>
                    <w:jc w:val="center"/>
                    <w:textAlignment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液态</w:t>
                  </w:r>
                </w:p>
              </w:tc>
              <w:tc>
                <w:tcPr>
                  <w:tcW w:w="844" w:type="dxa"/>
                  <w:shd w:val="clear" w:color="auto" w:fill="auto"/>
                  <w:noWrap w:val="0"/>
                  <w:vAlign w:val="center"/>
                </w:tcPr>
                <w:p w14:paraId="6F6D27D2">
                  <w:pPr>
                    <w:widowControl/>
                    <w:jc w:val="center"/>
                    <w:textAlignment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塑料桶</w:t>
                  </w:r>
                </w:p>
              </w:tc>
            </w:tr>
            <w:tr w14:paraId="52794F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77B70F20">
                  <w:pPr>
                    <w:pStyle w:val="67"/>
                    <w:jc w:val="center"/>
                    <w:rPr>
                      <w:rFonts w:ascii="Times New Roman" w:cs="Times New Roman"/>
                      <w:color w:val="auto"/>
                      <w:sz w:val="21"/>
                      <w:szCs w:val="21"/>
                      <w:highlight w:val="none"/>
                    </w:rPr>
                  </w:pPr>
                </w:p>
              </w:tc>
              <w:tc>
                <w:tcPr>
                  <w:tcW w:w="814" w:type="dxa"/>
                  <w:vMerge w:val="continue"/>
                  <w:noWrap w:val="0"/>
                  <w:vAlign w:val="center"/>
                </w:tcPr>
                <w:p w14:paraId="31DA2A90">
                  <w:pPr>
                    <w:pStyle w:val="67"/>
                    <w:jc w:val="center"/>
                    <w:rPr>
                      <w:rFonts w:ascii="Times New Roman" w:cs="Times New Roman"/>
                      <w:color w:val="auto"/>
                      <w:sz w:val="21"/>
                      <w:szCs w:val="21"/>
                      <w:highlight w:val="none"/>
                    </w:rPr>
                  </w:pPr>
                </w:p>
              </w:tc>
              <w:tc>
                <w:tcPr>
                  <w:tcW w:w="1196" w:type="dxa"/>
                  <w:noWrap w:val="0"/>
                  <w:vAlign w:val="center"/>
                </w:tcPr>
                <w:p w14:paraId="7EC8CEC9">
                  <w:pPr>
                    <w:widowControl/>
                    <w:jc w:val="center"/>
                    <w:textAlignment w:val="center"/>
                    <w:rPr>
                      <w:rFonts w:ascii="Times New Roman" w:hAnsi="Times New Roman"/>
                      <w:szCs w:val="21"/>
                      <w:highlight w:val="none"/>
                    </w:rPr>
                  </w:pPr>
                  <w:r>
                    <w:rPr>
                      <w:rFonts w:ascii="Times New Roman" w:hAnsi="Times New Roman"/>
                      <w:szCs w:val="21"/>
                      <w:highlight w:val="none"/>
                    </w:rPr>
                    <w:t>900-302-34</w:t>
                  </w:r>
                </w:p>
              </w:tc>
              <w:tc>
                <w:tcPr>
                  <w:tcW w:w="2960" w:type="dxa"/>
                  <w:noWrap w:val="0"/>
                  <w:vAlign w:val="center"/>
                </w:tcPr>
                <w:p w14:paraId="1BE270A2">
                  <w:pPr>
                    <w:widowControl/>
                    <w:jc w:val="left"/>
                    <w:rPr>
                      <w:rFonts w:ascii="Times New Roman" w:hAnsi="Times New Roman"/>
                      <w:szCs w:val="21"/>
                      <w:highlight w:val="none"/>
                    </w:rPr>
                  </w:pPr>
                  <w:r>
                    <w:rPr>
                      <w:rFonts w:ascii="Times New Roman" w:hAnsi="Times New Roman"/>
                      <w:kern w:val="0"/>
                      <w:szCs w:val="21"/>
                      <w:highlight w:val="none"/>
                      <w:lang w:bidi="ar"/>
                    </w:rPr>
                    <w:t>使用硫酸进行酸蚀产生的废酸液</w:t>
                  </w:r>
                </w:p>
              </w:tc>
              <w:tc>
                <w:tcPr>
                  <w:tcW w:w="872" w:type="dxa"/>
                  <w:noWrap w:val="0"/>
                  <w:vAlign w:val="center"/>
                </w:tcPr>
                <w:p w14:paraId="1A6078BA">
                  <w:pPr>
                    <w:widowControl/>
                    <w:jc w:val="center"/>
                    <w:textAlignment w:val="center"/>
                    <w:rPr>
                      <w:rFonts w:ascii="Times New Roman" w:hAnsi="Times New Roman"/>
                      <w:szCs w:val="21"/>
                      <w:highlight w:val="none"/>
                    </w:rPr>
                  </w:pPr>
                  <w:r>
                    <w:rPr>
                      <w:rFonts w:ascii="Times New Roman" w:hAnsi="Times New Roman"/>
                      <w:szCs w:val="21"/>
                      <w:highlight w:val="none"/>
                    </w:rPr>
                    <w:t>C,T</w:t>
                  </w:r>
                </w:p>
              </w:tc>
              <w:tc>
                <w:tcPr>
                  <w:tcW w:w="843" w:type="dxa"/>
                  <w:shd w:val="clear" w:color="auto" w:fill="auto"/>
                  <w:noWrap w:val="0"/>
                  <w:vAlign w:val="center"/>
                </w:tcPr>
                <w:p w14:paraId="6C6318A9">
                  <w:pPr>
                    <w:widowControl/>
                    <w:jc w:val="center"/>
                    <w:textAlignment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液态</w:t>
                  </w:r>
                </w:p>
              </w:tc>
              <w:tc>
                <w:tcPr>
                  <w:tcW w:w="844" w:type="dxa"/>
                  <w:shd w:val="clear" w:color="auto" w:fill="auto"/>
                  <w:noWrap w:val="0"/>
                  <w:vAlign w:val="center"/>
                </w:tcPr>
                <w:p w14:paraId="72E80FC9">
                  <w:pPr>
                    <w:widowControl/>
                    <w:jc w:val="center"/>
                    <w:textAlignment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塑料桶</w:t>
                  </w:r>
                </w:p>
              </w:tc>
            </w:tr>
            <w:tr w14:paraId="2A7B85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78607C0E">
                  <w:pPr>
                    <w:pStyle w:val="67"/>
                    <w:jc w:val="center"/>
                    <w:rPr>
                      <w:rFonts w:ascii="Times New Roman" w:cs="Times New Roman"/>
                      <w:color w:val="auto"/>
                      <w:sz w:val="21"/>
                      <w:szCs w:val="21"/>
                      <w:highlight w:val="none"/>
                    </w:rPr>
                  </w:pPr>
                </w:p>
              </w:tc>
              <w:tc>
                <w:tcPr>
                  <w:tcW w:w="814" w:type="dxa"/>
                  <w:vMerge w:val="continue"/>
                  <w:noWrap w:val="0"/>
                  <w:vAlign w:val="center"/>
                </w:tcPr>
                <w:p w14:paraId="5D0374A0">
                  <w:pPr>
                    <w:pStyle w:val="67"/>
                    <w:jc w:val="center"/>
                    <w:rPr>
                      <w:rFonts w:ascii="Times New Roman" w:cs="Times New Roman"/>
                      <w:color w:val="auto"/>
                      <w:sz w:val="21"/>
                      <w:szCs w:val="21"/>
                      <w:highlight w:val="none"/>
                    </w:rPr>
                  </w:pPr>
                </w:p>
              </w:tc>
              <w:tc>
                <w:tcPr>
                  <w:tcW w:w="1196" w:type="dxa"/>
                  <w:noWrap w:val="0"/>
                  <w:vAlign w:val="center"/>
                </w:tcPr>
                <w:p w14:paraId="781A6214">
                  <w:pPr>
                    <w:widowControl/>
                    <w:jc w:val="center"/>
                    <w:textAlignment w:val="center"/>
                    <w:rPr>
                      <w:rFonts w:ascii="Times New Roman" w:hAnsi="Times New Roman"/>
                      <w:szCs w:val="21"/>
                      <w:highlight w:val="none"/>
                    </w:rPr>
                  </w:pPr>
                  <w:r>
                    <w:rPr>
                      <w:rFonts w:ascii="Times New Roman" w:hAnsi="Times New Roman"/>
                      <w:szCs w:val="21"/>
                      <w:highlight w:val="none"/>
                    </w:rPr>
                    <w:t>900-303-34</w:t>
                  </w:r>
                </w:p>
              </w:tc>
              <w:tc>
                <w:tcPr>
                  <w:tcW w:w="2960" w:type="dxa"/>
                  <w:noWrap w:val="0"/>
                  <w:vAlign w:val="center"/>
                </w:tcPr>
                <w:p w14:paraId="6DBCE269">
                  <w:pPr>
                    <w:widowControl/>
                    <w:jc w:val="left"/>
                    <w:rPr>
                      <w:rFonts w:ascii="Times New Roman" w:hAnsi="Times New Roman"/>
                      <w:szCs w:val="21"/>
                      <w:highlight w:val="none"/>
                    </w:rPr>
                  </w:pPr>
                  <w:r>
                    <w:rPr>
                      <w:rFonts w:ascii="Times New Roman" w:hAnsi="Times New Roman"/>
                      <w:kern w:val="0"/>
                      <w:szCs w:val="21"/>
                      <w:highlight w:val="none"/>
                      <w:lang w:bidi="ar"/>
                    </w:rPr>
                    <w:t>使用磷酸进行磷化产生的废酸液</w:t>
                  </w:r>
                </w:p>
              </w:tc>
              <w:tc>
                <w:tcPr>
                  <w:tcW w:w="872" w:type="dxa"/>
                  <w:noWrap w:val="0"/>
                  <w:vAlign w:val="center"/>
                </w:tcPr>
                <w:p w14:paraId="47187FA3">
                  <w:pPr>
                    <w:widowControl/>
                    <w:jc w:val="center"/>
                    <w:textAlignment w:val="center"/>
                    <w:rPr>
                      <w:rFonts w:ascii="Times New Roman" w:hAnsi="Times New Roman"/>
                      <w:szCs w:val="21"/>
                      <w:highlight w:val="none"/>
                    </w:rPr>
                  </w:pPr>
                  <w:r>
                    <w:rPr>
                      <w:rFonts w:ascii="Times New Roman" w:hAnsi="Times New Roman"/>
                      <w:szCs w:val="21"/>
                      <w:highlight w:val="none"/>
                    </w:rPr>
                    <w:t>C,T</w:t>
                  </w:r>
                </w:p>
              </w:tc>
              <w:tc>
                <w:tcPr>
                  <w:tcW w:w="843" w:type="dxa"/>
                  <w:shd w:val="clear" w:color="auto" w:fill="auto"/>
                  <w:noWrap w:val="0"/>
                  <w:vAlign w:val="center"/>
                </w:tcPr>
                <w:p w14:paraId="7651E86A">
                  <w:pPr>
                    <w:widowControl/>
                    <w:jc w:val="center"/>
                    <w:textAlignment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液态</w:t>
                  </w:r>
                </w:p>
              </w:tc>
              <w:tc>
                <w:tcPr>
                  <w:tcW w:w="844" w:type="dxa"/>
                  <w:shd w:val="clear" w:color="auto" w:fill="auto"/>
                  <w:noWrap w:val="0"/>
                  <w:vAlign w:val="center"/>
                </w:tcPr>
                <w:p w14:paraId="6C07BDF9">
                  <w:pPr>
                    <w:widowControl/>
                    <w:jc w:val="center"/>
                    <w:textAlignment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塑料桶</w:t>
                  </w:r>
                </w:p>
              </w:tc>
            </w:tr>
            <w:tr w14:paraId="70AE9B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0F8398AD">
                  <w:pPr>
                    <w:pStyle w:val="67"/>
                    <w:jc w:val="center"/>
                    <w:rPr>
                      <w:rFonts w:ascii="Times New Roman" w:cs="Times New Roman"/>
                      <w:color w:val="auto"/>
                      <w:sz w:val="21"/>
                      <w:szCs w:val="21"/>
                      <w:highlight w:val="none"/>
                    </w:rPr>
                  </w:pPr>
                </w:p>
              </w:tc>
              <w:tc>
                <w:tcPr>
                  <w:tcW w:w="814" w:type="dxa"/>
                  <w:vMerge w:val="continue"/>
                  <w:noWrap w:val="0"/>
                  <w:vAlign w:val="center"/>
                </w:tcPr>
                <w:p w14:paraId="248089A2">
                  <w:pPr>
                    <w:pStyle w:val="67"/>
                    <w:jc w:val="center"/>
                    <w:rPr>
                      <w:rFonts w:ascii="Times New Roman" w:cs="Times New Roman"/>
                      <w:color w:val="auto"/>
                      <w:sz w:val="21"/>
                      <w:szCs w:val="21"/>
                      <w:highlight w:val="none"/>
                    </w:rPr>
                  </w:pPr>
                </w:p>
              </w:tc>
              <w:tc>
                <w:tcPr>
                  <w:tcW w:w="1196" w:type="dxa"/>
                  <w:noWrap w:val="0"/>
                  <w:vAlign w:val="center"/>
                </w:tcPr>
                <w:p w14:paraId="5AB99A0A">
                  <w:pPr>
                    <w:widowControl/>
                    <w:jc w:val="center"/>
                    <w:textAlignment w:val="center"/>
                    <w:rPr>
                      <w:rFonts w:ascii="Times New Roman" w:hAnsi="Times New Roman"/>
                      <w:szCs w:val="21"/>
                      <w:highlight w:val="none"/>
                    </w:rPr>
                  </w:pPr>
                  <w:r>
                    <w:rPr>
                      <w:rFonts w:ascii="Times New Roman" w:hAnsi="Times New Roman"/>
                      <w:szCs w:val="21"/>
                      <w:highlight w:val="none"/>
                    </w:rPr>
                    <w:t>900-304-34</w:t>
                  </w:r>
                </w:p>
              </w:tc>
              <w:tc>
                <w:tcPr>
                  <w:tcW w:w="2960" w:type="dxa"/>
                  <w:noWrap w:val="0"/>
                  <w:vAlign w:val="center"/>
                </w:tcPr>
                <w:p w14:paraId="2CDE1886">
                  <w:pPr>
                    <w:widowControl/>
                    <w:jc w:val="left"/>
                    <w:rPr>
                      <w:rFonts w:ascii="Times New Roman" w:hAnsi="Times New Roman"/>
                      <w:szCs w:val="21"/>
                      <w:highlight w:val="none"/>
                    </w:rPr>
                  </w:pPr>
                  <w:r>
                    <w:rPr>
                      <w:rFonts w:ascii="Times New Roman" w:hAnsi="Times New Roman"/>
                      <w:kern w:val="0"/>
                      <w:szCs w:val="21"/>
                      <w:highlight w:val="none"/>
                      <w:lang w:bidi="ar"/>
                    </w:rPr>
                    <w:t>使用酸进行电解除油、金属表面敏化产生的废酸液</w:t>
                  </w:r>
                </w:p>
              </w:tc>
              <w:tc>
                <w:tcPr>
                  <w:tcW w:w="872" w:type="dxa"/>
                  <w:noWrap w:val="0"/>
                  <w:vAlign w:val="center"/>
                </w:tcPr>
                <w:p w14:paraId="4A6EF940">
                  <w:pPr>
                    <w:widowControl/>
                    <w:jc w:val="center"/>
                    <w:textAlignment w:val="center"/>
                    <w:rPr>
                      <w:rFonts w:ascii="Times New Roman" w:hAnsi="Times New Roman"/>
                      <w:szCs w:val="21"/>
                      <w:highlight w:val="none"/>
                    </w:rPr>
                  </w:pPr>
                  <w:r>
                    <w:rPr>
                      <w:rFonts w:ascii="Times New Roman" w:hAnsi="Times New Roman"/>
                      <w:szCs w:val="21"/>
                      <w:highlight w:val="none"/>
                    </w:rPr>
                    <w:t>C,T</w:t>
                  </w:r>
                </w:p>
              </w:tc>
              <w:tc>
                <w:tcPr>
                  <w:tcW w:w="843" w:type="dxa"/>
                  <w:shd w:val="clear" w:color="auto" w:fill="auto"/>
                  <w:noWrap w:val="0"/>
                  <w:vAlign w:val="center"/>
                </w:tcPr>
                <w:p w14:paraId="04D6BE54">
                  <w:pPr>
                    <w:widowControl/>
                    <w:jc w:val="center"/>
                    <w:textAlignment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液态</w:t>
                  </w:r>
                </w:p>
              </w:tc>
              <w:tc>
                <w:tcPr>
                  <w:tcW w:w="844" w:type="dxa"/>
                  <w:shd w:val="clear" w:color="auto" w:fill="auto"/>
                  <w:noWrap w:val="0"/>
                  <w:vAlign w:val="center"/>
                </w:tcPr>
                <w:p w14:paraId="5BB9BB08">
                  <w:pPr>
                    <w:widowControl/>
                    <w:jc w:val="center"/>
                    <w:textAlignment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塑料桶</w:t>
                  </w:r>
                </w:p>
              </w:tc>
            </w:tr>
            <w:tr w14:paraId="41546C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49AE0A6F">
                  <w:pPr>
                    <w:pStyle w:val="67"/>
                    <w:jc w:val="center"/>
                    <w:rPr>
                      <w:rFonts w:ascii="Times New Roman" w:cs="Times New Roman"/>
                      <w:color w:val="auto"/>
                      <w:sz w:val="21"/>
                      <w:szCs w:val="21"/>
                      <w:highlight w:val="none"/>
                    </w:rPr>
                  </w:pPr>
                </w:p>
              </w:tc>
              <w:tc>
                <w:tcPr>
                  <w:tcW w:w="814" w:type="dxa"/>
                  <w:vMerge w:val="continue"/>
                  <w:noWrap w:val="0"/>
                  <w:vAlign w:val="center"/>
                </w:tcPr>
                <w:p w14:paraId="1DA958AD">
                  <w:pPr>
                    <w:pStyle w:val="67"/>
                    <w:jc w:val="center"/>
                    <w:rPr>
                      <w:rFonts w:ascii="Times New Roman" w:cs="Times New Roman"/>
                      <w:color w:val="auto"/>
                      <w:sz w:val="21"/>
                      <w:szCs w:val="21"/>
                      <w:highlight w:val="none"/>
                    </w:rPr>
                  </w:pPr>
                </w:p>
              </w:tc>
              <w:tc>
                <w:tcPr>
                  <w:tcW w:w="1196" w:type="dxa"/>
                  <w:noWrap w:val="0"/>
                  <w:vAlign w:val="center"/>
                </w:tcPr>
                <w:p w14:paraId="70BB4AFA">
                  <w:pPr>
                    <w:widowControl/>
                    <w:jc w:val="center"/>
                    <w:textAlignment w:val="center"/>
                    <w:rPr>
                      <w:rFonts w:ascii="Times New Roman" w:hAnsi="Times New Roman"/>
                      <w:szCs w:val="21"/>
                      <w:highlight w:val="none"/>
                    </w:rPr>
                  </w:pPr>
                  <w:r>
                    <w:rPr>
                      <w:rFonts w:ascii="Times New Roman" w:hAnsi="Times New Roman"/>
                      <w:szCs w:val="21"/>
                      <w:highlight w:val="none"/>
                    </w:rPr>
                    <w:t>900-305-34</w:t>
                  </w:r>
                </w:p>
              </w:tc>
              <w:tc>
                <w:tcPr>
                  <w:tcW w:w="2960" w:type="dxa"/>
                  <w:noWrap w:val="0"/>
                  <w:vAlign w:val="center"/>
                </w:tcPr>
                <w:p w14:paraId="5B58D682">
                  <w:pPr>
                    <w:widowControl/>
                    <w:jc w:val="left"/>
                    <w:rPr>
                      <w:rFonts w:ascii="Times New Roman" w:hAnsi="Times New Roman"/>
                      <w:szCs w:val="21"/>
                      <w:highlight w:val="none"/>
                    </w:rPr>
                  </w:pPr>
                  <w:r>
                    <w:rPr>
                      <w:rFonts w:ascii="Times New Roman" w:hAnsi="Times New Roman"/>
                      <w:kern w:val="0"/>
                      <w:szCs w:val="21"/>
                      <w:highlight w:val="none"/>
                      <w:lang w:bidi="ar"/>
                    </w:rPr>
                    <w:t>使用硝酸剥落不合格镀层及挂架金属镀层产生的废酸液</w:t>
                  </w:r>
                </w:p>
              </w:tc>
              <w:tc>
                <w:tcPr>
                  <w:tcW w:w="872" w:type="dxa"/>
                  <w:noWrap w:val="0"/>
                  <w:vAlign w:val="center"/>
                </w:tcPr>
                <w:p w14:paraId="53F4DBF5">
                  <w:pPr>
                    <w:widowControl/>
                    <w:jc w:val="center"/>
                    <w:textAlignment w:val="center"/>
                    <w:rPr>
                      <w:rFonts w:ascii="Times New Roman" w:hAnsi="Times New Roman"/>
                      <w:szCs w:val="21"/>
                      <w:highlight w:val="none"/>
                    </w:rPr>
                  </w:pPr>
                  <w:r>
                    <w:rPr>
                      <w:rFonts w:ascii="Times New Roman" w:hAnsi="Times New Roman"/>
                      <w:szCs w:val="21"/>
                      <w:highlight w:val="none"/>
                    </w:rPr>
                    <w:t>C,T</w:t>
                  </w:r>
                </w:p>
              </w:tc>
              <w:tc>
                <w:tcPr>
                  <w:tcW w:w="843" w:type="dxa"/>
                  <w:shd w:val="clear" w:color="auto" w:fill="auto"/>
                  <w:noWrap w:val="0"/>
                  <w:vAlign w:val="center"/>
                </w:tcPr>
                <w:p w14:paraId="79105396">
                  <w:pPr>
                    <w:widowControl/>
                    <w:jc w:val="center"/>
                    <w:textAlignment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液态</w:t>
                  </w:r>
                </w:p>
              </w:tc>
              <w:tc>
                <w:tcPr>
                  <w:tcW w:w="844" w:type="dxa"/>
                  <w:shd w:val="clear" w:color="auto" w:fill="auto"/>
                  <w:noWrap w:val="0"/>
                  <w:vAlign w:val="center"/>
                </w:tcPr>
                <w:p w14:paraId="24CBD7D7">
                  <w:pPr>
                    <w:widowControl/>
                    <w:jc w:val="center"/>
                    <w:textAlignment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塑料桶</w:t>
                  </w:r>
                </w:p>
              </w:tc>
            </w:tr>
            <w:tr w14:paraId="25097E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673AC25F">
                  <w:pPr>
                    <w:pStyle w:val="67"/>
                    <w:jc w:val="center"/>
                    <w:rPr>
                      <w:rFonts w:ascii="Times New Roman" w:cs="Times New Roman"/>
                      <w:color w:val="auto"/>
                      <w:sz w:val="21"/>
                      <w:szCs w:val="21"/>
                      <w:highlight w:val="none"/>
                    </w:rPr>
                  </w:pPr>
                </w:p>
              </w:tc>
              <w:tc>
                <w:tcPr>
                  <w:tcW w:w="814" w:type="dxa"/>
                  <w:vMerge w:val="continue"/>
                  <w:noWrap w:val="0"/>
                  <w:vAlign w:val="center"/>
                </w:tcPr>
                <w:p w14:paraId="415C3438">
                  <w:pPr>
                    <w:pStyle w:val="67"/>
                    <w:jc w:val="center"/>
                    <w:rPr>
                      <w:rFonts w:ascii="Times New Roman" w:cs="Times New Roman"/>
                      <w:color w:val="auto"/>
                      <w:sz w:val="21"/>
                      <w:szCs w:val="21"/>
                      <w:highlight w:val="none"/>
                    </w:rPr>
                  </w:pPr>
                </w:p>
              </w:tc>
              <w:tc>
                <w:tcPr>
                  <w:tcW w:w="1196" w:type="dxa"/>
                  <w:noWrap w:val="0"/>
                  <w:vAlign w:val="center"/>
                </w:tcPr>
                <w:p w14:paraId="08CD9D7E">
                  <w:pPr>
                    <w:widowControl/>
                    <w:jc w:val="center"/>
                    <w:textAlignment w:val="center"/>
                    <w:rPr>
                      <w:rFonts w:ascii="Times New Roman" w:hAnsi="Times New Roman"/>
                      <w:szCs w:val="21"/>
                      <w:highlight w:val="none"/>
                    </w:rPr>
                  </w:pPr>
                  <w:r>
                    <w:rPr>
                      <w:rFonts w:ascii="Times New Roman" w:hAnsi="Times New Roman"/>
                      <w:szCs w:val="21"/>
                      <w:highlight w:val="none"/>
                    </w:rPr>
                    <w:t>900-306-34</w:t>
                  </w:r>
                </w:p>
              </w:tc>
              <w:tc>
                <w:tcPr>
                  <w:tcW w:w="2960" w:type="dxa"/>
                  <w:noWrap w:val="0"/>
                  <w:vAlign w:val="center"/>
                </w:tcPr>
                <w:p w14:paraId="5F2E41F4">
                  <w:pPr>
                    <w:widowControl/>
                    <w:jc w:val="left"/>
                    <w:rPr>
                      <w:rFonts w:ascii="Times New Roman" w:hAnsi="Times New Roman"/>
                      <w:szCs w:val="21"/>
                      <w:highlight w:val="none"/>
                    </w:rPr>
                  </w:pPr>
                  <w:r>
                    <w:rPr>
                      <w:rFonts w:ascii="Times New Roman" w:hAnsi="Times New Roman"/>
                      <w:kern w:val="0"/>
                      <w:szCs w:val="21"/>
                      <w:highlight w:val="none"/>
                      <w:lang w:bidi="ar"/>
                    </w:rPr>
                    <w:t>使用硝酸进行钝化产生的废酸液</w:t>
                  </w:r>
                </w:p>
              </w:tc>
              <w:tc>
                <w:tcPr>
                  <w:tcW w:w="872" w:type="dxa"/>
                  <w:noWrap w:val="0"/>
                  <w:vAlign w:val="center"/>
                </w:tcPr>
                <w:p w14:paraId="526C3377">
                  <w:pPr>
                    <w:widowControl/>
                    <w:jc w:val="center"/>
                    <w:textAlignment w:val="center"/>
                    <w:rPr>
                      <w:rFonts w:ascii="Times New Roman" w:hAnsi="Times New Roman"/>
                      <w:szCs w:val="21"/>
                      <w:highlight w:val="none"/>
                    </w:rPr>
                  </w:pPr>
                  <w:r>
                    <w:rPr>
                      <w:rFonts w:ascii="Times New Roman" w:hAnsi="Times New Roman"/>
                      <w:szCs w:val="21"/>
                      <w:highlight w:val="none"/>
                    </w:rPr>
                    <w:t>C,T</w:t>
                  </w:r>
                </w:p>
              </w:tc>
              <w:tc>
                <w:tcPr>
                  <w:tcW w:w="843" w:type="dxa"/>
                  <w:shd w:val="clear" w:color="auto" w:fill="auto"/>
                  <w:noWrap w:val="0"/>
                  <w:vAlign w:val="center"/>
                </w:tcPr>
                <w:p w14:paraId="05645DD1">
                  <w:pPr>
                    <w:widowControl/>
                    <w:jc w:val="center"/>
                    <w:textAlignment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液态</w:t>
                  </w:r>
                </w:p>
              </w:tc>
              <w:tc>
                <w:tcPr>
                  <w:tcW w:w="844" w:type="dxa"/>
                  <w:shd w:val="clear" w:color="auto" w:fill="auto"/>
                  <w:noWrap w:val="0"/>
                  <w:vAlign w:val="center"/>
                </w:tcPr>
                <w:p w14:paraId="09B966E6">
                  <w:pPr>
                    <w:widowControl/>
                    <w:jc w:val="center"/>
                    <w:textAlignment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塑料桶</w:t>
                  </w:r>
                </w:p>
              </w:tc>
            </w:tr>
            <w:tr w14:paraId="3A8198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48FB92D4">
                  <w:pPr>
                    <w:pStyle w:val="67"/>
                    <w:jc w:val="center"/>
                    <w:rPr>
                      <w:rFonts w:ascii="Times New Roman" w:cs="Times New Roman"/>
                      <w:color w:val="auto"/>
                      <w:sz w:val="21"/>
                      <w:szCs w:val="21"/>
                      <w:highlight w:val="none"/>
                    </w:rPr>
                  </w:pPr>
                </w:p>
              </w:tc>
              <w:tc>
                <w:tcPr>
                  <w:tcW w:w="814" w:type="dxa"/>
                  <w:vMerge w:val="continue"/>
                  <w:noWrap w:val="0"/>
                  <w:vAlign w:val="center"/>
                </w:tcPr>
                <w:p w14:paraId="67217439">
                  <w:pPr>
                    <w:pStyle w:val="67"/>
                    <w:jc w:val="center"/>
                    <w:rPr>
                      <w:rFonts w:ascii="Times New Roman" w:cs="Times New Roman"/>
                      <w:color w:val="auto"/>
                      <w:sz w:val="21"/>
                      <w:szCs w:val="21"/>
                      <w:highlight w:val="none"/>
                    </w:rPr>
                  </w:pPr>
                </w:p>
              </w:tc>
              <w:tc>
                <w:tcPr>
                  <w:tcW w:w="1196" w:type="dxa"/>
                  <w:noWrap w:val="0"/>
                  <w:vAlign w:val="center"/>
                </w:tcPr>
                <w:p w14:paraId="775D34DB">
                  <w:pPr>
                    <w:widowControl/>
                    <w:jc w:val="center"/>
                    <w:textAlignment w:val="center"/>
                    <w:rPr>
                      <w:rFonts w:ascii="Times New Roman" w:hAnsi="Times New Roman"/>
                      <w:szCs w:val="21"/>
                      <w:highlight w:val="none"/>
                    </w:rPr>
                  </w:pPr>
                  <w:r>
                    <w:rPr>
                      <w:rFonts w:ascii="Times New Roman" w:hAnsi="Times New Roman"/>
                      <w:szCs w:val="21"/>
                      <w:highlight w:val="none"/>
                    </w:rPr>
                    <w:t>900-307-34</w:t>
                  </w:r>
                </w:p>
              </w:tc>
              <w:tc>
                <w:tcPr>
                  <w:tcW w:w="2960" w:type="dxa"/>
                  <w:noWrap w:val="0"/>
                  <w:vAlign w:val="center"/>
                </w:tcPr>
                <w:p w14:paraId="02AAF8CC">
                  <w:pPr>
                    <w:widowControl/>
                    <w:jc w:val="left"/>
                    <w:rPr>
                      <w:rFonts w:ascii="Times New Roman" w:hAnsi="Times New Roman"/>
                      <w:szCs w:val="21"/>
                      <w:highlight w:val="none"/>
                    </w:rPr>
                  </w:pPr>
                  <w:r>
                    <w:rPr>
                      <w:rFonts w:ascii="Times New Roman" w:hAnsi="Times New Roman"/>
                      <w:kern w:val="0"/>
                      <w:szCs w:val="21"/>
                      <w:highlight w:val="none"/>
                      <w:lang w:bidi="ar"/>
                    </w:rPr>
                    <w:t>使用酸进行电解抛光处理产生的废酸液</w:t>
                  </w:r>
                </w:p>
              </w:tc>
              <w:tc>
                <w:tcPr>
                  <w:tcW w:w="872" w:type="dxa"/>
                  <w:noWrap w:val="0"/>
                  <w:vAlign w:val="center"/>
                </w:tcPr>
                <w:p w14:paraId="1AAFF21D">
                  <w:pPr>
                    <w:widowControl/>
                    <w:jc w:val="center"/>
                    <w:textAlignment w:val="center"/>
                    <w:rPr>
                      <w:rFonts w:ascii="Times New Roman" w:hAnsi="Times New Roman"/>
                      <w:szCs w:val="21"/>
                      <w:highlight w:val="none"/>
                    </w:rPr>
                  </w:pPr>
                  <w:r>
                    <w:rPr>
                      <w:rFonts w:ascii="Times New Roman" w:hAnsi="Times New Roman"/>
                      <w:szCs w:val="21"/>
                      <w:highlight w:val="none"/>
                    </w:rPr>
                    <w:t>C,T</w:t>
                  </w:r>
                </w:p>
              </w:tc>
              <w:tc>
                <w:tcPr>
                  <w:tcW w:w="843" w:type="dxa"/>
                  <w:shd w:val="clear" w:color="auto" w:fill="auto"/>
                  <w:noWrap w:val="0"/>
                  <w:vAlign w:val="center"/>
                </w:tcPr>
                <w:p w14:paraId="45703BFA">
                  <w:pPr>
                    <w:widowControl/>
                    <w:jc w:val="center"/>
                    <w:textAlignment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液态</w:t>
                  </w:r>
                </w:p>
              </w:tc>
              <w:tc>
                <w:tcPr>
                  <w:tcW w:w="844" w:type="dxa"/>
                  <w:shd w:val="clear" w:color="auto" w:fill="auto"/>
                  <w:noWrap w:val="0"/>
                  <w:vAlign w:val="center"/>
                </w:tcPr>
                <w:p w14:paraId="4051337F">
                  <w:pPr>
                    <w:widowControl/>
                    <w:jc w:val="center"/>
                    <w:textAlignment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塑料桶</w:t>
                  </w:r>
                </w:p>
              </w:tc>
            </w:tr>
            <w:tr w14:paraId="2870A7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596F574C">
                  <w:pPr>
                    <w:pStyle w:val="67"/>
                    <w:jc w:val="center"/>
                    <w:rPr>
                      <w:rFonts w:ascii="Times New Roman" w:cs="Times New Roman"/>
                      <w:color w:val="auto"/>
                      <w:sz w:val="21"/>
                      <w:szCs w:val="21"/>
                      <w:highlight w:val="none"/>
                    </w:rPr>
                  </w:pPr>
                </w:p>
              </w:tc>
              <w:tc>
                <w:tcPr>
                  <w:tcW w:w="814" w:type="dxa"/>
                  <w:vMerge w:val="continue"/>
                  <w:noWrap w:val="0"/>
                  <w:vAlign w:val="center"/>
                </w:tcPr>
                <w:p w14:paraId="2DA89CC3">
                  <w:pPr>
                    <w:pStyle w:val="67"/>
                    <w:jc w:val="center"/>
                    <w:rPr>
                      <w:rFonts w:ascii="Times New Roman" w:cs="Times New Roman"/>
                      <w:color w:val="auto"/>
                      <w:sz w:val="21"/>
                      <w:szCs w:val="21"/>
                      <w:highlight w:val="none"/>
                    </w:rPr>
                  </w:pPr>
                </w:p>
              </w:tc>
              <w:tc>
                <w:tcPr>
                  <w:tcW w:w="1196" w:type="dxa"/>
                  <w:noWrap w:val="0"/>
                  <w:vAlign w:val="center"/>
                </w:tcPr>
                <w:p w14:paraId="5715E7B1">
                  <w:pPr>
                    <w:widowControl/>
                    <w:jc w:val="center"/>
                    <w:textAlignment w:val="center"/>
                    <w:rPr>
                      <w:rFonts w:ascii="Times New Roman" w:hAnsi="Times New Roman"/>
                      <w:szCs w:val="21"/>
                      <w:highlight w:val="none"/>
                    </w:rPr>
                  </w:pPr>
                  <w:r>
                    <w:rPr>
                      <w:rFonts w:ascii="Times New Roman" w:hAnsi="Times New Roman"/>
                      <w:szCs w:val="21"/>
                      <w:highlight w:val="none"/>
                    </w:rPr>
                    <w:t>900-308-34</w:t>
                  </w:r>
                </w:p>
              </w:tc>
              <w:tc>
                <w:tcPr>
                  <w:tcW w:w="2960" w:type="dxa"/>
                  <w:noWrap w:val="0"/>
                  <w:vAlign w:val="center"/>
                </w:tcPr>
                <w:p w14:paraId="70B25155">
                  <w:pPr>
                    <w:widowControl/>
                    <w:jc w:val="left"/>
                    <w:rPr>
                      <w:rFonts w:ascii="Times New Roman" w:hAnsi="Times New Roman"/>
                      <w:szCs w:val="21"/>
                      <w:highlight w:val="none"/>
                    </w:rPr>
                  </w:pPr>
                  <w:r>
                    <w:rPr>
                      <w:rFonts w:ascii="Times New Roman" w:hAnsi="Times New Roman"/>
                      <w:kern w:val="0"/>
                      <w:szCs w:val="21"/>
                      <w:highlight w:val="none"/>
                      <w:lang w:bidi="ar"/>
                    </w:rPr>
                    <w:t>使用酸进行催化（化学镀）产生的废酸液</w:t>
                  </w:r>
                </w:p>
              </w:tc>
              <w:tc>
                <w:tcPr>
                  <w:tcW w:w="872" w:type="dxa"/>
                  <w:noWrap w:val="0"/>
                  <w:vAlign w:val="center"/>
                </w:tcPr>
                <w:p w14:paraId="7D557C3B">
                  <w:pPr>
                    <w:widowControl/>
                    <w:jc w:val="center"/>
                    <w:textAlignment w:val="center"/>
                    <w:rPr>
                      <w:rFonts w:ascii="Times New Roman" w:hAnsi="Times New Roman"/>
                      <w:szCs w:val="21"/>
                      <w:highlight w:val="none"/>
                    </w:rPr>
                  </w:pPr>
                  <w:r>
                    <w:rPr>
                      <w:rFonts w:ascii="Times New Roman" w:hAnsi="Times New Roman"/>
                      <w:szCs w:val="21"/>
                      <w:highlight w:val="none"/>
                    </w:rPr>
                    <w:t>C,T</w:t>
                  </w:r>
                </w:p>
              </w:tc>
              <w:tc>
                <w:tcPr>
                  <w:tcW w:w="843" w:type="dxa"/>
                  <w:shd w:val="clear" w:color="auto" w:fill="auto"/>
                  <w:noWrap w:val="0"/>
                  <w:vAlign w:val="center"/>
                </w:tcPr>
                <w:p w14:paraId="35D16885">
                  <w:pPr>
                    <w:widowControl/>
                    <w:jc w:val="center"/>
                    <w:textAlignment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液态</w:t>
                  </w:r>
                </w:p>
              </w:tc>
              <w:tc>
                <w:tcPr>
                  <w:tcW w:w="844" w:type="dxa"/>
                  <w:shd w:val="clear" w:color="auto" w:fill="auto"/>
                  <w:noWrap w:val="0"/>
                  <w:vAlign w:val="center"/>
                </w:tcPr>
                <w:p w14:paraId="5DB235B4">
                  <w:pPr>
                    <w:widowControl/>
                    <w:jc w:val="center"/>
                    <w:textAlignment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塑料桶</w:t>
                  </w:r>
                </w:p>
              </w:tc>
            </w:tr>
            <w:tr w14:paraId="6431F7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52A71E5B">
                  <w:pPr>
                    <w:pStyle w:val="67"/>
                    <w:jc w:val="center"/>
                    <w:rPr>
                      <w:rFonts w:ascii="Times New Roman" w:cs="Times New Roman"/>
                      <w:color w:val="auto"/>
                      <w:sz w:val="21"/>
                      <w:szCs w:val="21"/>
                      <w:highlight w:val="none"/>
                    </w:rPr>
                  </w:pPr>
                </w:p>
              </w:tc>
              <w:tc>
                <w:tcPr>
                  <w:tcW w:w="814" w:type="dxa"/>
                  <w:vMerge w:val="continue"/>
                  <w:noWrap w:val="0"/>
                  <w:vAlign w:val="center"/>
                </w:tcPr>
                <w:p w14:paraId="0075AED6">
                  <w:pPr>
                    <w:pStyle w:val="67"/>
                    <w:jc w:val="center"/>
                    <w:rPr>
                      <w:rFonts w:ascii="Times New Roman" w:cs="Times New Roman"/>
                      <w:color w:val="auto"/>
                      <w:sz w:val="21"/>
                      <w:szCs w:val="21"/>
                      <w:highlight w:val="none"/>
                    </w:rPr>
                  </w:pPr>
                </w:p>
              </w:tc>
              <w:tc>
                <w:tcPr>
                  <w:tcW w:w="1196" w:type="dxa"/>
                  <w:noWrap w:val="0"/>
                  <w:vAlign w:val="center"/>
                </w:tcPr>
                <w:p w14:paraId="2808D0E8">
                  <w:pPr>
                    <w:widowControl/>
                    <w:jc w:val="center"/>
                    <w:textAlignment w:val="center"/>
                    <w:rPr>
                      <w:rFonts w:ascii="Times New Roman" w:hAnsi="Times New Roman"/>
                      <w:szCs w:val="21"/>
                      <w:highlight w:val="none"/>
                    </w:rPr>
                  </w:pPr>
                  <w:r>
                    <w:rPr>
                      <w:rFonts w:ascii="Times New Roman" w:hAnsi="Times New Roman"/>
                      <w:szCs w:val="21"/>
                      <w:highlight w:val="none"/>
                    </w:rPr>
                    <w:t>900-349-34</w:t>
                  </w:r>
                </w:p>
              </w:tc>
              <w:tc>
                <w:tcPr>
                  <w:tcW w:w="2960" w:type="dxa"/>
                  <w:noWrap w:val="0"/>
                  <w:vAlign w:val="center"/>
                </w:tcPr>
                <w:p w14:paraId="1B23F601">
                  <w:pPr>
                    <w:widowControl/>
                    <w:jc w:val="left"/>
                    <w:rPr>
                      <w:rFonts w:ascii="Times New Roman" w:hAnsi="Times New Roman"/>
                      <w:szCs w:val="21"/>
                      <w:highlight w:val="none"/>
                    </w:rPr>
                  </w:pPr>
                  <w:r>
                    <w:rPr>
                      <w:rFonts w:ascii="Times New Roman" w:hAnsi="Times New Roman"/>
                      <w:kern w:val="0"/>
                      <w:szCs w:val="21"/>
                      <w:highlight w:val="none"/>
                      <w:lang w:bidi="ar"/>
                    </w:rPr>
                    <w:t>生产、销售及使用过程中产生的失效、变质、不合格、淘汰、伪劣的强酸性擦洗粉、清洁剂、污迹去除剂以及其他强酸性废酸液和酸渣</w:t>
                  </w:r>
                </w:p>
              </w:tc>
              <w:tc>
                <w:tcPr>
                  <w:tcW w:w="872" w:type="dxa"/>
                  <w:noWrap w:val="0"/>
                  <w:vAlign w:val="center"/>
                </w:tcPr>
                <w:p w14:paraId="11869707">
                  <w:pPr>
                    <w:widowControl/>
                    <w:jc w:val="center"/>
                    <w:textAlignment w:val="center"/>
                    <w:rPr>
                      <w:rFonts w:ascii="Times New Roman" w:hAnsi="Times New Roman"/>
                      <w:szCs w:val="21"/>
                      <w:highlight w:val="none"/>
                    </w:rPr>
                  </w:pPr>
                  <w:r>
                    <w:rPr>
                      <w:rFonts w:ascii="Times New Roman" w:hAnsi="Times New Roman"/>
                      <w:szCs w:val="21"/>
                      <w:highlight w:val="none"/>
                    </w:rPr>
                    <w:t>C,T</w:t>
                  </w:r>
                </w:p>
              </w:tc>
              <w:tc>
                <w:tcPr>
                  <w:tcW w:w="843" w:type="dxa"/>
                  <w:shd w:val="clear" w:color="auto" w:fill="auto"/>
                  <w:noWrap w:val="0"/>
                  <w:vAlign w:val="center"/>
                </w:tcPr>
                <w:p w14:paraId="3A85FE24">
                  <w:pPr>
                    <w:widowControl/>
                    <w:jc w:val="center"/>
                    <w:textAlignment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液态</w:t>
                  </w:r>
                </w:p>
              </w:tc>
              <w:tc>
                <w:tcPr>
                  <w:tcW w:w="844" w:type="dxa"/>
                  <w:shd w:val="clear" w:color="auto" w:fill="auto"/>
                  <w:noWrap w:val="0"/>
                  <w:vAlign w:val="center"/>
                </w:tcPr>
                <w:p w14:paraId="5C205A33">
                  <w:pPr>
                    <w:widowControl/>
                    <w:jc w:val="center"/>
                    <w:textAlignment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塑料桶</w:t>
                  </w:r>
                </w:p>
              </w:tc>
            </w:tr>
            <w:tr w14:paraId="0DCA18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restart"/>
                  <w:noWrap w:val="0"/>
                  <w:vAlign w:val="center"/>
                </w:tcPr>
                <w:p w14:paraId="264EBB34">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HW35废碱</w:t>
                  </w:r>
                </w:p>
              </w:tc>
              <w:tc>
                <w:tcPr>
                  <w:tcW w:w="814" w:type="dxa"/>
                  <w:vMerge w:val="restart"/>
                  <w:noWrap w:val="0"/>
                  <w:vAlign w:val="center"/>
                </w:tcPr>
                <w:p w14:paraId="1412FE5F">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非特定行业</w:t>
                  </w:r>
                </w:p>
              </w:tc>
              <w:tc>
                <w:tcPr>
                  <w:tcW w:w="1196" w:type="dxa"/>
                  <w:noWrap w:val="0"/>
                  <w:vAlign w:val="center"/>
                </w:tcPr>
                <w:p w14:paraId="76DEED14">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900-350-35</w:t>
                  </w:r>
                </w:p>
              </w:tc>
              <w:tc>
                <w:tcPr>
                  <w:tcW w:w="2960" w:type="dxa"/>
                  <w:noWrap w:val="0"/>
                  <w:vAlign w:val="center"/>
                </w:tcPr>
                <w:p w14:paraId="3C2B0CA2">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使用氢氧化钠进行煮炼过程中产生的废碱液</w:t>
                  </w:r>
                </w:p>
              </w:tc>
              <w:tc>
                <w:tcPr>
                  <w:tcW w:w="872" w:type="dxa"/>
                  <w:noWrap w:val="0"/>
                  <w:vAlign w:val="center"/>
                </w:tcPr>
                <w:p w14:paraId="75EB4CAF">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C</w:t>
                  </w:r>
                </w:p>
              </w:tc>
              <w:tc>
                <w:tcPr>
                  <w:tcW w:w="843" w:type="dxa"/>
                  <w:shd w:val="clear" w:color="auto" w:fill="auto"/>
                  <w:noWrap w:val="0"/>
                  <w:vAlign w:val="center"/>
                </w:tcPr>
                <w:p w14:paraId="3B434830">
                  <w:pPr>
                    <w:widowControl/>
                    <w:jc w:val="center"/>
                    <w:textAlignment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液态</w:t>
                  </w:r>
                </w:p>
              </w:tc>
              <w:tc>
                <w:tcPr>
                  <w:tcW w:w="844" w:type="dxa"/>
                  <w:shd w:val="clear" w:color="auto" w:fill="auto"/>
                  <w:noWrap w:val="0"/>
                  <w:vAlign w:val="center"/>
                </w:tcPr>
                <w:p w14:paraId="0DE79D45">
                  <w:pPr>
                    <w:widowControl/>
                    <w:jc w:val="center"/>
                    <w:textAlignment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塑料桶</w:t>
                  </w:r>
                </w:p>
              </w:tc>
            </w:tr>
            <w:tr w14:paraId="01E06A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038269C2">
                  <w:pPr>
                    <w:pStyle w:val="67"/>
                    <w:jc w:val="center"/>
                    <w:rPr>
                      <w:rFonts w:ascii="Times New Roman" w:cs="Times New Roman"/>
                      <w:color w:val="auto"/>
                      <w:sz w:val="21"/>
                      <w:szCs w:val="21"/>
                      <w:highlight w:val="none"/>
                    </w:rPr>
                  </w:pPr>
                </w:p>
              </w:tc>
              <w:tc>
                <w:tcPr>
                  <w:tcW w:w="814" w:type="dxa"/>
                  <w:vMerge w:val="continue"/>
                  <w:noWrap w:val="0"/>
                  <w:vAlign w:val="center"/>
                </w:tcPr>
                <w:p w14:paraId="01AEC677">
                  <w:pPr>
                    <w:pStyle w:val="67"/>
                    <w:jc w:val="center"/>
                    <w:rPr>
                      <w:rFonts w:ascii="Times New Roman" w:cs="Times New Roman"/>
                      <w:color w:val="auto"/>
                      <w:sz w:val="21"/>
                      <w:szCs w:val="21"/>
                      <w:highlight w:val="none"/>
                    </w:rPr>
                  </w:pPr>
                </w:p>
              </w:tc>
              <w:tc>
                <w:tcPr>
                  <w:tcW w:w="1196" w:type="dxa"/>
                  <w:noWrap w:val="0"/>
                  <w:vAlign w:val="center"/>
                </w:tcPr>
                <w:p w14:paraId="25231866">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900-351-35</w:t>
                  </w:r>
                </w:p>
              </w:tc>
              <w:tc>
                <w:tcPr>
                  <w:tcW w:w="2960" w:type="dxa"/>
                  <w:noWrap w:val="0"/>
                  <w:vAlign w:val="center"/>
                </w:tcPr>
                <w:p w14:paraId="4FEF1274">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使用氢氧化钠进行丝光处理过程中产生的废碱液</w:t>
                  </w:r>
                </w:p>
              </w:tc>
              <w:tc>
                <w:tcPr>
                  <w:tcW w:w="872" w:type="dxa"/>
                  <w:noWrap w:val="0"/>
                  <w:vAlign w:val="center"/>
                </w:tcPr>
                <w:p w14:paraId="78F5AB95">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C</w:t>
                  </w:r>
                </w:p>
              </w:tc>
              <w:tc>
                <w:tcPr>
                  <w:tcW w:w="843" w:type="dxa"/>
                  <w:shd w:val="clear" w:color="auto" w:fill="auto"/>
                  <w:noWrap w:val="0"/>
                  <w:vAlign w:val="center"/>
                </w:tcPr>
                <w:p w14:paraId="4AB9336F">
                  <w:pPr>
                    <w:widowControl/>
                    <w:jc w:val="center"/>
                    <w:textAlignment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液态</w:t>
                  </w:r>
                </w:p>
              </w:tc>
              <w:tc>
                <w:tcPr>
                  <w:tcW w:w="844" w:type="dxa"/>
                  <w:shd w:val="clear" w:color="auto" w:fill="auto"/>
                  <w:noWrap w:val="0"/>
                  <w:vAlign w:val="center"/>
                </w:tcPr>
                <w:p w14:paraId="46741E9F">
                  <w:pPr>
                    <w:widowControl/>
                    <w:jc w:val="center"/>
                    <w:textAlignment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塑料桶</w:t>
                  </w:r>
                </w:p>
              </w:tc>
            </w:tr>
            <w:tr w14:paraId="19E3FD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00AC5E6B">
                  <w:pPr>
                    <w:pStyle w:val="67"/>
                    <w:jc w:val="center"/>
                    <w:rPr>
                      <w:rFonts w:ascii="Times New Roman" w:cs="Times New Roman"/>
                      <w:color w:val="auto"/>
                      <w:sz w:val="21"/>
                      <w:szCs w:val="21"/>
                      <w:highlight w:val="none"/>
                    </w:rPr>
                  </w:pPr>
                </w:p>
              </w:tc>
              <w:tc>
                <w:tcPr>
                  <w:tcW w:w="814" w:type="dxa"/>
                  <w:vMerge w:val="continue"/>
                  <w:noWrap w:val="0"/>
                  <w:vAlign w:val="center"/>
                </w:tcPr>
                <w:p w14:paraId="6A5FA793">
                  <w:pPr>
                    <w:pStyle w:val="67"/>
                    <w:jc w:val="center"/>
                    <w:rPr>
                      <w:rFonts w:ascii="Times New Roman" w:cs="Times New Roman"/>
                      <w:color w:val="auto"/>
                      <w:sz w:val="21"/>
                      <w:szCs w:val="21"/>
                      <w:highlight w:val="none"/>
                    </w:rPr>
                  </w:pPr>
                </w:p>
              </w:tc>
              <w:tc>
                <w:tcPr>
                  <w:tcW w:w="1196" w:type="dxa"/>
                  <w:noWrap w:val="0"/>
                  <w:vAlign w:val="center"/>
                </w:tcPr>
                <w:p w14:paraId="32386C83">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900-352-35</w:t>
                  </w:r>
                </w:p>
              </w:tc>
              <w:tc>
                <w:tcPr>
                  <w:tcW w:w="2960" w:type="dxa"/>
                  <w:noWrap w:val="0"/>
                  <w:vAlign w:val="center"/>
                </w:tcPr>
                <w:p w14:paraId="30776843">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使用碱进行清洗产生的废碱液</w:t>
                  </w:r>
                </w:p>
              </w:tc>
              <w:tc>
                <w:tcPr>
                  <w:tcW w:w="872" w:type="dxa"/>
                  <w:noWrap w:val="0"/>
                  <w:vAlign w:val="center"/>
                </w:tcPr>
                <w:p w14:paraId="61871C8F">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C,T</w:t>
                  </w:r>
                </w:p>
              </w:tc>
              <w:tc>
                <w:tcPr>
                  <w:tcW w:w="843" w:type="dxa"/>
                  <w:shd w:val="clear" w:color="auto" w:fill="auto"/>
                  <w:noWrap w:val="0"/>
                  <w:vAlign w:val="center"/>
                </w:tcPr>
                <w:p w14:paraId="2D7A807F">
                  <w:pPr>
                    <w:widowControl/>
                    <w:jc w:val="center"/>
                    <w:textAlignment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液态</w:t>
                  </w:r>
                </w:p>
              </w:tc>
              <w:tc>
                <w:tcPr>
                  <w:tcW w:w="844" w:type="dxa"/>
                  <w:shd w:val="clear" w:color="auto" w:fill="auto"/>
                  <w:noWrap w:val="0"/>
                  <w:vAlign w:val="center"/>
                </w:tcPr>
                <w:p w14:paraId="06BB4937">
                  <w:pPr>
                    <w:widowControl/>
                    <w:jc w:val="center"/>
                    <w:textAlignment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塑料桶</w:t>
                  </w:r>
                </w:p>
              </w:tc>
            </w:tr>
            <w:tr w14:paraId="767DA7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04822AE6">
                  <w:pPr>
                    <w:pStyle w:val="67"/>
                    <w:jc w:val="center"/>
                    <w:rPr>
                      <w:rFonts w:ascii="Times New Roman" w:cs="Times New Roman"/>
                      <w:color w:val="auto"/>
                      <w:sz w:val="21"/>
                      <w:szCs w:val="21"/>
                      <w:highlight w:val="none"/>
                    </w:rPr>
                  </w:pPr>
                </w:p>
              </w:tc>
              <w:tc>
                <w:tcPr>
                  <w:tcW w:w="814" w:type="dxa"/>
                  <w:vMerge w:val="continue"/>
                  <w:noWrap w:val="0"/>
                  <w:vAlign w:val="center"/>
                </w:tcPr>
                <w:p w14:paraId="6FE6C9EC">
                  <w:pPr>
                    <w:pStyle w:val="67"/>
                    <w:jc w:val="center"/>
                    <w:rPr>
                      <w:rFonts w:ascii="Times New Roman" w:cs="Times New Roman"/>
                      <w:color w:val="auto"/>
                      <w:sz w:val="21"/>
                      <w:szCs w:val="21"/>
                      <w:highlight w:val="none"/>
                    </w:rPr>
                  </w:pPr>
                </w:p>
              </w:tc>
              <w:tc>
                <w:tcPr>
                  <w:tcW w:w="1196" w:type="dxa"/>
                  <w:noWrap w:val="0"/>
                  <w:vAlign w:val="center"/>
                </w:tcPr>
                <w:p w14:paraId="3452A76B">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900-353-35</w:t>
                  </w:r>
                </w:p>
              </w:tc>
              <w:tc>
                <w:tcPr>
                  <w:tcW w:w="2960" w:type="dxa"/>
                  <w:noWrap w:val="0"/>
                  <w:vAlign w:val="center"/>
                </w:tcPr>
                <w:p w14:paraId="293373A3">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使用碱进行清洗除蜡、碱性除油、电解除油产生的废碱液</w:t>
                  </w:r>
                </w:p>
              </w:tc>
              <w:tc>
                <w:tcPr>
                  <w:tcW w:w="872" w:type="dxa"/>
                  <w:noWrap w:val="0"/>
                  <w:vAlign w:val="center"/>
                </w:tcPr>
                <w:p w14:paraId="4C83CAA0">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C,T</w:t>
                  </w:r>
                </w:p>
              </w:tc>
              <w:tc>
                <w:tcPr>
                  <w:tcW w:w="843" w:type="dxa"/>
                  <w:shd w:val="clear" w:color="auto" w:fill="auto"/>
                  <w:noWrap w:val="0"/>
                  <w:vAlign w:val="center"/>
                </w:tcPr>
                <w:p w14:paraId="788C069C">
                  <w:pPr>
                    <w:widowControl/>
                    <w:jc w:val="center"/>
                    <w:textAlignment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液态</w:t>
                  </w:r>
                </w:p>
              </w:tc>
              <w:tc>
                <w:tcPr>
                  <w:tcW w:w="844" w:type="dxa"/>
                  <w:shd w:val="clear" w:color="auto" w:fill="auto"/>
                  <w:noWrap w:val="0"/>
                  <w:vAlign w:val="center"/>
                </w:tcPr>
                <w:p w14:paraId="55555D4A">
                  <w:pPr>
                    <w:widowControl/>
                    <w:jc w:val="center"/>
                    <w:textAlignment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塑料桶</w:t>
                  </w:r>
                </w:p>
              </w:tc>
            </w:tr>
            <w:tr w14:paraId="1934E5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1A38B6D7">
                  <w:pPr>
                    <w:pStyle w:val="67"/>
                    <w:jc w:val="center"/>
                    <w:rPr>
                      <w:rFonts w:ascii="Times New Roman" w:cs="Times New Roman"/>
                      <w:color w:val="auto"/>
                      <w:sz w:val="21"/>
                      <w:szCs w:val="21"/>
                      <w:highlight w:val="none"/>
                    </w:rPr>
                  </w:pPr>
                </w:p>
              </w:tc>
              <w:tc>
                <w:tcPr>
                  <w:tcW w:w="814" w:type="dxa"/>
                  <w:vMerge w:val="continue"/>
                  <w:noWrap w:val="0"/>
                  <w:vAlign w:val="center"/>
                </w:tcPr>
                <w:p w14:paraId="43E63869">
                  <w:pPr>
                    <w:pStyle w:val="67"/>
                    <w:jc w:val="center"/>
                    <w:rPr>
                      <w:rFonts w:ascii="Times New Roman" w:cs="Times New Roman"/>
                      <w:color w:val="auto"/>
                      <w:sz w:val="21"/>
                      <w:szCs w:val="21"/>
                      <w:highlight w:val="none"/>
                    </w:rPr>
                  </w:pPr>
                </w:p>
              </w:tc>
              <w:tc>
                <w:tcPr>
                  <w:tcW w:w="1196" w:type="dxa"/>
                  <w:noWrap w:val="0"/>
                  <w:vAlign w:val="center"/>
                </w:tcPr>
                <w:p w14:paraId="1FBC790F">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900-354-35</w:t>
                  </w:r>
                </w:p>
              </w:tc>
              <w:tc>
                <w:tcPr>
                  <w:tcW w:w="2960" w:type="dxa"/>
                  <w:noWrap w:val="0"/>
                  <w:vAlign w:val="center"/>
                </w:tcPr>
                <w:p w14:paraId="3FBA61A7">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使用碱进行电镀阻挡层或抗蚀层的脱除产生的废碱液</w:t>
                  </w:r>
                </w:p>
              </w:tc>
              <w:tc>
                <w:tcPr>
                  <w:tcW w:w="872" w:type="dxa"/>
                  <w:noWrap w:val="0"/>
                  <w:vAlign w:val="center"/>
                </w:tcPr>
                <w:p w14:paraId="4050F184">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C,T</w:t>
                  </w:r>
                </w:p>
              </w:tc>
              <w:tc>
                <w:tcPr>
                  <w:tcW w:w="843" w:type="dxa"/>
                  <w:shd w:val="clear" w:color="auto" w:fill="auto"/>
                  <w:noWrap w:val="0"/>
                  <w:vAlign w:val="center"/>
                </w:tcPr>
                <w:p w14:paraId="52A3D1EC">
                  <w:pPr>
                    <w:widowControl/>
                    <w:jc w:val="center"/>
                    <w:textAlignment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液态</w:t>
                  </w:r>
                </w:p>
              </w:tc>
              <w:tc>
                <w:tcPr>
                  <w:tcW w:w="844" w:type="dxa"/>
                  <w:shd w:val="clear" w:color="auto" w:fill="auto"/>
                  <w:noWrap w:val="0"/>
                  <w:vAlign w:val="center"/>
                </w:tcPr>
                <w:p w14:paraId="59928227">
                  <w:pPr>
                    <w:widowControl/>
                    <w:jc w:val="center"/>
                    <w:textAlignment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塑料桶</w:t>
                  </w:r>
                </w:p>
              </w:tc>
            </w:tr>
            <w:tr w14:paraId="1F4483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7990A731">
                  <w:pPr>
                    <w:pStyle w:val="67"/>
                    <w:jc w:val="center"/>
                    <w:rPr>
                      <w:rFonts w:ascii="Times New Roman" w:cs="Times New Roman"/>
                      <w:color w:val="auto"/>
                      <w:sz w:val="21"/>
                      <w:szCs w:val="21"/>
                      <w:highlight w:val="none"/>
                    </w:rPr>
                  </w:pPr>
                </w:p>
              </w:tc>
              <w:tc>
                <w:tcPr>
                  <w:tcW w:w="814" w:type="dxa"/>
                  <w:vMerge w:val="continue"/>
                  <w:noWrap w:val="0"/>
                  <w:vAlign w:val="center"/>
                </w:tcPr>
                <w:p w14:paraId="0657EDFA">
                  <w:pPr>
                    <w:pStyle w:val="67"/>
                    <w:jc w:val="center"/>
                    <w:rPr>
                      <w:rFonts w:ascii="Times New Roman" w:cs="Times New Roman"/>
                      <w:color w:val="auto"/>
                      <w:sz w:val="21"/>
                      <w:szCs w:val="21"/>
                      <w:highlight w:val="none"/>
                    </w:rPr>
                  </w:pPr>
                </w:p>
              </w:tc>
              <w:tc>
                <w:tcPr>
                  <w:tcW w:w="1196" w:type="dxa"/>
                  <w:noWrap w:val="0"/>
                  <w:vAlign w:val="center"/>
                </w:tcPr>
                <w:p w14:paraId="41B14D03">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900-355-35</w:t>
                  </w:r>
                </w:p>
              </w:tc>
              <w:tc>
                <w:tcPr>
                  <w:tcW w:w="2960" w:type="dxa"/>
                  <w:noWrap w:val="0"/>
                  <w:vAlign w:val="center"/>
                </w:tcPr>
                <w:p w14:paraId="29956365">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使用碱进行氧化膜浸蚀产生的废碱液</w:t>
                  </w:r>
                </w:p>
              </w:tc>
              <w:tc>
                <w:tcPr>
                  <w:tcW w:w="872" w:type="dxa"/>
                  <w:noWrap w:val="0"/>
                  <w:vAlign w:val="center"/>
                </w:tcPr>
                <w:p w14:paraId="6BCE41F1">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C,T</w:t>
                  </w:r>
                </w:p>
              </w:tc>
              <w:tc>
                <w:tcPr>
                  <w:tcW w:w="843" w:type="dxa"/>
                  <w:shd w:val="clear" w:color="auto" w:fill="auto"/>
                  <w:noWrap w:val="0"/>
                  <w:vAlign w:val="center"/>
                </w:tcPr>
                <w:p w14:paraId="78F5513D">
                  <w:pPr>
                    <w:widowControl/>
                    <w:jc w:val="center"/>
                    <w:textAlignment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液态</w:t>
                  </w:r>
                </w:p>
              </w:tc>
              <w:tc>
                <w:tcPr>
                  <w:tcW w:w="844" w:type="dxa"/>
                  <w:shd w:val="clear" w:color="auto" w:fill="auto"/>
                  <w:noWrap w:val="0"/>
                  <w:vAlign w:val="center"/>
                </w:tcPr>
                <w:p w14:paraId="33D2152D">
                  <w:pPr>
                    <w:widowControl/>
                    <w:jc w:val="center"/>
                    <w:textAlignment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塑料桶</w:t>
                  </w:r>
                </w:p>
              </w:tc>
            </w:tr>
            <w:tr w14:paraId="51E8B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565D6443">
                  <w:pPr>
                    <w:pStyle w:val="67"/>
                    <w:jc w:val="center"/>
                    <w:rPr>
                      <w:rFonts w:ascii="Times New Roman" w:cs="Times New Roman"/>
                      <w:color w:val="auto"/>
                      <w:sz w:val="21"/>
                      <w:szCs w:val="21"/>
                      <w:highlight w:val="none"/>
                    </w:rPr>
                  </w:pPr>
                </w:p>
              </w:tc>
              <w:tc>
                <w:tcPr>
                  <w:tcW w:w="814" w:type="dxa"/>
                  <w:vMerge w:val="continue"/>
                  <w:noWrap w:val="0"/>
                  <w:vAlign w:val="center"/>
                </w:tcPr>
                <w:p w14:paraId="01BB3F0F">
                  <w:pPr>
                    <w:pStyle w:val="67"/>
                    <w:jc w:val="center"/>
                    <w:rPr>
                      <w:rFonts w:ascii="Times New Roman" w:cs="Times New Roman"/>
                      <w:color w:val="auto"/>
                      <w:sz w:val="21"/>
                      <w:szCs w:val="21"/>
                      <w:highlight w:val="none"/>
                    </w:rPr>
                  </w:pPr>
                </w:p>
              </w:tc>
              <w:tc>
                <w:tcPr>
                  <w:tcW w:w="1196" w:type="dxa"/>
                  <w:noWrap w:val="0"/>
                  <w:vAlign w:val="center"/>
                </w:tcPr>
                <w:p w14:paraId="74594136">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900-356-35</w:t>
                  </w:r>
                </w:p>
              </w:tc>
              <w:tc>
                <w:tcPr>
                  <w:tcW w:w="2960" w:type="dxa"/>
                  <w:noWrap w:val="0"/>
                  <w:vAlign w:val="center"/>
                </w:tcPr>
                <w:p w14:paraId="792C85FE">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使用碱溶液进行碱性清洗、图形显影产生的废碱液</w:t>
                  </w:r>
                </w:p>
              </w:tc>
              <w:tc>
                <w:tcPr>
                  <w:tcW w:w="872" w:type="dxa"/>
                  <w:noWrap w:val="0"/>
                  <w:vAlign w:val="center"/>
                </w:tcPr>
                <w:p w14:paraId="460E6607">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C,T</w:t>
                  </w:r>
                </w:p>
              </w:tc>
              <w:tc>
                <w:tcPr>
                  <w:tcW w:w="843" w:type="dxa"/>
                  <w:shd w:val="clear" w:color="auto" w:fill="auto"/>
                  <w:noWrap w:val="0"/>
                  <w:vAlign w:val="center"/>
                </w:tcPr>
                <w:p w14:paraId="1198FA6E">
                  <w:pPr>
                    <w:widowControl/>
                    <w:jc w:val="center"/>
                    <w:textAlignment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液态</w:t>
                  </w:r>
                </w:p>
              </w:tc>
              <w:tc>
                <w:tcPr>
                  <w:tcW w:w="844" w:type="dxa"/>
                  <w:shd w:val="clear" w:color="auto" w:fill="auto"/>
                  <w:noWrap w:val="0"/>
                  <w:vAlign w:val="center"/>
                </w:tcPr>
                <w:p w14:paraId="53CD8967">
                  <w:pPr>
                    <w:widowControl/>
                    <w:jc w:val="center"/>
                    <w:textAlignment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塑料桶</w:t>
                  </w:r>
                </w:p>
              </w:tc>
            </w:tr>
            <w:tr w14:paraId="29C261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2FD256D3">
                  <w:pPr>
                    <w:pStyle w:val="67"/>
                    <w:jc w:val="center"/>
                    <w:rPr>
                      <w:rFonts w:ascii="Times New Roman" w:cs="Times New Roman"/>
                      <w:color w:val="auto"/>
                      <w:sz w:val="21"/>
                      <w:szCs w:val="21"/>
                      <w:highlight w:val="none"/>
                    </w:rPr>
                  </w:pPr>
                </w:p>
              </w:tc>
              <w:tc>
                <w:tcPr>
                  <w:tcW w:w="814" w:type="dxa"/>
                  <w:vMerge w:val="continue"/>
                  <w:noWrap w:val="0"/>
                  <w:vAlign w:val="center"/>
                </w:tcPr>
                <w:p w14:paraId="3B368EAB">
                  <w:pPr>
                    <w:pStyle w:val="67"/>
                    <w:jc w:val="center"/>
                    <w:rPr>
                      <w:rFonts w:ascii="Times New Roman" w:cs="Times New Roman"/>
                      <w:color w:val="auto"/>
                      <w:sz w:val="21"/>
                      <w:szCs w:val="21"/>
                      <w:highlight w:val="none"/>
                    </w:rPr>
                  </w:pPr>
                </w:p>
              </w:tc>
              <w:tc>
                <w:tcPr>
                  <w:tcW w:w="1196" w:type="dxa"/>
                  <w:noWrap w:val="0"/>
                  <w:vAlign w:val="center"/>
                </w:tcPr>
                <w:p w14:paraId="694CEB77">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900-399-35</w:t>
                  </w:r>
                </w:p>
              </w:tc>
              <w:tc>
                <w:tcPr>
                  <w:tcW w:w="2960" w:type="dxa"/>
                  <w:noWrap w:val="0"/>
                  <w:vAlign w:val="center"/>
                </w:tcPr>
                <w:p w14:paraId="52C28F57">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生产、销售及使用过程中产生的失效、变质、不合格、淘汰、伪劣的强碱性擦洗粉、清洁剂、污迹去除剂以及其他强碱性废碱液、固态碱和碱渣</w:t>
                  </w:r>
                </w:p>
              </w:tc>
              <w:tc>
                <w:tcPr>
                  <w:tcW w:w="872" w:type="dxa"/>
                  <w:noWrap w:val="0"/>
                  <w:vAlign w:val="center"/>
                </w:tcPr>
                <w:p w14:paraId="08177086">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C,T</w:t>
                  </w:r>
                </w:p>
              </w:tc>
              <w:tc>
                <w:tcPr>
                  <w:tcW w:w="843" w:type="dxa"/>
                  <w:shd w:val="clear" w:color="auto" w:fill="auto"/>
                  <w:noWrap w:val="0"/>
                  <w:vAlign w:val="center"/>
                </w:tcPr>
                <w:p w14:paraId="048FB767">
                  <w:pPr>
                    <w:widowControl/>
                    <w:jc w:val="center"/>
                    <w:textAlignment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液态</w:t>
                  </w:r>
                </w:p>
              </w:tc>
              <w:tc>
                <w:tcPr>
                  <w:tcW w:w="844" w:type="dxa"/>
                  <w:shd w:val="clear" w:color="auto" w:fill="auto"/>
                  <w:noWrap w:val="0"/>
                  <w:vAlign w:val="center"/>
                </w:tcPr>
                <w:p w14:paraId="3AE8383C">
                  <w:pPr>
                    <w:widowControl/>
                    <w:jc w:val="center"/>
                    <w:textAlignment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塑料桶</w:t>
                  </w:r>
                </w:p>
              </w:tc>
            </w:tr>
            <w:tr w14:paraId="3F13D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restart"/>
                  <w:noWrap w:val="0"/>
                  <w:vAlign w:val="center"/>
                </w:tcPr>
                <w:p w14:paraId="77966103">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HW36石棉废物</w:t>
                  </w:r>
                </w:p>
              </w:tc>
              <w:tc>
                <w:tcPr>
                  <w:tcW w:w="814" w:type="dxa"/>
                  <w:noWrap w:val="0"/>
                  <w:vAlign w:val="center"/>
                </w:tcPr>
                <w:p w14:paraId="17E3A665">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石膏、水泥制品及类似制品制造</w:t>
                  </w:r>
                </w:p>
              </w:tc>
              <w:tc>
                <w:tcPr>
                  <w:tcW w:w="1196" w:type="dxa"/>
                  <w:noWrap w:val="0"/>
                  <w:vAlign w:val="center"/>
                </w:tcPr>
                <w:p w14:paraId="7F8C7167">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302-001-36</w:t>
                  </w:r>
                </w:p>
              </w:tc>
              <w:tc>
                <w:tcPr>
                  <w:tcW w:w="2960" w:type="dxa"/>
                  <w:noWrap w:val="0"/>
                  <w:vAlign w:val="center"/>
                </w:tcPr>
                <w:p w14:paraId="21095BFF">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石棉建材生产过程中产生的石棉尘、废石棉</w:t>
                  </w:r>
                </w:p>
              </w:tc>
              <w:tc>
                <w:tcPr>
                  <w:tcW w:w="872" w:type="dxa"/>
                  <w:noWrap w:val="0"/>
                  <w:vAlign w:val="center"/>
                </w:tcPr>
                <w:p w14:paraId="27E6B79A">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noWrap w:val="0"/>
                  <w:vAlign w:val="center"/>
                </w:tcPr>
                <w:p w14:paraId="5584BC32">
                  <w:pPr>
                    <w:widowControl/>
                    <w:jc w:val="center"/>
                    <w:textAlignment w:val="center"/>
                    <w:rPr>
                      <w:rFonts w:hint="eastAsia" w:ascii="Times New Roman" w:hAnsi="Times New Roman" w:eastAsia="宋体"/>
                      <w:kern w:val="0"/>
                      <w:szCs w:val="21"/>
                      <w:highlight w:val="none"/>
                      <w:lang w:val="en-US" w:eastAsia="zh-CN" w:bidi="ar"/>
                    </w:rPr>
                  </w:pPr>
                  <w:r>
                    <w:rPr>
                      <w:rFonts w:hint="eastAsia"/>
                      <w:kern w:val="0"/>
                      <w:szCs w:val="21"/>
                      <w:highlight w:val="none"/>
                      <w:lang w:val="en-US" w:eastAsia="zh-CN" w:bidi="ar"/>
                    </w:rPr>
                    <w:t>固态</w:t>
                  </w:r>
                </w:p>
              </w:tc>
              <w:tc>
                <w:tcPr>
                  <w:tcW w:w="844" w:type="dxa"/>
                  <w:noWrap w:val="0"/>
                  <w:vAlign w:val="center"/>
                </w:tcPr>
                <w:p w14:paraId="4BABA835">
                  <w:pPr>
                    <w:widowControl/>
                    <w:jc w:val="center"/>
                    <w:textAlignment w:val="center"/>
                    <w:rPr>
                      <w:rFonts w:hint="eastAsia" w:ascii="Times New Roman" w:hAnsi="Times New Roman" w:eastAsia="宋体"/>
                      <w:kern w:val="0"/>
                      <w:szCs w:val="21"/>
                      <w:highlight w:val="none"/>
                      <w:lang w:val="en-US" w:eastAsia="zh-CN" w:bidi="ar"/>
                    </w:rPr>
                  </w:pPr>
                  <w:r>
                    <w:rPr>
                      <w:rFonts w:hint="eastAsia"/>
                      <w:kern w:val="0"/>
                      <w:szCs w:val="21"/>
                      <w:highlight w:val="none"/>
                      <w:lang w:val="en-US" w:eastAsia="zh-CN" w:bidi="ar"/>
                    </w:rPr>
                    <w:t>袋装</w:t>
                  </w:r>
                </w:p>
              </w:tc>
            </w:tr>
            <w:tr w14:paraId="2A9A36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169FB7D9">
                  <w:pPr>
                    <w:pStyle w:val="67"/>
                    <w:jc w:val="center"/>
                    <w:rPr>
                      <w:rFonts w:ascii="Times New Roman" w:cs="Times New Roman"/>
                      <w:color w:val="auto"/>
                      <w:sz w:val="21"/>
                      <w:szCs w:val="21"/>
                      <w:highlight w:val="none"/>
                    </w:rPr>
                  </w:pPr>
                </w:p>
              </w:tc>
              <w:tc>
                <w:tcPr>
                  <w:tcW w:w="814" w:type="dxa"/>
                  <w:noWrap w:val="0"/>
                  <w:vAlign w:val="center"/>
                </w:tcPr>
                <w:p w14:paraId="69B8BD35">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耐火材料制品制造</w:t>
                  </w:r>
                </w:p>
              </w:tc>
              <w:tc>
                <w:tcPr>
                  <w:tcW w:w="1196" w:type="dxa"/>
                  <w:noWrap w:val="0"/>
                  <w:vAlign w:val="center"/>
                </w:tcPr>
                <w:p w14:paraId="09298D28">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308-001-36</w:t>
                  </w:r>
                </w:p>
              </w:tc>
              <w:tc>
                <w:tcPr>
                  <w:tcW w:w="2960" w:type="dxa"/>
                  <w:noWrap w:val="0"/>
                  <w:vAlign w:val="center"/>
                </w:tcPr>
                <w:p w14:paraId="49655E6E">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石棉制品生产过程中产生的石棉尘、废石棉</w:t>
                  </w:r>
                </w:p>
              </w:tc>
              <w:tc>
                <w:tcPr>
                  <w:tcW w:w="872" w:type="dxa"/>
                  <w:noWrap w:val="0"/>
                  <w:vAlign w:val="center"/>
                </w:tcPr>
                <w:p w14:paraId="1F0F5C03">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4D16091D">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7BF1698A">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01F756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1D340B0D">
                  <w:pPr>
                    <w:pStyle w:val="67"/>
                    <w:jc w:val="center"/>
                    <w:rPr>
                      <w:rFonts w:ascii="Times New Roman" w:cs="Times New Roman"/>
                      <w:color w:val="auto"/>
                      <w:sz w:val="21"/>
                      <w:szCs w:val="21"/>
                      <w:highlight w:val="none"/>
                    </w:rPr>
                  </w:pPr>
                </w:p>
              </w:tc>
              <w:tc>
                <w:tcPr>
                  <w:tcW w:w="814" w:type="dxa"/>
                  <w:noWrap w:val="0"/>
                  <w:vAlign w:val="center"/>
                </w:tcPr>
                <w:p w14:paraId="089770C9">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汽车零部件及配件制造</w:t>
                  </w:r>
                </w:p>
              </w:tc>
              <w:tc>
                <w:tcPr>
                  <w:tcW w:w="1196" w:type="dxa"/>
                  <w:noWrap w:val="0"/>
                  <w:vAlign w:val="center"/>
                </w:tcPr>
                <w:p w14:paraId="75826771">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367-001-36</w:t>
                  </w:r>
                </w:p>
              </w:tc>
              <w:tc>
                <w:tcPr>
                  <w:tcW w:w="2960" w:type="dxa"/>
                  <w:noWrap w:val="0"/>
                  <w:vAlign w:val="center"/>
                </w:tcPr>
                <w:p w14:paraId="47432D91">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车辆制动器衬片生产过程中产生的石棉废物</w:t>
                  </w:r>
                </w:p>
              </w:tc>
              <w:tc>
                <w:tcPr>
                  <w:tcW w:w="872" w:type="dxa"/>
                  <w:noWrap w:val="0"/>
                  <w:vAlign w:val="center"/>
                </w:tcPr>
                <w:p w14:paraId="16A43366">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77C11616">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50A4AB4C">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18D13A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293E84DC">
                  <w:pPr>
                    <w:pStyle w:val="67"/>
                    <w:jc w:val="center"/>
                    <w:rPr>
                      <w:rFonts w:ascii="Times New Roman" w:cs="Times New Roman"/>
                      <w:color w:val="auto"/>
                      <w:sz w:val="21"/>
                      <w:szCs w:val="21"/>
                      <w:highlight w:val="none"/>
                    </w:rPr>
                  </w:pPr>
                </w:p>
              </w:tc>
              <w:tc>
                <w:tcPr>
                  <w:tcW w:w="814" w:type="dxa"/>
                  <w:vMerge w:val="restart"/>
                  <w:noWrap w:val="0"/>
                  <w:vAlign w:val="center"/>
                </w:tcPr>
                <w:p w14:paraId="4ED0D18B">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非特定行业</w:t>
                  </w:r>
                </w:p>
              </w:tc>
              <w:tc>
                <w:tcPr>
                  <w:tcW w:w="1196" w:type="dxa"/>
                  <w:noWrap w:val="0"/>
                  <w:vAlign w:val="center"/>
                </w:tcPr>
                <w:p w14:paraId="4A5C3AAD">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900-030-36</w:t>
                  </w:r>
                </w:p>
              </w:tc>
              <w:tc>
                <w:tcPr>
                  <w:tcW w:w="2960" w:type="dxa"/>
                  <w:noWrap w:val="0"/>
                  <w:vAlign w:val="center"/>
                </w:tcPr>
                <w:p w14:paraId="7455D3E5">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其他生产过程中产生的石棉废物</w:t>
                  </w:r>
                </w:p>
              </w:tc>
              <w:tc>
                <w:tcPr>
                  <w:tcW w:w="872" w:type="dxa"/>
                  <w:noWrap w:val="0"/>
                  <w:vAlign w:val="center"/>
                </w:tcPr>
                <w:p w14:paraId="587741D3">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4F0B8A00">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4EAED4FA">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2AAC9A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190BE639">
                  <w:pPr>
                    <w:pStyle w:val="67"/>
                    <w:jc w:val="center"/>
                    <w:rPr>
                      <w:rFonts w:ascii="Times New Roman" w:cs="Times New Roman"/>
                      <w:color w:val="auto"/>
                      <w:sz w:val="21"/>
                      <w:szCs w:val="21"/>
                      <w:highlight w:val="none"/>
                    </w:rPr>
                  </w:pPr>
                </w:p>
              </w:tc>
              <w:tc>
                <w:tcPr>
                  <w:tcW w:w="814" w:type="dxa"/>
                  <w:vMerge w:val="continue"/>
                  <w:noWrap w:val="0"/>
                  <w:vAlign w:val="center"/>
                </w:tcPr>
                <w:p w14:paraId="4378F737">
                  <w:pPr>
                    <w:pStyle w:val="67"/>
                    <w:jc w:val="center"/>
                    <w:rPr>
                      <w:rFonts w:ascii="Times New Roman" w:cs="Times New Roman"/>
                      <w:color w:val="auto"/>
                      <w:sz w:val="21"/>
                      <w:szCs w:val="21"/>
                      <w:highlight w:val="none"/>
                    </w:rPr>
                  </w:pPr>
                </w:p>
              </w:tc>
              <w:tc>
                <w:tcPr>
                  <w:tcW w:w="1196" w:type="dxa"/>
                  <w:noWrap w:val="0"/>
                  <w:vAlign w:val="center"/>
                </w:tcPr>
                <w:p w14:paraId="2AC1DDD3">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900-031-36</w:t>
                  </w:r>
                </w:p>
              </w:tc>
              <w:tc>
                <w:tcPr>
                  <w:tcW w:w="2960" w:type="dxa"/>
                  <w:noWrap w:val="0"/>
                  <w:vAlign w:val="center"/>
                </w:tcPr>
                <w:p w14:paraId="3E16F75A">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含有石棉的废绝缘材料、建筑废物</w:t>
                  </w:r>
                </w:p>
              </w:tc>
              <w:tc>
                <w:tcPr>
                  <w:tcW w:w="872" w:type="dxa"/>
                  <w:noWrap w:val="0"/>
                  <w:vAlign w:val="center"/>
                </w:tcPr>
                <w:p w14:paraId="6650B2BD">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717D331C">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0282E881">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40ADC3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03AFE10C">
                  <w:pPr>
                    <w:pStyle w:val="67"/>
                    <w:jc w:val="center"/>
                    <w:rPr>
                      <w:rFonts w:ascii="Times New Roman" w:cs="Times New Roman"/>
                      <w:color w:val="auto"/>
                      <w:sz w:val="21"/>
                      <w:szCs w:val="21"/>
                      <w:highlight w:val="none"/>
                    </w:rPr>
                  </w:pPr>
                </w:p>
              </w:tc>
              <w:tc>
                <w:tcPr>
                  <w:tcW w:w="814" w:type="dxa"/>
                  <w:vMerge w:val="continue"/>
                  <w:noWrap w:val="0"/>
                  <w:vAlign w:val="center"/>
                </w:tcPr>
                <w:p w14:paraId="6DF238CD">
                  <w:pPr>
                    <w:pStyle w:val="67"/>
                    <w:jc w:val="center"/>
                    <w:rPr>
                      <w:rFonts w:ascii="Times New Roman" w:cs="Times New Roman"/>
                      <w:color w:val="auto"/>
                      <w:sz w:val="21"/>
                      <w:szCs w:val="21"/>
                      <w:highlight w:val="none"/>
                    </w:rPr>
                  </w:pPr>
                </w:p>
              </w:tc>
              <w:tc>
                <w:tcPr>
                  <w:tcW w:w="1196" w:type="dxa"/>
                  <w:noWrap w:val="0"/>
                  <w:vAlign w:val="center"/>
                </w:tcPr>
                <w:p w14:paraId="5FD5ED7F">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900-032-36</w:t>
                  </w:r>
                </w:p>
              </w:tc>
              <w:tc>
                <w:tcPr>
                  <w:tcW w:w="2960" w:type="dxa"/>
                  <w:noWrap w:val="0"/>
                  <w:vAlign w:val="center"/>
                </w:tcPr>
                <w:p w14:paraId="1D4C9020">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含有隔膜、热绝缘体等石棉材料的设施保养拆换及车辆制动器衬片的更换产生的石棉废物</w:t>
                  </w:r>
                </w:p>
              </w:tc>
              <w:tc>
                <w:tcPr>
                  <w:tcW w:w="872" w:type="dxa"/>
                  <w:noWrap w:val="0"/>
                  <w:vAlign w:val="center"/>
                </w:tcPr>
                <w:p w14:paraId="788E9C14">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239A3D8F">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274D27F4">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708E5F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noWrap w:val="0"/>
                  <w:vAlign w:val="center"/>
                </w:tcPr>
                <w:p w14:paraId="337D4AE4">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HW37有机磷化合物废物</w:t>
                  </w:r>
                </w:p>
              </w:tc>
              <w:tc>
                <w:tcPr>
                  <w:tcW w:w="814" w:type="dxa"/>
                  <w:noWrap w:val="0"/>
                  <w:vAlign w:val="center"/>
                </w:tcPr>
                <w:p w14:paraId="164FBB44">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非特定行业</w:t>
                  </w:r>
                </w:p>
              </w:tc>
              <w:tc>
                <w:tcPr>
                  <w:tcW w:w="1196" w:type="dxa"/>
                  <w:noWrap w:val="0"/>
                  <w:vAlign w:val="center"/>
                </w:tcPr>
                <w:p w14:paraId="1D2D2BCE">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900-033-37</w:t>
                  </w:r>
                </w:p>
              </w:tc>
              <w:tc>
                <w:tcPr>
                  <w:tcW w:w="2960" w:type="dxa"/>
                  <w:noWrap w:val="0"/>
                  <w:vAlign w:val="center"/>
                </w:tcPr>
                <w:p w14:paraId="50D77329">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生产、销售及使用过程中产生的废弃磷酸酯抗燃油</w:t>
                  </w:r>
                </w:p>
              </w:tc>
              <w:tc>
                <w:tcPr>
                  <w:tcW w:w="872" w:type="dxa"/>
                  <w:noWrap w:val="0"/>
                  <w:vAlign w:val="center"/>
                </w:tcPr>
                <w:p w14:paraId="1638872A">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noWrap w:val="0"/>
                  <w:vAlign w:val="center"/>
                </w:tcPr>
                <w:p w14:paraId="497F4D11">
                  <w:pPr>
                    <w:widowControl/>
                    <w:jc w:val="center"/>
                    <w:textAlignment w:val="center"/>
                    <w:rPr>
                      <w:rFonts w:hint="eastAsia" w:ascii="Times New Roman" w:hAnsi="Times New Roman" w:eastAsia="宋体"/>
                      <w:kern w:val="0"/>
                      <w:szCs w:val="21"/>
                      <w:highlight w:val="none"/>
                      <w:lang w:val="en-US" w:eastAsia="zh-CN" w:bidi="ar"/>
                    </w:rPr>
                  </w:pPr>
                  <w:r>
                    <w:rPr>
                      <w:rFonts w:hint="eastAsia"/>
                      <w:kern w:val="0"/>
                      <w:szCs w:val="21"/>
                      <w:highlight w:val="none"/>
                      <w:lang w:val="en-US" w:eastAsia="zh-CN" w:bidi="ar"/>
                    </w:rPr>
                    <w:t>液态</w:t>
                  </w:r>
                </w:p>
              </w:tc>
              <w:tc>
                <w:tcPr>
                  <w:tcW w:w="844" w:type="dxa"/>
                  <w:noWrap w:val="0"/>
                  <w:vAlign w:val="center"/>
                </w:tcPr>
                <w:p w14:paraId="60AE2028">
                  <w:pPr>
                    <w:widowControl/>
                    <w:jc w:val="center"/>
                    <w:textAlignment w:val="center"/>
                    <w:rPr>
                      <w:rFonts w:hint="default" w:ascii="Times New Roman" w:hAnsi="Times New Roman" w:eastAsia="宋体"/>
                      <w:kern w:val="0"/>
                      <w:szCs w:val="21"/>
                      <w:highlight w:val="none"/>
                      <w:lang w:val="en-US" w:eastAsia="zh-CN" w:bidi="ar"/>
                    </w:rPr>
                  </w:pPr>
                  <w:r>
                    <w:rPr>
                      <w:rFonts w:hint="eastAsia"/>
                      <w:kern w:val="0"/>
                      <w:szCs w:val="21"/>
                      <w:highlight w:val="none"/>
                      <w:lang w:val="en-US" w:eastAsia="zh-CN" w:bidi="ar"/>
                    </w:rPr>
                    <w:t>铁桶</w:t>
                  </w:r>
                </w:p>
              </w:tc>
            </w:tr>
            <w:tr w14:paraId="0D355F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noWrap w:val="0"/>
                  <w:vAlign w:val="center"/>
                </w:tcPr>
                <w:p w14:paraId="67A8C30A">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HW46含镍废物</w:t>
                  </w:r>
                </w:p>
              </w:tc>
              <w:tc>
                <w:tcPr>
                  <w:tcW w:w="814" w:type="dxa"/>
                  <w:noWrap w:val="0"/>
                  <w:vAlign w:val="center"/>
                </w:tcPr>
                <w:p w14:paraId="3F26B8E5">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非特定行业</w:t>
                  </w:r>
                </w:p>
              </w:tc>
              <w:tc>
                <w:tcPr>
                  <w:tcW w:w="1196" w:type="dxa"/>
                  <w:noWrap w:val="0"/>
                  <w:vAlign w:val="center"/>
                </w:tcPr>
                <w:p w14:paraId="23A59A68">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900-037-46</w:t>
                  </w:r>
                </w:p>
              </w:tc>
              <w:tc>
                <w:tcPr>
                  <w:tcW w:w="2960" w:type="dxa"/>
                  <w:noWrap w:val="0"/>
                  <w:vAlign w:val="center"/>
                </w:tcPr>
                <w:p w14:paraId="360449E2">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废弃的镍催化剂</w:t>
                  </w:r>
                </w:p>
              </w:tc>
              <w:tc>
                <w:tcPr>
                  <w:tcW w:w="872" w:type="dxa"/>
                  <w:noWrap w:val="0"/>
                  <w:vAlign w:val="center"/>
                </w:tcPr>
                <w:p w14:paraId="20F8A1FD">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T,I</w:t>
                  </w:r>
                </w:p>
              </w:tc>
              <w:tc>
                <w:tcPr>
                  <w:tcW w:w="843" w:type="dxa"/>
                  <w:shd w:val="clear" w:color="auto" w:fill="auto"/>
                  <w:noWrap w:val="0"/>
                  <w:vAlign w:val="center"/>
                </w:tcPr>
                <w:p w14:paraId="084A6889">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35EEDC8F">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5AA757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restart"/>
                  <w:noWrap w:val="0"/>
                  <w:vAlign w:val="center"/>
                </w:tcPr>
                <w:p w14:paraId="0C2C9669">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HW48有色金属采选和冶炼废物</w:t>
                  </w:r>
                </w:p>
              </w:tc>
              <w:tc>
                <w:tcPr>
                  <w:tcW w:w="814" w:type="dxa"/>
                  <w:vMerge w:val="restart"/>
                  <w:noWrap w:val="0"/>
                  <w:vAlign w:val="center"/>
                </w:tcPr>
                <w:p w14:paraId="767F0FE2">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常用有色金属矿采选</w:t>
                  </w:r>
                </w:p>
              </w:tc>
              <w:tc>
                <w:tcPr>
                  <w:tcW w:w="1196" w:type="dxa"/>
                  <w:noWrap w:val="0"/>
                  <w:vAlign w:val="center"/>
                </w:tcPr>
                <w:p w14:paraId="3E830957">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091-001-48</w:t>
                  </w:r>
                </w:p>
              </w:tc>
              <w:tc>
                <w:tcPr>
                  <w:tcW w:w="2960" w:type="dxa"/>
                  <w:noWrap w:val="0"/>
                  <w:vAlign w:val="center"/>
                </w:tcPr>
                <w:p w14:paraId="32D754F1">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硫化铜矿、氧化铜矿等铜矿物采选过程中集（除）尘装置收集的粉尘</w:t>
                  </w:r>
                </w:p>
              </w:tc>
              <w:tc>
                <w:tcPr>
                  <w:tcW w:w="872" w:type="dxa"/>
                  <w:noWrap w:val="0"/>
                  <w:vAlign w:val="center"/>
                </w:tcPr>
                <w:p w14:paraId="51A3EB30">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11C6DE1F">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224FE26D">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0BBD8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3CCCF2A5">
                  <w:pPr>
                    <w:pStyle w:val="67"/>
                    <w:jc w:val="center"/>
                    <w:rPr>
                      <w:rFonts w:ascii="Times New Roman" w:cs="Times New Roman"/>
                      <w:color w:val="auto"/>
                      <w:sz w:val="21"/>
                      <w:szCs w:val="21"/>
                      <w:highlight w:val="none"/>
                    </w:rPr>
                  </w:pPr>
                </w:p>
              </w:tc>
              <w:tc>
                <w:tcPr>
                  <w:tcW w:w="814" w:type="dxa"/>
                  <w:vMerge w:val="continue"/>
                  <w:noWrap w:val="0"/>
                  <w:vAlign w:val="center"/>
                </w:tcPr>
                <w:p w14:paraId="623F147A">
                  <w:pPr>
                    <w:pStyle w:val="67"/>
                    <w:jc w:val="center"/>
                    <w:rPr>
                      <w:rFonts w:ascii="Times New Roman" w:cs="Times New Roman"/>
                      <w:color w:val="auto"/>
                      <w:sz w:val="21"/>
                      <w:szCs w:val="21"/>
                      <w:highlight w:val="none"/>
                    </w:rPr>
                  </w:pPr>
                </w:p>
              </w:tc>
              <w:tc>
                <w:tcPr>
                  <w:tcW w:w="1196" w:type="dxa"/>
                  <w:noWrap w:val="0"/>
                  <w:vAlign w:val="center"/>
                </w:tcPr>
                <w:p w14:paraId="339BDD7C">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091-002-48</w:t>
                  </w:r>
                </w:p>
              </w:tc>
              <w:tc>
                <w:tcPr>
                  <w:tcW w:w="2960" w:type="dxa"/>
                  <w:noWrap w:val="0"/>
                  <w:vAlign w:val="center"/>
                </w:tcPr>
                <w:p w14:paraId="386B908A">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硫砷化合物（雌黄、雄黄及硫砷铁矿）或其他含砷化合物的金属矿石采选过程中集（除）尘装置收集的粉尘</w:t>
                  </w:r>
                </w:p>
              </w:tc>
              <w:tc>
                <w:tcPr>
                  <w:tcW w:w="872" w:type="dxa"/>
                  <w:noWrap w:val="0"/>
                  <w:vAlign w:val="center"/>
                </w:tcPr>
                <w:p w14:paraId="514548E7">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2DE6D459">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7CE1048C">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38E32A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3C6C5D21">
                  <w:pPr>
                    <w:pStyle w:val="67"/>
                    <w:jc w:val="center"/>
                    <w:rPr>
                      <w:rFonts w:ascii="Times New Roman" w:cs="Times New Roman"/>
                      <w:color w:val="auto"/>
                      <w:sz w:val="21"/>
                      <w:szCs w:val="21"/>
                      <w:highlight w:val="none"/>
                    </w:rPr>
                  </w:pPr>
                </w:p>
              </w:tc>
              <w:tc>
                <w:tcPr>
                  <w:tcW w:w="814" w:type="dxa"/>
                  <w:vMerge w:val="restart"/>
                  <w:noWrap w:val="0"/>
                  <w:vAlign w:val="center"/>
                </w:tcPr>
                <w:p w14:paraId="099E5EAB">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常用有色金属冶炼</w:t>
                  </w:r>
                </w:p>
              </w:tc>
              <w:tc>
                <w:tcPr>
                  <w:tcW w:w="1196" w:type="dxa"/>
                  <w:noWrap w:val="0"/>
                  <w:vAlign w:val="center"/>
                </w:tcPr>
                <w:p w14:paraId="0145F27D">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321-002-48</w:t>
                  </w:r>
                </w:p>
              </w:tc>
              <w:tc>
                <w:tcPr>
                  <w:tcW w:w="2960" w:type="dxa"/>
                  <w:noWrap w:val="0"/>
                  <w:vAlign w:val="center"/>
                </w:tcPr>
                <w:p w14:paraId="76D53844">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铜火法冶炼过程中烟气处理集（除）尘装置收集的粉尘</w:t>
                  </w:r>
                </w:p>
              </w:tc>
              <w:tc>
                <w:tcPr>
                  <w:tcW w:w="872" w:type="dxa"/>
                  <w:noWrap w:val="0"/>
                  <w:vAlign w:val="center"/>
                </w:tcPr>
                <w:p w14:paraId="12BD09B3">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noWrap w:val="0"/>
                  <w:vAlign w:val="center"/>
                </w:tcPr>
                <w:p w14:paraId="520A2449">
                  <w:pPr>
                    <w:widowControl/>
                    <w:jc w:val="center"/>
                    <w:textAlignment w:val="center"/>
                    <w:rPr>
                      <w:rFonts w:ascii="Times New Roman" w:hAnsi="Times New Roman"/>
                      <w:kern w:val="0"/>
                      <w:szCs w:val="21"/>
                      <w:highlight w:val="none"/>
                      <w:lang w:bidi="ar"/>
                    </w:rPr>
                  </w:pPr>
                  <w:r>
                    <w:rPr>
                      <w:rFonts w:hint="eastAsia"/>
                      <w:kern w:val="0"/>
                      <w:szCs w:val="21"/>
                      <w:highlight w:val="none"/>
                      <w:lang w:val="en-US" w:eastAsia="zh-CN" w:bidi="ar"/>
                    </w:rPr>
                    <w:t>固态</w:t>
                  </w:r>
                </w:p>
              </w:tc>
              <w:tc>
                <w:tcPr>
                  <w:tcW w:w="844" w:type="dxa"/>
                  <w:noWrap w:val="0"/>
                  <w:vAlign w:val="center"/>
                </w:tcPr>
                <w:p w14:paraId="6392DC14">
                  <w:pPr>
                    <w:widowControl/>
                    <w:jc w:val="center"/>
                    <w:textAlignment w:val="center"/>
                    <w:rPr>
                      <w:rFonts w:ascii="Times New Roman" w:hAnsi="Times New Roman"/>
                      <w:kern w:val="0"/>
                      <w:szCs w:val="21"/>
                      <w:highlight w:val="none"/>
                      <w:lang w:bidi="ar"/>
                    </w:rPr>
                  </w:pPr>
                  <w:r>
                    <w:rPr>
                      <w:rFonts w:hint="eastAsia"/>
                      <w:kern w:val="0"/>
                      <w:szCs w:val="21"/>
                      <w:highlight w:val="none"/>
                      <w:lang w:val="en-US" w:eastAsia="zh-CN" w:bidi="ar"/>
                    </w:rPr>
                    <w:t>袋装</w:t>
                  </w:r>
                </w:p>
              </w:tc>
            </w:tr>
            <w:tr w14:paraId="17A70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1D3D8EA0">
                  <w:pPr>
                    <w:pStyle w:val="67"/>
                    <w:jc w:val="center"/>
                    <w:rPr>
                      <w:rFonts w:ascii="Times New Roman" w:cs="Times New Roman"/>
                      <w:color w:val="auto"/>
                      <w:sz w:val="21"/>
                      <w:szCs w:val="21"/>
                      <w:highlight w:val="none"/>
                    </w:rPr>
                  </w:pPr>
                </w:p>
              </w:tc>
              <w:tc>
                <w:tcPr>
                  <w:tcW w:w="814" w:type="dxa"/>
                  <w:vMerge w:val="continue"/>
                  <w:noWrap w:val="0"/>
                  <w:vAlign w:val="center"/>
                </w:tcPr>
                <w:p w14:paraId="07694226">
                  <w:pPr>
                    <w:pStyle w:val="67"/>
                    <w:jc w:val="center"/>
                    <w:rPr>
                      <w:rFonts w:ascii="Times New Roman" w:cs="Times New Roman"/>
                      <w:color w:val="auto"/>
                      <w:sz w:val="21"/>
                      <w:szCs w:val="21"/>
                      <w:highlight w:val="none"/>
                    </w:rPr>
                  </w:pPr>
                </w:p>
              </w:tc>
              <w:tc>
                <w:tcPr>
                  <w:tcW w:w="1196" w:type="dxa"/>
                  <w:noWrap w:val="0"/>
                  <w:vAlign w:val="center"/>
                </w:tcPr>
                <w:p w14:paraId="63664075">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321-031-48</w:t>
                  </w:r>
                </w:p>
              </w:tc>
              <w:tc>
                <w:tcPr>
                  <w:tcW w:w="2960" w:type="dxa"/>
                  <w:noWrap w:val="0"/>
                  <w:vAlign w:val="center"/>
                </w:tcPr>
                <w:p w14:paraId="412B2187">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铜火法冶炼烟气净化产生的酸泥（铅滤饼）</w:t>
                  </w:r>
                </w:p>
              </w:tc>
              <w:tc>
                <w:tcPr>
                  <w:tcW w:w="872" w:type="dxa"/>
                  <w:noWrap w:val="0"/>
                  <w:vAlign w:val="center"/>
                </w:tcPr>
                <w:p w14:paraId="13095616">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0EAC0601">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315DDE3B">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1569ED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7CDD7D90">
                  <w:pPr>
                    <w:pStyle w:val="67"/>
                    <w:jc w:val="center"/>
                    <w:rPr>
                      <w:rFonts w:ascii="Times New Roman" w:cs="Times New Roman"/>
                      <w:color w:val="auto"/>
                      <w:sz w:val="21"/>
                      <w:szCs w:val="21"/>
                      <w:highlight w:val="none"/>
                    </w:rPr>
                  </w:pPr>
                </w:p>
              </w:tc>
              <w:tc>
                <w:tcPr>
                  <w:tcW w:w="814" w:type="dxa"/>
                  <w:vMerge w:val="continue"/>
                  <w:noWrap w:val="0"/>
                  <w:vAlign w:val="center"/>
                </w:tcPr>
                <w:p w14:paraId="244771D5">
                  <w:pPr>
                    <w:pStyle w:val="67"/>
                    <w:jc w:val="center"/>
                    <w:rPr>
                      <w:rFonts w:ascii="Times New Roman" w:cs="Times New Roman"/>
                      <w:color w:val="auto"/>
                      <w:sz w:val="21"/>
                      <w:szCs w:val="21"/>
                      <w:highlight w:val="none"/>
                    </w:rPr>
                  </w:pPr>
                </w:p>
              </w:tc>
              <w:tc>
                <w:tcPr>
                  <w:tcW w:w="1196" w:type="dxa"/>
                  <w:noWrap w:val="0"/>
                  <w:vAlign w:val="center"/>
                </w:tcPr>
                <w:p w14:paraId="06DFC458">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321-032-48</w:t>
                  </w:r>
                </w:p>
              </w:tc>
              <w:tc>
                <w:tcPr>
                  <w:tcW w:w="2960" w:type="dxa"/>
                  <w:noWrap w:val="0"/>
                  <w:vAlign w:val="center"/>
                </w:tcPr>
                <w:p w14:paraId="556F4CA2">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铜火法冶炼烟气净化产生的污酸处理过程产生的砷渣</w:t>
                  </w:r>
                </w:p>
              </w:tc>
              <w:tc>
                <w:tcPr>
                  <w:tcW w:w="872" w:type="dxa"/>
                  <w:noWrap w:val="0"/>
                  <w:vAlign w:val="center"/>
                </w:tcPr>
                <w:p w14:paraId="07D3E555">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1BFAF615">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1BEA951D">
                  <w:pPr>
                    <w:widowControl/>
                    <w:jc w:val="center"/>
                    <w:textAlignment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4F1CA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03CDDFE0">
                  <w:pPr>
                    <w:pStyle w:val="67"/>
                    <w:jc w:val="center"/>
                    <w:rPr>
                      <w:rFonts w:ascii="Times New Roman" w:cs="Times New Roman"/>
                      <w:color w:val="auto"/>
                      <w:sz w:val="21"/>
                      <w:szCs w:val="21"/>
                      <w:highlight w:val="none"/>
                    </w:rPr>
                  </w:pPr>
                </w:p>
              </w:tc>
              <w:tc>
                <w:tcPr>
                  <w:tcW w:w="814" w:type="dxa"/>
                  <w:vMerge w:val="continue"/>
                  <w:noWrap w:val="0"/>
                  <w:vAlign w:val="center"/>
                </w:tcPr>
                <w:p w14:paraId="24E680BE">
                  <w:pPr>
                    <w:pStyle w:val="67"/>
                    <w:jc w:val="center"/>
                    <w:rPr>
                      <w:rFonts w:ascii="Times New Roman" w:cs="Times New Roman"/>
                      <w:color w:val="auto"/>
                      <w:sz w:val="21"/>
                      <w:szCs w:val="21"/>
                      <w:highlight w:val="none"/>
                    </w:rPr>
                  </w:pPr>
                </w:p>
              </w:tc>
              <w:tc>
                <w:tcPr>
                  <w:tcW w:w="1196" w:type="dxa"/>
                  <w:noWrap w:val="0"/>
                  <w:vAlign w:val="center"/>
                </w:tcPr>
                <w:p w14:paraId="25258099">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321-003-48</w:t>
                  </w:r>
                </w:p>
              </w:tc>
              <w:tc>
                <w:tcPr>
                  <w:tcW w:w="2960" w:type="dxa"/>
                  <w:noWrap w:val="0"/>
                  <w:vAlign w:val="center"/>
                </w:tcPr>
                <w:p w14:paraId="52002A5A">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粗锌精炼加工过程中湿法除尘产生的废水处理污泥</w:t>
                  </w:r>
                </w:p>
              </w:tc>
              <w:tc>
                <w:tcPr>
                  <w:tcW w:w="872" w:type="dxa"/>
                  <w:noWrap w:val="0"/>
                  <w:vAlign w:val="center"/>
                </w:tcPr>
                <w:p w14:paraId="21BE750A">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4D25A9CA">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3B87D710">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2E4FD5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794226BD">
                  <w:pPr>
                    <w:pStyle w:val="67"/>
                    <w:jc w:val="center"/>
                    <w:rPr>
                      <w:rFonts w:ascii="Times New Roman" w:cs="Times New Roman"/>
                      <w:color w:val="auto"/>
                      <w:sz w:val="21"/>
                      <w:szCs w:val="21"/>
                      <w:highlight w:val="none"/>
                    </w:rPr>
                  </w:pPr>
                </w:p>
              </w:tc>
              <w:tc>
                <w:tcPr>
                  <w:tcW w:w="814" w:type="dxa"/>
                  <w:vMerge w:val="continue"/>
                  <w:noWrap w:val="0"/>
                  <w:vAlign w:val="center"/>
                </w:tcPr>
                <w:p w14:paraId="183C16C8">
                  <w:pPr>
                    <w:pStyle w:val="67"/>
                    <w:jc w:val="center"/>
                    <w:rPr>
                      <w:rFonts w:ascii="Times New Roman" w:cs="Times New Roman"/>
                      <w:color w:val="auto"/>
                      <w:sz w:val="21"/>
                      <w:szCs w:val="21"/>
                      <w:highlight w:val="none"/>
                    </w:rPr>
                  </w:pPr>
                </w:p>
              </w:tc>
              <w:tc>
                <w:tcPr>
                  <w:tcW w:w="1196" w:type="dxa"/>
                  <w:noWrap w:val="0"/>
                  <w:vAlign w:val="center"/>
                </w:tcPr>
                <w:p w14:paraId="5B1A81DE">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321-004-48</w:t>
                  </w:r>
                </w:p>
              </w:tc>
              <w:tc>
                <w:tcPr>
                  <w:tcW w:w="2960" w:type="dxa"/>
                  <w:noWrap w:val="0"/>
                  <w:vAlign w:val="center"/>
                </w:tcPr>
                <w:p w14:paraId="25AF83FA">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铅锌冶炼过程中，锌焙烧矿、锌氧化矿常规浸出法产生的浸出渣</w:t>
                  </w:r>
                </w:p>
              </w:tc>
              <w:tc>
                <w:tcPr>
                  <w:tcW w:w="872" w:type="dxa"/>
                  <w:noWrap w:val="0"/>
                  <w:vAlign w:val="center"/>
                </w:tcPr>
                <w:p w14:paraId="2258A2D7">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5CF55D26">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499A17F2">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6437E9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32D31A91">
                  <w:pPr>
                    <w:pStyle w:val="67"/>
                    <w:jc w:val="center"/>
                    <w:rPr>
                      <w:rFonts w:ascii="Times New Roman" w:cs="Times New Roman"/>
                      <w:color w:val="auto"/>
                      <w:sz w:val="21"/>
                      <w:szCs w:val="21"/>
                      <w:highlight w:val="none"/>
                    </w:rPr>
                  </w:pPr>
                </w:p>
              </w:tc>
              <w:tc>
                <w:tcPr>
                  <w:tcW w:w="814" w:type="dxa"/>
                  <w:vMerge w:val="continue"/>
                  <w:noWrap w:val="0"/>
                  <w:vAlign w:val="center"/>
                </w:tcPr>
                <w:p w14:paraId="29CF2947">
                  <w:pPr>
                    <w:pStyle w:val="67"/>
                    <w:jc w:val="center"/>
                    <w:rPr>
                      <w:rFonts w:ascii="Times New Roman" w:cs="Times New Roman"/>
                      <w:color w:val="auto"/>
                      <w:sz w:val="21"/>
                      <w:szCs w:val="21"/>
                      <w:highlight w:val="none"/>
                    </w:rPr>
                  </w:pPr>
                </w:p>
              </w:tc>
              <w:tc>
                <w:tcPr>
                  <w:tcW w:w="1196" w:type="dxa"/>
                  <w:noWrap w:val="0"/>
                  <w:vAlign w:val="center"/>
                </w:tcPr>
                <w:p w14:paraId="54E8DC31">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321-005-48</w:t>
                  </w:r>
                </w:p>
              </w:tc>
              <w:tc>
                <w:tcPr>
                  <w:tcW w:w="2960" w:type="dxa"/>
                  <w:noWrap w:val="0"/>
                  <w:vAlign w:val="center"/>
                </w:tcPr>
                <w:p w14:paraId="0E37DD75">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铅锌冶炼过程中，锌焙烧矿热酸浸出黄钾铁矾法产生的铁矾渣</w:t>
                  </w:r>
                </w:p>
              </w:tc>
              <w:tc>
                <w:tcPr>
                  <w:tcW w:w="872" w:type="dxa"/>
                  <w:noWrap w:val="0"/>
                  <w:vAlign w:val="center"/>
                </w:tcPr>
                <w:p w14:paraId="4633C0C3">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0DFBA69A">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79C73D66">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0FDEE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021B3170">
                  <w:pPr>
                    <w:pStyle w:val="67"/>
                    <w:jc w:val="center"/>
                    <w:rPr>
                      <w:rFonts w:ascii="Times New Roman" w:cs="Times New Roman"/>
                      <w:color w:val="auto"/>
                      <w:sz w:val="21"/>
                      <w:szCs w:val="21"/>
                      <w:highlight w:val="none"/>
                    </w:rPr>
                  </w:pPr>
                </w:p>
              </w:tc>
              <w:tc>
                <w:tcPr>
                  <w:tcW w:w="814" w:type="dxa"/>
                  <w:vMerge w:val="continue"/>
                  <w:noWrap w:val="0"/>
                  <w:vAlign w:val="center"/>
                </w:tcPr>
                <w:p w14:paraId="71CC53DC">
                  <w:pPr>
                    <w:pStyle w:val="67"/>
                    <w:jc w:val="center"/>
                    <w:rPr>
                      <w:rFonts w:ascii="Times New Roman" w:cs="Times New Roman"/>
                      <w:color w:val="auto"/>
                      <w:sz w:val="21"/>
                      <w:szCs w:val="21"/>
                      <w:highlight w:val="none"/>
                    </w:rPr>
                  </w:pPr>
                </w:p>
              </w:tc>
              <w:tc>
                <w:tcPr>
                  <w:tcW w:w="1196" w:type="dxa"/>
                  <w:noWrap w:val="0"/>
                  <w:vAlign w:val="center"/>
                </w:tcPr>
                <w:p w14:paraId="3EB1EA28">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321-006-48</w:t>
                  </w:r>
                </w:p>
              </w:tc>
              <w:tc>
                <w:tcPr>
                  <w:tcW w:w="2960" w:type="dxa"/>
                  <w:noWrap w:val="0"/>
                  <w:vAlign w:val="center"/>
                </w:tcPr>
                <w:p w14:paraId="695ABDC2">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硫化锌矿常压氧浸或加压氧浸产生的硫渣（浸出渣）</w:t>
                  </w:r>
                </w:p>
              </w:tc>
              <w:tc>
                <w:tcPr>
                  <w:tcW w:w="872" w:type="dxa"/>
                  <w:noWrap w:val="0"/>
                  <w:vAlign w:val="center"/>
                </w:tcPr>
                <w:p w14:paraId="731AC3D0">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06461657">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0E36E0D9">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2DA3AA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694A7708">
                  <w:pPr>
                    <w:pStyle w:val="67"/>
                    <w:jc w:val="center"/>
                    <w:rPr>
                      <w:rFonts w:ascii="Times New Roman" w:cs="Times New Roman"/>
                      <w:color w:val="auto"/>
                      <w:sz w:val="21"/>
                      <w:szCs w:val="21"/>
                      <w:highlight w:val="none"/>
                    </w:rPr>
                  </w:pPr>
                </w:p>
              </w:tc>
              <w:tc>
                <w:tcPr>
                  <w:tcW w:w="814" w:type="dxa"/>
                  <w:vMerge w:val="continue"/>
                  <w:noWrap w:val="0"/>
                  <w:vAlign w:val="center"/>
                </w:tcPr>
                <w:p w14:paraId="4FFC0CAD">
                  <w:pPr>
                    <w:pStyle w:val="67"/>
                    <w:jc w:val="center"/>
                    <w:rPr>
                      <w:rFonts w:ascii="Times New Roman" w:cs="Times New Roman"/>
                      <w:color w:val="auto"/>
                      <w:sz w:val="21"/>
                      <w:szCs w:val="21"/>
                      <w:highlight w:val="none"/>
                    </w:rPr>
                  </w:pPr>
                </w:p>
              </w:tc>
              <w:tc>
                <w:tcPr>
                  <w:tcW w:w="1196" w:type="dxa"/>
                  <w:noWrap w:val="0"/>
                  <w:vAlign w:val="center"/>
                </w:tcPr>
                <w:p w14:paraId="3BF571F3">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321-007-48</w:t>
                  </w:r>
                </w:p>
              </w:tc>
              <w:tc>
                <w:tcPr>
                  <w:tcW w:w="2960" w:type="dxa"/>
                  <w:noWrap w:val="0"/>
                  <w:vAlign w:val="center"/>
                </w:tcPr>
                <w:p w14:paraId="61DC42FE">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铅锌冶炼过程中，锌焙烧矿热酸浸出针铁矿法产生的针铁矿渣</w:t>
                  </w:r>
                </w:p>
              </w:tc>
              <w:tc>
                <w:tcPr>
                  <w:tcW w:w="872" w:type="dxa"/>
                  <w:noWrap w:val="0"/>
                  <w:vAlign w:val="center"/>
                </w:tcPr>
                <w:p w14:paraId="23E97ACE">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0E91E31C">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17BCE9FB">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0566B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3E166847">
                  <w:pPr>
                    <w:pStyle w:val="67"/>
                    <w:jc w:val="center"/>
                    <w:rPr>
                      <w:rFonts w:ascii="Times New Roman" w:cs="Times New Roman"/>
                      <w:color w:val="auto"/>
                      <w:sz w:val="21"/>
                      <w:szCs w:val="21"/>
                      <w:highlight w:val="none"/>
                    </w:rPr>
                  </w:pPr>
                </w:p>
              </w:tc>
              <w:tc>
                <w:tcPr>
                  <w:tcW w:w="814" w:type="dxa"/>
                  <w:vMerge w:val="continue"/>
                  <w:noWrap w:val="0"/>
                  <w:vAlign w:val="center"/>
                </w:tcPr>
                <w:p w14:paraId="5F61D1CE">
                  <w:pPr>
                    <w:pStyle w:val="67"/>
                    <w:jc w:val="center"/>
                    <w:rPr>
                      <w:rFonts w:ascii="Times New Roman" w:cs="Times New Roman"/>
                      <w:color w:val="auto"/>
                      <w:sz w:val="21"/>
                      <w:szCs w:val="21"/>
                      <w:highlight w:val="none"/>
                    </w:rPr>
                  </w:pPr>
                </w:p>
              </w:tc>
              <w:tc>
                <w:tcPr>
                  <w:tcW w:w="1196" w:type="dxa"/>
                  <w:noWrap w:val="0"/>
                  <w:vAlign w:val="center"/>
                </w:tcPr>
                <w:p w14:paraId="0DD2BB2C">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321-008-48</w:t>
                  </w:r>
                </w:p>
              </w:tc>
              <w:tc>
                <w:tcPr>
                  <w:tcW w:w="2960" w:type="dxa"/>
                  <w:noWrap w:val="0"/>
                  <w:vAlign w:val="center"/>
                </w:tcPr>
                <w:p w14:paraId="367744B8">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铅锌冶炼过程中，锌浸出液净化产生的净化渣，包括锌粉-黄药法、砷盐法、反向锑盐法、铅锑合金锌粉法等工艺除铜、锑、镉、钴、镍等杂质过程中产生的废渣</w:t>
                  </w:r>
                </w:p>
              </w:tc>
              <w:tc>
                <w:tcPr>
                  <w:tcW w:w="872" w:type="dxa"/>
                  <w:noWrap w:val="0"/>
                  <w:vAlign w:val="center"/>
                </w:tcPr>
                <w:p w14:paraId="07E6E06F">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19B1AE52">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30C651ED">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7606A8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1498566C">
                  <w:pPr>
                    <w:pStyle w:val="67"/>
                    <w:jc w:val="center"/>
                    <w:rPr>
                      <w:rFonts w:ascii="Times New Roman" w:cs="Times New Roman"/>
                      <w:color w:val="auto"/>
                      <w:sz w:val="21"/>
                      <w:szCs w:val="21"/>
                      <w:highlight w:val="none"/>
                    </w:rPr>
                  </w:pPr>
                </w:p>
              </w:tc>
              <w:tc>
                <w:tcPr>
                  <w:tcW w:w="814" w:type="dxa"/>
                  <w:vMerge w:val="continue"/>
                  <w:noWrap w:val="0"/>
                  <w:vAlign w:val="center"/>
                </w:tcPr>
                <w:p w14:paraId="6850F088">
                  <w:pPr>
                    <w:pStyle w:val="67"/>
                    <w:jc w:val="center"/>
                    <w:rPr>
                      <w:rFonts w:ascii="Times New Roman" w:cs="Times New Roman"/>
                      <w:color w:val="auto"/>
                      <w:sz w:val="21"/>
                      <w:szCs w:val="21"/>
                      <w:highlight w:val="none"/>
                    </w:rPr>
                  </w:pPr>
                </w:p>
              </w:tc>
              <w:tc>
                <w:tcPr>
                  <w:tcW w:w="1196" w:type="dxa"/>
                  <w:noWrap w:val="0"/>
                  <w:vAlign w:val="center"/>
                </w:tcPr>
                <w:p w14:paraId="6165F83A">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321-009-48</w:t>
                  </w:r>
                </w:p>
              </w:tc>
              <w:tc>
                <w:tcPr>
                  <w:tcW w:w="2960" w:type="dxa"/>
                  <w:noWrap w:val="0"/>
                  <w:vAlign w:val="center"/>
                </w:tcPr>
                <w:p w14:paraId="2738C04A">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铅锌冶炼过程中，阴极锌熔铸产生的熔铸浮渣</w:t>
                  </w:r>
                </w:p>
              </w:tc>
              <w:tc>
                <w:tcPr>
                  <w:tcW w:w="872" w:type="dxa"/>
                  <w:noWrap w:val="0"/>
                  <w:vAlign w:val="center"/>
                </w:tcPr>
                <w:p w14:paraId="3BC5C08D">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6E245A60">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5094A63B">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7CE74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5378FDE5">
                  <w:pPr>
                    <w:pStyle w:val="67"/>
                    <w:jc w:val="center"/>
                    <w:rPr>
                      <w:rFonts w:ascii="Times New Roman" w:cs="Times New Roman"/>
                      <w:color w:val="auto"/>
                      <w:sz w:val="21"/>
                      <w:szCs w:val="21"/>
                      <w:highlight w:val="none"/>
                    </w:rPr>
                  </w:pPr>
                </w:p>
              </w:tc>
              <w:tc>
                <w:tcPr>
                  <w:tcW w:w="814" w:type="dxa"/>
                  <w:vMerge w:val="continue"/>
                  <w:noWrap w:val="0"/>
                  <w:vAlign w:val="center"/>
                </w:tcPr>
                <w:p w14:paraId="6EE13446">
                  <w:pPr>
                    <w:pStyle w:val="67"/>
                    <w:jc w:val="center"/>
                    <w:rPr>
                      <w:rFonts w:ascii="Times New Roman" w:cs="Times New Roman"/>
                      <w:color w:val="auto"/>
                      <w:sz w:val="21"/>
                      <w:szCs w:val="21"/>
                      <w:highlight w:val="none"/>
                    </w:rPr>
                  </w:pPr>
                </w:p>
              </w:tc>
              <w:tc>
                <w:tcPr>
                  <w:tcW w:w="1196" w:type="dxa"/>
                  <w:noWrap w:val="0"/>
                  <w:vAlign w:val="center"/>
                </w:tcPr>
                <w:p w14:paraId="7139ABE4">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321-010-48</w:t>
                  </w:r>
                </w:p>
              </w:tc>
              <w:tc>
                <w:tcPr>
                  <w:tcW w:w="2960" w:type="dxa"/>
                  <w:noWrap w:val="0"/>
                  <w:vAlign w:val="center"/>
                </w:tcPr>
                <w:p w14:paraId="388394CA">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铅锌冶炼过程中，氧化锌浸出处理产生的氧化锌浸出渣</w:t>
                  </w:r>
                </w:p>
              </w:tc>
              <w:tc>
                <w:tcPr>
                  <w:tcW w:w="872" w:type="dxa"/>
                  <w:noWrap w:val="0"/>
                  <w:vAlign w:val="center"/>
                </w:tcPr>
                <w:p w14:paraId="53A03AA4">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42B7CCCF">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188A453F">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550DC5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1417EC40">
                  <w:pPr>
                    <w:pStyle w:val="67"/>
                    <w:jc w:val="center"/>
                    <w:rPr>
                      <w:rFonts w:ascii="Times New Roman" w:cs="Times New Roman"/>
                      <w:color w:val="auto"/>
                      <w:sz w:val="21"/>
                      <w:szCs w:val="21"/>
                      <w:highlight w:val="none"/>
                    </w:rPr>
                  </w:pPr>
                </w:p>
              </w:tc>
              <w:tc>
                <w:tcPr>
                  <w:tcW w:w="814" w:type="dxa"/>
                  <w:vMerge w:val="continue"/>
                  <w:noWrap w:val="0"/>
                  <w:vAlign w:val="center"/>
                </w:tcPr>
                <w:p w14:paraId="671A84F5">
                  <w:pPr>
                    <w:pStyle w:val="67"/>
                    <w:jc w:val="center"/>
                    <w:rPr>
                      <w:rFonts w:ascii="Times New Roman" w:cs="Times New Roman"/>
                      <w:color w:val="auto"/>
                      <w:sz w:val="21"/>
                      <w:szCs w:val="21"/>
                      <w:highlight w:val="none"/>
                    </w:rPr>
                  </w:pPr>
                </w:p>
              </w:tc>
              <w:tc>
                <w:tcPr>
                  <w:tcW w:w="1196" w:type="dxa"/>
                  <w:noWrap w:val="0"/>
                  <w:vAlign w:val="center"/>
                </w:tcPr>
                <w:p w14:paraId="67D72267">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321-011-48</w:t>
                  </w:r>
                </w:p>
              </w:tc>
              <w:tc>
                <w:tcPr>
                  <w:tcW w:w="2960" w:type="dxa"/>
                  <w:noWrap w:val="0"/>
                  <w:vAlign w:val="center"/>
                </w:tcPr>
                <w:p w14:paraId="2F24AA39">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铅锌冶炼过程中，鼓风炉炼锌锌</w:t>
                  </w:r>
                  <w:r>
                    <w:rPr>
                      <w:rFonts w:hint="eastAsia"/>
                      <w:kern w:val="0"/>
                      <w:szCs w:val="21"/>
                      <w:highlight w:val="none"/>
                      <w:lang w:eastAsia="zh-CN" w:bidi="ar"/>
                    </w:rPr>
                    <w:t>蒸汽</w:t>
                  </w:r>
                  <w:r>
                    <w:rPr>
                      <w:rFonts w:ascii="Times New Roman" w:hAnsi="Times New Roman"/>
                      <w:kern w:val="0"/>
                      <w:szCs w:val="21"/>
                      <w:highlight w:val="none"/>
                      <w:lang w:bidi="ar"/>
                    </w:rPr>
                    <w:t>冷凝分离系统产生的鼓风炉浮渣</w:t>
                  </w:r>
                </w:p>
              </w:tc>
              <w:tc>
                <w:tcPr>
                  <w:tcW w:w="872" w:type="dxa"/>
                  <w:noWrap w:val="0"/>
                  <w:vAlign w:val="center"/>
                </w:tcPr>
                <w:p w14:paraId="77A85820">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0CDECF3C">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22ECF805">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3FB8F9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211C2E10">
                  <w:pPr>
                    <w:pStyle w:val="67"/>
                    <w:jc w:val="center"/>
                    <w:rPr>
                      <w:rFonts w:ascii="Times New Roman" w:cs="Times New Roman"/>
                      <w:color w:val="auto"/>
                      <w:sz w:val="21"/>
                      <w:szCs w:val="21"/>
                      <w:highlight w:val="none"/>
                    </w:rPr>
                  </w:pPr>
                </w:p>
              </w:tc>
              <w:tc>
                <w:tcPr>
                  <w:tcW w:w="814" w:type="dxa"/>
                  <w:vMerge w:val="continue"/>
                  <w:noWrap w:val="0"/>
                  <w:vAlign w:val="center"/>
                </w:tcPr>
                <w:p w14:paraId="54DB02F6">
                  <w:pPr>
                    <w:pStyle w:val="67"/>
                    <w:jc w:val="center"/>
                    <w:rPr>
                      <w:rFonts w:ascii="Times New Roman" w:cs="Times New Roman"/>
                      <w:color w:val="auto"/>
                      <w:sz w:val="21"/>
                      <w:szCs w:val="21"/>
                      <w:highlight w:val="none"/>
                    </w:rPr>
                  </w:pPr>
                </w:p>
              </w:tc>
              <w:tc>
                <w:tcPr>
                  <w:tcW w:w="1196" w:type="dxa"/>
                  <w:noWrap w:val="0"/>
                  <w:vAlign w:val="center"/>
                </w:tcPr>
                <w:p w14:paraId="0481DA1A">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321-012-48</w:t>
                  </w:r>
                </w:p>
              </w:tc>
              <w:tc>
                <w:tcPr>
                  <w:tcW w:w="2960" w:type="dxa"/>
                  <w:noWrap w:val="0"/>
                  <w:vAlign w:val="center"/>
                </w:tcPr>
                <w:p w14:paraId="3DA31AEE">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铅锌冶炼过程中，锌精馏炉产生的锌渣</w:t>
                  </w:r>
                </w:p>
              </w:tc>
              <w:tc>
                <w:tcPr>
                  <w:tcW w:w="872" w:type="dxa"/>
                  <w:noWrap w:val="0"/>
                  <w:vAlign w:val="center"/>
                </w:tcPr>
                <w:p w14:paraId="1297C3BF">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57D76F3C">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02D1C342">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3B0B2D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1FF62F81">
                  <w:pPr>
                    <w:pStyle w:val="67"/>
                    <w:jc w:val="center"/>
                    <w:rPr>
                      <w:rFonts w:ascii="Times New Roman" w:cs="Times New Roman"/>
                      <w:color w:val="auto"/>
                      <w:sz w:val="21"/>
                      <w:szCs w:val="21"/>
                      <w:highlight w:val="none"/>
                    </w:rPr>
                  </w:pPr>
                </w:p>
              </w:tc>
              <w:tc>
                <w:tcPr>
                  <w:tcW w:w="814" w:type="dxa"/>
                  <w:vMerge w:val="continue"/>
                  <w:noWrap w:val="0"/>
                  <w:vAlign w:val="center"/>
                </w:tcPr>
                <w:p w14:paraId="38C86285">
                  <w:pPr>
                    <w:pStyle w:val="67"/>
                    <w:jc w:val="center"/>
                    <w:rPr>
                      <w:rFonts w:ascii="Times New Roman" w:cs="Times New Roman"/>
                      <w:color w:val="auto"/>
                      <w:sz w:val="21"/>
                      <w:szCs w:val="21"/>
                      <w:highlight w:val="none"/>
                    </w:rPr>
                  </w:pPr>
                </w:p>
              </w:tc>
              <w:tc>
                <w:tcPr>
                  <w:tcW w:w="1196" w:type="dxa"/>
                  <w:noWrap w:val="0"/>
                  <w:vAlign w:val="center"/>
                </w:tcPr>
                <w:p w14:paraId="2E6B2C99">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321-013-48</w:t>
                  </w:r>
                </w:p>
              </w:tc>
              <w:tc>
                <w:tcPr>
                  <w:tcW w:w="2960" w:type="dxa"/>
                  <w:noWrap w:val="0"/>
                  <w:vAlign w:val="center"/>
                </w:tcPr>
                <w:p w14:paraId="0D948B90">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铅锌冶炼过程中，提取金、银、铋、镉、钴、铟、锗、铊、碲等金属过程中产生的废渣</w:t>
                  </w:r>
                </w:p>
              </w:tc>
              <w:tc>
                <w:tcPr>
                  <w:tcW w:w="872" w:type="dxa"/>
                  <w:noWrap w:val="0"/>
                  <w:vAlign w:val="center"/>
                </w:tcPr>
                <w:p w14:paraId="500A1BBF">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13327265">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0DF7C15D">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4A046C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497DFBE9">
                  <w:pPr>
                    <w:pStyle w:val="67"/>
                    <w:jc w:val="center"/>
                    <w:rPr>
                      <w:rFonts w:ascii="Times New Roman" w:cs="Times New Roman"/>
                      <w:color w:val="auto"/>
                      <w:sz w:val="21"/>
                      <w:szCs w:val="21"/>
                      <w:highlight w:val="none"/>
                    </w:rPr>
                  </w:pPr>
                </w:p>
              </w:tc>
              <w:tc>
                <w:tcPr>
                  <w:tcW w:w="814" w:type="dxa"/>
                  <w:vMerge w:val="continue"/>
                  <w:noWrap w:val="0"/>
                  <w:vAlign w:val="center"/>
                </w:tcPr>
                <w:p w14:paraId="2371D693">
                  <w:pPr>
                    <w:pStyle w:val="67"/>
                    <w:jc w:val="center"/>
                    <w:rPr>
                      <w:rFonts w:ascii="Times New Roman" w:cs="Times New Roman"/>
                      <w:color w:val="auto"/>
                      <w:sz w:val="21"/>
                      <w:szCs w:val="21"/>
                      <w:highlight w:val="none"/>
                    </w:rPr>
                  </w:pPr>
                </w:p>
              </w:tc>
              <w:tc>
                <w:tcPr>
                  <w:tcW w:w="1196" w:type="dxa"/>
                  <w:noWrap w:val="0"/>
                  <w:vAlign w:val="center"/>
                </w:tcPr>
                <w:p w14:paraId="5D49EF78">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321-014-48</w:t>
                  </w:r>
                </w:p>
              </w:tc>
              <w:tc>
                <w:tcPr>
                  <w:tcW w:w="2960" w:type="dxa"/>
                  <w:noWrap w:val="0"/>
                  <w:vAlign w:val="center"/>
                </w:tcPr>
                <w:p w14:paraId="71626260">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铅锌冶炼过程中，集（除）尘装置收集的粉尘</w:t>
                  </w:r>
                </w:p>
              </w:tc>
              <w:tc>
                <w:tcPr>
                  <w:tcW w:w="872" w:type="dxa"/>
                  <w:noWrap w:val="0"/>
                  <w:vAlign w:val="center"/>
                </w:tcPr>
                <w:p w14:paraId="7E9BF4A9">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4EA2B4C3">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0DEEA866">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4F269C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2A2B72BC">
                  <w:pPr>
                    <w:pStyle w:val="67"/>
                    <w:jc w:val="center"/>
                    <w:rPr>
                      <w:rFonts w:ascii="Times New Roman" w:cs="Times New Roman"/>
                      <w:color w:val="auto"/>
                      <w:sz w:val="21"/>
                      <w:szCs w:val="21"/>
                      <w:highlight w:val="none"/>
                    </w:rPr>
                  </w:pPr>
                </w:p>
              </w:tc>
              <w:tc>
                <w:tcPr>
                  <w:tcW w:w="814" w:type="dxa"/>
                  <w:vMerge w:val="continue"/>
                  <w:noWrap w:val="0"/>
                  <w:vAlign w:val="center"/>
                </w:tcPr>
                <w:p w14:paraId="306FD12B">
                  <w:pPr>
                    <w:pStyle w:val="67"/>
                    <w:jc w:val="center"/>
                    <w:rPr>
                      <w:rFonts w:ascii="Times New Roman" w:cs="Times New Roman"/>
                      <w:color w:val="auto"/>
                      <w:sz w:val="21"/>
                      <w:szCs w:val="21"/>
                      <w:highlight w:val="none"/>
                    </w:rPr>
                  </w:pPr>
                </w:p>
              </w:tc>
              <w:tc>
                <w:tcPr>
                  <w:tcW w:w="1196" w:type="dxa"/>
                  <w:noWrap w:val="0"/>
                  <w:vAlign w:val="center"/>
                </w:tcPr>
                <w:p w14:paraId="44AF4D6D">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321-016-48</w:t>
                  </w:r>
                </w:p>
              </w:tc>
              <w:tc>
                <w:tcPr>
                  <w:tcW w:w="2960" w:type="dxa"/>
                  <w:noWrap w:val="0"/>
                  <w:vAlign w:val="center"/>
                </w:tcPr>
                <w:p w14:paraId="7DEAC3FC">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粗铅精炼过程中产生的浮渣和底渣</w:t>
                  </w:r>
                </w:p>
              </w:tc>
              <w:tc>
                <w:tcPr>
                  <w:tcW w:w="872" w:type="dxa"/>
                  <w:noWrap w:val="0"/>
                  <w:vAlign w:val="center"/>
                </w:tcPr>
                <w:p w14:paraId="5009C709">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347BEFE1">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5B847AEC">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0F69BA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2F394A40">
                  <w:pPr>
                    <w:pStyle w:val="67"/>
                    <w:jc w:val="center"/>
                    <w:rPr>
                      <w:rFonts w:ascii="Times New Roman" w:cs="Times New Roman"/>
                      <w:color w:val="auto"/>
                      <w:sz w:val="21"/>
                      <w:szCs w:val="21"/>
                      <w:highlight w:val="none"/>
                    </w:rPr>
                  </w:pPr>
                </w:p>
              </w:tc>
              <w:tc>
                <w:tcPr>
                  <w:tcW w:w="814" w:type="dxa"/>
                  <w:vMerge w:val="continue"/>
                  <w:noWrap w:val="0"/>
                  <w:vAlign w:val="center"/>
                </w:tcPr>
                <w:p w14:paraId="599273CC">
                  <w:pPr>
                    <w:pStyle w:val="67"/>
                    <w:jc w:val="center"/>
                    <w:rPr>
                      <w:rFonts w:ascii="Times New Roman" w:cs="Times New Roman"/>
                      <w:color w:val="auto"/>
                      <w:sz w:val="21"/>
                      <w:szCs w:val="21"/>
                      <w:highlight w:val="none"/>
                    </w:rPr>
                  </w:pPr>
                </w:p>
              </w:tc>
              <w:tc>
                <w:tcPr>
                  <w:tcW w:w="1196" w:type="dxa"/>
                  <w:noWrap w:val="0"/>
                  <w:vAlign w:val="center"/>
                </w:tcPr>
                <w:p w14:paraId="1278AB4A">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321-017-48</w:t>
                  </w:r>
                </w:p>
              </w:tc>
              <w:tc>
                <w:tcPr>
                  <w:tcW w:w="2960" w:type="dxa"/>
                  <w:noWrap w:val="0"/>
                  <w:vAlign w:val="center"/>
                </w:tcPr>
                <w:p w14:paraId="559B092C">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铅锌冶炼过程中，炼铅鼓风炉产生的黄渣</w:t>
                  </w:r>
                </w:p>
              </w:tc>
              <w:tc>
                <w:tcPr>
                  <w:tcW w:w="872" w:type="dxa"/>
                  <w:noWrap w:val="0"/>
                  <w:vAlign w:val="center"/>
                </w:tcPr>
                <w:p w14:paraId="7A3AF50B">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27318EFA">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1F6BBF2C">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567CD8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2336B6DF">
                  <w:pPr>
                    <w:pStyle w:val="67"/>
                    <w:jc w:val="center"/>
                    <w:rPr>
                      <w:rFonts w:ascii="Times New Roman" w:cs="Times New Roman"/>
                      <w:color w:val="auto"/>
                      <w:sz w:val="21"/>
                      <w:szCs w:val="21"/>
                      <w:highlight w:val="none"/>
                    </w:rPr>
                  </w:pPr>
                </w:p>
              </w:tc>
              <w:tc>
                <w:tcPr>
                  <w:tcW w:w="814" w:type="dxa"/>
                  <w:vMerge w:val="continue"/>
                  <w:noWrap w:val="0"/>
                  <w:vAlign w:val="center"/>
                </w:tcPr>
                <w:p w14:paraId="72809C09">
                  <w:pPr>
                    <w:pStyle w:val="67"/>
                    <w:jc w:val="center"/>
                    <w:rPr>
                      <w:rFonts w:ascii="Times New Roman" w:cs="Times New Roman"/>
                      <w:color w:val="auto"/>
                      <w:sz w:val="21"/>
                      <w:szCs w:val="21"/>
                      <w:highlight w:val="none"/>
                    </w:rPr>
                  </w:pPr>
                </w:p>
              </w:tc>
              <w:tc>
                <w:tcPr>
                  <w:tcW w:w="1196" w:type="dxa"/>
                  <w:noWrap w:val="0"/>
                  <w:vAlign w:val="center"/>
                </w:tcPr>
                <w:p w14:paraId="3E44F5C7">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321-018-48</w:t>
                  </w:r>
                </w:p>
              </w:tc>
              <w:tc>
                <w:tcPr>
                  <w:tcW w:w="2960" w:type="dxa"/>
                  <w:noWrap w:val="0"/>
                  <w:vAlign w:val="center"/>
                </w:tcPr>
                <w:p w14:paraId="1D5B8F7C">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铅锌冶炼过程中，粗铅火法精炼产生的精炼渣</w:t>
                  </w:r>
                </w:p>
              </w:tc>
              <w:tc>
                <w:tcPr>
                  <w:tcW w:w="872" w:type="dxa"/>
                  <w:noWrap w:val="0"/>
                  <w:vAlign w:val="center"/>
                </w:tcPr>
                <w:p w14:paraId="2FD27353">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5D157212">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59BD5EE6">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2DDD5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45ECB75D">
                  <w:pPr>
                    <w:pStyle w:val="67"/>
                    <w:jc w:val="center"/>
                    <w:rPr>
                      <w:rFonts w:ascii="Times New Roman" w:cs="Times New Roman"/>
                      <w:color w:val="auto"/>
                      <w:sz w:val="21"/>
                      <w:szCs w:val="21"/>
                      <w:highlight w:val="none"/>
                    </w:rPr>
                  </w:pPr>
                </w:p>
              </w:tc>
              <w:tc>
                <w:tcPr>
                  <w:tcW w:w="814" w:type="dxa"/>
                  <w:vMerge w:val="continue"/>
                  <w:noWrap w:val="0"/>
                  <w:vAlign w:val="center"/>
                </w:tcPr>
                <w:p w14:paraId="2481DAD4">
                  <w:pPr>
                    <w:pStyle w:val="67"/>
                    <w:jc w:val="center"/>
                    <w:rPr>
                      <w:rFonts w:ascii="Times New Roman" w:cs="Times New Roman"/>
                      <w:color w:val="auto"/>
                      <w:sz w:val="21"/>
                      <w:szCs w:val="21"/>
                      <w:highlight w:val="none"/>
                    </w:rPr>
                  </w:pPr>
                </w:p>
              </w:tc>
              <w:tc>
                <w:tcPr>
                  <w:tcW w:w="1196" w:type="dxa"/>
                  <w:noWrap w:val="0"/>
                  <w:vAlign w:val="center"/>
                </w:tcPr>
                <w:p w14:paraId="46A7389A">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321-019-48</w:t>
                  </w:r>
                </w:p>
              </w:tc>
              <w:tc>
                <w:tcPr>
                  <w:tcW w:w="2960" w:type="dxa"/>
                  <w:noWrap w:val="0"/>
                  <w:vAlign w:val="center"/>
                </w:tcPr>
                <w:p w14:paraId="6C4776DC">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铅锌冶炼过程中，铅电解产生的阳极泥及阳极泥处理后产生的含铅废渣和废水处理污泥</w:t>
                  </w:r>
                </w:p>
              </w:tc>
              <w:tc>
                <w:tcPr>
                  <w:tcW w:w="872" w:type="dxa"/>
                  <w:noWrap w:val="0"/>
                  <w:vAlign w:val="center"/>
                </w:tcPr>
                <w:p w14:paraId="4DCB54D2">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60B727A8">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4C029791">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5851EA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6BAE0CF8">
                  <w:pPr>
                    <w:pStyle w:val="67"/>
                    <w:jc w:val="center"/>
                    <w:rPr>
                      <w:rFonts w:ascii="Times New Roman" w:cs="Times New Roman"/>
                      <w:color w:val="auto"/>
                      <w:sz w:val="21"/>
                      <w:szCs w:val="21"/>
                      <w:highlight w:val="none"/>
                    </w:rPr>
                  </w:pPr>
                </w:p>
              </w:tc>
              <w:tc>
                <w:tcPr>
                  <w:tcW w:w="814" w:type="dxa"/>
                  <w:vMerge w:val="continue"/>
                  <w:noWrap w:val="0"/>
                  <w:vAlign w:val="center"/>
                </w:tcPr>
                <w:p w14:paraId="11A3DCCA">
                  <w:pPr>
                    <w:pStyle w:val="67"/>
                    <w:jc w:val="center"/>
                    <w:rPr>
                      <w:rFonts w:ascii="Times New Roman" w:cs="Times New Roman"/>
                      <w:color w:val="auto"/>
                      <w:sz w:val="21"/>
                      <w:szCs w:val="21"/>
                      <w:highlight w:val="none"/>
                    </w:rPr>
                  </w:pPr>
                </w:p>
              </w:tc>
              <w:tc>
                <w:tcPr>
                  <w:tcW w:w="1196" w:type="dxa"/>
                  <w:noWrap w:val="0"/>
                  <w:vAlign w:val="center"/>
                </w:tcPr>
                <w:p w14:paraId="623A1687">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321-020-48</w:t>
                  </w:r>
                </w:p>
              </w:tc>
              <w:tc>
                <w:tcPr>
                  <w:tcW w:w="2960" w:type="dxa"/>
                  <w:noWrap w:val="0"/>
                  <w:vAlign w:val="center"/>
                </w:tcPr>
                <w:p w14:paraId="27805448">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铅锌冶炼过程中，阴极铅精炼产生的氧化铅渣及碱渣</w:t>
                  </w:r>
                </w:p>
              </w:tc>
              <w:tc>
                <w:tcPr>
                  <w:tcW w:w="872" w:type="dxa"/>
                  <w:noWrap w:val="0"/>
                  <w:vAlign w:val="center"/>
                </w:tcPr>
                <w:p w14:paraId="22FE95AF">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2AD34486">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1C9A3925">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10AAA6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53292B07">
                  <w:pPr>
                    <w:pStyle w:val="67"/>
                    <w:jc w:val="center"/>
                    <w:rPr>
                      <w:rFonts w:ascii="Times New Roman" w:cs="Times New Roman"/>
                      <w:color w:val="auto"/>
                      <w:sz w:val="21"/>
                      <w:szCs w:val="21"/>
                      <w:highlight w:val="none"/>
                    </w:rPr>
                  </w:pPr>
                </w:p>
              </w:tc>
              <w:tc>
                <w:tcPr>
                  <w:tcW w:w="814" w:type="dxa"/>
                  <w:vMerge w:val="continue"/>
                  <w:noWrap w:val="0"/>
                  <w:vAlign w:val="center"/>
                </w:tcPr>
                <w:p w14:paraId="0F7DE1AE">
                  <w:pPr>
                    <w:pStyle w:val="67"/>
                    <w:jc w:val="center"/>
                    <w:rPr>
                      <w:rFonts w:ascii="Times New Roman" w:cs="Times New Roman"/>
                      <w:color w:val="auto"/>
                      <w:sz w:val="21"/>
                      <w:szCs w:val="21"/>
                      <w:highlight w:val="none"/>
                    </w:rPr>
                  </w:pPr>
                </w:p>
              </w:tc>
              <w:tc>
                <w:tcPr>
                  <w:tcW w:w="1196" w:type="dxa"/>
                  <w:noWrap w:val="0"/>
                  <w:vAlign w:val="center"/>
                </w:tcPr>
                <w:p w14:paraId="51C6D102">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321-021-48</w:t>
                  </w:r>
                </w:p>
              </w:tc>
              <w:tc>
                <w:tcPr>
                  <w:tcW w:w="2960" w:type="dxa"/>
                  <w:noWrap w:val="0"/>
                  <w:vAlign w:val="center"/>
                </w:tcPr>
                <w:p w14:paraId="0ABA1AB3">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铅锌冶炼过程中，锌焙烧矿热酸浸出黄钾铁矾法、热酸浸出针铁矿法产生的铅银渣</w:t>
                  </w:r>
                </w:p>
              </w:tc>
              <w:tc>
                <w:tcPr>
                  <w:tcW w:w="872" w:type="dxa"/>
                  <w:noWrap w:val="0"/>
                  <w:vAlign w:val="center"/>
                </w:tcPr>
                <w:p w14:paraId="5D9120DA">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32E1EB8B">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44DAA87B">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7CE3A1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27DC3254">
                  <w:pPr>
                    <w:pStyle w:val="67"/>
                    <w:jc w:val="center"/>
                    <w:rPr>
                      <w:rFonts w:ascii="Times New Roman" w:cs="Times New Roman"/>
                      <w:color w:val="auto"/>
                      <w:sz w:val="21"/>
                      <w:szCs w:val="21"/>
                      <w:highlight w:val="none"/>
                    </w:rPr>
                  </w:pPr>
                </w:p>
              </w:tc>
              <w:tc>
                <w:tcPr>
                  <w:tcW w:w="814" w:type="dxa"/>
                  <w:vMerge w:val="continue"/>
                  <w:noWrap w:val="0"/>
                  <w:vAlign w:val="center"/>
                </w:tcPr>
                <w:p w14:paraId="79A01611">
                  <w:pPr>
                    <w:pStyle w:val="67"/>
                    <w:jc w:val="center"/>
                    <w:rPr>
                      <w:rFonts w:ascii="Times New Roman" w:cs="Times New Roman"/>
                      <w:color w:val="auto"/>
                      <w:sz w:val="21"/>
                      <w:szCs w:val="21"/>
                      <w:highlight w:val="none"/>
                    </w:rPr>
                  </w:pPr>
                </w:p>
              </w:tc>
              <w:tc>
                <w:tcPr>
                  <w:tcW w:w="1196" w:type="dxa"/>
                  <w:noWrap w:val="0"/>
                  <w:vAlign w:val="center"/>
                </w:tcPr>
                <w:p w14:paraId="216A57A1">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321-022-48</w:t>
                  </w:r>
                </w:p>
              </w:tc>
              <w:tc>
                <w:tcPr>
                  <w:tcW w:w="2960" w:type="dxa"/>
                  <w:noWrap w:val="0"/>
                  <w:vAlign w:val="center"/>
                </w:tcPr>
                <w:p w14:paraId="2BED656F">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铅锌冶炼烟气净化产生的污酸除砷处理过程产生的砷渣</w:t>
                  </w:r>
                </w:p>
              </w:tc>
              <w:tc>
                <w:tcPr>
                  <w:tcW w:w="872" w:type="dxa"/>
                  <w:noWrap w:val="0"/>
                  <w:vAlign w:val="center"/>
                </w:tcPr>
                <w:p w14:paraId="3A475775">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14C95702">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1EBF8908">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08FB0C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35CDE7A3">
                  <w:pPr>
                    <w:pStyle w:val="67"/>
                    <w:jc w:val="center"/>
                    <w:rPr>
                      <w:rFonts w:ascii="Times New Roman" w:cs="Times New Roman"/>
                      <w:color w:val="auto"/>
                      <w:sz w:val="21"/>
                      <w:szCs w:val="21"/>
                      <w:highlight w:val="none"/>
                    </w:rPr>
                  </w:pPr>
                </w:p>
              </w:tc>
              <w:tc>
                <w:tcPr>
                  <w:tcW w:w="814" w:type="dxa"/>
                  <w:vMerge w:val="continue"/>
                  <w:noWrap w:val="0"/>
                  <w:vAlign w:val="center"/>
                </w:tcPr>
                <w:p w14:paraId="407179B9">
                  <w:pPr>
                    <w:pStyle w:val="67"/>
                    <w:jc w:val="center"/>
                    <w:rPr>
                      <w:rFonts w:ascii="Times New Roman" w:cs="Times New Roman"/>
                      <w:color w:val="auto"/>
                      <w:sz w:val="21"/>
                      <w:szCs w:val="21"/>
                      <w:highlight w:val="none"/>
                    </w:rPr>
                  </w:pPr>
                </w:p>
              </w:tc>
              <w:tc>
                <w:tcPr>
                  <w:tcW w:w="1196" w:type="dxa"/>
                  <w:noWrap w:val="0"/>
                  <w:vAlign w:val="center"/>
                </w:tcPr>
                <w:p w14:paraId="1E64E298">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321-023-48</w:t>
                  </w:r>
                </w:p>
              </w:tc>
              <w:tc>
                <w:tcPr>
                  <w:tcW w:w="2960" w:type="dxa"/>
                  <w:noWrap w:val="0"/>
                  <w:vAlign w:val="center"/>
                </w:tcPr>
                <w:p w14:paraId="7C43C5F3">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电解铝生产过程电解槽阴极内衬维修、更换产生的废渣（大修渣）</w:t>
                  </w:r>
                </w:p>
              </w:tc>
              <w:tc>
                <w:tcPr>
                  <w:tcW w:w="872" w:type="dxa"/>
                  <w:noWrap w:val="0"/>
                  <w:vAlign w:val="center"/>
                </w:tcPr>
                <w:p w14:paraId="116B1E07">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00D7B230">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62F6E099">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43E8C7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7F7683C9">
                  <w:pPr>
                    <w:pStyle w:val="67"/>
                    <w:jc w:val="center"/>
                    <w:rPr>
                      <w:rFonts w:ascii="Times New Roman" w:cs="Times New Roman"/>
                      <w:color w:val="auto"/>
                      <w:sz w:val="21"/>
                      <w:szCs w:val="21"/>
                      <w:highlight w:val="none"/>
                    </w:rPr>
                  </w:pPr>
                </w:p>
              </w:tc>
              <w:tc>
                <w:tcPr>
                  <w:tcW w:w="814" w:type="dxa"/>
                  <w:vMerge w:val="continue"/>
                  <w:noWrap w:val="0"/>
                  <w:vAlign w:val="center"/>
                </w:tcPr>
                <w:p w14:paraId="5823ACA5">
                  <w:pPr>
                    <w:pStyle w:val="67"/>
                    <w:jc w:val="center"/>
                    <w:rPr>
                      <w:rFonts w:ascii="Times New Roman" w:cs="Times New Roman"/>
                      <w:color w:val="auto"/>
                      <w:sz w:val="21"/>
                      <w:szCs w:val="21"/>
                      <w:highlight w:val="none"/>
                    </w:rPr>
                  </w:pPr>
                </w:p>
              </w:tc>
              <w:tc>
                <w:tcPr>
                  <w:tcW w:w="1196" w:type="dxa"/>
                  <w:noWrap w:val="0"/>
                  <w:vAlign w:val="center"/>
                </w:tcPr>
                <w:p w14:paraId="0D0F29EB">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321-024-48</w:t>
                  </w:r>
                </w:p>
              </w:tc>
              <w:tc>
                <w:tcPr>
                  <w:tcW w:w="2960" w:type="dxa"/>
                  <w:noWrap w:val="0"/>
                  <w:vAlign w:val="center"/>
                </w:tcPr>
                <w:p w14:paraId="6BE45E27">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电解铝铝液转移、精炼、合金化、铸造过程熔体表面产生的铝灰渣，以及回收铝过程产生的盐渣和二次铝灰</w:t>
                  </w:r>
                </w:p>
              </w:tc>
              <w:tc>
                <w:tcPr>
                  <w:tcW w:w="872" w:type="dxa"/>
                  <w:noWrap w:val="0"/>
                  <w:vAlign w:val="center"/>
                </w:tcPr>
                <w:p w14:paraId="6CD876BA">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R,T</w:t>
                  </w:r>
                </w:p>
              </w:tc>
              <w:tc>
                <w:tcPr>
                  <w:tcW w:w="843" w:type="dxa"/>
                  <w:shd w:val="clear" w:color="auto" w:fill="auto"/>
                  <w:noWrap w:val="0"/>
                  <w:vAlign w:val="center"/>
                </w:tcPr>
                <w:p w14:paraId="4E04B5C1">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5024F1BA">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6C2ADC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336C9293">
                  <w:pPr>
                    <w:pStyle w:val="67"/>
                    <w:jc w:val="center"/>
                    <w:rPr>
                      <w:rFonts w:ascii="Times New Roman" w:cs="Times New Roman"/>
                      <w:color w:val="auto"/>
                      <w:sz w:val="21"/>
                      <w:szCs w:val="21"/>
                      <w:highlight w:val="none"/>
                    </w:rPr>
                  </w:pPr>
                </w:p>
              </w:tc>
              <w:tc>
                <w:tcPr>
                  <w:tcW w:w="814" w:type="dxa"/>
                  <w:vMerge w:val="continue"/>
                  <w:noWrap w:val="0"/>
                  <w:vAlign w:val="center"/>
                </w:tcPr>
                <w:p w14:paraId="49D4CFA3">
                  <w:pPr>
                    <w:pStyle w:val="67"/>
                    <w:jc w:val="center"/>
                    <w:rPr>
                      <w:rFonts w:ascii="Times New Roman" w:cs="Times New Roman"/>
                      <w:color w:val="auto"/>
                      <w:sz w:val="21"/>
                      <w:szCs w:val="21"/>
                      <w:highlight w:val="none"/>
                    </w:rPr>
                  </w:pPr>
                </w:p>
              </w:tc>
              <w:tc>
                <w:tcPr>
                  <w:tcW w:w="1196" w:type="dxa"/>
                  <w:noWrap w:val="0"/>
                  <w:vAlign w:val="center"/>
                </w:tcPr>
                <w:p w14:paraId="68B4B019">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321-025-48</w:t>
                  </w:r>
                </w:p>
              </w:tc>
              <w:tc>
                <w:tcPr>
                  <w:tcW w:w="2960" w:type="dxa"/>
                  <w:noWrap w:val="0"/>
                  <w:vAlign w:val="center"/>
                </w:tcPr>
                <w:p w14:paraId="537B8C09">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电解铝生产过程产生的炭渣</w:t>
                  </w:r>
                </w:p>
              </w:tc>
              <w:tc>
                <w:tcPr>
                  <w:tcW w:w="872" w:type="dxa"/>
                  <w:noWrap w:val="0"/>
                  <w:vAlign w:val="center"/>
                </w:tcPr>
                <w:p w14:paraId="34FA4D04">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noWrap w:val="0"/>
                  <w:vAlign w:val="center"/>
                </w:tcPr>
                <w:p w14:paraId="107BEFB6">
                  <w:pPr>
                    <w:widowControl/>
                    <w:jc w:val="center"/>
                    <w:textAlignment w:val="center"/>
                    <w:rPr>
                      <w:rFonts w:ascii="Times New Roman" w:hAnsi="Times New Roman"/>
                      <w:kern w:val="0"/>
                      <w:szCs w:val="21"/>
                      <w:highlight w:val="none"/>
                      <w:lang w:bidi="ar"/>
                    </w:rPr>
                  </w:pPr>
                </w:p>
              </w:tc>
              <w:tc>
                <w:tcPr>
                  <w:tcW w:w="844" w:type="dxa"/>
                  <w:noWrap w:val="0"/>
                  <w:vAlign w:val="center"/>
                </w:tcPr>
                <w:p w14:paraId="0CF0409B">
                  <w:pPr>
                    <w:widowControl/>
                    <w:jc w:val="center"/>
                    <w:textAlignment w:val="center"/>
                    <w:rPr>
                      <w:rFonts w:ascii="Times New Roman" w:hAnsi="Times New Roman"/>
                      <w:kern w:val="0"/>
                      <w:szCs w:val="21"/>
                      <w:highlight w:val="none"/>
                      <w:lang w:bidi="ar"/>
                    </w:rPr>
                  </w:pPr>
                </w:p>
              </w:tc>
            </w:tr>
            <w:tr w14:paraId="69FD5B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4959445A">
                  <w:pPr>
                    <w:pStyle w:val="67"/>
                    <w:jc w:val="center"/>
                    <w:rPr>
                      <w:rFonts w:ascii="Times New Roman" w:cs="Times New Roman"/>
                      <w:color w:val="auto"/>
                      <w:sz w:val="21"/>
                      <w:szCs w:val="21"/>
                      <w:highlight w:val="none"/>
                    </w:rPr>
                  </w:pPr>
                </w:p>
              </w:tc>
              <w:tc>
                <w:tcPr>
                  <w:tcW w:w="814" w:type="dxa"/>
                  <w:vMerge w:val="continue"/>
                  <w:noWrap w:val="0"/>
                  <w:vAlign w:val="center"/>
                </w:tcPr>
                <w:p w14:paraId="627C2EA6">
                  <w:pPr>
                    <w:pStyle w:val="67"/>
                    <w:jc w:val="center"/>
                    <w:rPr>
                      <w:rFonts w:ascii="Times New Roman" w:cs="Times New Roman"/>
                      <w:color w:val="auto"/>
                      <w:sz w:val="21"/>
                      <w:szCs w:val="21"/>
                      <w:highlight w:val="none"/>
                    </w:rPr>
                  </w:pPr>
                </w:p>
              </w:tc>
              <w:tc>
                <w:tcPr>
                  <w:tcW w:w="1196" w:type="dxa"/>
                  <w:noWrap w:val="0"/>
                  <w:vAlign w:val="center"/>
                </w:tcPr>
                <w:p w14:paraId="714652E2">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321-026-48</w:t>
                  </w:r>
                </w:p>
              </w:tc>
              <w:tc>
                <w:tcPr>
                  <w:tcW w:w="2960" w:type="dxa"/>
                  <w:noWrap w:val="0"/>
                  <w:vAlign w:val="center"/>
                </w:tcPr>
                <w:p w14:paraId="3141B2C2">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再生铝和铝材加工过程中，废铝及铝锭重熔、精炼、合金化、铸造熔体表面产生的铝灰渣，及其回收铝过程产生的盐渣和二次铝灰</w:t>
                  </w:r>
                </w:p>
              </w:tc>
              <w:tc>
                <w:tcPr>
                  <w:tcW w:w="872" w:type="dxa"/>
                  <w:noWrap w:val="0"/>
                  <w:vAlign w:val="center"/>
                </w:tcPr>
                <w:p w14:paraId="10E5A0CF">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R</w:t>
                  </w:r>
                </w:p>
              </w:tc>
              <w:tc>
                <w:tcPr>
                  <w:tcW w:w="843" w:type="dxa"/>
                  <w:shd w:val="clear" w:color="auto" w:fill="auto"/>
                  <w:noWrap w:val="0"/>
                  <w:vAlign w:val="center"/>
                </w:tcPr>
                <w:p w14:paraId="28571161">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3CF016FD">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184EC3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32ADE4B5">
                  <w:pPr>
                    <w:pStyle w:val="67"/>
                    <w:jc w:val="center"/>
                    <w:rPr>
                      <w:rFonts w:ascii="Times New Roman" w:cs="Times New Roman"/>
                      <w:color w:val="auto"/>
                      <w:sz w:val="21"/>
                      <w:szCs w:val="21"/>
                      <w:highlight w:val="none"/>
                    </w:rPr>
                  </w:pPr>
                </w:p>
              </w:tc>
              <w:tc>
                <w:tcPr>
                  <w:tcW w:w="814" w:type="dxa"/>
                  <w:vMerge w:val="continue"/>
                  <w:noWrap w:val="0"/>
                  <w:vAlign w:val="center"/>
                </w:tcPr>
                <w:p w14:paraId="6E7CFA7C">
                  <w:pPr>
                    <w:pStyle w:val="67"/>
                    <w:jc w:val="center"/>
                    <w:rPr>
                      <w:rFonts w:ascii="Times New Roman" w:cs="Times New Roman"/>
                      <w:color w:val="auto"/>
                      <w:sz w:val="21"/>
                      <w:szCs w:val="21"/>
                      <w:highlight w:val="none"/>
                    </w:rPr>
                  </w:pPr>
                </w:p>
              </w:tc>
              <w:tc>
                <w:tcPr>
                  <w:tcW w:w="1196" w:type="dxa"/>
                  <w:noWrap w:val="0"/>
                  <w:vAlign w:val="center"/>
                </w:tcPr>
                <w:p w14:paraId="35233963">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321-034-48</w:t>
                  </w:r>
                </w:p>
              </w:tc>
              <w:tc>
                <w:tcPr>
                  <w:tcW w:w="2960" w:type="dxa"/>
                  <w:noWrap w:val="0"/>
                  <w:vAlign w:val="center"/>
                </w:tcPr>
                <w:p w14:paraId="7FBF3FB5">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铝灰热回收铝过程烟气处理集（除）尘装置收集的粉尘，铝冶炼和再生过程烟气（包括：再生铝熔炼烟气、铝液熔体净化、除杂、合金化、铸造烟气）处理集（除）尘装置收集的粉尘</w:t>
                  </w:r>
                </w:p>
              </w:tc>
              <w:tc>
                <w:tcPr>
                  <w:tcW w:w="872" w:type="dxa"/>
                  <w:noWrap w:val="0"/>
                  <w:vAlign w:val="center"/>
                </w:tcPr>
                <w:p w14:paraId="5589FD3E">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T,R</w:t>
                  </w:r>
                </w:p>
              </w:tc>
              <w:tc>
                <w:tcPr>
                  <w:tcW w:w="843" w:type="dxa"/>
                  <w:shd w:val="clear" w:color="auto" w:fill="auto"/>
                  <w:noWrap w:val="0"/>
                  <w:vAlign w:val="center"/>
                </w:tcPr>
                <w:p w14:paraId="7981AC56">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516E05EE">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0DC6B0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1F1AC7D9">
                  <w:pPr>
                    <w:pStyle w:val="67"/>
                    <w:jc w:val="center"/>
                    <w:rPr>
                      <w:rFonts w:ascii="Times New Roman" w:cs="Times New Roman"/>
                      <w:color w:val="auto"/>
                      <w:sz w:val="21"/>
                      <w:szCs w:val="21"/>
                      <w:highlight w:val="none"/>
                    </w:rPr>
                  </w:pPr>
                </w:p>
              </w:tc>
              <w:tc>
                <w:tcPr>
                  <w:tcW w:w="814" w:type="dxa"/>
                  <w:vMerge w:val="continue"/>
                  <w:noWrap w:val="0"/>
                  <w:vAlign w:val="center"/>
                </w:tcPr>
                <w:p w14:paraId="220B8961">
                  <w:pPr>
                    <w:pStyle w:val="67"/>
                    <w:jc w:val="center"/>
                    <w:rPr>
                      <w:rFonts w:ascii="Times New Roman" w:cs="Times New Roman"/>
                      <w:color w:val="auto"/>
                      <w:sz w:val="21"/>
                      <w:szCs w:val="21"/>
                      <w:highlight w:val="none"/>
                    </w:rPr>
                  </w:pPr>
                </w:p>
              </w:tc>
              <w:tc>
                <w:tcPr>
                  <w:tcW w:w="1196" w:type="dxa"/>
                  <w:noWrap w:val="0"/>
                  <w:vAlign w:val="center"/>
                </w:tcPr>
                <w:p w14:paraId="4222EB2D">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321-027-48</w:t>
                  </w:r>
                </w:p>
              </w:tc>
              <w:tc>
                <w:tcPr>
                  <w:tcW w:w="2960" w:type="dxa"/>
                  <w:noWrap w:val="0"/>
                  <w:vAlign w:val="center"/>
                </w:tcPr>
                <w:p w14:paraId="2AD4A045">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铜再生过程中集（除）尘装置收集的粉尘和湿法除尘产生的废水处理污泥</w:t>
                  </w:r>
                </w:p>
              </w:tc>
              <w:tc>
                <w:tcPr>
                  <w:tcW w:w="872" w:type="dxa"/>
                  <w:noWrap w:val="0"/>
                  <w:vAlign w:val="center"/>
                </w:tcPr>
                <w:p w14:paraId="2737F45E">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27C201F8">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半固态</w:t>
                  </w:r>
                </w:p>
              </w:tc>
              <w:tc>
                <w:tcPr>
                  <w:tcW w:w="844" w:type="dxa"/>
                  <w:shd w:val="clear" w:color="auto" w:fill="auto"/>
                  <w:noWrap w:val="0"/>
                  <w:vAlign w:val="center"/>
                </w:tcPr>
                <w:p w14:paraId="77172F7E">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桶装</w:t>
                  </w:r>
                </w:p>
              </w:tc>
            </w:tr>
            <w:tr w14:paraId="11F90E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0B837EF2">
                  <w:pPr>
                    <w:pStyle w:val="67"/>
                    <w:jc w:val="center"/>
                    <w:rPr>
                      <w:rFonts w:ascii="Times New Roman" w:cs="Times New Roman"/>
                      <w:color w:val="auto"/>
                      <w:sz w:val="21"/>
                      <w:szCs w:val="21"/>
                      <w:highlight w:val="none"/>
                    </w:rPr>
                  </w:pPr>
                </w:p>
              </w:tc>
              <w:tc>
                <w:tcPr>
                  <w:tcW w:w="814" w:type="dxa"/>
                  <w:vMerge w:val="continue"/>
                  <w:noWrap w:val="0"/>
                  <w:vAlign w:val="center"/>
                </w:tcPr>
                <w:p w14:paraId="122122ED">
                  <w:pPr>
                    <w:pStyle w:val="67"/>
                    <w:jc w:val="center"/>
                    <w:rPr>
                      <w:rFonts w:ascii="Times New Roman" w:cs="Times New Roman"/>
                      <w:color w:val="auto"/>
                      <w:sz w:val="21"/>
                      <w:szCs w:val="21"/>
                      <w:highlight w:val="none"/>
                    </w:rPr>
                  </w:pPr>
                </w:p>
              </w:tc>
              <w:tc>
                <w:tcPr>
                  <w:tcW w:w="1196" w:type="dxa"/>
                  <w:noWrap w:val="0"/>
                  <w:vAlign w:val="center"/>
                </w:tcPr>
                <w:p w14:paraId="70705CBD">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321-028-48</w:t>
                  </w:r>
                </w:p>
              </w:tc>
              <w:tc>
                <w:tcPr>
                  <w:tcW w:w="2960" w:type="dxa"/>
                  <w:noWrap w:val="0"/>
                  <w:vAlign w:val="center"/>
                </w:tcPr>
                <w:p w14:paraId="0784EEB6">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锌再生过程中集（除）尘装置收集的粉尘和湿法除尘产生的废水处理污泥</w:t>
                  </w:r>
                </w:p>
              </w:tc>
              <w:tc>
                <w:tcPr>
                  <w:tcW w:w="872" w:type="dxa"/>
                  <w:noWrap w:val="0"/>
                  <w:vAlign w:val="center"/>
                </w:tcPr>
                <w:p w14:paraId="20D05474">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210F82B2">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半固态</w:t>
                  </w:r>
                </w:p>
              </w:tc>
              <w:tc>
                <w:tcPr>
                  <w:tcW w:w="844" w:type="dxa"/>
                  <w:shd w:val="clear" w:color="auto" w:fill="auto"/>
                  <w:noWrap w:val="0"/>
                  <w:vAlign w:val="center"/>
                </w:tcPr>
                <w:p w14:paraId="582EE21B">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桶装</w:t>
                  </w:r>
                </w:p>
              </w:tc>
            </w:tr>
            <w:tr w14:paraId="01BC8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785D8A48">
                  <w:pPr>
                    <w:pStyle w:val="67"/>
                    <w:jc w:val="center"/>
                    <w:rPr>
                      <w:rFonts w:ascii="Times New Roman" w:cs="Times New Roman"/>
                      <w:color w:val="auto"/>
                      <w:sz w:val="21"/>
                      <w:szCs w:val="21"/>
                      <w:highlight w:val="none"/>
                    </w:rPr>
                  </w:pPr>
                </w:p>
              </w:tc>
              <w:tc>
                <w:tcPr>
                  <w:tcW w:w="814" w:type="dxa"/>
                  <w:vMerge w:val="continue"/>
                  <w:noWrap w:val="0"/>
                  <w:vAlign w:val="center"/>
                </w:tcPr>
                <w:p w14:paraId="546C498B">
                  <w:pPr>
                    <w:pStyle w:val="67"/>
                    <w:jc w:val="center"/>
                    <w:rPr>
                      <w:rFonts w:ascii="Times New Roman" w:cs="Times New Roman"/>
                      <w:color w:val="auto"/>
                      <w:sz w:val="21"/>
                      <w:szCs w:val="21"/>
                      <w:highlight w:val="none"/>
                    </w:rPr>
                  </w:pPr>
                </w:p>
              </w:tc>
              <w:tc>
                <w:tcPr>
                  <w:tcW w:w="1196" w:type="dxa"/>
                  <w:noWrap w:val="0"/>
                  <w:vAlign w:val="center"/>
                </w:tcPr>
                <w:p w14:paraId="5788EB69">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321-029-48</w:t>
                  </w:r>
                </w:p>
              </w:tc>
              <w:tc>
                <w:tcPr>
                  <w:tcW w:w="2960" w:type="dxa"/>
                  <w:noWrap w:val="0"/>
                  <w:vAlign w:val="center"/>
                </w:tcPr>
                <w:p w14:paraId="54730E25">
                  <w:pPr>
                    <w:widowControl/>
                    <w:jc w:val="left"/>
                    <w:rPr>
                      <w:rFonts w:ascii="Times New Roman" w:hAnsi="Times New Roman"/>
                      <w:szCs w:val="21"/>
                      <w:highlight w:val="none"/>
                    </w:rPr>
                  </w:pPr>
                  <w:r>
                    <w:rPr>
                      <w:rFonts w:ascii="Times New Roman" w:hAnsi="Times New Roman"/>
                      <w:kern w:val="0"/>
                      <w:szCs w:val="21"/>
                      <w:highlight w:val="none"/>
                      <w:lang w:bidi="ar"/>
                    </w:rPr>
                    <w:t>铅再生过程中集（除）尘装置收集的粉尘和湿法除尘产生的废水处理污泥</w:t>
                  </w:r>
                </w:p>
              </w:tc>
              <w:tc>
                <w:tcPr>
                  <w:tcW w:w="872" w:type="dxa"/>
                  <w:noWrap w:val="0"/>
                  <w:vAlign w:val="center"/>
                </w:tcPr>
                <w:p w14:paraId="0C3B336A">
                  <w:pPr>
                    <w:widowControl/>
                    <w:jc w:val="center"/>
                    <w:textAlignment w:val="center"/>
                    <w:rPr>
                      <w:rFonts w:ascii="Times New Roman" w:hAnsi="Times New Roman"/>
                      <w:szCs w:val="21"/>
                      <w:highlight w:val="none"/>
                    </w:rPr>
                  </w:pPr>
                  <w:r>
                    <w:rPr>
                      <w:rFonts w:ascii="Times New Roman" w:hAnsi="Times New Roman"/>
                      <w:szCs w:val="21"/>
                      <w:highlight w:val="none"/>
                    </w:rPr>
                    <w:t>T</w:t>
                  </w:r>
                </w:p>
              </w:tc>
              <w:tc>
                <w:tcPr>
                  <w:tcW w:w="843" w:type="dxa"/>
                  <w:shd w:val="clear" w:color="auto" w:fill="auto"/>
                  <w:noWrap w:val="0"/>
                  <w:vAlign w:val="center"/>
                </w:tcPr>
                <w:p w14:paraId="32AD74D9">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半固态</w:t>
                  </w:r>
                </w:p>
              </w:tc>
              <w:tc>
                <w:tcPr>
                  <w:tcW w:w="844" w:type="dxa"/>
                  <w:shd w:val="clear" w:color="auto" w:fill="auto"/>
                  <w:noWrap w:val="0"/>
                  <w:vAlign w:val="center"/>
                </w:tcPr>
                <w:p w14:paraId="477C51A4">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桶装</w:t>
                  </w:r>
                </w:p>
              </w:tc>
            </w:tr>
            <w:tr w14:paraId="777F1E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009046AF">
                  <w:pPr>
                    <w:pStyle w:val="67"/>
                    <w:jc w:val="center"/>
                    <w:rPr>
                      <w:rFonts w:ascii="Times New Roman" w:cs="Times New Roman"/>
                      <w:color w:val="auto"/>
                      <w:sz w:val="21"/>
                      <w:szCs w:val="21"/>
                      <w:highlight w:val="none"/>
                    </w:rPr>
                  </w:pPr>
                </w:p>
              </w:tc>
              <w:tc>
                <w:tcPr>
                  <w:tcW w:w="814" w:type="dxa"/>
                  <w:noWrap w:val="0"/>
                  <w:vAlign w:val="center"/>
                </w:tcPr>
                <w:p w14:paraId="2D650F28">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稀有稀土金属冶炼</w:t>
                  </w:r>
                </w:p>
              </w:tc>
              <w:tc>
                <w:tcPr>
                  <w:tcW w:w="1196" w:type="dxa"/>
                  <w:noWrap w:val="0"/>
                  <w:vAlign w:val="center"/>
                </w:tcPr>
                <w:p w14:paraId="59A4B75E">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323-001-48</w:t>
                  </w:r>
                </w:p>
              </w:tc>
              <w:tc>
                <w:tcPr>
                  <w:tcW w:w="2960" w:type="dxa"/>
                  <w:noWrap w:val="0"/>
                  <w:vAlign w:val="center"/>
                </w:tcPr>
                <w:p w14:paraId="4F8E41FE">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仲钨酸铵生产过程中碱分解产生的碱煮渣（钨渣）、除钼过程中产生的除钼渣和废水处理污泥</w:t>
                  </w:r>
                </w:p>
              </w:tc>
              <w:tc>
                <w:tcPr>
                  <w:tcW w:w="872" w:type="dxa"/>
                  <w:noWrap w:val="0"/>
                  <w:vAlign w:val="center"/>
                </w:tcPr>
                <w:p w14:paraId="5A38DD59">
                  <w:pPr>
                    <w:widowControl/>
                    <w:jc w:val="center"/>
                    <w:textAlignment w:val="center"/>
                    <w:rPr>
                      <w:rFonts w:ascii="Times New Roman" w:hAnsi="Times New Roman"/>
                      <w:szCs w:val="21"/>
                      <w:highlight w:val="none"/>
                    </w:rPr>
                  </w:pPr>
                  <w:r>
                    <w:rPr>
                      <w:rFonts w:ascii="Times New Roman" w:hAnsi="Times New Roman"/>
                      <w:szCs w:val="21"/>
                      <w:highlight w:val="none"/>
                    </w:rPr>
                    <w:t>T</w:t>
                  </w:r>
                </w:p>
              </w:tc>
              <w:tc>
                <w:tcPr>
                  <w:tcW w:w="843" w:type="dxa"/>
                  <w:shd w:val="clear" w:color="auto" w:fill="auto"/>
                  <w:noWrap w:val="0"/>
                  <w:vAlign w:val="center"/>
                </w:tcPr>
                <w:p w14:paraId="38A7F375">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半固态</w:t>
                  </w:r>
                </w:p>
              </w:tc>
              <w:tc>
                <w:tcPr>
                  <w:tcW w:w="844" w:type="dxa"/>
                  <w:shd w:val="clear" w:color="auto" w:fill="auto"/>
                  <w:noWrap w:val="0"/>
                  <w:vAlign w:val="center"/>
                </w:tcPr>
                <w:p w14:paraId="225DB972">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桶装</w:t>
                  </w:r>
                </w:p>
              </w:tc>
            </w:tr>
            <w:tr w14:paraId="3EA8E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restart"/>
                  <w:noWrap w:val="0"/>
                  <w:vAlign w:val="center"/>
                </w:tcPr>
                <w:p w14:paraId="348D7B66">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HW49其他废物</w:t>
                  </w:r>
                </w:p>
              </w:tc>
              <w:tc>
                <w:tcPr>
                  <w:tcW w:w="814" w:type="dxa"/>
                  <w:vMerge w:val="restart"/>
                  <w:noWrap w:val="0"/>
                  <w:vAlign w:val="center"/>
                </w:tcPr>
                <w:p w14:paraId="54D01FBB">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环境治理</w:t>
                  </w:r>
                </w:p>
              </w:tc>
              <w:tc>
                <w:tcPr>
                  <w:tcW w:w="1196" w:type="dxa"/>
                  <w:noWrap w:val="0"/>
                  <w:vAlign w:val="center"/>
                </w:tcPr>
                <w:p w14:paraId="51A308BC">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772-006-49</w:t>
                  </w:r>
                </w:p>
              </w:tc>
              <w:tc>
                <w:tcPr>
                  <w:tcW w:w="2960" w:type="dxa"/>
                  <w:noWrap w:val="0"/>
                  <w:vAlign w:val="center"/>
                </w:tcPr>
                <w:p w14:paraId="59A50EF7">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采用物理、化学、物理化学或生物方法处理或处置毒性或感染性危险废物过程中产生的废水处理污泥、残渣（液）</w:t>
                  </w:r>
                </w:p>
              </w:tc>
              <w:tc>
                <w:tcPr>
                  <w:tcW w:w="872" w:type="dxa"/>
                  <w:noWrap w:val="0"/>
                  <w:vAlign w:val="center"/>
                </w:tcPr>
                <w:p w14:paraId="37C21523">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T/In</w:t>
                  </w:r>
                </w:p>
              </w:tc>
              <w:tc>
                <w:tcPr>
                  <w:tcW w:w="843" w:type="dxa"/>
                  <w:shd w:val="clear" w:color="auto" w:fill="auto"/>
                  <w:noWrap w:val="0"/>
                  <w:vAlign w:val="center"/>
                </w:tcPr>
                <w:p w14:paraId="4D3B7ED6">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3C606449">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49D000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57FE69D5">
                  <w:pPr>
                    <w:pStyle w:val="67"/>
                    <w:jc w:val="center"/>
                    <w:rPr>
                      <w:rFonts w:ascii="Times New Roman" w:cs="Times New Roman"/>
                      <w:color w:val="auto"/>
                      <w:sz w:val="21"/>
                      <w:szCs w:val="21"/>
                      <w:highlight w:val="none"/>
                    </w:rPr>
                  </w:pPr>
                </w:p>
              </w:tc>
              <w:tc>
                <w:tcPr>
                  <w:tcW w:w="814" w:type="dxa"/>
                  <w:vMerge w:val="continue"/>
                  <w:noWrap w:val="0"/>
                  <w:vAlign w:val="center"/>
                </w:tcPr>
                <w:p w14:paraId="737B4614">
                  <w:pPr>
                    <w:pStyle w:val="67"/>
                    <w:jc w:val="center"/>
                    <w:rPr>
                      <w:rFonts w:ascii="Times New Roman" w:cs="Times New Roman"/>
                      <w:color w:val="auto"/>
                      <w:sz w:val="21"/>
                      <w:szCs w:val="21"/>
                      <w:highlight w:val="none"/>
                    </w:rPr>
                  </w:pPr>
                </w:p>
              </w:tc>
              <w:tc>
                <w:tcPr>
                  <w:tcW w:w="1196" w:type="dxa"/>
                  <w:noWrap w:val="0"/>
                  <w:vAlign w:val="center"/>
                </w:tcPr>
                <w:p w14:paraId="0DA395AF">
                  <w:pPr>
                    <w:widowControl/>
                    <w:jc w:val="center"/>
                    <w:textAlignment w:val="center"/>
                    <w:rPr>
                      <w:rFonts w:ascii="Times New Roman" w:hAnsi="Times New Roman"/>
                      <w:szCs w:val="21"/>
                      <w:highlight w:val="none"/>
                    </w:rPr>
                  </w:pPr>
                  <w:r>
                    <w:rPr>
                      <w:rFonts w:ascii="Times New Roman" w:hAnsi="Times New Roman"/>
                      <w:kern w:val="0"/>
                      <w:szCs w:val="21"/>
                      <w:highlight w:val="none"/>
                      <w:lang w:bidi="ar"/>
                    </w:rPr>
                    <w:t>900-039-49</w:t>
                  </w:r>
                </w:p>
              </w:tc>
              <w:tc>
                <w:tcPr>
                  <w:tcW w:w="2960" w:type="dxa"/>
                  <w:noWrap w:val="0"/>
                  <w:vAlign w:val="center"/>
                </w:tcPr>
                <w:p w14:paraId="7194DCF9">
                  <w:pPr>
                    <w:widowControl/>
                    <w:jc w:val="left"/>
                    <w:rPr>
                      <w:rFonts w:ascii="Times New Roman" w:hAnsi="Times New Roman"/>
                      <w:szCs w:val="21"/>
                      <w:highlight w:val="none"/>
                    </w:rPr>
                  </w:pPr>
                  <w:r>
                    <w:rPr>
                      <w:rFonts w:ascii="Times New Roman" w:hAnsi="Times New Roman"/>
                      <w:kern w:val="0"/>
                      <w:szCs w:val="21"/>
                      <w:highlight w:val="none"/>
                      <w:lang w:bidi="ar"/>
                    </w:rPr>
                    <w:t>烟气、VOCs治理过程（不包括餐饮行业油烟治理过程）产生的废活性炭，化学原料和化学制品脱色（不包括有机合成食品添加剂脱色）、除杂、净化过程产生的废活性炭（不包括900-405-06、772-005-18、261-053-29、265-002-29、384-003-29、387-001-29类废物）</w:t>
                  </w:r>
                </w:p>
              </w:tc>
              <w:tc>
                <w:tcPr>
                  <w:tcW w:w="872" w:type="dxa"/>
                  <w:noWrap w:val="0"/>
                  <w:vAlign w:val="center"/>
                </w:tcPr>
                <w:p w14:paraId="1420E2B9">
                  <w:pPr>
                    <w:widowControl/>
                    <w:jc w:val="center"/>
                    <w:textAlignment w:val="center"/>
                    <w:rPr>
                      <w:rFonts w:ascii="Times New Roman" w:hAnsi="Times New Roman"/>
                      <w:szCs w:val="21"/>
                      <w:highlight w:val="none"/>
                    </w:rPr>
                  </w:pPr>
                  <w:r>
                    <w:rPr>
                      <w:rFonts w:ascii="Times New Roman" w:hAnsi="Times New Roman"/>
                      <w:kern w:val="0"/>
                      <w:szCs w:val="21"/>
                      <w:highlight w:val="none"/>
                      <w:lang w:bidi="ar"/>
                    </w:rPr>
                    <w:t>T</w:t>
                  </w:r>
                </w:p>
              </w:tc>
              <w:tc>
                <w:tcPr>
                  <w:tcW w:w="843" w:type="dxa"/>
                  <w:shd w:val="clear" w:color="auto" w:fill="auto"/>
                  <w:noWrap w:val="0"/>
                  <w:vAlign w:val="center"/>
                </w:tcPr>
                <w:p w14:paraId="1951F8CF">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3AA33AF8">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5E4813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370FC97A">
                  <w:pPr>
                    <w:pStyle w:val="67"/>
                    <w:jc w:val="center"/>
                    <w:rPr>
                      <w:rFonts w:ascii="Times New Roman" w:cs="Times New Roman"/>
                      <w:color w:val="auto"/>
                      <w:sz w:val="21"/>
                      <w:szCs w:val="21"/>
                      <w:highlight w:val="none"/>
                    </w:rPr>
                  </w:pPr>
                </w:p>
              </w:tc>
              <w:tc>
                <w:tcPr>
                  <w:tcW w:w="814" w:type="dxa"/>
                  <w:vMerge w:val="continue"/>
                  <w:noWrap w:val="0"/>
                  <w:vAlign w:val="center"/>
                </w:tcPr>
                <w:p w14:paraId="644060EC">
                  <w:pPr>
                    <w:pStyle w:val="67"/>
                    <w:jc w:val="center"/>
                    <w:rPr>
                      <w:rFonts w:ascii="Times New Roman" w:cs="Times New Roman"/>
                      <w:color w:val="auto"/>
                      <w:sz w:val="21"/>
                      <w:szCs w:val="21"/>
                      <w:highlight w:val="none"/>
                    </w:rPr>
                  </w:pPr>
                </w:p>
              </w:tc>
              <w:tc>
                <w:tcPr>
                  <w:tcW w:w="1196" w:type="dxa"/>
                  <w:noWrap w:val="0"/>
                  <w:vAlign w:val="center"/>
                </w:tcPr>
                <w:p w14:paraId="78B2DCFE">
                  <w:pPr>
                    <w:widowControl/>
                    <w:jc w:val="center"/>
                    <w:textAlignment w:val="center"/>
                    <w:rPr>
                      <w:rFonts w:ascii="Times New Roman" w:hAnsi="Times New Roman"/>
                      <w:szCs w:val="21"/>
                      <w:highlight w:val="none"/>
                    </w:rPr>
                  </w:pPr>
                  <w:r>
                    <w:rPr>
                      <w:rFonts w:ascii="Times New Roman" w:hAnsi="Times New Roman"/>
                      <w:kern w:val="0"/>
                      <w:szCs w:val="21"/>
                      <w:highlight w:val="none"/>
                      <w:lang w:bidi="ar"/>
                    </w:rPr>
                    <w:t>900-041-49</w:t>
                  </w:r>
                </w:p>
              </w:tc>
              <w:tc>
                <w:tcPr>
                  <w:tcW w:w="2960" w:type="dxa"/>
                  <w:noWrap w:val="0"/>
                  <w:vAlign w:val="center"/>
                </w:tcPr>
                <w:p w14:paraId="7E9C8BC9">
                  <w:pPr>
                    <w:widowControl/>
                    <w:jc w:val="left"/>
                    <w:rPr>
                      <w:rFonts w:ascii="Times New Roman" w:hAnsi="Times New Roman"/>
                      <w:szCs w:val="21"/>
                      <w:highlight w:val="none"/>
                    </w:rPr>
                  </w:pPr>
                  <w:r>
                    <w:rPr>
                      <w:rFonts w:ascii="Times New Roman" w:hAnsi="Times New Roman"/>
                      <w:kern w:val="0"/>
                      <w:szCs w:val="21"/>
                      <w:highlight w:val="none"/>
                      <w:lang w:bidi="ar"/>
                    </w:rPr>
                    <w:t>含有或沾染毒性、感染性危险废物的废弃包装物、容器、过滤吸附介质</w:t>
                  </w:r>
                </w:p>
              </w:tc>
              <w:tc>
                <w:tcPr>
                  <w:tcW w:w="872" w:type="dxa"/>
                  <w:noWrap w:val="0"/>
                  <w:vAlign w:val="center"/>
                </w:tcPr>
                <w:p w14:paraId="3CB3E38A">
                  <w:pPr>
                    <w:widowControl/>
                    <w:jc w:val="center"/>
                    <w:textAlignment w:val="center"/>
                    <w:rPr>
                      <w:rFonts w:ascii="Times New Roman" w:hAnsi="Times New Roman"/>
                      <w:szCs w:val="21"/>
                      <w:highlight w:val="none"/>
                    </w:rPr>
                  </w:pPr>
                  <w:r>
                    <w:rPr>
                      <w:rFonts w:ascii="Times New Roman" w:hAnsi="Times New Roman"/>
                      <w:szCs w:val="21"/>
                      <w:highlight w:val="none"/>
                    </w:rPr>
                    <w:t>T/In</w:t>
                  </w:r>
                </w:p>
              </w:tc>
              <w:tc>
                <w:tcPr>
                  <w:tcW w:w="843" w:type="dxa"/>
                  <w:shd w:val="clear" w:color="auto" w:fill="auto"/>
                  <w:noWrap w:val="0"/>
                  <w:vAlign w:val="center"/>
                </w:tcPr>
                <w:p w14:paraId="5ECE442C">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7A5A4DAB">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6DF1DE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6E450C3C">
                  <w:pPr>
                    <w:pStyle w:val="67"/>
                    <w:jc w:val="center"/>
                    <w:rPr>
                      <w:rFonts w:ascii="Times New Roman" w:cs="Times New Roman"/>
                      <w:color w:val="auto"/>
                      <w:sz w:val="21"/>
                      <w:szCs w:val="21"/>
                      <w:highlight w:val="none"/>
                    </w:rPr>
                  </w:pPr>
                </w:p>
              </w:tc>
              <w:tc>
                <w:tcPr>
                  <w:tcW w:w="814" w:type="dxa"/>
                  <w:vMerge w:val="continue"/>
                  <w:noWrap w:val="0"/>
                  <w:vAlign w:val="center"/>
                </w:tcPr>
                <w:p w14:paraId="0ECFEA07">
                  <w:pPr>
                    <w:pStyle w:val="67"/>
                    <w:jc w:val="center"/>
                    <w:rPr>
                      <w:rFonts w:ascii="Times New Roman" w:cs="Times New Roman"/>
                      <w:color w:val="auto"/>
                      <w:sz w:val="21"/>
                      <w:szCs w:val="21"/>
                      <w:highlight w:val="none"/>
                    </w:rPr>
                  </w:pPr>
                </w:p>
              </w:tc>
              <w:tc>
                <w:tcPr>
                  <w:tcW w:w="1196" w:type="dxa"/>
                  <w:noWrap w:val="0"/>
                  <w:vAlign w:val="center"/>
                </w:tcPr>
                <w:p w14:paraId="36EE2665">
                  <w:pPr>
                    <w:widowControl/>
                    <w:jc w:val="center"/>
                    <w:textAlignment w:val="center"/>
                    <w:rPr>
                      <w:rFonts w:ascii="Times New Roman" w:hAnsi="Times New Roman"/>
                      <w:szCs w:val="21"/>
                      <w:highlight w:val="none"/>
                    </w:rPr>
                  </w:pPr>
                  <w:r>
                    <w:rPr>
                      <w:rFonts w:ascii="Times New Roman" w:hAnsi="Times New Roman"/>
                      <w:kern w:val="0"/>
                      <w:szCs w:val="21"/>
                      <w:highlight w:val="none"/>
                      <w:lang w:bidi="ar"/>
                    </w:rPr>
                    <w:t>900-044-49</w:t>
                  </w:r>
                </w:p>
              </w:tc>
              <w:tc>
                <w:tcPr>
                  <w:tcW w:w="2960" w:type="dxa"/>
                  <w:noWrap w:val="0"/>
                  <w:vAlign w:val="center"/>
                </w:tcPr>
                <w:p w14:paraId="71E85B87">
                  <w:pPr>
                    <w:widowControl/>
                    <w:jc w:val="left"/>
                    <w:rPr>
                      <w:rFonts w:ascii="Times New Roman" w:hAnsi="Times New Roman"/>
                      <w:szCs w:val="21"/>
                      <w:highlight w:val="none"/>
                    </w:rPr>
                  </w:pPr>
                  <w:r>
                    <w:rPr>
                      <w:rFonts w:ascii="Times New Roman" w:hAnsi="Times New Roman"/>
                      <w:kern w:val="0"/>
                      <w:szCs w:val="21"/>
                      <w:highlight w:val="none"/>
                      <w:lang w:bidi="ar"/>
                    </w:rPr>
                    <w:t>废弃的镉镍电池、荧光粉和阴极射线管</w:t>
                  </w:r>
                </w:p>
              </w:tc>
              <w:tc>
                <w:tcPr>
                  <w:tcW w:w="872" w:type="dxa"/>
                  <w:noWrap w:val="0"/>
                  <w:vAlign w:val="center"/>
                </w:tcPr>
                <w:p w14:paraId="5EC9F34C">
                  <w:pPr>
                    <w:widowControl/>
                    <w:jc w:val="center"/>
                    <w:textAlignment w:val="center"/>
                    <w:rPr>
                      <w:rFonts w:ascii="Times New Roman" w:hAnsi="Times New Roman"/>
                      <w:szCs w:val="21"/>
                      <w:highlight w:val="none"/>
                    </w:rPr>
                  </w:pPr>
                  <w:r>
                    <w:rPr>
                      <w:rFonts w:ascii="Times New Roman" w:hAnsi="Times New Roman"/>
                      <w:szCs w:val="21"/>
                      <w:highlight w:val="none"/>
                    </w:rPr>
                    <w:t>T</w:t>
                  </w:r>
                </w:p>
              </w:tc>
              <w:tc>
                <w:tcPr>
                  <w:tcW w:w="843" w:type="dxa"/>
                  <w:shd w:val="clear" w:color="auto" w:fill="auto"/>
                  <w:noWrap w:val="0"/>
                  <w:vAlign w:val="center"/>
                </w:tcPr>
                <w:p w14:paraId="0F665BDE">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1EBE97BD">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0E1C6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472B7927">
                  <w:pPr>
                    <w:pStyle w:val="67"/>
                    <w:jc w:val="center"/>
                    <w:rPr>
                      <w:rFonts w:ascii="Times New Roman" w:cs="Times New Roman"/>
                      <w:color w:val="auto"/>
                      <w:sz w:val="21"/>
                      <w:szCs w:val="21"/>
                      <w:highlight w:val="none"/>
                    </w:rPr>
                  </w:pPr>
                </w:p>
              </w:tc>
              <w:tc>
                <w:tcPr>
                  <w:tcW w:w="814" w:type="dxa"/>
                  <w:vMerge w:val="continue"/>
                  <w:noWrap w:val="0"/>
                  <w:vAlign w:val="center"/>
                </w:tcPr>
                <w:p w14:paraId="07718856">
                  <w:pPr>
                    <w:pStyle w:val="67"/>
                    <w:jc w:val="center"/>
                    <w:rPr>
                      <w:rFonts w:ascii="Times New Roman" w:cs="Times New Roman"/>
                      <w:color w:val="auto"/>
                      <w:sz w:val="21"/>
                      <w:szCs w:val="21"/>
                      <w:highlight w:val="none"/>
                    </w:rPr>
                  </w:pPr>
                </w:p>
              </w:tc>
              <w:tc>
                <w:tcPr>
                  <w:tcW w:w="1196" w:type="dxa"/>
                  <w:noWrap w:val="0"/>
                  <w:vAlign w:val="center"/>
                </w:tcPr>
                <w:p w14:paraId="49C1082F">
                  <w:pPr>
                    <w:widowControl/>
                    <w:jc w:val="center"/>
                    <w:textAlignment w:val="center"/>
                    <w:rPr>
                      <w:rFonts w:ascii="Times New Roman" w:hAnsi="Times New Roman"/>
                      <w:szCs w:val="21"/>
                      <w:highlight w:val="none"/>
                    </w:rPr>
                  </w:pPr>
                  <w:r>
                    <w:rPr>
                      <w:rFonts w:ascii="Times New Roman" w:hAnsi="Times New Roman"/>
                      <w:kern w:val="0"/>
                      <w:szCs w:val="21"/>
                      <w:highlight w:val="none"/>
                      <w:lang w:bidi="ar"/>
                    </w:rPr>
                    <w:t>900-045-49</w:t>
                  </w:r>
                </w:p>
              </w:tc>
              <w:tc>
                <w:tcPr>
                  <w:tcW w:w="2960" w:type="dxa"/>
                  <w:noWrap w:val="0"/>
                  <w:vAlign w:val="center"/>
                </w:tcPr>
                <w:p w14:paraId="7D7E4FFD">
                  <w:pPr>
                    <w:widowControl/>
                    <w:jc w:val="left"/>
                    <w:rPr>
                      <w:rFonts w:ascii="Times New Roman" w:hAnsi="Times New Roman"/>
                      <w:szCs w:val="21"/>
                      <w:highlight w:val="none"/>
                    </w:rPr>
                  </w:pPr>
                  <w:r>
                    <w:rPr>
                      <w:rFonts w:ascii="Times New Roman" w:hAnsi="Times New Roman"/>
                      <w:kern w:val="0"/>
                      <w:szCs w:val="21"/>
                      <w:highlight w:val="none"/>
                      <w:lang w:bidi="ar"/>
                    </w:rPr>
                    <w:t>废电路板（包括已拆除或未拆除元器件的废弃电路板），及废电路板拆解过程产生的废弃CPU、显卡、声卡、内存、含电解液的电容器、含金等贵金属的连接件</w:t>
                  </w:r>
                </w:p>
              </w:tc>
              <w:tc>
                <w:tcPr>
                  <w:tcW w:w="872" w:type="dxa"/>
                  <w:noWrap w:val="0"/>
                  <w:vAlign w:val="center"/>
                </w:tcPr>
                <w:p w14:paraId="79460D36">
                  <w:pPr>
                    <w:widowControl/>
                    <w:jc w:val="center"/>
                    <w:textAlignment w:val="center"/>
                    <w:rPr>
                      <w:rFonts w:ascii="Times New Roman" w:hAnsi="Times New Roman"/>
                      <w:szCs w:val="21"/>
                      <w:highlight w:val="none"/>
                    </w:rPr>
                  </w:pPr>
                  <w:r>
                    <w:rPr>
                      <w:rFonts w:ascii="Times New Roman" w:hAnsi="Times New Roman"/>
                      <w:szCs w:val="21"/>
                      <w:highlight w:val="none"/>
                    </w:rPr>
                    <w:t>T</w:t>
                  </w:r>
                </w:p>
              </w:tc>
              <w:tc>
                <w:tcPr>
                  <w:tcW w:w="843" w:type="dxa"/>
                  <w:shd w:val="clear" w:color="auto" w:fill="auto"/>
                  <w:noWrap w:val="0"/>
                  <w:vAlign w:val="center"/>
                </w:tcPr>
                <w:p w14:paraId="1CFC9570">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37B43467">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1A9163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489F0C65">
                  <w:pPr>
                    <w:pStyle w:val="67"/>
                    <w:jc w:val="center"/>
                    <w:rPr>
                      <w:rFonts w:ascii="Times New Roman" w:cs="Times New Roman"/>
                      <w:color w:val="auto"/>
                      <w:sz w:val="21"/>
                      <w:szCs w:val="21"/>
                      <w:highlight w:val="none"/>
                    </w:rPr>
                  </w:pPr>
                </w:p>
              </w:tc>
              <w:tc>
                <w:tcPr>
                  <w:tcW w:w="814" w:type="dxa"/>
                  <w:vMerge w:val="continue"/>
                  <w:noWrap w:val="0"/>
                  <w:vAlign w:val="center"/>
                </w:tcPr>
                <w:p w14:paraId="16E4D69C">
                  <w:pPr>
                    <w:pStyle w:val="67"/>
                    <w:jc w:val="center"/>
                    <w:rPr>
                      <w:rFonts w:ascii="Times New Roman" w:cs="Times New Roman"/>
                      <w:color w:val="auto"/>
                      <w:sz w:val="21"/>
                      <w:szCs w:val="21"/>
                      <w:highlight w:val="none"/>
                    </w:rPr>
                  </w:pPr>
                </w:p>
              </w:tc>
              <w:tc>
                <w:tcPr>
                  <w:tcW w:w="1196" w:type="dxa"/>
                  <w:noWrap w:val="0"/>
                  <w:vAlign w:val="center"/>
                </w:tcPr>
                <w:p w14:paraId="3E714018">
                  <w:pPr>
                    <w:widowControl/>
                    <w:jc w:val="center"/>
                    <w:textAlignment w:val="center"/>
                    <w:rPr>
                      <w:rFonts w:ascii="Times New Roman" w:hAnsi="Times New Roman"/>
                      <w:szCs w:val="21"/>
                      <w:highlight w:val="none"/>
                    </w:rPr>
                  </w:pPr>
                  <w:r>
                    <w:rPr>
                      <w:rFonts w:ascii="Times New Roman" w:hAnsi="Times New Roman"/>
                      <w:kern w:val="0"/>
                      <w:szCs w:val="21"/>
                      <w:highlight w:val="none"/>
                      <w:lang w:bidi="ar"/>
                    </w:rPr>
                    <w:t>900-046-49</w:t>
                  </w:r>
                </w:p>
              </w:tc>
              <w:tc>
                <w:tcPr>
                  <w:tcW w:w="2960" w:type="dxa"/>
                  <w:noWrap w:val="0"/>
                  <w:vAlign w:val="center"/>
                </w:tcPr>
                <w:p w14:paraId="589D9A3D">
                  <w:pPr>
                    <w:widowControl/>
                    <w:jc w:val="left"/>
                    <w:rPr>
                      <w:rFonts w:ascii="Times New Roman" w:hAnsi="Times New Roman"/>
                      <w:szCs w:val="21"/>
                      <w:highlight w:val="none"/>
                    </w:rPr>
                  </w:pPr>
                  <w:r>
                    <w:rPr>
                      <w:rFonts w:ascii="Times New Roman" w:hAnsi="Times New Roman"/>
                      <w:kern w:val="0"/>
                      <w:szCs w:val="21"/>
                      <w:highlight w:val="none"/>
                      <w:lang w:bidi="ar"/>
                    </w:rPr>
                    <w:t>离子交换装置（不包括饮用水、工业纯水和锅炉软化水制备装置）再生过程中产生的废水处理污泥</w:t>
                  </w:r>
                </w:p>
              </w:tc>
              <w:tc>
                <w:tcPr>
                  <w:tcW w:w="872" w:type="dxa"/>
                  <w:noWrap w:val="0"/>
                  <w:vAlign w:val="center"/>
                </w:tcPr>
                <w:p w14:paraId="55991829">
                  <w:pPr>
                    <w:widowControl/>
                    <w:jc w:val="center"/>
                    <w:textAlignment w:val="center"/>
                    <w:rPr>
                      <w:rFonts w:ascii="Times New Roman" w:hAnsi="Times New Roman"/>
                      <w:szCs w:val="21"/>
                      <w:highlight w:val="none"/>
                    </w:rPr>
                  </w:pPr>
                  <w:r>
                    <w:rPr>
                      <w:rFonts w:ascii="Times New Roman" w:hAnsi="Times New Roman"/>
                      <w:szCs w:val="21"/>
                      <w:highlight w:val="none"/>
                    </w:rPr>
                    <w:t>T</w:t>
                  </w:r>
                </w:p>
              </w:tc>
              <w:tc>
                <w:tcPr>
                  <w:tcW w:w="843" w:type="dxa"/>
                  <w:shd w:val="clear" w:color="auto" w:fill="auto"/>
                  <w:noWrap w:val="0"/>
                  <w:vAlign w:val="center"/>
                </w:tcPr>
                <w:p w14:paraId="05E159F5">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24F785D2">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7A0E5A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5F0D676C">
                  <w:pPr>
                    <w:pStyle w:val="67"/>
                    <w:jc w:val="center"/>
                    <w:rPr>
                      <w:rFonts w:ascii="Times New Roman" w:cs="Times New Roman"/>
                      <w:color w:val="auto"/>
                      <w:sz w:val="21"/>
                      <w:szCs w:val="21"/>
                      <w:highlight w:val="none"/>
                    </w:rPr>
                  </w:pPr>
                </w:p>
              </w:tc>
              <w:tc>
                <w:tcPr>
                  <w:tcW w:w="814" w:type="dxa"/>
                  <w:vMerge w:val="continue"/>
                  <w:noWrap w:val="0"/>
                  <w:vAlign w:val="center"/>
                </w:tcPr>
                <w:p w14:paraId="2EA57B72">
                  <w:pPr>
                    <w:pStyle w:val="67"/>
                    <w:jc w:val="center"/>
                    <w:rPr>
                      <w:rFonts w:ascii="Times New Roman" w:cs="Times New Roman"/>
                      <w:color w:val="auto"/>
                      <w:sz w:val="21"/>
                      <w:szCs w:val="21"/>
                      <w:highlight w:val="none"/>
                    </w:rPr>
                  </w:pPr>
                </w:p>
              </w:tc>
              <w:tc>
                <w:tcPr>
                  <w:tcW w:w="1196" w:type="dxa"/>
                  <w:noWrap w:val="0"/>
                  <w:vAlign w:val="center"/>
                </w:tcPr>
                <w:p w14:paraId="7352EF57">
                  <w:pPr>
                    <w:widowControl/>
                    <w:jc w:val="center"/>
                    <w:textAlignment w:val="center"/>
                    <w:rPr>
                      <w:rFonts w:ascii="Times New Roman" w:hAnsi="Times New Roman"/>
                      <w:szCs w:val="21"/>
                      <w:highlight w:val="none"/>
                    </w:rPr>
                  </w:pPr>
                  <w:r>
                    <w:rPr>
                      <w:rFonts w:ascii="Times New Roman" w:hAnsi="Times New Roman"/>
                      <w:kern w:val="0"/>
                      <w:szCs w:val="21"/>
                      <w:highlight w:val="none"/>
                      <w:lang w:bidi="ar"/>
                    </w:rPr>
                    <w:t>900-047-49</w:t>
                  </w:r>
                </w:p>
              </w:tc>
              <w:tc>
                <w:tcPr>
                  <w:tcW w:w="2960" w:type="dxa"/>
                  <w:noWrap w:val="0"/>
                  <w:vAlign w:val="center"/>
                </w:tcPr>
                <w:p w14:paraId="31BBE590">
                  <w:pPr>
                    <w:widowControl/>
                    <w:jc w:val="left"/>
                    <w:rPr>
                      <w:rFonts w:ascii="Times New Roman" w:hAnsi="Times New Roman"/>
                      <w:szCs w:val="21"/>
                      <w:highlight w:val="none"/>
                    </w:rPr>
                  </w:pPr>
                  <w:r>
                    <w:rPr>
                      <w:rFonts w:ascii="Times New Roman" w:hAnsi="Times New Roman"/>
                      <w:kern w:val="0"/>
                      <w:szCs w:val="21"/>
                      <w:highlight w:val="none"/>
                      <w:lang w:bidi="ar"/>
                    </w:rPr>
                    <w:t>生产、研究、开发、教学、环境检测（监测）活动中，化学和生物实验室（不包含感染性医学实验室及医疗机构化验室）产生的含氰、氟、重金属无机废液及无机废液处理产生的残渣、残液，含矿物油、有机溶剂、甲醛有机废液，废酸、废碱，具有危险特性的残留样品，以及沾染上述物质的一次性实验用品（不包括按实验室管理要求进行清洗后的废弃的烧杯、量器、漏斗等实验室用品）、包装物（不包括按实验室管理要求进行清洗后的试剂包装物、容器）、过滤吸附介质等</w:t>
                  </w:r>
                </w:p>
              </w:tc>
              <w:tc>
                <w:tcPr>
                  <w:tcW w:w="872" w:type="dxa"/>
                  <w:noWrap w:val="0"/>
                  <w:vAlign w:val="center"/>
                </w:tcPr>
                <w:p w14:paraId="10D94DDC">
                  <w:pPr>
                    <w:widowControl/>
                    <w:jc w:val="center"/>
                    <w:textAlignment w:val="center"/>
                    <w:rPr>
                      <w:rFonts w:ascii="Times New Roman" w:hAnsi="Times New Roman"/>
                      <w:szCs w:val="21"/>
                      <w:highlight w:val="none"/>
                    </w:rPr>
                  </w:pPr>
                  <w:r>
                    <w:rPr>
                      <w:rFonts w:ascii="Times New Roman" w:hAnsi="Times New Roman"/>
                      <w:szCs w:val="21"/>
                      <w:highlight w:val="none"/>
                    </w:rPr>
                    <w:t>T/C/I/R</w:t>
                  </w:r>
                </w:p>
              </w:tc>
              <w:tc>
                <w:tcPr>
                  <w:tcW w:w="843" w:type="dxa"/>
                  <w:noWrap w:val="0"/>
                  <w:vAlign w:val="center"/>
                </w:tcPr>
                <w:p w14:paraId="0669CD1A">
                  <w:pPr>
                    <w:widowControl/>
                    <w:jc w:val="center"/>
                    <w:textAlignment w:val="center"/>
                    <w:rPr>
                      <w:rFonts w:hint="default" w:ascii="Times New Roman" w:hAnsi="Times New Roman" w:eastAsia="宋体"/>
                      <w:szCs w:val="21"/>
                      <w:highlight w:val="none"/>
                      <w:lang w:val="en-US" w:eastAsia="zh-CN"/>
                    </w:rPr>
                  </w:pPr>
                  <w:r>
                    <w:rPr>
                      <w:rFonts w:hint="eastAsia"/>
                      <w:szCs w:val="21"/>
                      <w:highlight w:val="none"/>
                      <w:lang w:val="en-US" w:eastAsia="zh-CN"/>
                    </w:rPr>
                    <w:t>液态、半固态</w:t>
                  </w:r>
                </w:p>
              </w:tc>
              <w:tc>
                <w:tcPr>
                  <w:tcW w:w="844" w:type="dxa"/>
                  <w:noWrap w:val="0"/>
                  <w:vAlign w:val="center"/>
                </w:tcPr>
                <w:p w14:paraId="0C5E13E7">
                  <w:pPr>
                    <w:widowControl/>
                    <w:jc w:val="center"/>
                    <w:textAlignment w:val="center"/>
                    <w:rPr>
                      <w:rFonts w:hint="eastAsia" w:ascii="Times New Roman" w:hAnsi="Times New Roman" w:eastAsia="宋体"/>
                      <w:szCs w:val="21"/>
                      <w:highlight w:val="none"/>
                      <w:lang w:val="en-US" w:eastAsia="zh-CN"/>
                    </w:rPr>
                  </w:pPr>
                  <w:r>
                    <w:rPr>
                      <w:rFonts w:hint="eastAsia"/>
                      <w:szCs w:val="21"/>
                      <w:highlight w:val="none"/>
                      <w:lang w:val="en-US" w:eastAsia="zh-CN"/>
                    </w:rPr>
                    <w:t>塑料桶</w:t>
                  </w:r>
                </w:p>
              </w:tc>
            </w:tr>
            <w:tr w14:paraId="3422B7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77048CCB">
                  <w:pPr>
                    <w:pStyle w:val="67"/>
                    <w:jc w:val="center"/>
                    <w:rPr>
                      <w:rFonts w:ascii="Times New Roman" w:cs="Times New Roman"/>
                      <w:color w:val="auto"/>
                      <w:sz w:val="21"/>
                      <w:szCs w:val="21"/>
                      <w:highlight w:val="none"/>
                    </w:rPr>
                  </w:pPr>
                </w:p>
              </w:tc>
              <w:tc>
                <w:tcPr>
                  <w:tcW w:w="814" w:type="dxa"/>
                  <w:vMerge w:val="continue"/>
                  <w:noWrap w:val="0"/>
                  <w:vAlign w:val="center"/>
                </w:tcPr>
                <w:p w14:paraId="2B940772">
                  <w:pPr>
                    <w:pStyle w:val="67"/>
                    <w:jc w:val="center"/>
                    <w:rPr>
                      <w:rFonts w:ascii="Times New Roman" w:cs="Times New Roman"/>
                      <w:color w:val="auto"/>
                      <w:sz w:val="21"/>
                      <w:szCs w:val="21"/>
                      <w:highlight w:val="none"/>
                    </w:rPr>
                  </w:pPr>
                </w:p>
              </w:tc>
              <w:tc>
                <w:tcPr>
                  <w:tcW w:w="1196" w:type="dxa"/>
                  <w:noWrap w:val="0"/>
                  <w:vAlign w:val="center"/>
                </w:tcPr>
                <w:p w14:paraId="6DE444E7">
                  <w:pPr>
                    <w:widowControl/>
                    <w:jc w:val="center"/>
                    <w:textAlignment w:val="center"/>
                    <w:rPr>
                      <w:rFonts w:ascii="Times New Roman" w:hAnsi="Times New Roman"/>
                      <w:szCs w:val="21"/>
                      <w:highlight w:val="none"/>
                    </w:rPr>
                  </w:pPr>
                  <w:r>
                    <w:rPr>
                      <w:rFonts w:ascii="Times New Roman" w:hAnsi="Times New Roman"/>
                      <w:kern w:val="0"/>
                      <w:szCs w:val="21"/>
                      <w:highlight w:val="none"/>
                      <w:lang w:bidi="ar"/>
                    </w:rPr>
                    <w:t>900-999-49</w:t>
                  </w:r>
                </w:p>
              </w:tc>
              <w:tc>
                <w:tcPr>
                  <w:tcW w:w="2960" w:type="dxa"/>
                  <w:noWrap w:val="0"/>
                  <w:vAlign w:val="center"/>
                </w:tcPr>
                <w:p w14:paraId="72859C72">
                  <w:pPr>
                    <w:widowControl/>
                    <w:jc w:val="left"/>
                    <w:rPr>
                      <w:rFonts w:ascii="Times New Roman" w:hAnsi="Times New Roman"/>
                      <w:szCs w:val="21"/>
                      <w:highlight w:val="none"/>
                    </w:rPr>
                  </w:pPr>
                  <w:r>
                    <w:rPr>
                      <w:rFonts w:ascii="Times New Roman" w:hAnsi="Times New Roman"/>
                      <w:kern w:val="0"/>
                      <w:szCs w:val="21"/>
                      <w:highlight w:val="none"/>
                      <w:lang w:bidi="ar"/>
                    </w:rPr>
                    <w:t>被所有者申报废弃的，或未申报废弃但被非法排放、倾倒、利用、处置的，以及有关部门依法收缴或接收且需要销毁的列入《危险化学品目录》的危险化学品（不含该目录中仅具有“加压气体”物理危险性的危险化学品）</w:t>
                  </w:r>
                </w:p>
              </w:tc>
              <w:tc>
                <w:tcPr>
                  <w:tcW w:w="872" w:type="dxa"/>
                  <w:noWrap w:val="0"/>
                  <w:vAlign w:val="center"/>
                </w:tcPr>
                <w:p w14:paraId="5DC61D97">
                  <w:pPr>
                    <w:widowControl/>
                    <w:jc w:val="center"/>
                    <w:textAlignment w:val="center"/>
                    <w:rPr>
                      <w:rFonts w:ascii="Times New Roman" w:hAnsi="Times New Roman"/>
                      <w:szCs w:val="21"/>
                      <w:highlight w:val="none"/>
                    </w:rPr>
                  </w:pPr>
                  <w:r>
                    <w:rPr>
                      <w:rFonts w:ascii="Times New Roman" w:hAnsi="Times New Roman"/>
                      <w:szCs w:val="21"/>
                      <w:highlight w:val="none"/>
                    </w:rPr>
                    <w:t>T/C/I/R</w:t>
                  </w:r>
                </w:p>
              </w:tc>
              <w:tc>
                <w:tcPr>
                  <w:tcW w:w="843" w:type="dxa"/>
                  <w:noWrap w:val="0"/>
                  <w:vAlign w:val="center"/>
                </w:tcPr>
                <w:p w14:paraId="7C60CC81">
                  <w:pPr>
                    <w:widowControl/>
                    <w:jc w:val="center"/>
                    <w:textAlignment w:val="center"/>
                    <w:rPr>
                      <w:rFonts w:hint="default" w:ascii="Times New Roman" w:hAnsi="Times New Roman" w:eastAsia="宋体"/>
                      <w:szCs w:val="21"/>
                      <w:highlight w:val="none"/>
                      <w:lang w:val="en-US" w:eastAsia="zh-CN"/>
                    </w:rPr>
                  </w:pPr>
                  <w:r>
                    <w:rPr>
                      <w:rFonts w:hint="eastAsia"/>
                      <w:szCs w:val="21"/>
                      <w:highlight w:val="none"/>
                      <w:lang w:val="en-US" w:eastAsia="zh-CN"/>
                    </w:rPr>
                    <w:t>固态、液态</w:t>
                  </w:r>
                </w:p>
              </w:tc>
              <w:tc>
                <w:tcPr>
                  <w:tcW w:w="844" w:type="dxa"/>
                  <w:noWrap w:val="0"/>
                  <w:vAlign w:val="center"/>
                </w:tcPr>
                <w:p w14:paraId="62BE9630">
                  <w:pPr>
                    <w:widowControl/>
                    <w:jc w:val="center"/>
                    <w:textAlignment w:val="center"/>
                    <w:rPr>
                      <w:rFonts w:ascii="Times New Roman" w:hAnsi="Times New Roman"/>
                      <w:szCs w:val="21"/>
                      <w:highlight w:val="none"/>
                    </w:rPr>
                  </w:pPr>
                  <w:r>
                    <w:rPr>
                      <w:rFonts w:hint="eastAsia"/>
                      <w:szCs w:val="21"/>
                      <w:highlight w:val="none"/>
                      <w:lang w:val="en-US" w:eastAsia="zh-CN"/>
                    </w:rPr>
                    <w:t>袋装、塑料桶</w:t>
                  </w:r>
                </w:p>
              </w:tc>
            </w:tr>
            <w:tr w14:paraId="176EB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restart"/>
                  <w:noWrap w:val="0"/>
                  <w:vAlign w:val="center"/>
                </w:tcPr>
                <w:p w14:paraId="0DE18162">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HW50废催化剂</w:t>
                  </w:r>
                </w:p>
              </w:tc>
              <w:tc>
                <w:tcPr>
                  <w:tcW w:w="814" w:type="dxa"/>
                  <w:noWrap w:val="0"/>
                  <w:vAlign w:val="center"/>
                </w:tcPr>
                <w:p w14:paraId="070E6C73">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化学药品原料药制造</w:t>
                  </w:r>
                </w:p>
              </w:tc>
              <w:tc>
                <w:tcPr>
                  <w:tcW w:w="1196" w:type="dxa"/>
                  <w:noWrap w:val="0"/>
                  <w:vAlign w:val="center"/>
                </w:tcPr>
                <w:p w14:paraId="0AC17CC0">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271-006-50</w:t>
                  </w:r>
                </w:p>
              </w:tc>
              <w:tc>
                <w:tcPr>
                  <w:tcW w:w="2960" w:type="dxa"/>
                  <w:noWrap w:val="0"/>
                  <w:vAlign w:val="center"/>
                </w:tcPr>
                <w:p w14:paraId="174047FB">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化学合成原料药生产过程中产生的废催化剂</w:t>
                  </w:r>
                </w:p>
              </w:tc>
              <w:tc>
                <w:tcPr>
                  <w:tcW w:w="872" w:type="dxa"/>
                  <w:noWrap w:val="0"/>
                  <w:vAlign w:val="center"/>
                </w:tcPr>
                <w:p w14:paraId="4ECC676B">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5C1BC359">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7F462A20">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53ABAF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42CE291C">
                  <w:pPr>
                    <w:pStyle w:val="67"/>
                    <w:jc w:val="center"/>
                    <w:rPr>
                      <w:rFonts w:ascii="Times New Roman" w:cs="Times New Roman"/>
                      <w:color w:val="auto"/>
                      <w:sz w:val="21"/>
                      <w:szCs w:val="21"/>
                      <w:highlight w:val="none"/>
                    </w:rPr>
                  </w:pPr>
                </w:p>
              </w:tc>
              <w:tc>
                <w:tcPr>
                  <w:tcW w:w="814" w:type="dxa"/>
                  <w:noWrap w:val="0"/>
                  <w:vAlign w:val="center"/>
                </w:tcPr>
                <w:p w14:paraId="5C387564">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兽用药品制造</w:t>
                  </w:r>
                </w:p>
              </w:tc>
              <w:tc>
                <w:tcPr>
                  <w:tcW w:w="1196" w:type="dxa"/>
                  <w:noWrap w:val="0"/>
                  <w:vAlign w:val="center"/>
                </w:tcPr>
                <w:p w14:paraId="403F0CF8">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275-009-50</w:t>
                  </w:r>
                </w:p>
              </w:tc>
              <w:tc>
                <w:tcPr>
                  <w:tcW w:w="2960" w:type="dxa"/>
                  <w:noWrap w:val="0"/>
                  <w:vAlign w:val="center"/>
                </w:tcPr>
                <w:p w14:paraId="34A83477">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兽药生产过程中产生的废催化剂</w:t>
                  </w:r>
                </w:p>
              </w:tc>
              <w:tc>
                <w:tcPr>
                  <w:tcW w:w="872" w:type="dxa"/>
                  <w:noWrap w:val="0"/>
                  <w:vAlign w:val="center"/>
                </w:tcPr>
                <w:p w14:paraId="663B0A72">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288D5E47">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142AEDAD">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47DEF3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2DFE3CF3">
                  <w:pPr>
                    <w:pStyle w:val="67"/>
                    <w:jc w:val="center"/>
                    <w:rPr>
                      <w:rFonts w:ascii="Times New Roman" w:cs="Times New Roman"/>
                      <w:color w:val="auto"/>
                      <w:sz w:val="21"/>
                      <w:szCs w:val="21"/>
                      <w:highlight w:val="none"/>
                    </w:rPr>
                  </w:pPr>
                </w:p>
              </w:tc>
              <w:tc>
                <w:tcPr>
                  <w:tcW w:w="814" w:type="dxa"/>
                  <w:noWrap w:val="0"/>
                  <w:vAlign w:val="center"/>
                </w:tcPr>
                <w:p w14:paraId="049C8F40">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生物药品制品制造</w:t>
                  </w:r>
                </w:p>
              </w:tc>
              <w:tc>
                <w:tcPr>
                  <w:tcW w:w="1196" w:type="dxa"/>
                  <w:noWrap w:val="0"/>
                  <w:vAlign w:val="center"/>
                </w:tcPr>
                <w:p w14:paraId="0ADDBC4A">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276-006-50</w:t>
                  </w:r>
                </w:p>
              </w:tc>
              <w:tc>
                <w:tcPr>
                  <w:tcW w:w="2960" w:type="dxa"/>
                  <w:noWrap w:val="0"/>
                  <w:vAlign w:val="center"/>
                </w:tcPr>
                <w:p w14:paraId="59516156">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生物药品生产过程中产生的废催化剂</w:t>
                  </w:r>
                </w:p>
              </w:tc>
              <w:tc>
                <w:tcPr>
                  <w:tcW w:w="872" w:type="dxa"/>
                  <w:noWrap w:val="0"/>
                  <w:vAlign w:val="center"/>
                </w:tcPr>
                <w:p w14:paraId="50951BB0">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1D91457A">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12EC47A3">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1E718E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39147EAD">
                  <w:pPr>
                    <w:pStyle w:val="67"/>
                    <w:jc w:val="center"/>
                    <w:rPr>
                      <w:rFonts w:ascii="Times New Roman" w:cs="Times New Roman"/>
                      <w:color w:val="auto"/>
                      <w:sz w:val="21"/>
                      <w:szCs w:val="21"/>
                      <w:highlight w:val="none"/>
                    </w:rPr>
                  </w:pPr>
                </w:p>
              </w:tc>
              <w:tc>
                <w:tcPr>
                  <w:tcW w:w="814" w:type="dxa"/>
                  <w:noWrap w:val="0"/>
                  <w:vAlign w:val="center"/>
                </w:tcPr>
                <w:p w14:paraId="6534C27B">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环境治理业</w:t>
                  </w:r>
                </w:p>
              </w:tc>
              <w:tc>
                <w:tcPr>
                  <w:tcW w:w="1196" w:type="dxa"/>
                  <w:noWrap w:val="0"/>
                  <w:vAlign w:val="center"/>
                </w:tcPr>
                <w:p w14:paraId="60B7F1A7">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772-007-50</w:t>
                  </w:r>
                </w:p>
              </w:tc>
              <w:tc>
                <w:tcPr>
                  <w:tcW w:w="2960" w:type="dxa"/>
                  <w:noWrap w:val="0"/>
                  <w:vAlign w:val="center"/>
                </w:tcPr>
                <w:p w14:paraId="6A28A3B6">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烟气脱硝过程中产生的废钒钛系催化剂</w:t>
                  </w:r>
                </w:p>
              </w:tc>
              <w:tc>
                <w:tcPr>
                  <w:tcW w:w="872" w:type="dxa"/>
                  <w:noWrap w:val="0"/>
                  <w:vAlign w:val="center"/>
                </w:tcPr>
                <w:p w14:paraId="5A6B1735">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04875F98">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6DF564CF">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r w14:paraId="4691E0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233DA730">
                  <w:pPr>
                    <w:pStyle w:val="67"/>
                    <w:jc w:val="center"/>
                    <w:rPr>
                      <w:rFonts w:ascii="Times New Roman" w:cs="Times New Roman"/>
                      <w:color w:val="auto"/>
                      <w:sz w:val="21"/>
                      <w:szCs w:val="21"/>
                      <w:highlight w:val="none"/>
                    </w:rPr>
                  </w:pPr>
                </w:p>
              </w:tc>
              <w:tc>
                <w:tcPr>
                  <w:tcW w:w="814" w:type="dxa"/>
                  <w:vMerge w:val="restart"/>
                  <w:noWrap w:val="0"/>
                  <w:vAlign w:val="center"/>
                </w:tcPr>
                <w:p w14:paraId="19309B25">
                  <w:pPr>
                    <w:pStyle w:val="67"/>
                    <w:jc w:val="center"/>
                    <w:rPr>
                      <w:rFonts w:ascii="Times New Roman" w:cs="Times New Roman"/>
                      <w:color w:val="auto"/>
                      <w:sz w:val="21"/>
                      <w:szCs w:val="21"/>
                      <w:highlight w:val="none"/>
                    </w:rPr>
                  </w:pPr>
                  <w:r>
                    <w:rPr>
                      <w:rFonts w:ascii="Times New Roman" w:cs="Times New Roman"/>
                      <w:color w:val="auto"/>
                      <w:sz w:val="21"/>
                      <w:szCs w:val="21"/>
                      <w:highlight w:val="none"/>
                    </w:rPr>
                    <w:t>非特定行业</w:t>
                  </w:r>
                </w:p>
              </w:tc>
              <w:tc>
                <w:tcPr>
                  <w:tcW w:w="1196" w:type="dxa"/>
                  <w:noWrap w:val="0"/>
                  <w:vAlign w:val="center"/>
                </w:tcPr>
                <w:p w14:paraId="5AA6571E">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900-048-50</w:t>
                  </w:r>
                </w:p>
              </w:tc>
              <w:tc>
                <w:tcPr>
                  <w:tcW w:w="2960" w:type="dxa"/>
                  <w:noWrap w:val="0"/>
                  <w:vAlign w:val="center"/>
                </w:tcPr>
                <w:p w14:paraId="6C9ECC61">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废液体催化剂</w:t>
                  </w:r>
                </w:p>
              </w:tc>
              <w:tc>
                <w:tcPr>
                  <w:tcW w:w="872" w:type="dxa"/>
                  <w:noWrap w:val="0"/>
                  <w:vAlign w:val="center"/>
                </w:tcPr>
                <w:p w14:paraId="6128DBFF">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32FCB6D8">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液态、固态</w:t>
                  </w:r>
                </w:p>
              </w:tc>
              <w:tc>
                <w:tcPr>
                  <w:tcW w:w="844" w:type="dxa"/>
                  <w:shd w:val="clear" w:color="auto" w:fill="auto"/>
                  <w:noWrap w:val="0"/>
                  <w:vAlign w:val="center"/>
                </w:tcPr>
                <w:p w14:paraId="61C43032">
                  <w:pPr>
                    <w:widowControl/>
                    <w:jc w:val="center"/>
                    <w:textAlignment w:val="center"/>
                    <w:rPr>
                      <w:rFonts w:hint="default" w:ascii="Times New Roman" w:hAnsi="Times New Roman" w:eastAsia="宋体" w:cs="Times New Roman"/>
                      <w:kern w:val="0"/>
                      <w:sz w:val="21"/>
                      <w:szCs w:val="21"/>
                      <w:highlight w:val="none"/>
                      <w:lang w:val="en-US" w:eastAsia="zh-CN" w:bidi="ar"/>
                    </w:rPr>
                  </w:pPr>
                  <w:r>
                    <w:rPr>
                      <w:rFonts w:hint="eastAsia" w:cs="Times New Roman"/>
                      <w:kern w:val="0"/>
                      <w:sz w:val="21"/>
                      <w:szCs w:val="21"/>
                      <w:highlight w:val="none"/>
                      <w:lang w:val="en-US" w:eastAsia="zh-CN" w:bidi="ar"/>
                    </w:rPr>
                    <w:t>桶装</w:t>
                  </w:r>
                </w:p>
              </w:tc>
            </w:tr>
            <w:tr w14:paraId="5A6DFF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46" w:type="dxa"/>
                  <w:vMerge w:val="continue"/>
                  <w:noWrap w:val="0"/>
                  <w:vAlign w:val="center"/>
                </w:tcPr>
                <w:p w14:paraId="3A8C69F4">
                  <w:pPr>
                    <w:pStyle w:val="67"/>
                    <w:jc w:val="center"/>
                    <w:rPr>
                      <w:rFonts w:ascii="Times New Roman" w:cs="Times New Roman"/>
                      <w:color w:val="auto"/>
                      <w:sz w:val="21"/>
                      <w:szCs w:val="21"/>
                      <w:highlight w:val="none"/>
                    </w:rPr>
                  </w:pPr>
                </w:p>
              </w:tc>
              <w:tc>
                <w:tcPr>
                  <w:tcW w:w="814" w:type="dxa"/>
                  <w:vMerge w:val="continue"/>
                  <w:noWrap w:val="0"/>
                  <w:vAlign w:val="center"/>
                </w:tcPr>
                <w:p w14:paraId="509660BF">
                  <w:pPr>
                    <w:pStyle w:val="67"/>
                    <w:jc w:val="center"/>
                    <w:rPr>
                      <w:rFonts w:ascii="Times New Roman" w:cs="Times New Roman"/>
                      <w:color w:val="auto"/>
                      <w:sz w:val="21"/>
                      <w:szCs w:val="21"/>
                      <w:highlight w:val="none"/>
                    </w:rPr>
                  </w:pPr>
                </w:p>
              </w:tc>
              <w:tc>
                <w:tcPr>
                  <w:tcW w:w="1196" w:type="dxa"/>
                  <w:noWrap w:val="0"/>
                  <w:vAlign w:val="center"/>
                </w:tcPr>
                <w:p w14:paraId="7615704D">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900-049-50</w:t>
                  </w:r>
                </w:p>
              </w:tc>
              <w:tc>
                <w:tcPr>
                  <w:tcW w:w="2960" w:type="dxa"/>
                  <w:noWrap w:val="0"/>
                  <w:vAlign w:val="center"/>
                </w:tcPr>
                <w:p w14:paraId="13E38D1D">
                  <w:pPr>
                    <w:widowControl/>
                    <w:jc w:val="left"/>
                    <w:rPr>
                      <w:rFonts w:ascii="Times New Roman" w:hAnsi="Times New Roman"/>
                      <w:kern w:val="0"/>
                      <w:szCs w:val="21"/>
                      <w:highlight w:val="none"/>
                      <w:lang w:bidi="ar"/>
                    </w:rPr>
                  </w:pPr>
                  <w:r>
                    <w:rPr>
                      <w:rFonts w:ascii="Times New Roman" w:hAnsi="Times New Roman"/>
                      <w:kern w:val="0"/>
                      <w:szCs w:val="21"/>
                      <w:highlight w:val="none"/>
                      <w:lang w:bidi="ar"/>
                    </w:rPr>
                    <w:t>机动车和非道路移动机械尾气净化废催化剂</w:t>
                  </w:r>
                </w:p>
              </w:tc>
              <w:tc>
                <w:tcPr>
                  <w:tcW w:w="872" w:type="dxa"/>
                  <w:noWrap w:val="0"/>
                  <w:vAlign w:val="center"/>
                </w:tcPr>
                <w:p w14:paraId="0346BEC8">
                  <w:pPr>
                    <w:widowControl/>
                    <w:jc w:val="center"/>
                    <w:textAlignment w:val="center"/>
                    <w:rPr>
                      <w:rFonts w:ascii="Times New Roman" w:hAnsi="Times New Roman"/>
                      <w:kern w:val="0"/>
                      <w:szCs w:val="21"/>
                      <w:highlight w:val="none"/>
                      <w:lang w:bidi="ar"/>
                    </w:rPr>
                  </w:pPr>
                  <w:r>
                    <w:rPr>
                      <w:rFonts w:ascii="Times New Roman" w:hAnsi="Times New Roman"/>
                      <w:kern w:val="0"/>
                      <w:szCs w:val="21"/>
                      <w:highlight w:val="none"/>
                      <w:lang w:bidi="ar"/>
                    </w:rPr>
                    <w:t>T</w:t>
                  </w:r>
                </w:p>
              </w:tc>
              <w:tc>
                <w:tcPr>
                  <w:tcW w:w="843" w:type="dxa"/>
                  <w:shd w:val="clear" w:color="auto" w:fill="auto"/>
                  <w:noWrap w:val="0"/>
                  <w:vAlign w:val="center"/>
                </w:tcPr>
                <w:p w14:paraId="4AE92813">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固态</w:t>
                  </w:r>
                </w:p>
              </w:tc>
              <w:tc>
                <w:tcPr>
                  <w:tcW w:w="844" w:type="dxa"/>
                  <w:shd w:val="clear" w:color="auto" w:fill="auto"/>
                  <w:noWrap w:val="0"/>
                  <w:vAlign w:val="center"/>
                </w:tcPr>
                <w:p w14:paraId="7F6AA258">
                  <w:pPr>
                    <w:widowControl/>
                    <w:jc w:val="center"/>
                    <w:textAlignment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袋装</w:t>
                  </w:r>
                </w:p>
              </w:tc>
            </w:tr>
          </w:tbl>
          <w:p w14:paraId="1999C2BC">
            <w:pPr>
              <w:spacing w:before="120" w:beforeLines="50" w:line="360" w:lineRule="auto"/>
              <w:ind w:firstLine="482" w:firstLineChars="200"/>
              <w:rPr>
                <w:rFonts w:hint="eastAsia" w:eastAsia="宋体"/>
                <w:b/>
                <w:sz w:val="24"/>
                <w:highlight w:val="none"/>
                <w:lang w:val="en-US" w:eastAsia="zh-CN"/>
              </w:rPr>
            </w:pPr>
            <w:r>
              <w:rPr>
                <w:rFonts w:hint="eastAsia"/>
                <w:b/>
                <w:sz w:val="24"/>
                <w:highlight w:val="none"/>
                <w:lang w:val="en-US" w:eastAsia="zh-CN"/>
              </w:rPr>
              <w:t>3</w:t>
            </w:r>
            <w:r>
              <w:rPr>
                <w:b/>
                <w:sz w:val="24"/>
                <w:highlight w:val="none"/>
              </w:rPr>
              <w:t>．</w:t>
            </w:r>
            <w:r>
              <w:rPr>
                <w:rFonts w:hint="eastAsia"/>
                <w:b/>
                <w:sz w:val="24"/>
                <w:highlight w:val="none"/>
              </w:rPr>
              <w:t>主要生产</w:t>
            </w:r>
            <w:r>
              <w:rPr>
                <w:rFonts w:hint="eastAsia"/>
                <w:b/>
                <w:sz w:val="24"/>
                <w:highlight w:val="none"/>
                <w:lang w:val="en-US" w:eastAsia="zh-CN"/>
              </w:rPr>
              <w:t>设备</w:t>
            </w:r>
          </w:p>
          <w:p w14:paraId="2B47B3A4">
            <w:pPr>
              <w:adjustRightInd w:val="0"/>
              <w:snapToGrid w:val="0"/>
              <w:spacing w:line="360" w:lineRule="auto"/>
              <w:ind w:firstLine="480" w:firstLineChars="200"/>
              <w:rPr>
                <w:sz w:val="24"/>
                <w:highlight w:val="none"/>
              </w:rPr>
            </w:pPr>
            <w:r>
              <w:rPr>
                <w:rFonts w:hint="eastAsia"/>
                <w:sz w:val="24"/>
                <w:highlight w:val="none"/>
              </w:rPr>
              <w:t>项目主要</w:t>
            </w:r>
            <w:r>
              <w:rPr>
                <w:rFonts w:hint="eastAsia"/>
                <w:sz w:val="24"/>
                <w:highlight w:val="none"/>
                <w:lang w:val="en-US" w:eastAsia="zh-CN"/>
              </w:rPr>
              <w:t>生产设备</w:t>
            </w:r>
            <w:r>
              <w:rPr>
                <w:rFonts w:hint="eastAsia"/>
                <w:sz w:val="24"/>
                <w:highlight w:val="none"/>
              </w:rPr>
              <w:t>见下表。</w:t>
            </w:r>
          </w:p>
          <w:p w14:paraId="33620819">
            <w:pPr>
              <w:pStyle w:val="48"/>
              <w:numPr>
                <w:ilvl w:val="0"/>
                <w:numId w:val="4"/>
              </w:numPr>
              <w:spacing w:line="360" w:lineRule="auto"/>
              <w:ind w:firstLineChars="0"/>
              <w:jc w:val="center"/>
              <w:rPr>
                <w:rFonts w:ascii="宋体" w:hAnsi="宋体" w:eastAsia="宋体"/>
                <w:b/>
                <w:sz w:val="21"/>
                <w:highlight w:val="none"/>
              </w:rPr>
            </w:pPr>
            <w:r>
              <w:rPr>
                <w:rFonts w:hint="eastAsia" w:ascii="宋体" w:hAnsi="宋体" w:eastAsia="宋体"/>
                <w:b/>
                <w:sz w:val="21"/>
                <w:highlight w:val="none"/>
              </w:rPr>
              <w:t>项目主要</w:t>
            </w:r>
            <w:r>
              <w:rPr>
                <w:rFonts w:hint="eastAsia" w:ascii="宋体" w:hAnsi="宋体" w:eastAsia="宋体"/>
                <w:b/>
                <w:sz w:val="21"/>
                <w:highlight w:val="none"/>
                <w:lang w:val="en-US" w:eastAsia="zh-CN"/>
              </w:rPr>
              <w:t>生产设备</w:t>
            </w:r>
            <w:r>
              <w:rPr>
                <w:rFonts w:hint="eastAsia" w:ascii="宋体" w:hAnsi="宋体" w:eastAsia="宋体"/>
                <w:b/>
                <w:sz w:val="21"/>
                <w:highlight w:val="none"/>
              </w:rPr>
              <w:t>一览表</w:t>
            </w:r>
          </w:p>
          <w:tbl>
            <w:tblPr>
              <w:tblStyle w:val="21"/>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0"/>
              <w:gridCol w:w="1521"/>
              <w:gridCol w:w="1521"/>
              <w:gridCol w:w="1521"/>
              <w:gridCol w:w="1032"/>
              <w:gridCol w:w="496"/>
              <w:gridCol w:w="765"/>
              <w:gridCol w:w="764"/>
            </w:tblGrid>
            <w:tr w14:paraId="3CFF81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448" w:type="pct"/>
                  <w:noWrap w:val="0"/>
                  <w:vAlign w:val="center"/>
                </w:tcPr>
                <w:p w14:paraId="7022CADC">
                  <w:pPr>
                    <w:adjustRightInd w:val="0"/>
                    <w:snapToGrid w:val="0"/>
                    <w:jc w:val="center"/>
                    <w:rPr>
                      <w:rFonts w:ascii="Times New Roman" w:hAnsi="Times New Roman"/>
                      <w:b/>
                      <w:bCs/>
                      <w:szCs w:val="21"/>
                      <w:highlight w:val="none"/>
                    </w:rPr>
                  </w:pPr>
                  <w:r>
                    <w:rPr>
                      <w:rFonts w:ascii="Times New Roman" w:hAnsi="Times New Roman"/>
                      <w:b/>
                      <w:bCs/>
                      <w:szCs w:val="21"/>
                      <w:highlight w:val="none"/>
                    </w:rPr>
                    <w:t>序号</w:t>
                  </w:r>
                </w:p>
              </w:tc>
              <w:tc>
                <w:tcPr>
                  <w:tcW w:w="908" w:type="pct"/>
                  <w:noWrap w:val="0"/>
                  <w:vAlign w:val="center"/>
                </w:tcPr>
                <w:p w14:paraId="1F0F2CED">
                  <w:pPr>
                    <w:adjustRightInd w:val="0"/>
                    <w:snapToGrid w:val="0"/>
                    <w:jc w:val="center"/>
                    <w:rPr>
                      <w:rFonts w:hint="default" w:ascii="Times New Roman" w:hAnsi="Times New Roman" w:eastAsia="宋体"/>
                      <w:b/>
                      <w:bCs/>
                      <w:szCs w:val="21"/>
                      <w:highlight w:val="none"/>
                      <w:lang w:val="en-US" w:eastAsia="zh-CN"/>
                    </w:rPr>
                  </w:pPr>
                  <w:r>
                    <w:rPr>
                      <w:rFonts w:hint="eastAsia"/>
                      <w:b/>
                      <w:bCs/>
                      <w:szCs w:val="21"/>
                      <w:highlight w:val="none"/>
                      <w:lang w:val="en-US" w:eastAsia="zh-CN"/>
                    </w:rPr>
                    <w:t>主要生产单元</w:t>
                  </w:r>
                </w:p>
              </w:tc>
              <w:tc>
                <w:tcPr>
                  <w:tcW w:w="908" w:type="pct"/>
                  <w:noWrap w:val="0"/>
                  <w:vAlign w:val="center"/>
                </w:tcPr>
                <w:p w14:paraId="138FC20C">
                  <w:pPr>
                    <w:adjustRightInd w:val="0"/>
                    <w:snapToGrid w:val="0"/>
                    <w:jc w:val="center"/>
                    <w:rPr>
                      <w:rFonts w:hint="default" w:ascii="Times New Roman" w:hAnsi="Times New Roman" w:eastAsia="宋体"/>
                      <w:b/>
                      <w:bCs/>
                      <w:szCs w:val="21"/>
                      <w:highlight w:val="none"/>
                      <w:lang w:val="en-US" w:eastAsia="zh-CN"/>
                    </w:rPr>
                  </w:pPr>
                  <w:r>
                    <w:rPr>
                      <w:rFonts w:hint="eastAsia"/>
                      <w:b/>
                      <w:bCs/>
                      <w:szCs w:val="21"/>
                      <w:highlight w:val="none"/>
                      <w:lang w:val="en-US" w:eastAsia="zh-CN"/>
                    </w:rPr>
                    <w:t>主要工艺</w:t>
                  </w:r>
                </w:p>
              </w:tc>
              <w:tc>
                <w:tcPr>
                  <w:tcW w:w="908" w:type="pct"/>
                  <w:noWrap w:val="0"/>
                  <w:vAlign w:val="center"/>
                </w:tcPr>
                <w:p w14:paraId="7BD71A0C">
                  <w:pPr>
                    <w:adjustRightInd w:val="0"/>
                    <w:snapToGrid w:val="0"/>
                    <w:jc w:val="center"/>
                    <w:rPr>
                      <w:rFonts w:hint="default" w:ascii="Times New Roman" w:hAnsi="Times New Roman" w:eastAsia="宋体"/>
                      <w:b/>
                      <w:bCs/>
                      <w:szCs w:val="21"/>
                      <w:highlight w:val="none"/>
                      <w:lang w:val="en-US" w:eastAsia="zh-CN"/>
                    </w:rPr>
                  </w:pPr>
                  <w:r>
                    <w:rPr>
                      <w:rFonts w:hint="eastAsia"/>
                      <w:b/>
                      <w:bCs/>
                      <w:szCs w:val="21"/>
                      <w:highlight w:val="none"/>
                      <w:lang w:val="en-US" w:eastAsia="zh-CN"/>
                    </w:rPr>
                    <w:t>生产设施</w:t>
                  </w:r>
                </w:p>
              </w:tc>
              <w:tc>
                <w:tcPr>
                  <w:tcW w:w="616" w:type="pct"/>
                  <w:noWrap w:val="0"/>
                  <w:vAlign w:val="center"/>
                </w:tcPr>
                <w:p w14:paraId="144E80A3">
                  <w:pPr>
                    <w:adjustRightInd w:val="0"/>
                    <w:snapToGrid w:val="0"/>
                    <w:jc w:val="center"/>
                    <w:rPr>
                      <w:rFonts w:hint="default" w:ascii="Times New Roman" w:hAnsi="Times New Roman" w:eastAsia="宋体"/>
                      <w:b/>
                      <w:bCs/>
                      <w:szCs w:val="21"/>
                      <w:highlight w:val="none"/>
                      <w:lang w:val="en-US" w:eastAsia="zh-CN"/>
                    </w:rPr>
                  </w:pPr>
                  <w:r>
                    <w:rPr>
                      <w:rFonts w:hint="eastAsia"/>
                      <w:b/>
                      <w:bCs/>
                      <w:szCs w:val="21"/>
                      <w:highlight w:val="none"/>
                      <w:lang w:val="en-US" w:eastAsia="zh-CN"/>
                    </w:rPr>
                    <w:t>设施参数</w:t>
                  </w:r>
                </w:p>
              </w:tc>
              <w:tc>
                <w:tcPr>
                  <w:tcW w:w="296" w:type="pct"/>
                  <w:noWrap w:val="0"/>
                  <w:vAlign w:val="center"/>
                </w:tcPr>
                <w:p w14:paraId="6571BAFF">
                  <w:pPr>
                    <w:adjustRightInd w:val="0"/>
                    <w:snapToGrid w:val="0"/>
                    <w:jc w:val="center"/>
                    <w:rPr>
                      <w:rFonts w:ascii="Times New Roman" w:hAnsi="Times New Roman"/>
                      <w:b/>
                      <w:bCs/>
                      <w:szCs w:val="21"/>
                      <w:highlight w:val="none"/>
                    </w:rPr>
                  </w:pPr>
                  <w:r>
                    <w:rPr>
                      <w:rFonts w:ascii="Times New Roman" w:hAnsi="Times New Roman"/>
                      <w:b/>
                      <w:bCs/>
                      <w:szCs w:val="21"/>
                      <w:highlight w:val="none"/>
                    </w:rPr>
                    <w:t>数量</w:t>
                  </w:r>
                </w:p>
              </w:tc>
              <w:tc>
                <w:tcPr>
                  <w:tcW w:w="456" w:type="pct"/>
                  <w:noWrap w:val="0"/>
                  <w:vAlign w:val="center"/>
                </w:tcPr>
                <w:p w14:paraId="2CA0C60D">
                  <w:pPr>
                    <w:adjustRightInd w:val="0"/>
                    <w:snapToGrid w:val="0"/>
                    <w:jc w:val="center"/>
                    <w:rPr>
                      <w:rFonts w:ascii="Times New Roman" w:hAnsi="Times New Roman"/>
                      <w:b/>
                      <w:bCs/>
                      <w:szCs w:val="21"/>
                      <w:highlight w:val="none"/>
                    </w:rPr>
                  </w:pPr>
                  <w:r>
                    <w:rPr>
                      <w:rFonts w:ascii="Times New Roman" w:hAnsi="Times New Roman"/>
                      <w:b/>
                      <w:bCs/>
                      <w:szCs w:val="21"/>
                      <w:highlight w:val="none"/>
                    </w:rPr>
                    <w:t>单位</w:t>
                  </w:r>
                </w:p>
              </w:tc>
              <w:tc>
                <w:tcPr>
                  <w:tcW w:w="456" w:type="pct"/>
                  <w:noWrap w:val="0"/>
                  <w:vAlign w:val="center"/>
                </w:tcPr>
                <w:p w14:paraId="6853121F">
                  <w:pPr>
                    <w:adjustRightInd w:val="0"/>
                    <w:snapToGrid w:val="0"/>
                    <w:jc w:val="center"/>
                    <w:rPr>
                      <w:rFonts w:ascii="Times New Roman" w:hAnsi="Times New Roman"/>
                      <w:b/>
                      <w:bCs/>
                      <w:szCs w:val="21"/>
                      <w:highlight w:val="none"/>
                    </w:rPr>
                  </w:pPr>
                  <w:r>
                    <w:rPr>
                      <w:rFonts w:ascii="Times New Roman" w:hAnsi="Times New Roman"/>
                      <w:b/>
                      <w:bCs/>
                      <w:szCs w:val="21"/>
                      <w:highlight w:val="none"/>
                    </w:rPr>
                    <w:t>备注</w:t>
                  </w:r>
                </w:p>
              </w:tc>
            </w:tr>
            <w:tr w14:paraId="33D4C0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448" w:type="pct"/>
                  <w:noWrap w:val="0"/>
                  <w:vAlign w:val="center"/>
                </w:tcPr>
                <w:p w14:paraId="31BBBDC9">
                  <w:pPr>
                    <w:adjustRightInd w:val="0"/>
                    <w:snapToGrid w:val="0"/>
                    <w:jc w:val="center"/>
                    <w:rPr>
                      <w:rFonts w:ascii="Times New Roman" w:hAnsi="Times New Roman"/>
                      <w:szCs w:val="21"/>
                      <w:highlight w:val="none"/>
                    </w:rPr>
                  </w:pPr>
                  <w:r>
                    <w:rPr>
                      <w:rFonts w:ascii="Times New Roman" w:hAnsi="Times New Roman"/>
                      <w:szCs w:val="21"/>
                      <w:highlight w:val="none"/>
                    </w:rPr>
                    <w:t>1</w:t>
                  </w:r>
                </w:p>
              </w:tc>
              <w:tc>
                <w:tcPr>
                  <w:tcW w:w="908" w:type="pct"/>
                  <w:vMerge w:val="restart"/>
                  <w:noWrap w:val="0"/>
                  <w:vAlign w:val="center"/>
                </w:tcPr>
                <w:p w14:paraId="3AF1484E">
                  <w:pPr>
                    <w:adjustRightInd w:val="0"/>
                    <w:snapToGrid w:val="0"/>
                    <w:jc w:val="center"/>
                    <w:rPr>
                      <w:rFonts w:hint="default" w:ascii="Times New Roman" w:hAnsi="Times New Roman" w:eastAsia="宋体"/>
                      <w:szCs w:val="21"/>
                      <w:highlight w:val="none"/>
                      <w:lang w:val="en-US" w:eastAsia="zh-CN"/>
                    </w:rPr>
                  </w:pPr>
                  <w:r>
                    <w:rPr>
                      <w:rFonts w:hint="eastAsia"/>
                      <w:szCs w:val="21"/>
                      <w:highlight w:val="none"/>
                      <w:lang w:val="en-US" w:eastAsia="zh-CN"/>
                    </w:rPr>
                    <w:t>贮存单元</w:t>
                  </w:r>
                </w:p>
              </w:tc>
              <w:tc>
                <w:tcPr>
                  <w:tcW w:w="908" w:type="pct"/>
                  <w:vMerge w:val="restart"/>
                  <w:noWrap w:val="0"/>
                  <w:vAlign w:val="center"/>
                </w:tcPr>
                <w:p w14:paraId="4A48D7D6">
                  <w:pPr>
                    <w:adjustRightInd w:val="0"/>
                    <w:snapToGrid w:val="0"/>
                    <w:jc w:val="center"/>
                    <w:rPr>
                      <w:rFonts w:hint="default" w:ascii="Times New Roman" w:hAnsi="Times New Roman" w:eastAsia="宋体"/>
                      <w:szCs w:val="21"/>
                      <w:highlight w:val="none"/>
                      <w:lang w:val="en-US" w:eastAsia="zh-CN"/>
                    </w:rPr>
                  </w:pPr>
                  <w:r>
                    <w:rPr>
                      <w:rFonts w:hint="eastAsia"/>
                      <w:szCs w:val="21"/>
                      <w:highlight w:val="none"/>
                      <w:lang w:val="en-US" w:eastAsia="zh-CN"/>
                    </w:rPr>
                    <w:t>废物贮存</w:t>
                  </w:r>
                </w:p>
              </w:tc>
              <w:tc>
                <w:tcPr>
                  <w:tcW w:w="908" w:type="pct"/>
                  <w:noWrap w:val="0"/>
                  <w:vAlign w:val="center"/>
                </w:tcPr>
                <w:p w14:paraId="173007C6">
                  <w:pPr>
                    <w:adjustRightInd w:val="0"/>
                    <w:snapToGrid w:val="0"/>
                    <w:jc w:val="center"/>
                    <w:rPr>
                      <w:rFonts w:hint="eastAsia" w:ascii="Times New Roman" w:hAnsi="Times New Roman" w:eastAsia="宋体"/>
                      <w:szCs w:val="21"/>
                      <w:highlight w:val="none"/>
                      <w:lang w:eastAsia="zh-CN"/>
                    </w:rPr>
                  </w:pPr>
                  <w:r>
                    <w:rPr>
                      <w:rFonts w:hint="eastAsia"/>
                      <w:szCs w:val="21"/>
                      <w:highlight w:val="none"/>
                      <w:lang w:eastAsia="zh-CN"/>
                    </w:rPr>
                    <w:t>危险废物收集贮存库</w:t>
                  </w:r>
                </w:p>
              </w:tc>
              <w:tc>
                <w:tcPr>
                  <w:tcW w:w="616" w:type="pct"/>
                  <w:noWrap w:val="0"/>
                  <w:vAlign w:val="center"/>
                </w:tcPr>
                <w:p w14:paraId="1DCC0BA0">
                  <w:pPr>
                    <w:adjustRightInd w:val="0"/>
                    <w:snapToGrid w:val="0"/>
                    <w:jc w:val="center"/>
                    <w:rPr>
                      <w:rFonts w:hint="default" w:ascii="Times New Roman" w:hAnsi="Times New Roman" w:eastAsia="宋体"/>
                      <w:szCs w:val="21"/>
                      <w:highlight w:val="none"/>
                      <w:lang w:val="en-US" w:eastAsia="zh-CN"/>
                    </w:rPr>
                  </w:pPr>
                  <w:r>
                    <w:rPr>
                      <w:rFonts w:hint="eastAsia"/>
                      <w:szCs w:val="21"/>
                      <w:highlight w:val="none"/>
                      <w:lang w:val="en-US" w:eastAsia="zh-CN"/>
                    </w:rPr>
                    <w:t>2400</w:t>
                  </w:r>
                </w:p>
              </w:tc>
              <w:tc>
                <w:tcPr>
                  <w:tcW w:w="296" w:type="pct"/>
                  <w:noWrap w:val="0"/>
                  <w:vAlign w:val="center"/>
                </w:tcPr>
                <w:p w14:paraId="25771184">
                  <w:pPr>
                    <w:adjustRightInd w:val="0"/>
                    <w:snapToGrid w:val="0"/>
                    <w:jc w:val="center"/>
                    <w:rPr>
                      <w:rFonts w:hint="eastAsia" w:ascii="Times New Roman" w:hAnsi="Times New Roman" w:eastAsia="宋体"/>
                      <w:szCs w:val="21"/>
                      <w:highlight w:val="none"/>
                      <w:lang w:val="en-US" w:eastAsia="zh-CN"/>
                    </w:rPr>
                  </w:pPr>
                  <w:r>
                    <w:rPr>
                      <w:rFonts w:hint="eastAsia"/>
                      <w:szCs w:val="21"/>
                      <w:highlight w:val="none"/>
                      <w:lang w:val="en-US" w:eastAsia="zh-CN"/>
                    </w:rPr>
                    <w:t>1</w:t>
                  </w:r>
                </w:p>
              </w:tc>
              <w:tc>
                <w:tcPr>
                  <w:tcW w:w="456" w:type="pct"/>
                  <w:noWrap w:val="0"/>
                  <w:vAlign w:val="center"/>
                </w:tcPr>
                <w:p w14:paraId="71BEF4E6">
                  <w:pPr>
                    <w:adjustRightInd w:val="0"/>
                    <w:snapToGrid w:val="0"/>
                    <w:jc w:val="center"/>
                    <w:rPr>
                      <w:rFonts w:hint="default" w:ascii="Times New Roman" w:hAnsi="Times New Roman" w:eastAsia="宋体"/>
                      <w:szCs w:val="21"/>
                      <w:highlight w:val="none"/>
                      <w:lang w:val="en-US" w:eastAsia="zh-CN"/>
                    </w:rPr>
                  </w:pPr>
                  <w:r>
                    <w:rPr>
                      <w:rFonts w:hint="eastAsia"/>
                      <w:szCs w:val="21"/>
                      <w:highlight w:val="none"/>
                      <w:lang w:val="en-US" w:eastAsia="zh-CN"/>
                    </w:rPr>
                    <w:t>m</w:t>
                  </w:r>
                  <w:r>
                    <w:rPr>
                      <w:rFonts w:hint="eastAsia"/>
                      <w:szCs w:val="21"/>
                      <w:highlight w:val="none"/>
                      <w:vertAlign w:val="superscript"/>
                      <w:lang w:val="en-US" w:eastAsia="zh-CN"/>
                    </w:rPr>
                    <w:t>2</w:t>
                  </w:r>
                </w:p>
              </w:tc>
              <w:tc>
                <w:tcPr>
                  <w:tcW w:w="456" w:type="pct"/>
                  <w:noWrap w:val="0"/>
                  <w:vAlign w:val="center"/>
                </w:tcPr>
                <w:p w14:paraId="30AED136">
                  <w:pPr>
                    <w:adjustRightInd w:val="0"/>
                    <w:snapToGrid w:val="0"/>
                    <w:jc w:val="center"/>
                    <w:rPr>
                      <w:rFonts w:hint="default" w:ascii="Times New Roman" w:hAnsi="Times New Roman" w:eastAsia="宋体"/>
                      <w:szCs w:val="21"/>
                      <w:highlight w:val="none"/>
                      <w:lang w:val="en-US" w:eastAsia="zh-CN"/>
                    </w:rPr>
                  </w:pPr>
                  <w:r>
                    <w:rPr>
                      <w:rFonts w:hint="eastAsia"/>
                      <w:szCs w:val="21"/>
                      <w:highlight w:val="none"/>
                      <w:lang w:val="en-US" w:eastAsia="zh-CN"/>
                    </w:rPr>
                    <w:t>改建</w:t>
                  </w:r>
                </w:p>
              </w:tc>
            </w:tr>
            <w:tr w14:paraId="54531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448" w:type="pct"/>
                  <w:noWrap w:val="0"/>
                  <w:vAlign w:val="center"/>
                </w:tcPr>
                <w:p w14:paraId="562AABC0">
                  <w:pPr>
                    <w:adjustRightInd w:val="0"/>
                    <w:snapToGrid w:val="0"/>
                    <w:jc w:val="center"/>
                    <w:rPr>
                      <w:rFonts w:ascii="Times New Roman" w:hAnsi="Times New Roman"/>
                      <w:szCs w:val="21"/>
                      <w:highlight w:val="none"/>
                    </w:rPr>
                  </w:pPr>
                  <w:r>
                    <w:rPr>
                      <w:rFonts w:ascii="Times New Roman" w:hAnsi="Times New Roman"/>
                      <w:szCs w:val="21"/>
                      <w:highlight w:val="none"/>
                    </w:rPr>
                    <w:t>2</w:t>
                  </w:r>
                </w:p>
              </w:tc>
              <w:tc>
                <w:tcPr>
                  <w:tcW w:w="908" w:type="pct"/>
                  <w:vMerge w:val="continue"/>
                  <w:noWrap w:val="0"/>
                  <w:vAlign w:val="center"/>
                </w:tcPr>
                <w:p w14:paraId="281212C2">
                  <w:pPr>
                    <w:adjustRightInd w:val="0"/>
                    <w:snapToGrid w:val="0"/>
                    <w:jc w:val="center"/>
                    <w:rPr>
                      <w:rFonts w:hint="eastAsia" w:ascii="Times New Roman" w:hAnsi="Times New Roman"/>
                      <w:szCs w:val="21"/>
                      <w:highlight w:val="none"/>
                    </w:rPr>
                  </w:pPr>
                </w:p>
              </w:tc>
              <w:tc>
                <w:tcPr>
                  <w:tcW w:w="908" w:type="pct"/>
                  <w:vMerge w:val="continue"/>
                  <w:noWrap w:val="0"/>
                  <w:vAlign w:val="center"/>
                </w:tcPr>
                <w:p w14:paraId="7D742576">
                  <w:pPr>
                    <w:adjustRightInd w:val="0"/>
                    <w:snapToGrid w:val="0"/>
                    <w:jc w:val="center"/>
                    <w:rPr>
                      <w:rFonts w:hint="eastAsia" w:ascii="Times New Roman" w:hAnsi="Times New Roman"/>
                      <w:szCs w:val="21"/>
                      <w:highlight w:val="none"/>
                    </w:rPr>
                  </w:pPr>
                </w:p>
              </w:tc>
              <w:tc>
                <w:tcPr>
                  <w:tcW w:w="908" w:type="pct"/>
                  <w:noWrap w:val="0"/>
                  <w:vAlign w:val="center"/>
                </w:tcPr>
                <w:p w14:paraId="727ABB2D">
                  <w:pPr>
                    <w:adjustRightInd w:val="0"/>
                    <w:snapToGrid w:val="0"/>
                    <w:jc w:val="center"/>
                    <w:rPr>
                      <w:rFonts w:ascii="Times New Roman" w:hAnsi="Times New Roman"/>
                      <w:szCs w:val="21"/>
                      <w:highlight w:val="none"/>
                    </w:rPr>
                  </w:pPr>
                  <w:r>
                    <w:rPr>
                      <w:rFonts w:hint="eastAsia" w:ascii="Times New Roman" w:hAnsi="Times New Roman"/>
                      <w:szCs w:val="21"/>
                      <w:highlight w:val="none"/>
                    </w:rPr>
                    <w:t>卧式储油罐</w:t>
                  </w:r>
                </w:p>
              </w:tc>
              <w:tc>
                <w:tcPr>
                  <w:tcW w:w="616" w:type="pct"/>
                  <w:noWrap w:val="0"/>
                  <w:vAlign w:val="center"/>
                </w:tcPr>
                <w:p w14:paraId="5F6B94DB">
                  <w:pPr>
                    <w:adjustRightInd w:val="0"/>
                    <w:snapToGrid w:val="0"/>
                    <w:jc w:val="center"/>
                    <w:rPr>
                      <w:rFonts w:hint="default" w:ascii="Times New Roman" w:hAnsi="Times New Roman" w:eastAsia="宋体"/>
                      <w:szCs w:val="21"/>
                      <w:highlight w:val="none"/>
                      <w:lang w:val="en-US" w:eastAsia="zh-CN"/>
                    </w:rPr>
                  </w:pPr>
                  <w:r>
                    <w:rPr>
                      <w:rFonts w:hint="eastAsia"/>
                      <w:szCs w:val="21"/>
                      <w:highlight w:val="none"/>
                      <w:lang w:val="en-US" w:eastAsia="zh-CN"/>
                    </w:rPr>
                    <w:t>60</w:t>
                  </w:r>
                </w:p>
              </w:tc>
              <w:tc>
                <w:tcPr>
                  <w:tcW w:w="296" w:type="pct"/>
                  <w:noWrap w:val="0"/>
                  <w:vAlign w:val="center"/>
                </w:tcPr>
                <w:p w14:paraId="58F2D37E">
                  <w:pPr>
                    <w:adjustRightInd w:val="0"/>
                    <w:snapToGrid w:val="0"/>
                    <w:jc w:val="center"/>
                    <w:rPr>
                      <w:rFonts w:hint="eastAsia" w:ascii="Times New Roman" w:hAnsi="Times New Roman" w:eastAsia="宋体"/>
                      <w:szCs w:val="21"/>
                      <w:highlight w:val="none"/>
                      <w:lang w:val="en-US" w:eastAsia="zh-CN"/>
                    </w:rPr>
                  </w:pPr>
                  <w:r>
                    <w:rPr>
                      <w:rFonts w:hint="eastAsia"/>
                      <w:szCs w:val="21"/>
                      <w:highlight w:val="none"/>
                      <w:lang w:val="en-US" w:eastAsia="zh-CN"/>
                    </w:rPr>
                    <w:t>3</w:t>
                  </w:r>
                </w:p>
              </w:tc>
              <w:tc>
                <w:tcPr>
                  <w:tcW w:w="456" w:type="pct"/>
                  <w:noWrap w:val="0"/>
                  <w:vAlign w:val="center"/>
                </w:tcPr>
                <w:p w14:paraId="2E83867F">
                  <w:pPr>
                    <w:adjustRightInd w:val="0"/>
                    <w:snapToGrid w:val="0"/>
                    <w:jc w:val="center"/>
                    <w:rPr>
                      <w:rFonts w:hint="default" w:ascii="Times New Roman" w:hAnsi="Times New Roman" w:eastAsia="宋体"/>
                      <w:szCs w:val="21"/>
                      <w:highlight w:val="none"/>
                      <w:lang w:val="en-US" w:eastAsia="zh-CN"/>
                    </w:rPr>
                  </w:pPr>
                  <w:r>
                    <w:rPr>
                      <w:rFonts w:hint="eastAsia"/>
                      <w:szCs w:val="21"/>
                      <w:highlight w:val="none"/>
                      <w:lang w:val="en-US" w:eastAsia="zh-CN"/>
                    </w:rPr>
                    <w:t>m</w:t>
                  </w:r>
                  <w:r>
                    <w:rPr>
                      <w:rFonts w:hint="eastAsia"/>
                      <w:szCs w:val="21"/>
                      <w:highlight w:val="none"/>
                      <w:vertAlign w:val="superscript"/>
                      <w:lang w:val="en-US" w:eastAsia="zh-CN"/>
                    </w:rPr>
                    <w:t>3</w:t>
                  </w:r>
                </w:p>
              </w:tc>
              <w:tc>
                <w:tcPr>
                  <w:tcW w:w="456" w:type="pct"/>
                  <w:noWrap w:val="0"/>
                  <w:vAlign w:val="center"/>
                </w:tcPr>
                <w:p w14:paraId="7A6CD188">
                  <w:pPr>
                    <w:adjustRightInd w:val="0"/>
                    <w:snapToGrid w:val="0"/>
                    <w:jc w:val="center"/>
                    <w:rPr>
                      <w:rFonts w:ascii="Times New Roman" w:hAnsi="Times New Roman"/>
                      <w:szCs w:val="21"/>
                      <w:highlight w:val="none"/>
                    </w:rPr>
                  </w:pPr>
                  <w:r>
                    <w:rPr>
                      <w:rFonts w:hint="eastAsia" w:ascii="Times New Roman" w:hAnsi="Times New Roman"/>
                      <w:szCs w:val="21"/>
                      <w:highlight w:val="none"/>
                      <w:lang w:val="en-US" w:eastAsia="zh-CN"/>
                    </w:rPr>
                    <w:t>新增</w:t>
                  </w:r>
                </w:p>
              </w:tc>
            </w:tr>
            <w:tr w14:paraId="417F72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448" w:type="pct"/>
                  <w:noWrap w:val="0"/>
                  <w:vAlign w:val="center"/>
                </w:tcPr>
                <w:p w14:paraId="3403EABA">
                  <w:pPr>
                    <w:adjustRightInd w:val="0"/>
                    <w:snapToGrid w:val="0"/>
                    <w:jc w:val="center"/>
                    <w:rPr>
                      <w:rFonts w:ascii="Times New Roman" w:hAnsi="Times New Roman"/>
                      <w:szCs w:val="21"/>
                      <w:highlight w:val="none"/>
                    </w:rPr>
                  </w:pPr>
                </w:p>
              </w:tc>
              <w:tc>
                <w:tcPr>
                  <w:tcW w:w="908" w:type="pct"/>
                  <w:vMerge w:val="continue"/>
                  <w:noWrap w:val="0"/>
                  <w:vAlign w:val="center"/>
                </w:tcPr>
                <w:p w14:paraId="0BB72548">
                  <w:pPr>
                    <w:adjustRightInd w:val="0"/>
                    <w:snapToGrid w:val="0"/>
                    <w:jc w:val="center"/>
                    <w:rPr>
                      <w:rFonts w:hint="eastAsia" w:ascii="Times New Roman" w:hAnsi="Times New Roman"/>
                      <w:szCs w:val="21"/>
                      <w:highlight w:val="none"/>
                    </w:rPr>
                  </w:pPr>
                </w:p>
              </w:tc>
              <w:tc>
                <w:tcPr>
                  <w:tcW w:w="908" w:type="pct"/>
                  <w:vMerge w:val="continue"/>
                  <w:noWrap w:val="0"/>
                  <w:vAlign w:val="center"/>
                </w:tcPr>
                <w:p w14:paraId="4BAB74F6">
                  <w:pPr>
                    <w:adjustRightInd w:val="0"/>
                    <w:snapToGrid w:val="0"/>
                    <w:jc w:val="center"/>
                    <w:rPr>
                      <w:rFonts w:hint="eastAsia" w:ascii="Times New Roman" w:hAnsi="Times New Roman"/>
                      <w:szCs w:val="21"/>
                      <w:highlight w:val="none"/>
                    </w:rPr>
                  </w:pPr>
                </w:p>
              </w:tc>
              <w:tc>
                <w:tcPr>
                  <w:tcW w:w="908" w:type="pct"/>
                  <w:noWrap w:val="0"/>
                  <w:vAlign w:val="center"/>
                </w:tcPr>
                <w:p w14:paraId="691935AA">
                  <w:pPr>
                    <w:adjustRightInd w:val="0"/>
                    <w:snapToGrid w:val="0"/>
                    <w:jc w:val="center"/>
                    <w:rPr>
                      <w:rFonts w:hint="eastAsia" w:ascii="Times New Roman" w:hAnsi="Times New Roman"/>
                      <w:szCs w:val="21"/>
                      <w:highlight w:val="none"/>
                    </w:rPr>
                  </w:pPr>
                  <w:r>
                    <w:rPr>
                      <w:rFonts w:hint="eastAsia" w:ascii="Times New Roman" w:hAnsi="Times New Roman"/>
                      <w:szCs w:val="21"/>
                      <w:highlight w:val="none"/>
                    </w:rPr>
                    <w:t>预检罐</w:t>
                  </w:r>
                </w:p>
              </w:tc>
              <w:tc>
                <w:tcPr>
                  <w:tcW w:w="616" w:type="pct"/>
                  <w:noWrap w:val="0"/>
                  <w:vAlign w:val="center"/>
                </w:tcPr>
                <w:p w14:paraId="02869F5B">
                  <w:pPr>
                    <w:adjustRightInd w:val="0"/>
                    <w:snapToGrid w:val="0"/>
                    <w:jc w:val="center"/>
                    <w:rPr>
                      <w:rFonts w:hint="default"/>
                      <w:szCs w:val="21"/>
                      <w:highlight w:val="none"/>
                      <w:lang w:val="en-US" w:eastAsia="zh-CN"/>
                    </w:rPr>
                  </w:pPr>
                  <w:r>
                    <w:rPr>
                      <w:rFonts w:hint="eastAsia"/>
                      <w:szCs w:val="21"/>
                      <w:highlight w:val="none"/>
                      <w:lang w:val="en-US" w:eastAsia="zh-CN"/>
                    </w:rPr>
                    <w:t>/</w:t>
                  </w:r>
                </w:p>
              </w:tc>
              <w:tc>
                <w:tcPr>
                  <w:tcW w:w="296" w:type="pct"/>
                  <w:noWrap w:val="0"/>
                  <w:vAlign w:val="center"/>
                </w:tcPr>
                <w:p w14:paraId="762A51BA">
                  <w:pPr>
                    <w:adjustRightInd w:val="0"/>
                    <w:snapToGrid w:val="0"/>
                    <w:jc w:val="center"/>
                    <w:rPr>
                      <w:rFonts w:hint="default"/>
                      <w:szCs w:val="21"/>
                      <w:highlight w:val="none"/>
                      <w:lang w:val="en-US" w:eastAsia="zh-CN"/>
                    </w:rPr>
                  </w:pPr>
                  <w:r>
                    <w:rPr>
                      <w:rFonts w:hint="eastAsia"/>
                      <w:szCs w:val="21"/>
                      <w:highlight w:val="none"/>
                      <w:lang w:val="en-US" w:eastAsia="zh-CN"/>
                    </w:rPr>
                    <w:t>1</w:t>
                  </w:r>
                </w:p>
              </w:tc>
              <w:tc>
                <w:tcPr>
                  <w:tcW w:w="456" w:type="pct"/>
                  <w:noWrap w:val="0"/>
                  <w:vAlign w:val="center"/>
                </w:tcPr>
                <w:p w14:paraId="1FF0CE2E">
                  <w:pPr>
                    <w:adjustRightInd w:val="0"/>
                    <w:snapToGrid w:val="0"/>
                    <w:jc w:val="center"/>
                    <w:rPr>
                      <w:rFonts w:hint="default"/>
                      <w:szCs w:val="21"/>
                      <w:highlight w:val="none"/>
                      <w:lang w:val="en-US" w:eastAsia="zh-CN"/>
                    </w:rPr>
                  </w:pPr>
                  <w:r>
                    <w:rPr>
                      <w:rFonts w:hint="eastAsia"/>
                      <w:szCs w:val="21"/>
                      <w:highlight w:val="none"/>
                      <w:lang w:val="en-US" w:eastAsia="zh-CN"/>
                    </w:rPr>
                    <w:t>个</w:t>
                  </w:r>
                </w:p>
              </w:tc>
              <w:tc>
                <w:tcPr>
                  <w:tcW w:w="456" w:type="pct"/>
                  <w:noWrap w:val="0"/>
                  <w:vAlign w:val="center"/>
                </w:tcPr>
                <w:p w14:paraId="2AC3173F">
                  <w:pPr>
                    <w:adjustRightInd w:val="0"/>
                    <w:snapToGrid w:val="0"/>
                    <w:jc w:val="center"/>
                    <w:rPr>
                      <w:rFonts w:hint="default" w:ascii="Times New Roman" w:hAnsi="Times New Roman"/>
                      <w:szCs w:val="21"/>
                      <w:highlight w:val="none"/>
                      <w:lang w:val="en-US" w:eastAsia="zh-CN"/>
                    </w:rPr>
                  </w:pPr>
                  <w:r>
                    <w:rPr>
                      <w:rFonts w:hint="eastAsia"/>
                      <w:szCs w:val="21"/>
                      <w:highlight w:val="none"/>
                      <w:lang w:val="en-US" w:eastAsia="zh-CN"/>
                    </w:rPr>
                    <w:t>新增</w:t>
                  </w:r>
                </w:p>
              </w:tc>
            </w:tr>
            <w:tr w14:paraId="7AC319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448" w:type="pct"/>
                  <w:noWrap w:val="0"/>
                  <w:vAlign w:val="center"/>
                </w:tcPr>
                <w:p w14:paraId="7484F249">
                  <w:pPr>
                    <w:adjustRightInd w:val="0"/>
                    <w:snapToGrid w:val="0"/>
                    <w:jc w:val="center"/>
                    <w:rPr>
                      <w:rFonts w:hint="eastAsia" w:ascii="Times New Roman" w:hAnsi="Times New Roman" w:eastAsia="宋体"/>
                      <w:szCs w:val="21"/>
                      <w:highlight w:val="none"/>
                      <w:lang w:val="en-US" w:eastAsia="zh-CN"/>
                    </w:rPr>
                  </w:pPr>
                  <w:r>
                    <w:rPr>
                      <w:rFonts w:hint="eastAsia"/>
                      <w:szCs w:val="21"/>
                      <w:highlight w:val="none"/>
                      <w:lang w:val="en-US" w:eastAsia="zh-CN"/>
                    </w:rPr>
                    <w:t>3</w:t>
                  </w:r>
                </w:p>
              </w:tc>
              <w:tc>
                <w:tcPr>
                  <w:tcW w:w="908" w:type="pct"/>
                  <w:vMerge w:val="continue"/>
                  <w:noWrap w:val="0"/>
                  <w:vAlign w:val="center"/>
                </w:tcPr>
                <w:p w14:paraId="7D01EB89">
                  <w:pPr>
                    <w:adjustRightInd w:val="0"/>
                    <w:snapToGrid w:val="0"/>
                    <w:jc w:val="center"/>
                    <w:rPr>
                      <w:rFonts w:hint="eastAsia" w:ascii="Times New Roman" w:hAnsi="Times New Roman"/>
                      <w:szCs w:val="21"/>
                      <w:highlight w:val="none"/>
                    </w:rPr>
                  </w:pPr>
                </w:p>
              </w:tc>
              <w:tc>
                <w:tcPr>
                  <w:tcW w:w="908" w:type="pct"/>
                  <w:vMerge w:val="continue"/>
                  <w:noWrap w:val="0"/>
                  <w:vAlign w:val="center"/>
                </w:tcPr>
                <w:p w14:paraId="0A95E865">
                  <w:pPr>
                    <w:adjustRightInd w:val="0"/>
                    <w:snapToGrid w:val="0"/>
                    <w:jc w:val="center"/>
                    <w:rPr>
                      <w:rFonts w:hint="eastAsia" w:ascii="Times New Roman" w:hAnsi="Times New Roman"/>
                      <w:szCs w:val="21"/>
                      <w:highlight w:val="none"/>
                    </w:rPr>
                  </w:pPr>
                </w:p>
              </w:tc>
              <w:tc>
                <w:tcPr>
                  <w:tcW w:w="908" w:type="pct"/>
                  <w:noWrap w:val="0"/>
                  <w:vAlign w:val="center"/>
                </w:tcPr>
                <w:p w14:paraId="18BC62CF">
                  <w:pPr>
                    <w:adjustRightInd w:val="0"/>
                    <w:snapToGrid w:val="0"/>
                    <w:jc w:val="center"/>
                    <w:rPr>
                      <w:rFonts w:hint="default" w:ascii="Times New Roman" w:hAnsi="Times New Roman" w:eastAsia="宋体"/>
                      <w:szCs w:val="21"/>
                      <w:highlight w:val="none"/>
                      <w:lang w:val="en-US" w:eastAsia="zh-CN"/>
                    </w:rPr>
                  </w:pPr>
                  <w:r>
                    <w:rPr>
                      <w:rFonts w:hint="eastAsia"/>
                      <w:szCs w:val="21"/>
                      <w:highlight w:val="none"/>
                      <w:lang w:val="en-US" w:eastAsia="zh-CN"/>
                    </w:rPr>
                    <w:t>事故池</w:t>
                  </w:r>
                </w:p>
              </w:tc>
              <w:tc>
                <w:tcPr>
                  <w:tcW w:w="616" w:type="pct"/>
                  <w:noWrap w:val="0"/>
                  <w:vAlign w:val="center"/>
                </w:tcPr>
                <w:p w14:paraId="63D9B12E">
                  <w:pPr>
                    <w:adjustRightInd w:val="0"/>
                    <w:snapToGrid w:val="0"/>
                    <w:jc w:val="center"/>
                    <w:rPr>
                      <w:rFonts w:hint="default" w:ascii="Times New Roman" w:hAnsi="Times New Roman" w:eastAsia="宋体"/>
                      <w:szCs w:val="21"/>
                      <w:highlight w:val="none"/>
                      <w:lang w:val="en-US" w:eastAsia="zh-CN"/>
                    </w:rPr>
                  </w:pPr>
                  <w:r>
                    <w:rPr>
                      <w:rFonts w:hint="eastAsia"/>
                      <w:szCs w:val="21"/>
                      <w:highlight w:val="none"/>
                      <w:lang w:val="en-US" w:eastAsia="zh-CN"/>
                    </w:rPr>
                    <w:t>35</w:t>
                  </w:r>
                </w:p>
              </w:tc>
              <w:tc>
                <w:tcPr>
                  <w:tcW w:w="296" w:type="pct"/>
                  <w:noWrap w:val="0"/>
                  <w:vAlign w:val="center"/>
                </w:tcPr>
                <w:p w14:paraId="64120083">
                  <w:pPr>
                    <w:adjustRightInd w:val="0"/>
                    <w:snapToGrid w:val="0"/>
                    <w:jc w:val="center"/>
                    <w:rPr>
                      <w:rFonts w:hint="eastAsia" w:ascii="Times New Roman" w:hAnsi="Times New Roman" w:eastAsia="宋体"/>
                      <w:szCs w:val="21"/>
                      <w:highlight w:val="none"/>
                      <w:lang w:val="en-US" w:eastAsia="zh-CN"/>
                    </w:rPr>
                  </w:pPr>
                  <w:r>
                    <w:rPr>
                      <w:rFonts w:hint="eastAsia"/>
                      <w:szCs w:val="21"/>
                      <w:highlight w:val="none"/>
                      <w:lang w:val="en-US" w:eastAsia="zh-CN"/>
                    </w:rPr>
                    <w:t>1</w:t>
                  </w:r>
                </w:p>
              </w:tc>
              <w:tc>
                <w:tcPr>
                  <w:tcW w:w="456" w:type="pct"/>
                  <w:shd w:val="clear" w:color="auto" w:fill="auto"/>
                  <w:noWrap w:val="0"/>
                  <w:vAlign w:val="center"/>
                </w:tcPr>
                <w:p w14:paraId="4977E6CE">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m</w:t>
                  </w:r>
                  <w:r>
                    <w:rPr>
                      <w:rFonts w:hint="eastAsia"/>
                      <w:szCs w:val="21"/>
                      <w:highlight w:val="none"/>
                      <w:vertAlign w:val="superscript"/>
                      <w:lang w:val="en-US" w:eastAsia="zh-CN"/>
                    </w:rPr>
                    <w:t>3</w:t>
                  </w:r>
                </w:p>
              </w:tc>
              <w:tc>
                <w:tcPr>
                  <w:tcW w:w="456" w:type="pct"/>
                  <w:shd w:val="clear" w:color="auto" w:fill="auto"/>
                  <w:noWrap w:val="0"/>
                  <w:vAlign w:val="center"/>
                </w:tcPr>
                <w:p w14:paraId="4AE812A5">
                  <w:pPr>
                    <w:adjustRightInd w:val="0"/>
                    <w:snapToGrid w:val="0"/>
                    <w:jc w:val="center"/>
                    <w:rPr>
                      <w:rFonts w:ascii="Times New Roman" w:hAnsi="Times New Roman" w:eastAsia="宋体" w:cs="Times New Roman"/>
                      <w:kern w:val="2"/>
                      <w:sz w:val="21"/>
                      <w:szCs w:val="21"/>
                      <w:highlight w:val="none"/>
                      <w:lang w:val="en-US" w:eastAsia="zh-CN" w:bidi="ar-SA"/>
                    </w:rPr>
                  </w:pPr>
                  <w:r>
                    <w:rPr>
                      <w:rFonts w:hint="eastAsia" w:ascii="Times New Roman" w:hAnsi="Times New Roman"/>
                      <w:szCs w:val="21"/>
                      <w:highlight w:val="none"/>
                      <w:lang w:val="en-US" w:eastAsia="zh-CN"/>
                    </w:rPr>
                    <w:t>新增</w:t>
                  </w:r>
                </w:p>
              </w:tc>
            </w:tr>
            <w:tr w14:paraId="1D1E7A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448" w:type="pct"/>
                  <w:noWrap w:val="0"/>
                  <w:vAlign w:val="center"/>
                </w:tcPr>
                <w:p w14:paraId="28ECF2A9">
                  <w:pPr>
                    <w:adjustRightInd w:val="0"/>
                    <w:snapToGrid w:val="0"/>
                    <w:jc w:val="center"/>
                    <w:rPr>
                      <w:rFonts w:hint="default" w:ascii="Times New Roman" w:hAnsi="Times New Roman" w:eastAsia="宋体"/>
                      <w:szCs w:val="21"/>
                      <w:highlight w:val="none"/>
                      <w:lang w:val="en-US" w:eastAsia="zh-CN"/>
                    </w:rPr>
                  </w:pPr>
                  <w:r>
                    <w:rPr>
                      <w:rFonts w:hint="eastAsia"/>
                      <w:szCs w:val="21"/>
                      <w:highlight w:val="none"/>
                      <w:lang w:val="en-US" w:eastAsia="zh-CN"/>
                    </w:rPr>
                    <w:t>4</w:t>
                  </w:r>
                </w:p>
              </w:tc>
              <w:tc>
                <w:tcPr>
                  <w:tcW w:w="908" w:type="pct"/>
                  <w:vMerge w:val="continue"/>
                  <w:noWrap w:val="0"/>
                  <w:vAlign w:val="center"/>
                </w:tcPr>
                <w:p w14:paraId="601E6A45">
                  <w:pPr>
                    <w:adjustRightInd w:val="0"/>
                    <w:snapToGrid w:val="0"/>
                    <w:jc w:val="center"/>
                    <w:rPr>
                      <w:rFonts w:hint="eastAsia" w:ascii="Times New Roman" w:hAnsi="Times New Roman"/>
                      <w:szCs w:val="21"/>
                      <w:highlight w:val="none"/>
                      <w:lang w:val="en-US" w:eastAsia="zh-CN"/>
                    </w:rPr>
                  </w:pPr>
                </w:p>
              </w:tc>
              <w:tc>
                <w:tcPr>
                  <w:tcW w:w="908" w:type="pct"/>
                  <w:vMerge w:val="continue"/>
                  <w:noWrap w:val="0"/>
                  <w:vAlign w:val="center"/>
                </w:tcPr>
                <w:p w14:paraId="6E0CFA30">
                  <w:pPr>
                    <w:adjustRightInd w:val="0"/>
                    <w:snapToGrid w:val="0"/>
                    <w:jc w:val="center"/>
                    <w:rPr>
                      <w:rFonts w:hint="eastAsia" w:ascii="Times New Roman" w:hAnsi="Times New Roman"/>
                      <w:szCs w:val="21"/>
                      <w:highlight w:val="none"/>
                      <w:lang w:val="en-US" w:eastAsia="zh-CN"/>
                    </w:rPr>
                  </w:pPr>
                </w:p>
              </w:tc>
              <w:tc>
                <w:tcPr>
                  <w:tcW w:w="908" w:type="pct"/>
                  <w:noWrap w:val="0"/>
                  <w:vAlign w:val="center"/>
                </w:tcPr>
                <w:p w14:paraId="701752EE">
                  <w:pPr>
                    <w:adjustRightInd w:val="0"/>
                    <w:snapToGrid w:val="0"/>
                    <w:jc w:val="center"/>
                    <w:rPr>
                      <w:rFonts w:hint="default" w:ascii="Times New Roman" w:hAnsi="Times New Roman" w:eastAsia="宋体"/>
                      <w:szCs w:val="21"/>
                      <w:highlight w:val="none"/>
                      <w:lang w:val="en-US" w:eastAsia="zh-CN"/>
                    </w:rPr>
                  </w:pPr>
                  <w:r>
                    <w:rPr>
                      <w:rFonts w:hint="eastAsia"/>
                      <w:szCs w:val="21"/>
                      <w:highlight w:val="none"/>
                      <w:lang w:val="en-US" w:eastAsia="zh-CN"/>
                    </w:rPr>
                    <w:t>防渗层</w:t>
                  </w:r>
                </w:p>
              </w:tc>
              <w:tc>
                <w:tcPr>
                  <w:tcW w:w="1369" w:type="pct"/>
                  <w:gridSpan w:val="3"/>
                  <w:noWrap w:val="0"/>
                  <w:vAlign w:val="center"/>
                </w:tcPr>
                <w:p w14:paraId="4F246026">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防渗层0.2m厚C30，P8混凝土层；1-2mm厚3层玻璃纤维布；2mm厚环氧树脂防渗、耐腐蚀涂层，渗透系数≤10</w:t>
                  </w:r>
                  <w:r>
                    <w:rPr>
                      <w:rFonts w:hint="default" w:ascii="Times New Roman" w:hAnsi="Times New Roman" w:eastAsia="宋体" w:cs="Times New Roman"/>
                      <w:kern w:val="2"/>
                      <w:sz w:val="21"/>
                      <w:szCs w:val="21"/>
                      <w:highlight w:val="none"/>
                      <w:vertAlign w:val="superscript"/>
                      <w:lang w:val="en-US" w:eastAsia="zh-CN" w:bidi="ar-SA"/>
                    </w:rPr>
                    <w:t>-10c</w:t>
                  </w:r>
                  <w:r>
                    <w:rPr>
                      <w:rFonts w:hint="default" w:ascii="Times New Roman" w:hAnsi="Times New Roman" w:eastAsia="宋体" w:cs="Times New Roman"/>
                      <w:kern w:val="2"/>
                      <w:sz w:val="21"/>
                      <w:szCs w:val="21"/>
                      <w:highlight w:val="none"/>
                      <w:lang w:val="en-US" w:eastAsia="zh-CN" w:bidi="ar-SA"/>
                    </w:rPr>
                    <w:t>m/s</w:t>
                  </w:r>
                </w:p>
              </w:tc>
              <w:tc>
                <w:tcPr>
                  <w:tcW w:w="456" w:type="pct"/>
                  <w:shd w:val="clear" w:color="auto" w:fill="auto"/>
                  <w:noWrap w:val="0"/>
                  <w:vAlign w:val="center"/>
                </w:tcPr>
                <w:p w14:paraId="599F69AF">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新增</w:t>
                  </w:r>
                </w:p>
              </w:tc>
            </w:tr>
            <w:tr w14:paraId="30716B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448" w:type="pct"/>
                  <w:shd w:val="clear" w:color="auto" w:fill="auto"/>
                  <w:noWrap w:val="0"/>
                  <w:vAlign w:val="center"/>
                </w:tcPr>
                <w:p w14:paraId="6CE467EA">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5</w:t>
                  </w:r>
                </w:p>
              </w:tc>
              <w:tc>
                <w:tcPr>
                  <w:tcW w:w="908" w:type="pct"/>
                  <w:shd w:val="clear" w:color="auto" w:fill="auto"/>
                  <w:noWrap w:val="0"/>
                  <w:vAlign w:val="center"/>
                </w:tcPr>
                <w:p w14:paraId="4964D1F6">
                  <w:pPr>
                    <w:adjustRightInd w:val="0"/>
                    <w:snapToGrid w:val="0"/>
                    <w:jc w:val="center"/>
                    <w:rPr>
                      <w:rFonts w:hint="default" w:ascii="Times New Roman" w:hAnsi="Times New Roman"/>
                      <w:szCs w:val="21"/>
                      <w:highlight w:val="none"/>
                      <w:lang w:val="en-US" w:eastAsia="zh-CN"/>
                    </w:rPr>
                  </w:pPr>
                  <w:r>
                    <w:rPr>
                      <w:rFonts w:hint="eastAsia"/>
                      <w:szCs w:val="21"/>
                      <w:highlight w:val="none"/>
                      <w:lang w:val="en-US" w:eastAsia="zh-CN"/>
                    </w:rPr>
                    <w:t>物化处理单元</w:t>
                  </w:r>
                </w:p>
              </w:tc>
              <w:tc>
                <w:tcPr>
                  <w:tcW w:w="908" w:type="pct"/>
                  <w:shd w:val="clear" w:color="auto" w:fill="auto"/>
                  <w:noWrap w:val="0"/>
                  <w:vAlign w:val="center"/>
                </w:tcPr>
                <w:p w14:paraId="66941753">
                  <w:pPr>
                    <w:adjustRightInd w:val="0"/>
                    <w:snapToGrid w:val="0"/>
                    <w:jc w:val="center"/>
                    <w:rPr>
                      <w:rFonts w:hint="default" w:ascii="Times New Roman" w:hAnsi="Times New Roman"/>
                      <w:szCs w:val="21"/>
                      <w:highlight w:val="none"/>
                      <w:lang w:val="en-US" w:eastAsia="zh-CN"/>
                    </w:rPr>
                  </w:pPr>
                  <w:r>
                    <w:rPr>
                      <w:rFonts w:hint="eastAsia"/>
                      <w:szCs w:val="21"/>
                      <w:highlight w:val="none"/>
                      <w:lang w:val="en-US" w:eastAsia="zh-CN"/>
                    </w:rPr>
                    <w:t>压实</w:t>
                  </w:r>
                </w:p>
              </w:tc>
              <w:tc>
                <w:tcPr>
                  <w:tcW w:w="908" w:type="pct"/>
                  <w:shd w:val="clear" w:color="auto" w:fill="auto"/>
                  <w:noWrap w:val="0"/>
                  <w:vAlign w:val="center"/>
                </w:tcPr>
                <w:p w14:paraId="54A2BCFA">
                  <w:pPr>
                    <w:adjustRightInd w:val="0"/>
                    <w:snapToGrid w:val="0"/>
                    <w:jc w:val="center"/>
                    <w:rPr>
                      <w:rFonts w:hint="eastAsia" w:ascii="Times New Roman" w:hAnsi="Times New Roman" w:eastAsia="宋体" w:cs="Times New Roman"/>
                      <w:kern w:val="2"/>
                      <w:sz w:val="21"/>
                      <w:szCs w:val="21"/>
                      <w:highlight w:val="none"/>
                      <w:lang w:val="en-US" w:eastAsia="zh-CN" w:bidi="ar-SA"/>
                    </w:rPr>
                  </w:pPr>
                  <w:r>
                    <w:rPr>
                      <w:rFonts w:hint="eastAsia" w:ascii="Times New Roman" w:hAnsi="Times New Roman"/>
                      <w:szCs w:val="21"/>
                      <w:highlight w:val="none"/>
                      <w:lang w:val="en-US" w:eastAsia="zh-CN"/>
                    </w:rPr>
                    <w:t>压块设备</w:t>
                  </w:r>
                </w:p>
              </w:tc>
              <w:tc>
                <w:tcPr>
                  <w:tcW w:w="616" w:type="pct"/>
                  <w:shd w:val="clear" w:color="auto" w:fill="auto"/>
                  <w:noWrap w:val="0"/>
                  <w:vAlign w:val="center"/>
                </w:tcPr>
                <w:p w14:paraId="1576A716">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w:t>
                  </w:r>
                </w:p>
              </w:tc>
              <w:tc>
                <w:tcPr>
                  <w:tcW w:w="296" w:type="pct"/>
                  <w:shd w:val="clear" w:color="auto" w:fill="auto"/>
                  <w:noWrap w:val="0"/>
                  <w:vAlign w:val="center"/>
                </w:tcPr>
                <w:p w14:paraId="64C734B6">
                  <w:pPr>
                    <w:adjustRightInd w:val="0"/>
                    <w:snapToGrid w:val="0"/>
                    <w:jc w:val="center"/>
                    <w:rPr>
                      <w:rFonts w:hint="eastAsia" w:ascii="Times New Roman" w:hAnsi="Times New Roman" w:eastAsia="宋体" w:cs="Times New Roman"/>
                      <w:kern w:val="2"/>
                      <w:sz w:val="21"/>
                      <w:szCs w:val="21"/>
                      <w:highlight w:val="none"/>
                      <w:lang w:val="en-US" w:eastAsia="zh-CN" w:bidi="ar-SA"/>
                    </w:rPr>
                  </w:pPr>
                  <w:r>
                    <w:rPr>
                      <w:rFonts w:hint="eastAsia" w:ascii="Times New Roman" w:hAnsi="Times New Roman"/>
                      <w:szCs w:val="21"/>
                      <w:highlight w:val="none"/>
                      <w:lang w:val="en-US" w:eastAsia="zh-CN"/>
                    </w:rPr>
                    <w:t>1</w:t>
                  </w:r>
                </w:p>
              </w:tc>
              <w:tc>
                <w:tcPr>
                  <w:tcW w:w="456" w:type="pct"/>
                  <w:shd w:val="clear" w:color="auto" w:fill="auto"/>
                  <w:noWrap w:val="0"/>
                  <w:vAlign w:val="center"/>
                </w:tcPr>
                <w:p w14:paraId="51B357A4">
                  <w:pPr>
                    <w:adjustRightInd w:val="0"/>
                    <w:snapToGrid w:val="0"/>
                    <w:jc w:val="center"/>
                    <w:rPr>
                      <w:rFonts w:hint="eastAsia" w:ascii="Times New Roman" w:hAnsi="Times New Roman" w:eastAsia="宋体" w:cs="Times New Roman"/>
                      <w:kern w:val="2"/>
                      <w:sz w:val="21"/>
                      <w:szCs w:val="21"/>
                      <w:highlight w:val="none"/>
                      <w:lang w:val="en-US" w:eastAsia="zh-CN" w:bidi="ar-SA"/>
                    </w:rPr>
                  </w:pPr>
                  <w:r>
                    <w:rPr>
                      <w:rFonts w:hint="eastAsia" w:ascii="Times New Roman" w:hAnsi="Times New Roman"/>
                      <w:szCs w:val="21"/>
                      <w:highlight w:val="none"/>
                      <w:lang w:val="en-US" w:eastAsia="zh-CN"/>
                    </w:rPr>
                    <w:t>台</w:t>
                  </w:r>
                </w:p>
              </w:tc>
              <w:tc>
                <w:tcPr>
                  <w:tcW w:w="456" w:type="pct"/>
                  <w:shd w:val="clear" w:color="auto" w:fill="auto"/>
                  <w:noWrap w:val="0"/>
                  <w:vAlign w:val="center"/>
                </w:tcPr>
                <w:p w14:paraId="07CFC216">
                  <w:pPr>
                    <w:adjustRightInd w:val="0"/>
                    <w:snapToGrid w:val="0"/>
                    <w:jc w:val="center"/>
                    <w:rPr>
                      <w:rFonts w:hint="eastAsia" w:ascii="Times New Roman" w:hAnsi="Times New Roman" w:eastAsia="宋体" w:cs="Times New Roman"/>
                      <w:kern w:val="2"/>
                      <w:sz w:val="21"/>
                      <w:szCs w:val="21"/>
                      <w:highlight w:val="none"/>
                      <w:lang w:val="en-US" w:eastAsia="zh-CN" w:bidi="ar-SA"/>
                    </w:rPr>
                  </w:pPr>
                  <w:r>
                    <w:rPr>
                      <w:rFonts w:hint="eastAsia" w:ascii="Times New Roman" w:hAnsi="Times New Roman"/>
                      <w:szCs w:val="21"/>
                      <w:highlight w:val="none"/>
                      <w:lang w:val="en-US" w:eastAsia="zh-CN"/>
                    </w:rPr>
                    <w:t>新增</w:t>
                  </w:r>
                </w:p>
              </w:tc>
            </w:tr>
            <w:tr w14:paraId="6F3B98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448" w:type="pct"/>
                  <w:shd w:val="clear" w:color="auto" w:fill="auto"/>
                  <w:noWrap w:val="0"/>
                  <w:vAlign w:val="center"/>
                </w:tcPr>
                <w:p w14:paraId="594651C8">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6</w:t>
                  </w:r>
                </w:p>
              </w:tc>
              <w:tc>
                <w:tcPr>
                  <w:tcW w:w="908" w:type="pct"/>
                  <w:vMerge w:val="restart"/>
                  <w:shd w:val="clear" w:color="auto" w:fill="auto"/>
                  <w:noWrap w:val="0"/>
                  <w:vAlign w:val="center"/>
                </w:tcPr>
                <w:p w14:paraId="5AE366F1">
                  <w:pPr>
                    <w:adjustRightInd w:val="0"/>
                    <w:snapToGrid w:val="0"/>
                    <w:jc w:val="center"/>
                    <w:rPr>
                      <w:rFonts w:hint="default"/>
                      <w:szCs w:val="21"/>
                      <w:highlight w:val="none"/>
                      <w:lang w:val="en-US" w:eastAsia="zh-CN"/>
                    </w:rPr>
                  </w:pPr>
                  <w:r>
                    <w:rPr>
                      <w:rFonts w:hint="eastAsia"/>
                      <w:szCs w:val="21"/>
                      <w:highlight w:val="none"/>
                      <w:lang w:val="en-US" w:eastAsia="zh-CN"/>
                    </w:rPr>
                    <w:t>其他</w:t>
                  </w:r>
                </w:p>
              </w:tc>
              <w:tc>
                <w:tcPr>
                  <w:tcW w:w="908" w:type="pct"/>
                  <w:vMerge w:val="restart"/>
                  <w:shd w:val="clear" w:color="auto" w:fill="auto"/>
                  <w:noWrap w:val="0"/>
                  <w:vAlign w:val="center"/>
                </w:tcPr>
                <w:p w14:paraId="5A833BFD">
                  <w:pPr>
                    <w:adjustRightInd w:val="0"/>
                    <w:snapToGrid w:val="0"/>
                    <w:jc w:val="center"/>
                    <w:rPr>
                      <w:rFonts w:hint="default"/>
                      <w:szCs w:val="21"/>
                      <w:highlight w:val="none"/>
                      <w:lang w:val="en-US" w:eastAsia="zh-CN"/>
                    </w:rPr>
                  </w:pPr>
                  <w:r>
                    <w:rPr>
                      <w:rFonts w:hint="eastAsia"/>
                      <w:szCs w:val="21"/>
                      <w:highlight w:val="none"/>
                      <w:lang w:val="en-US" w:eastAsia="zh-CN"/>
                    </w:rPr>
                    <w:t>其他</w:t>
                  </w:r>
                </w:p>
              </w:tc>
              <w:tc>
                <w:tcPr>
                  <w:tcW w:w="908" w:type="pct"/>
                  <w:shd w:val="clear" w:color="auto" w:fill="auto"/>
                  <w:noWrap w:val="0"/>
                  <w:vAlign w:val="center"/>
                </w:tcPr>
                <w:p w14:paraId="5B1A55B3">
                  <w:pPr>
                    <w:adjustRightInd w:val="0"/>
                    <w:snapToGrid w:val="0"/>
                    <w:jc w:val="center"/>
                    <w:rPr>
                      <w:rFonts w:hint="eastAsia" w:ascii="Times New Roman" w:hAnsi="Times New Roman" w:eastAsia="宋体" w:cs="Times New Roman"/>
                      <w:kern w:val="2"/>
                      <w:sz w:val="21"/>
                      <w:szCs w:val="21"/>
                      <w:highlight w:val="none"/>
                      <w:lang w:val="en-US" w:eastAsia="zh-CN" w:bidi="ar-SA"/>
                    </w:rPr>
                  </w:pPr>
                  <w:r>
                    <w:rPr>
                      <w:rFonts w:ascii="Times New Roman" w:hAnsi="Times New Roman"/>
                      <w:szCs w:val="21"/>
                      <w:highlight w:val="none"/>
                    </w:rPr>
                    <w:t>叉车</w:t>
                  </w:r>
                </w:p>
              </w:tc>
              <w:tc>
                <w:tcPr>
                  <w:tcW w:w="616" w:type="pct"/>
                  <w:shd w:val="clear" w:color="auto" w:fill="auto"/>
                  <w:noWrap w:val="0"/>
                  <w:vAlign w:val="center"/>
                </w:tcPr>
                <w:p w14:paraId="28FB7EAF">
                  <w:pPr>
                    <w:adjustRightInd w:val="0"/>
                    <w:snapToGrid w:val="0"/>
                    <w:jc w:val="center"/>
                    <w:rPr>
                      <w:rFonts w:hint="eastAsia" w:ascii="Times New Roman" w:hAnsi="Times New Roman" w:eastAsia="宋体" w:cs="Times New Roman"/>
                      <w:kern w:val="2"/>
                      <w:sz w:val="21"/>
                      <w:szCs w:val="21"/>
                      <w:highlight w:val="none"/>
                      <w:lang w:val="en-US" w:eastAsia="zh-CN" w:bidi="ar-SA"/>
                    </w:rPr>
                  </w:pPr>
                  <w:r>
                    <w:rPr>
                      <w:rFonts w:hint="eastAsia" w:ascii="Times New Roman" w:hAnsi="Times New Roman"/>
                      <w:szCs w:val="21"/>
                      <w:highlight w:val="none"/>
                      <w:lang w:val="en-US" w:eastAsia="zh-CN"/>
                    </w:rPr>
                    <w:t>3t</w:t>
                  </w:r>
                </w:p>
              </w:tc>
              <w:tc>
                <w:tcPr>
                  <w:tcW w:w="296" w:type="pct"/>
                  <w:shd w:val="clear" w:color="auto" w:fill="auto"/>
                  <w:noWrap w:val="0"/>
                  <w:vAlign w:val="center"/>
                </w:tcPr>
                <w:p w14:paraId="20FECC0B">
                  <w:pPr>
                    <w:adjustRightInd w:val="0"/>
                    <w:snapToGrid w:val="0"/>
                    <w:jc w:val="center"/>
                    <w:rPr>
                      <w:rFonts w:hint="eastAsia" w:ascii="Times New Roman" w:hAnsi="Times New Roman" w:eastAsia="宋体" w:cs="Times New Roman"/>
                      <w:kern w:val="2"/>
                      <w:sz w:val="21"/>
                      <w:szCs w:val="21"/>
                      <w:highlight w:val="none"/>
                      <w:lang w:val="en-US" w:eastAsia="zh-CN" w:bidi="ar-SA"/>
                    </w:rPr>
                  </w:pPr>
                  <w:r>
                    <w:rPr>
                      <w:rFonts w:ascii="Times New Roman" w:hAnsi="Times New Roman"/>
                      <w:szCs w:val="21"/>
                      <w:highlight w:val="none"/>
                    </w:rPr>
                    <w:t>1</w:t>
                  </w:r>
                </w:p>
              </w:tc>
              <w:tc>
                <w:tcPr>
                  <w:tcW w:w="456" w:type="pct"/>
                  <w:shd w:val="clear" w:color="auto" w:fill="auto"/>
                  <w:noWrap w:val="0"/>
                  <w:vAlign w:val="center"/>
                </w:tcPr>
                <w:p w14:paraId="6EEBA0E2">
                  <w:pPr>
                    <w:adjustRightInd w:val="0"/>
                    <w:snapToGrid w:val="0"/>
                    <w:jc w:val="center"/>
                    <w:rPr>
                      <w:rFonts w:hint="eastAsia" w:ascii="Times New Roman" w:hAnsi="Times New Roman" w:eastAsia="宋体" w:cs="Times New Roman"/>
                      <w:kern w:val="2"/>
                      <w:sz w:val="21"/>
                      <w:szCs w:val="21"/>
                      <w:highlight w:val="none"/>
                      <w:lang w:val="en-US" w:eastAsia="zh-CN" w:bidi="ar-SA"/>
                    </w:rPr>
                  </w:pPr>
                  <w:r>
                    <w:rPr>
                      <w:rFonts w:ascii="Times New Roman" w:hAnsi="Times New Roman"/>
                      <w:szCs w:val="21"/>
                      <w:highlight w:val="none"/>
                    </w:rPr>
                    <w:t>台</w:t>
                  </w:r>
                </w:p>
              </w:tc>
              <w:tc>
                <w:tcPr>
                  <w:tcW w:w="456" w:type="pct"/>
                  <w:shd w:val="clear" w:color="auto" w:fill="auto"/>
                  <w:noWrap w:val="0"/>
                  <w:vAlign w:val="center"/>
                </w:tcPr>
                <w:p w14:paraId="3FF975E1">
                  <w:pPr>
                    <w:adjustRightInd w:val="0"/>
                    <w:snapToGrid w:val="0"/>
                    <w:jc w:val="center"/>
                    <w:rPr>
                      <w:rFonts w:hint="eastAsia" w:ascii="Times New Roman" w:hAnsi="Times New Roman" w:eastAsia="宋体" w:cs="Times New Roman"/>
                      <w:kern w:val="2"/>
                      <w:sz w:val="21"/>
                      <w:szCs w:val="21"/>
                      <w:highlight w:val="none"/>
                      <w:lang w:val="en-US" w:eastAsia="zh-CN" w:bidi="ar-SA"/>
                    </w:rPr>
                  </w:pPr>
                  <w:r>
                    <w:rPr>
                      <w:rFonts w:hint="eastAsia" w:ascii="Times New Roman" w:hAnsi="Times New Roman"/>
                      <w:szCs w:val="21"/>
                      <w:highlight w:val="none"/>
                      <w:lang w:val="en-US" w:eastAsia="zh-CN"/>
                    </w:rPr>
                    <w:t>新增</w:t>
                  </w:r>
                </w:p>
              </w:tc>
            </w:tr>
            <w:tr w14:paraId="446B09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448" w:type="pct"/>
                  <w:shd w:val="clear" w:color="auto" w:fill="auto"/>
                  <w:noWrap w:val="0"/>
                  <w:vAlign w:val="center"/>
                </w:tcPr>
                <w:p w14:paraId="60844916">
                  <w:pPr>
                    <w:adjustRightInd w:val="0"/>
                    <w:snapToGrid w:val="0"/>
                    <w:jc w:val="center"/>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7</w:t>
                  </w:r>
                </w:p>
              </w:tc>
              <w:tc>
                <w:tcPr>
                  <w:tcW w:w="908" w:type="pct"/>
                  <w:vMerge w:val="continue"/>
                  <w:shd w:val="clear" w:color="auto" w:fill="auto"/>
                  <w:noWrap w:val="0"/>
                  <w:vAlign w:val="center"/>
                </w:tcPr>
                <w:p w14:paraId="59E52FED">
                  <w:pPr>
                    <w:adjustRightInd w:val="0"/>
                    <w:snapToGrid w:val="0"/>
                    <w:jc w:val="center"/>
                    <w:rPr>
                      <w:rFonts w:hint="eastAsia"/>
                      <w:szCs w:val="21"/>
                      <w:highlight w:val="none"/>
                      <w:lang w:val="en-US" w:eastAsia="zh-CN"/>
                    </w:rPr>
                  </w:pPr>
                </w:p>
              </w:tc>
              <w:tc>
                <w:tcPr>
                  <w:tcW w:w="908" w:type="pct"/>
                  <w:vMerge w:val="continue"/>
                  <w:shd w:val="clear" w:color="auto" w:fill="auto"/>
                  <w:noWrap w:val="0"/>
                  <w:vAlign w:val="center"/>
                </w:tcPr>
                <w:p w14:paraId="1D1561E9">
                  <w:pPr>
                    <w:adjustRightInd w:val="0"/>
                    <w:snapToGrid w:val="0"/>
                    <w:jc w:val="center"/>
                    <w:rPr>
                      <w:rFonts w:hint="eastAsia"/>
                      <w:szCs w:val="21"/>
                      <w:highlight w:val="none"/>
                      <w:lang w:val="en-US" w:eastAsia="zh-CN"/>
                    </w:rPr>
                  </w:pPr>
                </w:p>
              </w:tc>
              <w:tc>
                <w:tcPr>
                  <w:tcW w:w="908" w:type="pct"/>
                  <w:shd w:val="clear" w:color="auto" w:fill="auto"/>
                  <w:noWrap w:val="0"/>
                  <w:vAlign w:val="center"/>
                </w:tcPr>
                <w:p w14:paraId="1E599957">
                  <w:pPr>
                    <w:adjustRightInd w:val="0"/>
                    <w:snapToGrid w:val="0"/>
                    <w:jc w:val="center"/>
                    <w:rPr>
                      <w:rFonts w:hint="eastAsia" w:ascii="Times New Roman" w:hAnsi="Times New Roman" w:eastAsia="宋体" w:cs="Times New Roman"/>
                      <w:kern w:val="2"/>
                      <w:sz w:val="21"/>
                      <w:szCs w:val="21"/>
                      <w:highlight w:val="none"/>
                      <w:lang w:val="en-US" w:eastAsia="zh-CN" w:bidi="ar-SA"/>
                    </w:rPr>
                  </w:pPr>
                  <w:r>
                    <w:rPr>
                      <w:rFonts w:hint="eastAsia" w:ascii="Times New Roman" w:hAnsi="Times New Roman"/>
                      <w:szCs w:val="21"/>
                      <w:highlight w:val="none"/>
                    </w:rPr>
                    <w:t>抽油泵</w:t>
                  </w:r>
                </w:p>
              </w:tc>
              <w:tc>
                <w:tcPr>
                  <w:tcW w:w="616" w:type="pct"/>
                  <w:shd w:val="clear" w:color="auto" w:fill="auto"/>
                  <w:noWrap w:val="0"/>
                  <w:vAlign w:val="center"/>
                </w:tcPr>
                <w:p w14:paraId="71F0BB8C">
                  <w:pPr>
                    <w:adjustRightInd w:val="0"/>
                    <w:snapToGrid w:val="0"/>
                    <w:jc w:val="center"/>
                    <w:rPr>
                      <w:rFonts w:hint="eastAsia" w:ascii="Times New Roman" w:hAnsi="Times New Roman" w:eastAsia="宋体" w:cs="Times New Roman"/>
                      <w:kern w:val="2"/>
                      <w:sz w:val="21"/>
                      <w:szCs w:val="21"/>
                      <w:highlight w:val="none"/>
                      <w:lang w:val="en-US" w:eastAsia="zh-CN" w:bidi="ar-SA"/>
                    </w:rPr>
                  </w:pPr>
                  <w:r>
                    <w:rPr>
                      <w:rFonts w:hint="eastAsia" w:ascii="Times New Roman" w:hAnsi="Times New Roman"/>
                      <w:szCs w:val="21"/>
                      <w:highlight w:val="none"/>
                      <w:lang w:val="en-US" w:eastAsia="zh-CN"/>
                    </w:rPr>
                    <w:t>1t</w:t>
                  </w:r>
                </w:p>
              </w:tc>
              <w:tc>
                <w:tcPr>
                  <w:tcW w:w="296" w:type="pct"/>
                  <w:shd w:val="clear" w:color="auto" w:fill="auto"/>
                  <w:noWrap w:val="0"/>
                  <w:vAlign w:val="center"/>
                </w:tcPr>
                <w:p w14:paraId="03E9E25F">
                  <w:pPr>
                    <w:adjustRightInd w:val="0"/>
                    <w:snapToGrid w:val="0"/>
                    <w:jc w:val="center"/>
                    <w:rPr>
                      <w:rFonts w:hint="eastAsia" w:ascii="Times New Roman" w:hAnsi="Times New Roman" w:eastAsia="宋体" w:cs="Times New Roman"/>
                      <w:kern w:val="2"/>
                      <w:sz w:val="21"/>
                      <w:szCs w:val="21"/>
                      <w:highlight w:val="none"/>
                      <w:lang w:val="en-US" w:eastAsia="zh-CN" w:bidi="ar-SA"/>
                    </w:rPr>
                  </w:pPr>
                  <w:r>
                    <w:rPr>
                      <w:rFonts w:hint="eastAsia" w:ascii="Times New Roman" w:hAnsi="Times New Roman"/>
                      <w:szCs w:val="21"/>
                      <w:highlight w:val="none"/>
                    </w:rPr>
                    <w:t>2</w:t>
                  </w:r>
                </w:p>
              </w:tc>
              <w:tc>
                <w:tcPr>
                  <w:tcW w:w="456" w:type="pct"/>
                  <w:shd w:val="clear" w:color="auto" w:fill="auto"/>
                  <w:noWrap w:val="0"/>
                  <w:vAlign w:val="center"/>
                </w:tcPr>
                <w:p w14:paraId="4DBA9E12">
                  <w:pPr>
                    <w:adjustRightInd w:val="0"/>
                    <w:snapToGrid w:val="0"/>
                    <w:jc w:val="center"/>
                    <w:rPr>
                      <w:rFonts w:hint="eastAsia" w:ascii="Times New Roman" w:hAnsi="Times New Roman" w:eastAsia="宋体" w:cs="Times New Roman"/>
                      <w:kern w:val="2"/>
                      <w:sz w:val="21"/>
                      <w:szCs w:val="21"/>
                      <w:highlight w:val="none"/>
                      <w:lang w:val="en-US" w:eastAsia="zh-CN" w:bidi="ar-SA"/>
                    </w:rPr>
                  </w:pPr>
                  <w:r>
                    <w:rPr>
                      <w:rFonts w:ascii="Times New Roman" w:hAnsi="Times New Roman"/>
                      <w:szCs w:val="21"/>
                      <w:highlight w:val="none"/>
                    </w:rPr>
                    <w:t>台</w:t>
                  </w:r>
                </w:p>
              </w:tc>
              <w:tc>
                <w:tcPr>
                  <w:tcW w:w="456" w:type="pct"/>
                  <w:shd w:val="clear" w:color="auto" w:fill="auto"/>
                  <w:noWrap w:val="0"/>
                  <w:vAlign w:val="center"/>
                </w:tcPr>
                <w:p w14:paraId="12A08CF8">
                  <w:pPr>
                    <w:adjustRightInd w:val="0"/>
                    <w:snapToGrid w:val="0"/>
                    <w:jc w:val="center"/>
                    <w:rPr>
                      <w:rFonts w:hint="eastAsia" w:ascii="Times New Roman" w:hAnsi="Times New Roman" w:eastAsia="宋体" w:cs="Times New Roman"/>
                      <w:kern w:val="2"/>
                      <w:sz w:val="21"/>
                      <w:szCs w:val="21"/>
                      <w:highlight w:val="none"/>
                      <w:lang w:val="en-US" w:eastAsia="zh-CN" w:bidi="ar-SA"/>
                    </w:rPr>
                  </w:pPr>
                  <w:r>
                    <w:rPr>
                      <w:rFonts w:hint="eastAsia" w:ascii="Times New Roman" w:hAnsi="Times New Roman"/>
                      <w:szCs w:val="21"/>
                      <w:highlight w:val="none"/>
                      <w:lang w:val="en-US" w:eastAsia="zh-CN"/>
                    </w:rPr>
                    <w:t>新增</w:t>
                  </w:r>
                </w:p>
              </w:tc>
            </w:tr>
            <w:tr w14:paraId="63DC60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448" w:type="pct"/>
                  <w:shd w:val="clear" w:color="auto" w:fill="auto"/>
                  <w:noWrap w:val="0"/>
                  <w:vAlign w:val="center"/>
                </w:tcPr>
                <w:p w14:paraId="6595C05B">
                  <w:pPr>
                    <w:adjustRightInd w:val="0"/>
                    <w:snapToGrid w:val="0"/>
                    <w:jc w:val="center"/>
                    <w:rPr>
                      <w:rFonts w:hint="default" w:cs="Times New Roman"/>
                      <w:kern w:val="2"/>
                      <w:sz w:val="21"/>
                      <w:szCs w:val="21"/>
                      <w:highlight w:val="none"/>
                      <w:lang w:val="en-US" w:eastAsia="zh-CN" w:bidi="ar-SA"/>
                    </w:rPr>
                  </w:pPr>
                  <w:r>
                    <w:rPr>
                      <w:rFonts w:hint="eastAsia" w:cs="Times New Roman"/>
                      <w:kern w:val="2"/>
                      <w:sz w:val="21"/>
                      <w:szCs w:val="21"/>
                      <w:highlight w:val="none"/>
                      <w:lang w:val="en-US" w:eastAsia="zh-CN" w:bidi="ar-SA"/>
                    </w:rPr>
                    <w:t>8</w:t>
                  </w:r>
                </w:p>
              </w:tc>
              <w:tc>
                <w:tcPr>
                  <w:tcW w:w="908" w:type="pct"/>
                  <w:vMerge w:val="continue"/>
                  <w:shd w:val="clear" w:color="auto" w:fill="auto"/>
                  <w:noWrap w:val="0"/>
                  <w:vAlign w:val="center"/>
                </w:tcPr>
                <w:p w14:paraId="33ACF2F3">
                  <w:pPr>
                    <w:adjustRightInd w:val="0"/>
                    <w:snapToGrid w:val="0"/>
                    <w:jc w:val="center"/>
                    <w:rPr>
                      <w:rFonts w:hint="eastAsia"/>
                      <w:szCs w:val="21"/>
                      <w:highlight w:val="none"/>
                      <w:lang w:val="en-US" w:eastAsia="zh-CN"/>
                    </w:rPr>
                  </w:pPr>
                </w:p>
              </w:tc>
              <w:tc>
                <w:tcPr>
                  <w:tcW w:w="908" w:type="pct"/>
                  <w:vMerge w:val="continue"/>
                  <w:shd w:val="clear" w:color="auto" w:fill="auto"/>
                  <w:noWrap w:val="0"/>
                  <w:vAlign w:val="center"/>
                </w:tcPr>
                <w:p w14:paraId="200D4956">
                  <w:pPr>
                    <w:adjustRightInd w:val="0"/>
                    <w:snapToGrid w:val="0"/>
                    <w:jc w:val="center"/>
                    <w:rPr>
                      <w:rFonts w:hint="eastAsia"/>
                      <w:szCs w:val="21"/>
                      <w:highlight w:val="none"/>
                      <w:lang w:val="en-US" w:eastAsia="zh-CN"/>
                    </w:rPr>
                  </w:pPr>
                </w:p>
              </w:tc>
              <w:tc>
                <w:tcPr>
                  <w:tcW w:w="908" w:type="pct"/>
                  <w:shd w:val="clear" w:color="auto" w:fill="auto"/>
                  <w:noWrap w:val="0"/>
                  <w:vAlign w:val="center"/>
                </w:tcPr>
                <w:p w14:paraId="42769D76">
                  <w:pPr>
                    <w:adjustRightInd w:val="0"/>
                    <w:snapToGrid w:val="0"/>
                    <w:jc w:val="center"/>
                    <w:rPr>
                      <w:rFonts w:hint="eastAsia" w:ascii="Times New Roman" w:hAnsi="Times New Roman" w:eastAsia="宋体" w:cs="Times New Roman"/>
                      <w:kern w:val="2"/>
                      <w:sz w:val="21"/>
                      <w:szCs w:val="21"/>
                      <w:highlight w:val="none"/>
                      <w:lang w:val="en-US" w:eastAsia="zh-CN" w:bidi="ar-SA"/>
                    </w:rPr>
                  </w:pPr>
                  <w:r>
                    <w:rPr>
                      <w:rFonts w:hint="eastAsia" w:ascii="Times New Roman" w:hAnsi="Times New Roman"/>
                      <w:szCs w:val="21"/>
                      <w:highlight w:val="none"/>
                      <w:lang w:val="en-US" w:eastAsia="zh-CN"/>
                    </w:rPr>
                    <w:t>天车</w:t>
                  </w:r>
                </w:p>
              </w:tc>
              <w:tc>
                <w:tcPr>
                  <w:tcW w:w="616" w:type="pct"/>
                  <w:shd w:val="clear" w:color="auto" w:fill="auto"/>
                  <w:noWrap w:val="0"/>
                  <w:vAlign w:val="center"/>
                </w:tcPr>
                <w:p w14:paraId="7AC1911B">
                  <w:pPr>
                    <w:adjustRightInd w:val="0"/>
                    <w:snapToGrid w:val="0"/>
                    <w:jc w:val="center"/>
                    <w:rPr>
                      <w:rFonts w:hint="eastAsia" w:ascii="Times New Roman" w:hAnsi="Times New Roman" w:eastAsia="宋体" w:cs="Times New Roman"/>
                      <w:kern w:val="2"/>
                      <w:sz w:val="21"/>
                      <w:szCs w:val="21"/>
                      <w:highlight w:val="none"/>
                      <w:lang w:val="en-US" w:eastAsia="zh-CN" w:bidi="ar-SA"/>
                    </w:rPr>
                  </w:pPr>
                  <w:r>
                    <w:rPr>
                      <w:rFonts w:hint="eastAsia" w:ascii="Times New Roman" w:hAnsi="Times New Roman"/>
                      <w:szCs w:val="21"/>
                      <w:highlight w:val="none"/>
                      <w:lang w:val="en-US" w:eastAsia="zh-CN"/>
                    </w:rPr>
                    <w:t>2.8t</w:t>
                  </w:r>
                </w:p>
              </w:tc>
              <w:tc>
                <w:tcPr>
                  <w:tcW w:w="296" w:type="pct"/>
                  <w:shd w:val="clear" w:color="auto" w:fill="auto"/>
                  <w:noWrap w:val="0"/>
                  <w:vAlign w:val="center"/>
                </w:tcPr>
                <w:p w14:paraId="14B1D84D">
                  <w:pPr>
                    <w:adjustRightInd w:val="0"/>
                    <w:snapToGrid w:val="0"/>
                    <w:jc w:val="center"/>
                    <w:rPr>
                      <w:rFonts w:hint="eastAsia" w:ascii="Times New Roman" w:hAnsi="Times New Roman" w:eastAsia="宋体" w:cs="Times New Roman"/>
                      <w:kern w:val="2"/>
                      <w:sz w:val="21"/>
                      <w:szCs w:val="21"/>
                      <w:highlight w:val="none"/>
                      <w:lang w:val="en-US" w:eastAsia="zh-CN" w:bidi="ar-SA"/>
                    </w:rPr>
                  </w:pPr>
                  <w:r>
                    <w:rPr>
                      <w:rFonts w:hint="eastAsia" w:ascii="Times New Roman" w:hAnsi="Times New Roman"/>
                      <w:szCs w:val="21"/>
                      <w:highlight w:val="none"/>
                      <w:lang w:val="en-US" w:eastAsia="zh-CN"/>
                    </w:rPr>
                    <w:t>2</w:t>
                  </w:r>
                </w:p>
              </w:tc>
              <w:tc>
                <w:tcPr>
                  <w:tcW w:w="456" w:type="pct"/>
                  <w:shd w:val="clear" w:color="auto" w:fill="auto"/>
                  <w:noWrap w:val="0"/>
                  <w:vAlign w:val="center"/>
                </w:tcPr>
                <w:p w14:paraId="2D3F9C18">
                  <w:pPr>
                    <w:adjustRightInd w:val="0"/>
                    <w:snapToGrid w:val="0"/>
                    <w:jc w:val="center"/>
                    <w:rPr>
                      <w:rFonts w:hint="eastAsia" w:ascii="Times New Roman" w:hAnsi="Times New Roman" w:eastAsia="宋体" w:cs="Times New Roman"/>
                      <w:kern w:val="2"/>
                      <w:sz w:val="21"/>
                      <w:szCs w:val="21"/>
                      <w:highlight w:val="none"/>
                      <w:lang w:val="en-US" w:eastAsia="zh-CN" w:bidi="ar-SA"/>
                    </w:rPr>
                  </w:pPr>
                  <w:r>
                    <w:rPr>
                      <w:rFonts w:hint="eastAsia" w:ascii="Times New Roman" w:hAnsi="Times New Roman"/>
                      <w:szCs w:val="21"/>
                      <w:highlight w:val="none"/>
                      <w:lang w:val="en-US" w:eastAsia="zh-CN"/>
                    </w:rPr>
                    <w:t>台</w:t>
                  </w:r>
                </w:p>
              </w:tc>
              <w:tc>
                <w:tcPr>
                  <w:tcW w:w="456" w:type="pct"/>
                  <w:shd w:val="clear" w:color="auto" w:fill="auto"/>
                  <w:noWrap w:val="0"/>
                  <w:vAlign w:val="center"/>
                </w:tcPr>
                <w:p w14:paraId="1177A573">
                  <w:pPr>
                    <w:adjustRightInd w:val="0"/>
                    <w:snapToGrid w:val="0"/>
                    <w:jc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利旧</w:t>
                  </w:r>
                </w:p>
              </w:tc>
            </w:tr>
            <w:tr w14:paraId="5FD535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448" w:type="pct"/>
                  <w:shd w:val="clear" w:color="auto" w:fill="auto"/>
                  <w:noWrap w:val="0"/>
                  <w:vAlign w:val="center"/>
                </w:tcPr>
                <w:p w14:paraId="2095D214">
                  <w:pPr>
                    <w:adjustRightInd w:val="0"/>
                    <w:snapToGrid w:val="0"/>
                    <w:jc w:val="center"/>
                    <w:rPr>
                      <w:rFonts w:hint="default" w:cs="Times New Roman"/>
                      <w:kern w:val="2"/>
                      <w:sz w:val="21"/>
                      <w:szCs w:val="21"/>
                      <w:highlight w:val="none"/>
                      <w:lang w:val="en-US" w:eastAsia="zh-CN" w:bidi="ar-SA"/>
                    </w:rPr>
                  </w:pPr>
                  <w:r>
                    <w:rPr>
                      <w:rFonts w:hint="eastAsia" w:cs="Times New Roman"/>
                      <w:kern w:val="2"/>
                      <w:sz w:val="21"/>
                      <w:szCs w:val="21"/>
                      <w:highlight w:val="none"/>
                      <w:lang w:val="en-US" w:eastAsia="zh-CN" w:bidi="ar-SA"/>
                    </w:rPr>
                    <w:t>9</w:t>
                  </w:r>
                </w:p>
              </w:tc>
              <w:tc>
                <w:tcPr>
                  <w:tcW w:w="908" w:type="pct"/>
                  <w:vMerge w:val="restart"/>
                  <w:shd w:val="clear" w:color="auto" w:fill="auto"/>
                  <w:noWrap w:val="0"/>
                  <w:vAlign w:val="center"/>
                </w:tcPr>
                <w:p w14:paraId="197B1E56">
                  <w:pPr>
                    <w:adjustRightInd w:val="0"/>
                    <w:snapToGrid w:val="0"/>
                    <w:jc w:val="center"/>
                    <w:rPr>
                      <w:rFonts w:hint="default"/>
                      <w:szCs w:val="21"/>
                      <w:highlight w:val="none"/>
                      <w:lang w:val="en-US" w:eastAsia="zh-CN"/>
                    </w:rPr>
                  </w:pPr>
                  <w:r>
                    <w:rPr>
                      <w:rFonts w:hint="eastAsia"/>
                      <w:szCs w:val="21"/>
                      <w:highlight w:val="none"/>
                      <w:lang w:val="en-US" w:eastAsia="zh-CN"/>
                    </w:rPr>
                    <w:t>消防应急</w:t>
                  </w:r>
                </w:p>
              </w:tc>
              <w:tc>
                <w:tcPr>
                  <w:tcW w:w="908" w:type="pct"/>
                  <w:vMerge w:val="restart"/>
                  <w:shd w:val="clear" w:color="auto" w:fill="auto"/>
                  <w:noWrap w:val="0"/>
                  <w:vAlign w:val="center"/>
                </w:tcPr>
                <w:p w14:paraId="132F1C04">
                  <w:pPr>
                    <w:adjustRightInd w:val="0"/>
                    <w:snapToGrid w:val="0"/>
                    <w:jc w:val="center"/>
                    <w:rPr>
                      <w:rFonts w:hint="default"/>
                      <w:szCs w:val="21"/>
                      <w:highlight w:val="none"/>
                      <w:lang w:val="en-US" w:eastAsia="zh-CN"/>
                    </w:rPr>
                  </w:pPr>
                  <w:r>
                    <w:rPr>
                      <w:rFonts w:hint="eastAsia"/>
                      <w:szCs w:val="21"/>
                      <w:highlight w:val="none"/>
                      <w:lang w:val="en-US" w:eastAsia="zh-CN"/>
                    </w:rPr>
                    <w:t>消防应急</w:t>
                  </w:r>
                </w:p>
              </w:tc>
              <w:tc>
                <w:tcPr>
                  <w:tcW w:w="908" w:type="pct"/>
                  <w:shd w:val="clear" w:color="auto" w:fill="auto"/>
                  <w:noWrap w:val="0"/>
                  <w:vAlign w:val="center"/>
                </w:tcPr>
                <w:p w14:paraId="6D586D68">
                  <w:pPr>
                    <w:adjustRightInd w:val="0"/>
                    <w:snapToGrid w:val="0"/>
                    <w:jc w:val="center"/>
                    <w:rPr>
                      <w:rFonts w:hint="default" w:ascii="Times New Roman" w:hAnsi="Times New Roman"/>
                      <w:szCs w:val="21"/>
                      <w:highlight w:val="none"/>
                      <w:lang w:val="en-US" w:eastAsia="zh-CN"/>
                    </w:rPr>
                  </w:pPr>
                  <w:r>
                    <w:rPr>
                      <w:rFonts w:hint="eastAsia"/>
                      <w:szCs w:val="21"/>
                      <w:highlight w:val="none"/>
                      <w:lang w:val="en-US" w:eastAsia="zh-CN"/>
                    </w:rPr>
                    <w:t>消防沙池</w:t>
                  </w:r>
                </w:p>
              </w:tc>
              <w:tc>
                <w:tcPr>
                  <w:tcW w:w="616" w:type="pct"/>
                  <w:shd w:val="clear" w:color="auto" w:fill="auto"/>
                  <w:noWrap w:val="0"/>
                  <w:vAlign w:val="center"/>
                </w:tcPr>
                <w:p w14:paraId="33E12538">
                  <w:pPr>
                    <w:adjustRightInd w:val="0"/>
                    <w:snapToGrid w:val="0"/>
                    <w:jc w:val="center"/>
                    <w:rPr>
                      <w:rFonts w:hint="default" w:ascii="Times New Roman" w:hAnsi="Times New Roman"/>
                      <w:szCs w:val="21"/>
                      <w:highlight w:val="none"/>
                      <w:lang w:val="en-US" w:eastAsia="zh-CN"/>
                    </w:rPr>
                  </w:pPr>
                  <w:r>
                    <w:rPr>
                      <w:rFonts w:hint="eastAsia"/>
                      <w:szCs w:val="21"/>
                      <w:highlight w:val="none"/>
                      <w:lang w:val="en-US" w:eastAsia="zh-CN"/>
                    </w:rPr>
                    <w:t>4m</w:t>
                  </w:r>
                  <w:r>
                    <w:rPr>
                      <w:rFonts w:hint="eastAsia"/>
                      <w:szCs w:val="21"/>
                      <w:highlight w:val="none"/>
                      <w:vertAlign w:val="superscript"/>
                      <w:lang w:val="en-US" w:eastAsia="zh-CN"/>
                    </w:rPr>
                    <w:t>2</w:t>
                  </w:r>
                </w:p>
              </w:tc>
              <w:tc>
                <w:tcPr>
                  <w:tcW w:w="296" w:type="pct"/>
                  <w:shd w:val="clear" w:color="auto" w:fill="auto"/>
                  <w:noWrap w:val="0"/>
                  <w:vAlign w:val="center"/>
                </w:tcPr>
                <w:p w14:paraId="65155935">
                  <w:pPr>
                    <w:adjustRightInd w:val="0"/>
                    <w:snapToGrid w:val="0"/>
                    <w:jc w:val="center"/>
                    <w:rPr>
                      <w:rFonts w:hint="default" w:ascii="Times New Roman" w:hAnsi="Times New Roman"/>
                      <w:szCs w:val="21"/>
                      <w:highlight w:val="none"/>
                      <w:lang w:val="en-US" w:eastAsia="zh-CN"/>
                    </w:rPr>
                  </w:pPr>
                  <w:r>
                    <w:rPr>
                      <w:rFonts w:hint="eastAsia"/>
                      <w:szCs w:val="21"/>
                      <w:highlight w:val="none"/>
                      <w:lang w:val="en-US" w:eastAsia="zh-CN"/>
                    </w:rPr>
                    <w:t>1</w:t>
                  </w:r>
                </w:p>
              </w:tc>
              <w:tc>
                <w:tcPr>
                  <w:tcW w:w="456" w:type="pct"/>
                  <w:shd w:val="clear" w:color="auto" w:fill="auto"/>
                  <w:noWrap w:val="0"/>
                  <w:vAlign w:val="center"/>
                </w:tcPr>
                <w:p w14:paraId="42EC7DFD">
                  <w:pPr>
                    <w:adjustRightInd w:val="0"/>
                    <w:snapToGrid w:val="0"/>
                    <w:jc w:val="center"/>
                    <w:rPr>
                      <w:rFonts w:hint="default" w:ascii="Times New Roman" w:hAnsi="Times New Roman"/>
                      <w:szCs w:val="21"/>
                      <w:highlight w:val="none"/>
                      <w:lang w:val="en-US" w:eastAsia="zh-CN"/>
                    </w:rPr>
                  </w:pPr>
                  <w:r>
                    <w:rPr>
                      <w:rFonts w:hint="eastAsia"/>
                      <w:szCs w:val="21"/>
                      <w:highlight w:val="none"/>
                      <w:lang w:val="en-US" w:eastAsia="zh-CN"/>
                    </w:rPr>
                    <w:t>座</w:t>
                  </w:r>
                </w:p>
              </w:tc>
              <w:tc>
                <w:tcPr>
                  <w:tcW w:w="456" w:type="pct"/>
                  <w:shd w:val="clear" w:color="auto" w:fill="auto"/>
                  <w:noWrap w:val="0"/>
                  <w:vAlign w:val="center"/>
                </w:tcPr>
                <w:p w14:paraId="58C331C0">
                  <w:pPr>
                    <w:adjustRightInd w:val="0"/>
                    <w:snapToGrid w:val="0"/>
                    <w:jc w:val="center"/>
                    <w:rPr>
                      <w:rFonts w:hint="default"/>
                      <w:szCs w:val="21"/>
                      <w:highlight w:val="none"/>
                      <w:lang w:val="en-US" w:eastAsia="zh-CN"/>
                    </w:rPr>
                  </w:pPr>
                  <w:r>
                    <w:rPr>
                      <w:rFonts w:hint="eastAsia"/>
                      <w:szCs w:val="21"/>
                      <w:highlight w:val="none"/>
                      <w:lang w:val="en-US" w:eastAsia="zh-CN"/>
                    </w:rPr>
                    <w:t>新增</w:t>
                  </w:r>
                </w:p>
              </w:tc>
            </w:tr>
            <w:tr w14:paraId="04BFF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448" w:type="pct"/>
                  <w:shd w:val="clear" w:color="auto" w:fill="auto"/>
                  <w:noWrap w:val="0"/>
                  <w:vAlign w:val="center"/>
                </w:tcPr>
                <w:p w14:paraId="2B923DF1">
                  <w:pPr>
                    <w:adjustRightInd w:val="0"/>
                    <w:snapToGrid w:val="0"/>
                    <w:jc w:val="center"/>
                    <w:rPr>
                      <w:rFonts w:hint="default" w:cs="Times New Roman"/>
                      <w:kern w:val="2"/>
                      <w:sz w:val="21"/>
                      <w:szCs w:val="21"/>
                      <w:highlight w:val="none"/>
                      <w:lang w:val="en-US" w:eastAsia="zh-CN" w:bidi="ar-SA"/>
                    </w:rPr>
                  </w:pPr>
                  <w:r>
                    <w:rPr>
                      <w:rFonts w:hint="eastAsia" w:cs="Times New Roman"/>
                      <w:kern w:val="2"/>
                      <w:sz w:val="21"/>
                      <w:szCs w:val="21"/>
                      <w:highlight w:val="none"/>
                      <w:lang w:val="en-US" w:eastAsia="zh-CN" w:bidi="ar-SA"/>
                    </w:rPr>
                    <w:t>10</w:t>
                  </w:r>
                </w:p>
              </w:tc>
              <w:tc>
                <w:tcPr>
                  <w:tcW w:w="908" w:type="pct"/>
                  <w:vMerge w:val="continue"/>
                  <w:shd w:val="clear" w:color="auto" w:fill="auto"/>
                  <w:noWrap w:val="0"/>
                  <w:vAlign w:val="center"/>
                </w:tcPr>
                <w:p w14:paraId="3BBBB6D7">
                  <w:pPr>
                    <w:adjustRightInd w:val="0"/>
                    <w:snapToGrid w:val="0"/>
                    <w:jc w:val="center"/>
                    <w:rPr>
                      <w:rFonts w:hint="eastAsia"/>
                      <w:szCs w:val="21"/>
                      <w:highlight w:val="none"/>
                      <w:lang w:val="en-US" w:eastAsia="zh-CN"/>
                    </w:rPr>
                  </w:pPr>
                </w:p>
              </w:tc>
              <w:tc>
                <w:tcPr>
                  <w:tcW w:w="908" w:type="pct"/>
                  <w:vMerge w:val="continue"/>
                  <w:shd w:val="clear" w:color="auto" w:fill="auto"/>
                  <w:noWrap w:val="0"/>
                  <w:vAlign w:val="center"/>
                </w:tcPr>
                <w:p w14:paraId="52899ED6">
                  <w:pPr>
                    <w:adjustRightInd w:val="0"/>
                    <w:snapToGrid w:val="0"/>
                    <w:jc w:val="center"/>
                    <w:rPr>
                      <w:rFonts w:hint="eastAsia"/>
                      <w:szCs w:val="21"/>
                      <w:highlight w:val="none"/>
                      <w:lang w:val="en-US" w:eastAsia="zh-CN"/>
                    </w:rPr>
                  </w:pPr>
                </w:p>
              </w:tc>
              <w:tc>
                <w:tcPr>
                  <w:tcW w:w="908" w:type="pct"/>
                  <w:shd w:val="clear" w:color="auto" w:fill="auto"/>
                  <w:noWrap w:val="0"/>
                  <w:vAlign w:val="center"/>
                </w:tcPr>
                <w:p w14:paraId="003003CB">
                  <w:pPr>
                    <w:adjustRightInd w:val="0"/>
                    <w:snapToGrid w:val="0"/>
                    <w:jc w:val="center"/>
                    <w:rPr>
                      <w:rFonts w:hint="default" w:ascii="Times New Roman" w:hAnsi="Times New Roman"/>
                      <w:szCs w:val="21"/>
                      <w:highlight w:val="none"/>
                      <w:lang w:val="en-US" w:eastAsia="zh-CN"/>
                    </w:rPr>
                  </w:pPr>
                  <w:r>
                    <w:rPr>
                      <w:rFonts w:hint="eastAsia"/>
                      <w:szCs w:val="21"/>
                      <w:highlight w:val="none"/>
                      <w:lang w:val="en-US" w:eastAsia="zh-CN"/>
                    </w:rPr>
                    <w:t>泡沫灭火器</w:t>
                  </w:r>
                </w:p>
              </w:tc>
              <w:tc>
                <w:tcPr>
                  <w:tcW w:w="616" w:type="pct"/>
                  <w:shd w:val="clear" w:color="auto" w:fill="auto"/>
                  <w:noWrap w:val="0"/>
                  <w:vAlign w:val="center"/>
                </w:tcPr>
                <w:p w14:paraId="1EA5B405">
                  <w:pPr>
                    <w:adjustRightInd w:val="0"/>
                    <w:snapToGrid w:val="0"/>
                    <w:jc w:val="center"/>
                    <w:rPr>
                      <w:rFonts w:hint="default" w:ascii="Times New Roman" w:hAnsi="Times New Roman"/>
                      <w:szCs w:val="21"/>
                      <w:highlight w:val="none"/>
                      <w:lang w:val="en-US" w:eastAsia="zh-CN"/>
                    </w:rPr>
                  </w:pPr>
                  <w:r>
                    <w:rPr>
                      <w:rFonts w:hint="eastAsia"/>
                      <w:szCs w:val="21"/>
                      <w:highlight w:val="none"/>
                      <w:lang w:val="en-US" w:eastAsia="zh-CN"/>
                    </w:rPr>
                    <w:t>/</w:t>
                  </w:r>
                </w:p>
              </w:tc>
              <w:tc>
                <w:tcPr>
                  <w:tcW w:w="296" w:type="pct"/>
                  <w:shd w:val="clear" w:color="auto" w:fill="auto"/>
                  <w:noWrap w:val="0"/>
                  <w:vAlign w:val="center"/>
                </w:tcPr>
                <w:p w14:paraId="203356C2">
                  <w:pPr>
                    <w:adjustRightInd w:val="0"/>
                    <w:snapToGrid w:val="0"/>
                    <w:jc w:val="center"/>
                    <w:rPr>
                      <w:rFonts w:hint="default" w:ascii="Times New Roman" w:hAnsi="Times New Roman"/>
                      <w:szCs w:val="21"/>
                      <w:highlight w:val="none"/>
                      <w:lang w:val="en-US" w:eastAsia="zh-CN"/>
                    </w:rPr>
                  </w:pPr>
                  <w:r>
                    <w:rPr>
                      <w:rFonts w:hint="eastAsia"/>
                      <w:szCs w:val="21"/>
                      <w:highlight w:val="none"/>
                      <w:lang w:val="en-US" w:eastAsia="zh-CN"/>
                    </w:rPr>
                    <w:t>10</w:t>
                  </w:r>
                </w:p>
              </w:tc>
              <w:tc>
                <w:tcPr>
                  <w:tcW w:w="456" w:type="pct"/>
                  <w:shd w:val="clear" w:color="auto" w:fill="auto"/>
                  <w:noWrap w:val="0"/>
                  <w:vAlign w:val="center"/>
                </w:tcPr>
                <w:p w14:paraId="42ED20EA">
                  <w:pPr>
                    <w:adjustRightInd w:val="0"/>
                    <w:snapToGrid w:val="0"/>
                    <w:jc w:val="center"/>
                    <w:rPr>
                      <w:rFonts w:hint="default" w:ascii="Times New Roman" w:hAnsi="Times New Roman"/>
                      <w:szCs w:val="21"/>
                      <w:highlight w:val="none"/>
                      <w:lang w:val="en-US" w:eastAsia="zh-CN"/>
                    </w:rPr>
                  </w:pPr>
                  <w:r>
                    <w:rPr>
                      <w:rFonts w:hint="eastAsia"/>
                      <w:szCs w:val="21"/>
                      <w:highlight w:val="none"/>
                      <w:lang w:val="en-US" w:eastAsia="zh-CN"/>
                    </w:rPr>
                    <w:t>个</w:t>
                  </w:r>
                </w:p>
              </w:tc>
              <w:tc>
                <w:tcPr>
                  <w:tcW w:w="456" w:type="pct"/>
                  <w:shd w:val="clear" w:color="auto" w:fill="auto"/>
                  <w:noWrap w:val="0"/>
                  <w:vAlign w:val="center"/>
                </w:tcPr>
                <w:p w14:paraId="7DB0041D">
                  <w:pPr>
                    <w:adjustRightInd w:val="0"/>
                    <w:snapToGrid w:val="0"/>
                    <w:jc w:val="center"/>
                    <w:rPr>
                      <w:rFonts w:hint="eastAsia"/>
                      <w:szCs w:val="21"/>
                      <w:highlight w:val="none"/>
                      <w:lang w:val="en-US" w:eastAsia="zh-CN"/>
                    </w:rPr>
                  </w:pPr>
                  <w:r>
                    <w:rPr>
                      <w:rFonts w:hint="eastAsia"/>
                      <w:szCs w:val="21"/>
                      <w:highlight w:val="none"/>
                      <w:lang w:val="en-US" w:eastAsia="zh-CN"/>
                    </w:rPr>
                    <w:t>新增</w:t>
                  </w:r>
                </w:p>
              </w:tc>
            </w:tr>
            <w:tr w14:paraId="7CCE6F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448" w:type="pct"/>
                  <w:shd w:val="clear" w:color="auto" w:fill="auto"/>
                  <w:noWrap w:val="0"/>
                  <w:vAlign w:val="center"/>
                </w:tcPr>
                <w:p w14:paraId="02BF349D">
                  <w:pPr>
                    <w:adjustRightInd w:val="0"/>
                    <w:snapToGrid w:val="0"/>
                    <w:jc w:val="center"/>
                    <w:rPr>
                      <w:rFonts w:hint="default" w:cs="Times New Roman"/>
                      <w:kern w:val="2"/>
                      <w:sz w:val="21"/>
                      <w:szCs w:val="21"/>
                      <w:highlight w:val="none"/>
                      <w:lang w:val="en-US" w:eastAsia="zh-CN" w:bidi="ar-SA"/>
                    </w:rPr>
                  </w:pPr>
                  <w:r>
                    <w:rPr>
                      <w:rFonts w:hint="eastAsia" w:cs="Times New Roman"/>
                      <w:kern w:val="2"/>
                      <w:sz w:val="21"/>
                      <w:szCs w:val="21"/>
                      <w:highlight w:val="none"/>
                      <w:lang w:val="en-US" w:eastAsia="zh-CN" w:bidi="ar-SA"/>
                    </w:rPr>
                    <w:t>11</w:t>
                  </w:r>
                </w:p>
              </w:tc>
              <w:tc>
                <w:tcPr>
                  <w:tcW w:w="908" w:type="pct"/>
                  <w:vMerge w:val="continue"/>
                  <w:shd w:val="clear" w:color="auto" w:fill="auto"/>
                  <w:noWrap w:val="0"/>
                  <w:vAlign w:val="center"/>
                </w:tcPr>
                <w:p w14:paraId="35BF6BF2">
                  <w:pPr>
                    <w:adjustRightInd w:val="0"/>
                    <w:snapToGrid w:val="0"/>
                    <w:jc w:val="center"/>
                    <w:rPr>
                      <w:rFonts w:hint="eastAsia"/>
                      <w:szCs w:val="21"/>
                      <w:highlight w:val="none"/>
                      <w:lang w:val="en-US" w:eastAsia="zh-CN"/>
                    </w:rPr>
                  </w:pPr>
                </w:p>
              </w:tc>
              <w:tc>
                <w:tcPr>
                  <w:tcW w:w="908" w:type="pct"/>
                  <w:vMerge w:val="continue"/>
                  <w:shd w:val="clear" w:color="auto" w:fill="auto"/>
                  <w:noWrap w:val="0"/>
                  <w:vAlign w:val="center"/>
                </w:tcPr>
                <w:p w14:paraId="1347918D">
                  <w:pPr>
                    <w:adjustRightInd w:val="0"/>
                    <w:snapToGrid w:val="0"/>
                    <w:jc w:val="center"/>
                    <w:rPr>
                      <w:rFonts w:hint="eastAsia"/>
                      <w:szCs w:val="21"/>
                      <w:highlight w:val="none"/>
                      <w:lang w:val="en-US" w:eastAsia="zh-CN"/>
                    </w:rPr>
                  </w:pPr>
                </w:p>
              </w:tc>
              <w:tc>
                <w:tcPr>
                  <w:tcW w:w="908" w:type="pct"/>
                  <w:shd w:val="clear" w:color="auto" w:fill="auto"/>
                  <w:noWrap w:val="0"/>
                  <w:vAlign w:val="center"/>
                </w:tcPr>
                <w:p w14:paraId="69AFF927">
                  <w:pPr>
                    <w:adjustRightInd w:val="0"/>
                    <w:snapToGrid w:val="0"/>
                    <w:jc w:val="center"/>
                    <w:rPr>
                      <w:rFonts w:hint="default" w:ascii="Times New Roman" w:hAnsi="Times New Roman"/>
                      <w:szCs w:val="21"/>
                      <w:highlight w:val="none"/>
                      <w:lang w:val="en-US" w:eastAsia="zh-CN"/>
                    </w:rPr>
                  </w:pPr>
                  <w:r>
                    <w:rPr>
                      <w:rFonts w:hint="eastAsia"/>
                      <w:szCs w:val="21"/>
                      <w:highlight w:val="none"/>
                      <w:lang w:val="en-US" w:eastAsia="zh-CN"/>
                    </w:rPr>
                    <w:t>消防铁桶</w:t>
                  </w:r>
                </w:p>
              </w:tc>
              <w:tc>
                <w:tcPr>
                  <w:tcW w:w="616" w:type="pct"/>
                  <w:shd w:val="clear" w:color="auto" w:fill="auto"/>
                  <w:noWrap w:val="0"/>
                  <w:vAlign w:val="center"/>
                </w:tcPr>
                <w:p w14:paraId="58FFAC38">
                  <w:pPr>
                    <w:adjustRightInd w:val="0"/>
                    <w:snapToGrid w:val="0"/>
                    <w:jc w:val="center"/>
                    <w:rPr>
                      <w:rFonts w:hint="eastAsia" w:ascii="Times New Roman" w:hAnsi="Times New Roman"/>
                      <w:szCs w:val="21"/>
                      <w:highlight w:val="none"/>
                      <w:lang w:val="en-US" w:eastAsia="zh-CN"/>
                    </w:rPr>
                  </w:pPr>
                </w:p>
              </w:tc>
              <w:tc>
                <w:tcPr>
                  <w:tcW w:w="296" w:type="pct"/>
                  <w:shd w:val="clear" w:color="auto" w:fill="auto"/>
                  <w:noWrap w:val="0"/>
                  <w:vAlign w:val="center"/>
                </w:tcPr>
                <w:p w14:paraId="30CD3F7B">
                  <w:pPr>
                    <w:adjustRightInd w:val="0"/>
                    <w:snapToGrid w:val="0"/>
                    <w:jc w:val="center"/>
                    <w:rPr>
                      <w:rFonts w:hint="default" w:ascii="Times New Roman" w:hAnsi="Times New Roman"/>
                      <w:szCs w:val="21"/>
                      <w:highlight w:val="none"/>
                      <w:lang w:val="en-US" w:eastAsia="zh-CN"/>
                    </w:rPr>
                  </w:pPr>
                  <w:r>
                    <w:rPr>
                      <w:rFonts w:hint="eastAsia"/>
                      <w:szCs w:val="21"/>
                      <w:highlight w:val="none"/>
                      <w:lang w:val="en-US" w:eastAsia="zh-CN"/>
                    </w:rPr>
                    <w:t>15</w:t>
                  </w:r>
                </w:p>
              </w:tc>
              <w:tc>
                <w:tcPr>
                  <w:tcW w:w="456" w:type="pct"/>
                  <w:shd w:val="clear" w:color="auto" w:fill="auto"/>
                  <w:noWrap w:val="0"/>
                  <w:vAlign w:val="center"/>
                </w:tcPr>
                <w:p w14:paraId="3410B77D">
                  <w:pPr>
                    <w:adjustRightInd w:val="0"/>
                    <w:snapToGrid w:val="0"/>
                    <w:jc w:val="center"/>
                    <w:rPr>
                      <w:rFonts w:hint="eastAsia" w:ascii="Times New Roman" w:hAnsi="Times New Roman"/>
                      <w:szCs w:val="21"/>
                      <w:highlight w:val="none"/>
                      <w:lang w:val="en-US" w:eastAsia="zh-CN"/>
                    </w:rPr>
                  </w:pPr>
                  <w:r>
                    <w:rPr>
                      <w:rFonts w:hint="eastAsia"/>
                      <w:szCs w:val="21"/>
                      <w:highlight w:val="none"/>
                      <w:lang w:val="en-US" w:eastAsia="zh-CN"/>
                    </w:rPr>
                    <w:t>个</w:t>
                  </w:r>
                </w:p>
              </w:tc>
              <w:tc>
                <w:tcPr>
                  <w:tcW w:w="456" w:type="pct"/>
                  <w:shd w:val="clear" w:color="auto" w:fill="auto"/>
                  <w:noWrap w:val="0"/>
                  <w:vAlign w:val="center"/>
                </w:tcPr>
                <w:p w14:paraId="0C23DC4B">
                  <w:pPr>
                    <w:adjustRightInd w:val="0"/>
                    <w:snapToGrid w:val="0"/>
                    <w:jc w:val="center"/>
                    <w:rPr>
                      <w:rFonts w:hint="eastAsia"/>
                      <w:szCs w:val="21"/>
                      <w:highlight w:val="none"/>
                      <w:lang w:val="en-US" w:eastAsia="zh-CN"/>
                    </w:rPr>
                  </w:pPr>
                  <w:r>
                    <w:rPr>
                      <w:rFonts w:hint="eastAsia"/>
                      <w:szCs w:val="21"/>
                      <w:highlight w:val="none"/>
                      <w:lang w:val="en-US" w:eastAsia="zh-CN"/>
                    </w:rPr>
                    <w:t>新增</w:t>
                  </w:r>
                </w:p>
              </w:tc>
            </w:tr>
            <w:tr w14:paraId="271BA1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448" w:type="pct"/>
                  <w:shd w:val="clear" w:color="auto" w:fill="auto"/>
                  <w:noWrap w:val="0"/>
                  <w:vAlign w:val="center"/>
                </w:tcPr>
                <w:p w14:paraId="717BEA17">
                  <w:pPr>
                    <w:adjustRightInd w:val="0"/>
                    <w:snapToGrid w:val="0"/>
                    <w:jc w:val="center"/>
                    <w:rPr>
                      <w:rFonts w:hint="default" w:cs="Times New Roman"/>
                      <w:kern w:val="2"/>
                      <w:sz w:val="21"/>
                      <w:szCs w:val="21"/>
                      <w:highlight w:val="none"/>
                      <w:lang w:val="en-US" w:eastAsia="zh-CN" w:bidi="ar-SA"/>
                    </w:rPr>
                  </w:pPr>
                  <w:r>
                    <w:rPr>
                      <w:rFonts w:hint="eastAsia" w:cs="Times New Roman"/>
                      <w:kern w:val="2"/>
                      <w:sz w:val="21"/>
                      <w:szCs w:val="21"/>
                      <w:highlight w:val="none"/>
                      <w:lang w:val="en-US" w:eastAsia="zh-CN" w:bidi="ar-SA"/>
                    </w:rPr>
                    <w:t>12</w:t>
                  </w:r>
                </w:p>
              </w:tc>
              <w:tc>
                <w:tcPr>
                  <w:tcW w:w="908" w:type="pct"/>
                  <w:vMerge w:val="continue"/>
                  <w:shd w:val="clear" w:color="auto" w:fill="auto"/>
                  <w:noWrap w:val="0"/>
                  <w:vAlign w:val="center"/>
                </w:tcPr>
                <w:p w14:paraId="6B5BAD6C">
                  <w:pPr>
                    <w:adjustRightInd w:val="0"/>
                    <w:snapToGrid w:val="0"/>
                    <w:jc w:val="center"/>
                    <w:rPr>
                      <w:rFonts w:hint="eastAsia"/>
                      <w:szCs w:val="21"/>
                      <w:highlight w:val="none"/>
                      <w:lang w:val="en-US" w:eastAsia="zh-CN"/>
                    </w:rPr>
                  </w:pPr>
                </w:p>
              </w:tc>
              <w:tc>
                <w:tcPr>
                  <w:tcW w:w="908" w:type="pct"/>
                  <w:vMerge w:val="continue"/>
                  <w:shd w:val="clear" w:color="auto" w:fill="auto"/>
                  <w:noWrap w:val="0"/>
                  <w:vAlign w:val="center"/>
                </w:tcPr>
                <w:p w14:paraId="19CB72B7">
                  <w:pPr>
                    <w:adjustRightInd w:val="0"/>
                    <w:snapToGrid w:val="0"/>
                    <w:jc w:val="center"/>
                    <w:rPr>
                      <w:rFonts w:hint="eastAsia"/>
                      <w:szCs w:val="21"/>
                      <w:highlight w:val="none"/>
                      <w:lang w:val="en-US" w:eastAsia="zh-CN"/>
                    </w:rPr>
                  </w:pPr>
                </w:p>
              </w:tc>
              <w:tc>
                <w:tcPr>
                  <w:tcW w:w="908" w:type="pct"/>
                  <w:shd w:val="clear" w:color="auto" w:fill="auto"/>
                  <w:noWrap w:val="0"/>
                  <w:vAlign w:val="center"/>
                </w:tcPr>
                <w:p w14:paraId="185C2551">
                  <w:pPr>
                    <w:adjustRightInd w:val="0"/>
                    <w:snapToGrid w:val="0"/>
                    <w:jc w:val="center"/>
                    <w:rPr>
                      <w:rFonts w:hint="default" w:ascii="Times New Roman" w:hAnsi="Times New Roman"/>
                      <w:szCs w:val="21"/>
                      <w:highlight w:val="none"/>
                      <w:lang w:val="en-US" w:eastAsia="zh-CN"/>
                    </w:rPr>
                  </w:pPr>
                  <w:r>
                    <w:rPr>
                      <w:rFonts w:hint="eastAsia"/>
                      <w:szCs w:val="21"/>
                      <w:highlight w:val="none"/>
                      <w:lang w:val="en-US" w:eastAsia="zh-CN"/>
                    </w:rPr>
                    <w:t>消防铲</w:t>
                  </w:r>
                </w:p>
              </w:tc>
              <w:tc>
                <w:tcPr>
                  <w:tcW w:w="616" w:type="pct"/>
                  <w:shd w:val="clear" w:color="auto" w:fill="auto"/>
                  <w:noWrap w:val="0"/>
                  <w:vAlign w:val="center"/>
                </w:tcPr>
                <w:p w14:paraId="6A8958CD">
                  <w:pPr>
                    <w:adjustRightInd w:val="0"/>
                    <w:snapToGrid w:val="0"/>
                    <w:jc w:val="center"/>
                    <w:rPr>
                      <w:rFonts w:hint="eastAsia" w:ascii="Times New Roman" w:hAnsi="Times New Roman"/>
                      <w:szCs w:val="21"/>
                      <w:highlight w:val="none"/>
                      <w:lang w:val="en-US" w:eastAsia="zh-CN"/>
                    </w:rPr>
                  </w:pPr>
                </w:p>
              </w:tc>
              <w:tc>
                <w:tcPr>
                  <w:tcW w:w="296" w:type="pct"/>
                  <w:shd w:val="clear" w:color="auto" w:fill="auto"/>
                  <w:noWrap w:val="0"/>
                  <w:vAlign w:val="center"/>
                </w:tcPr>
                <w:p w14:paraId="650602A0">
                  <w:pPr>
                    <w:adjustRightInd w:val="0"/>
                    <w:snapToGrid w:val="0"/>
                    <w:jc w:val="center"/>
                    <w:rPr>
                      <w:rFonts w:hint="default" w:ascii="Times New Roman" w:hAnsi="Times New Roman"/>
                      <w:szCs w:val="21"/>
                      <w:highlight w:val="none"/>
                      <w:lang w:val="en-US" w:eastAsia="zh-CN"/>
                    </w:rPr>
                  </w:pPr>
                  <w:r>
                    <w:rPr>
                      <w:rFonts w:hint="eastAsia"/>
                      <w:szCs w:val="21"/>
                      <w:highlight w:val="none"/>
                      <w:lang w:val="en-US" w:eastAsia="zh-CN"/>
                    </w:rPr>
                    <w:t>10</w:t>
                  </w:r>
                </w:p>
              </w:tc>
              <w:tc>
                <w:tcPr>
                  <w:tcW w:w="456" w:type="pct"/>
                  <w:shd w:val="clear" w:color="auto" w:fill="auto"/>
                  <w:noWrap w:val="0"/>
                  <w:vAlign w:val="center"/>
                </w:tcPr>
                <w:p w14:paraId="30E098C6">
                  <w:pPr>
                    <w:adjustRightInd w:val="0"/>
                    <w:snapToGrid w:val="0"/>
                    <w:jc w:val="center"/>
                    <w:rPr>
                      <w:rFonts w:hint="eastAsia" w:ascii="Times New Roman" w:hAnsi="Times New Roman"/>
                      <w:szCs w:val="21"/>
                      <w:highlight w:val="none"/>
                      <w:lang w:val="en-US" w:eastAsia="zh-CN"/>
                    </w:rPr>
                  </w:pPr>
                  <w:r>
                    <w:rPr>
                      <w:rFonts w:hint="eastAsia"/>
                      <w:szCs w:val="21"/>
                      <w:highlight w:val="none"/>
                      <w:lang w:val="en-US" w:eastAsia="zh-CN"/>
                    </w:rPr>
                    <w:t>个</w:t>
                  </w:r>
                </w:p>
              </w:tc>
              <w:tc>
                <w:tcPr>
                  <w:tcW w:w="456" w:type="pct"/>
                  <w:shd w:val="clear" w:color="auto" w:fill="auto"/>
                  <w:noWrap w:val="0"/>
                  <w:vAlign w:val="center"/>
                </w:tcPr>
                <w:p w14:paraId="0E43CAF7">
                  <w:pPr>
                    <w:adjustRightInd w:val="0"/>
                    <w:snapToGrid w:val="0"/>
                    <w:jc w:val="center"/>
                    <w:rPr>
                      <w:rFonts w:hint="eastAsia"/>
                      <w:szCs w:val="21"/>
                      <w:highlight w:val="none"/>
                      <w:lang w:val="en-US" w:eastAsia="zh-CN"/>
                    </w:rPr>
                  </w:pPr>
                  <w:r>
                    <w:rPr>
                      <w:rFonts w:hint="eastAsia"/>
                      <w:szCs w:val="21"/>
                      <w:highlight w:val="none"/>
                      <w:lang w:val="en-US" w:eastAsia="zh-CN"/>
                    </w:rPr>
                    <w:t>新增</w:t>
                  </w:r>
                </w:p>
              </w:tc>
            </w:tr>
          </w:tbl>
          <w:p w14:paraId="0DD52488">
            <w:pPr>
              <w:spacing w:before="120" w:beforeLines="50" w:line="360" w:lineRule="auto"/>
              <w:ind w:firstLine="482" w:firstLineChars="200"/>
              <w:rPr>
                <w:b/>
                <w:sz w:val="24"/>
                <w:highlight w:val="none"/>
              </w:rPr>
            </w:pPr>
            <w:r>
              <w:rPr>
                <w:rFonts w:hint="eastAsia"/>
                <w:b/>
                <w:sz w:val="24"/>
                <w:highlight w:val="none"/>
                <w:lang w:val="en-US" w:eastAsia="zh-CN"/>
              </w:rPr>
              <w:t>4</w:t>
            </w:r>
            <w:r>
              <w:rPr>
                <w:b/>
                <w:sz w:val="24"/>
                <w:highlight w:val="none"/>
              </w:rPr>
              <w:t>．</w:t>
            </w:r>
            <w:r>
              <w:rPr>
                <w:rFonts w:hint="eastAsia"/>
                <w:b/>
                <w:sz w:val="24"/>
                <w:highlight w:val="none"/>
              </w:rPr>
              <w:t>主要原辅材料及能源、燃料的种类和用量</w:t>
            </w:r>
          </w:p>
          <w:p w14:paraId="78B8CA74">
            <w:pPr>
              <w:spacing w:line="360" w:lineRule="auto"/>
              <w:ind w:firstLine="480"/>
              <w:rPr>
                <w:sz w:val="24"/>
                <w:highlight w:val="none"/>
              </w:rPr>
            </w:pPr>
            <w:r>
              <w:rPr>
                <w:rFonts w:hint="eastAsia"/>
                <w:sz w:val="24"/>
                <w:highlight w:val="none"/>
              </w:rPr>
              <w:t>项目生产使用的主要原辅材料及用量情况列表如下：</w:t>
            </w:r>
          </w:p>
          <w:p w14:paraId="643BCF95">
            <w:pPr>
              <w:pStyle w:val="48"/>
              <w:numPr>
                <w:ilvl w:val="0"/>
                <w:numId w:val="4"/>
              </w:numPr>
              <w:spacing w:line="360" w:lineRule="auto"/>
              <w:ind w:left="0" w:firstLine="0" w:firstLineChars="0"/>
              <w:jc w:val="center"/>
              <w:rPr>
                <w:rFonts w:ascii="宋体" w:hAnsi="宋体" w:eastAsia="宋体"/>
                <w:b/>
                <w:sz w:val="21"/>
                <w:highlight w:val="none"/>
              </w:rPr>
            </w:pPr>
            <w:r>
              <w:rPr>
                <w:rFonts w:hint="eastAsia" w:ascii="宋体" w:hAnsi="宋体" w:eastAsia="宋体"/>
                <w:b/>
                <w:sz w:val="21"/>
                <w:highlight w:val="none"/>
              </w:rPr>
              <w:t>项目主要原辅材料及用量情况一览表</w:t>
            </w:r>
          </w:p>
          <w:tbl>
            <w:tblPr>
              <w:tblStyle w:val="21"/>
              <w:tblW w:w="4964"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583"/>
              <w:gridCol w:w="1013"/>
              <w:gridCol w:w="965"/>
              <w:gridCol w:w="4752"/>
            </w:tblGrid>
            <w:tr w14:paraId="0236BD1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952" w:type="pct"/>
                  <w:noWrap w:val="0"/>
                  <w:vAlign w:val="center"/>
                </w:tcPr>
                <w:p w14:paraId="7754C944">
                  <w:pPr>
                    <w:spacing w:line="240" w:lineRule="atLeast"/>
                    <w:jc w:val="center"/>
                    <w:rPr>
                      <w:rFonts w:ascii="Times New Roman" w:hAnsi="Times New Roman"/>
                      <w:b/>
                      <w:bCs/>
                      <w:szCs w:val="21"/>
                      <w:highlight w:val="none"/>
                    </w:rPr>
                  </w:pPr>
                  <w:r>
                    <w:rPr>
                      <w:rFonts w:ascii="Times New Roman" w:hAnsi="Times New Roman"/>
                      <w:b/>
                      <w:bCs/>
                      <w:szCs w:val="21"/>
                      <w:highlight w:val="none"/>
                    </w:rPr>
                    <w:t>名称</w:t>
                  </w:r>
                </w:p>
              </w:tc>
              <w:tc>
                <w:tcPr>
                  <w:tcW w:w="609" w:type="pct"/>
                  <w:noWrap w:val="0"/>
                  <w:vAlign w:val="center"/>
                </w:tcPr>
                <w:p w14:paraId="43FC4172">
                  <w:pPr>
                    <w:spacing w:line="240" w:lineRule="atLeast"/>
                    <w:jc w:val="center"/>
                    <w:rPr>
                      <w:rFonts w:ascii="Times New Roman" w:hAnsi="Times New Roman"/>
                      <w:b/>
                      <w:bCs/>
                      <w:szCs w:val="21"/>
                      <w:highlight w:val="none"/>
                    </w:rPr>
                  </w:pPr>
                  <w:r>
                    <w:rPr>
                      <w:rFonts w:ascii="Times New Roman" w:hAnsi="Times New Roman"/>
                      <w:b/>
                      <w:bCs/>
                      <w:szCs w:val="21"/>
                      <w:highlight w:val="none"/>
                    </w:rPr>
                    <w:t>用量</w:t>
                  </w:r>
                </w:p>
              </w:tc>
              <w:tc>
                <w:tcPr>
                  <w:tcW w:w="580" w:type="pct"/>
                  <w:noWrap w:val="0"/>
                  <w:vAlign w:val="center"/>
                </w:tcPr>
                <w:p w14:paraId="78AEB28E">
                  <w:pPr>
                    <w:spacing w:line="240" w:lineRule="atLeast"/>
                    <w:jc w:val="center"/>
                    <w:rPr>
                      <w:rFonts w:ascii="Times New Roman" w:hAnsi="Times New Roman"/>
                      <w:b/>
                      <w:bCs/>
                      <w:szCs w:val="21"/>
                      <w:highlight w:val="none"/>
                    </w:rPr>
                  </w:pPr>
                  <w:r>
                    <w:rPr>
                      <w:rFonts w:ascii="Times New Roman" w:hAnsi="Times New Roman"/>
                      <w:b/>
                      <w:bCs/>
                      <w:szCs w:val="21"/>
                      <w:highlight w:val="none"/>
                    </w:rPr>
                    <w:t>单位</w:t>
                  </w:r>
                </w:p>
              </w:tc>
              <w:tc>
                <w:tcPr>
                  <w:tcW w:w="2857" w:type="pct"/>
                  <w:noWrap w:val="0"/>
                  <w:vAlign w:val="center"/>
                </w:tcPr>
                <w:p w14:paraId="3C5A3E30">
                  <w:pPr>
                    <w:spacing w:line="240" w:lineRule="atLeast"/>
                    <w:jc w:val="center"/>
                    <w:rPr>
                      <w:rFonts w:ascii="Times New Roman" w:hAnsi="Times New Roman"/>
                      <w:b/>
                      <w:bCs/>
                      <w:szCs w:val="21"/>
                      <w:highlight w:val="none"/>
                    </w:rPr>
                  </w:pPr>
                  <w:r>
                    <w:rPr>
                      <w:rFonts w:ascii="Times New Roman" w:hAnsi="Times New Roman"/>
                      <w:b/>
                      <w:bCs/>
                      <w:szCs w:val="21"/>
                      <w:highlight w:val="none"/>
                    </w:rPr>
                    <w:t>备注</w:t>
                  </w:r>
                </w:p>
              </w:tc>
            </w:tr>
            <w:tr w14:paraId="51C0237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952" w:type="pct"/>
                  <w:noWrap w:val="0"/>
                  <w:vAlign w:val="center"/>
                </w:tcPr>
                <w:p w14:paraId="4EC65347">
                  <w:pPr>
                    <w:pStyle w:val="75"/>
                    <w:spacing w:line="280" w:lineRule="atLeast"/>
                    <w:ind w:firstLine="0"/>
                    <w:jc w:val="center"/>
                    <w:rPr>
                      <w:rFonts w:ascii="Times New Roman" w:hAnsi="Times New Roman"/>
                      <w:bCs/>
                      <w:spacing w:val="9"/>
                      <w:szCs w:val="21"/>
                      <w:highlight w:val="none"/>
                    </w:rPr>
                  </w:pPr>
                  <w:r>
                    <w:rPr>
                      <w:rFonts w:ascii="Times New Roman" w:hAnsi="Times New Roman"/>
                      <w:szCs w:val="21"/>
                      <w:highlight w:val="none"/>
                    </w:rPr>
                    <w:t>塑料桶</w:t>
                  </w:r>
                </w:p>
              </w:tc>
              <w:tc>
                <w:tcPr>
                  <w:tcW w:w="609" w:type="pct"/>
                  <w:noWrap w:val="0"/>
                  <w:vAlign w:val="center"/>
                </w:tcPr>
                <w:p w14:paraId="191C2C55">
                  <w:pPr>
                    <w:spacing w:line="240" w:lineRule="atLeast"/>
                    <w:jc w:val="center"/>
                    <w:rPr>
                      <w:rFonts w:ascii="Times New Roman" w:hAnsi="Times New Roman"/>
                      <w:szCs w:val="21"/>
                      <w:highlight w:val="none"/>
                    </w:rPr>
                  </w:pPr>
                  <w:r>
                    <w:rPr>
                      <w:rFonts w:ascii="Times New Roman" w:hAnsi="Times New Roman"/>
                      <w:szCs w:val="21"/>
                      <w:highlight w:val="none"/>
                    </w:rPr>
                    <w:t>若干</w:t>
                  </w:r>
                </w:p>
              </w:tc>
              <w:tc>
                <w:tcPr>
                  <w:tcW w:w="580" w:type="pct"/>
                  <w:noWrap w:val="0"/>
                  <w:vAlign w:val="center"/>
                </w:tcPr>
                <w:p w14:paraId="751CA07D">
                  <w:pPr>
                    <w:spacing w:line="240" w:lineRule="atLeast"/>
                    <w:jc w:val="center"/>
                    <w:rPr>
                      <w:rFonts w:ascii="Times New Roman" w:hAnsi="Times New Roman"/>
                      <w:szCs w:val="21"/>
                      <w:highlight w:val="none"/>
                    </w:rPr>
                  </w:pPr>
                  <w:r>
                    <w:rPr>
                      <w:rFonts w:ascii="Times New Roman" w:hAnsi="Times New Roman"/>
                      <w:szCs w:val="21"/>
                      <w:highlight w:val="none"/>
                    </w:rPr>
                    <w:t>个/a</w:t>
                  </w:r>
                </w:p>
              </w:tc>
              <w:tc>
                <w:tcPr>
                  <w:tcW w:w="2857" w:type="pct"/>
                  <w:noWrap w:val="0"/>
                  <w:vAlign w:val="center"/>
                </w:tcPr>
                <w:p w14:paraId="27CBF904">
                  <w:pPr>
                    <w:spacing w:line="280" w:lineRule="atLeast"/>
                    <w:jc w:val="center"/>
                    <w:rPr>
                      <w:rFonts w:ascii="Times New Roman" w:hAnsi="Times New Roman"/>
                      <w:bCs/>
                      <w:spacing w:val="9"/>
                      <w:szCs w:val="21"/>
                      <w:highlight w:val="none"/>
                    </w:rPr>
                  </w:pPr>
                  <w:r>
                    <w:rPr>
                      <w:rFonts w:ascii="Times New Roman" w:hAnsi="Times New Roman"/>
                      <w:bCs/>
                      <w:spacing w:val="9"/>
                      <w:szCs w:val="21"/>
                      <w:highlight w:val="none"/>
                    </w:rPr>
                    <w:t>若干，塑料材质，耐腐蚀，储存腐蚀性半固体和液体危险废物。</w:t>
                  </w:r>
                </w:p>
              </w:tc>
            </w:tr>
            <w:tr w14:paraId="397C6E5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952" w:type="pct"/>
                  <w:noWrap w:val="0"/>
                  <w:vAlign w:val="center"/>
                </w:tcPr>
                <w:p w14:paraId="6F479D6E">
                  <w:pPr>
                    <w:pStyle w:val="75"/>
                    <w:spacing w:line="280" w:lineRule="atLeast"/>
                    <w:ind w:firstLine="0"/>
                    <w:jc w:val="center"/>
                    <w:rPr>
                      <w:rFonts w:ascii="Times New Roman" w:hAnsi="Times New Roman"/>
                      <w:szCs w:val="21"/>
                      <w:highlight w:val="none"/>
                    </w:rPr>
                  </w:pPr>
                  <w:r>
                    <w:rPr>
                      <w:rFonts w:ascii="Times New Roman" w:hAnsi="Times New Roman"/>
                      <w:szCs w:val="21"/>
                      <w:highlight w:val="none"/>
                    </w:rPr>
                    <w:t>铁桶</w:t>
                  </w:r>
                </w:p>
              </w:tc>
              <w:tc>
                <w:tcPr>
                  <w:tcW w:w="609" w:type="pct"/>
                  <w:noWrap w:val="0"/>
                  <w:vAlign w:val="center"/>
                </w:tcPr>
                <w:p w14:paraId="3118C924">
                  <w:pPr>
                    <w:spacing w:line="240" w:lineRule="atLeast"/>
                    <w:jc w:val="center"/>
                    <w:rPr>
                      <w:rFonts w:ascii="Times New Roman" w:hAnsi="Times New Roman"/>
                      <w:szCs w:val="21"/>
                      <w:highlight w:val="none"/>
                    </w:rPr>
                  </w:pPr>
                  <w:r>
                    <w:rPr>
                      <w:rFonts w:ascii="Times New Roman" w:hAnsi="Times New Roman"/>
                      <w:szCs w:val="21"/>
                      <w:highlight w:val="none"/>
                    </w:rPr>
                    <w:t>若干</w:t>
                  </w:r>
                </w:p>
              </w:tc>
              <w:tc>
                <w:tcPr>
                  <w:tcW w:w="580" w:type="pct"/>
                  <w:noWrap w:val="0"/>
                  <w:vAlign w:val="center"/>
                </w:tcPr>
                <w:p w14:paraId="2905132D">
                  <w:pPr>
                    <w:spacing w:line="240" w:lineRule="atLeast"/>
                    <w:jc w:val="center"/>
                    <w:rPr>
                      <w:rFonts w:ascii="Times New Roman" w:hAnsi="Times New Roman"/>
                      <w:szCs w:val="21"/>
                      <w:highlight w:val="none"/>
                    </w:rPr>
                  </w:pPr>
                  <w:r>
                    <w:rPr>
                      <w:rFonts w:ascii="Times New Roman" w:hAnsi="Times New Roman"/>
                      <w:szCs w:val="21"/>
                      <w:highlight w:val="none"/>
                    </w:rPr>
                    <w:t>个/a</w:t>
                  </w:r>
                </w:p>
              </w:tc>
              <w:tc>
                <w:tcPr>
                  <w:tcW w:w="2857" w:type="pct"/>
                  <w:noWrap w:val="0"/>
                  <w:vAlign w:val="center"/>
                </w:tcPr>
                <w:p w14:paraId="1853CF77">
                  <w:pPr>
                    <w:spacing w:line="280" w:lineRule="atLeast"/>
                    <w:jc w:val="center"/>
                    <w:rPr>
                      <w:rFonts w:ascii="Times New Roman" w:hAnsi="Times New Roman"/>
                      <w:szCs w:val="21"/>
                      <w:highlight w:val="none"/>
                    </w:rPr>
                  </w:pPr>
                  <w:r>
                    <w:rPr>
                      <w:rFonts w:ascii="Times New Roman" w:hAnsi="Times New Roman"/>
                      <w:bCs/>
                      <w:spacing w:val="9"/>
                      <w:szCs w:val="21"/>
                      <w:highlight w:val="none"/>
                    </w:rPr>
                    <w:t>若干，铁质，储存无腐蚀半固体和液体危险废物</w:t>
                  </w:r>
                </w:p>
              </w:tc>
            </w:tr>
            <w:tr w14:paraId="225D8F9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952" w:type="pct"/>
                  <w:noWrap w:val="0"/>
                  <w:vAlign w:val="center"/>
                </w:tcPr>
                <w:p w14:paraId="754B24A1">
                  <w:pPr>
                    <w:pStyle w:val="75"/>
                    <w:spacing w:line="280" w:lineRule="atLeast"/>
                    <w:ind w:firstLine="0"/>
                    <w:jc w:val="center"/>
                    <w:rPr>
                      <w:rFonts w:ascii="Times New Roman" w:hAnsi="Times New Roman"/>
                      <w:szCs w:val="21"/>
                      <w:highlight w:val="none"/>
                    </w:rPr>
                  </w:pPr>
                  <w:r>
                    <w:rPr>
                      <w:rFonts w:hint="eastAsia" w:ascii="Times New Roman" w:hAnsi="Times New Roman"/>
                      <w:szCs w:val="21"/>
                      <w:highlight w:val="none"/>
                    </w:rPr>
                    <w:t>大开口钢箍桶</w:t>
                  </w:r>
                </w:p>
              </w:tc>
              <w:tc>
                <w:tcPr>
                  <w:tcW w:w="609" w:type="pct"/>
                  <w:noWrap w:val="0"/>
                  <w:vAlign w:val="center"/>
                </w:tcPr>
                <w:p w14:paraId="625E98D7">
                  <w:pPr>
                    <w:spacing w:line="240" w:lineRule="atLeast"/>
                    <w:jc w:val="center"/>
                    <w:rPr>
                      <w:rFonts w:ascii="Times New Roman" w:hAnsi="Times New Roman"/>
                      <w:szCs w:val="21"/>
                      <w:highlight w:val="none"/>
                    </w:rPr>
                  </w:pPr>
                  <w:r>
                    <w:rPr>
                      <w:rFonts w:hint="eastAsia" w:ascii="Times New Roman" w:hAnsi="Times New Roman"/>
                      <w:szCs w:val="21"/>
                      <w:highlight w:val="none"/>
                    </w:rPr>
                    <w:t>50</w:t>
                  </w:r>
                </w:p>
              </w:tc>
              <w:tc>
                <w:tcPr>
                  <w:tcW w:w="580" w:type="pct"/>
                  <w:noWrap w:val="0"/>
                  <w:vAlign w:val="center"/>
                </w:tcPr>
                <w:p w14:paraId="1F30C3AF">
                  <w:pPr>
                    <w:spacing w:line="240" w:lineRule="atLeast"/>
                    <w:jc w:val="center"/>
                    <w:rPr>
                      <w:rFonts w:ascii="Times New Roman" w:hAnsi="Times New Roman"/>
                      <w:szCs w:val="21"/>
                      <w:highlight w:val="none"/>
                    </w:rPr>
                  </w:pPr>
                  <w:r>
                    <w:rPr>
                      <w:rFonts w:ascii="Times New Roman" w:hAnsi="Times New Roman"/>
                      <w:szCs w:val="21"/>
                      <w:highlight w:val="none"/>
                    </w:rPr>
                    <w:t>个/a</w:t>
                  </w:r>
                </w:p>
              </w:tc>
              <w:tc>
                <w:tcPr>
                  <w:tcW w:w="2857" w:type="pct"/>
                  <w:noWrap w:val="0"/>
                  <w:vAlign w:val="center"/>
                </w:tcPr>
                <w:p w14:paraId="69CFD86A">
                  <w:pPr>
                    <w:spacing w:line="280" w:lineRule="atLeast"/>
                    <w:jc w:val="center"/>
                    <w:rPr>
                      <w:rFonts w:ascii="Times New Roman" w:hAnsi="Times New Roman"/>
                      <w:bCs/>
                      <w:spacing w:val="9"/>
                      <w:szCs w:val="21"/>
                      <w:highlight w:val="none"/>
                    </w:rPr>
                  </w:pPr>
                  <w:r>
                    <w:rPr>
                      <w:rFonts w:hint="eastAsia" w:ascii="Times New Roman" w:hAnsi="Times New Roman"/>
                      <w:bCs/>
                      <w:spacing w:val="9"/>
                      <w:szCs w:val="21"/>
                      <w:highlight w:val="none"/>
                    </w:rPr>
                    <w:t>用于储存水分含量较高的污泥</w:t>
                  </w:r>
                </w:p>
              </w:tc>
            </w:tr>
            <w:tr w14:paraId="5CF31DA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952" w:type="pct"/>
                  <w:noWrap w:val="0"/>
                  <w:vAlign w:val="center"/>
                </w:tcPr>
                <w:p w14:paraId="5D851B5B">
                  <w:pPr>
                    <w:pStyle w:val="75"/>
                    <w:spacing w:line="280" w:lineRule="atLeast"/>
                    <w:ind w:firstLine="0"/>
                    <w:jc w:val="center"/>
                    <w:rPr>
                      <w:rFonts w:ascii="Times New Roman" w:hAnsi="Times New Roman"/>
                      <w:szCs w:val="21"/>
                      <w:highlight w:val="none"/>
                    </w:rPr>
                  </w:pPr>
                  <w:r>
                    <w:rPr>
                      <w:rFonts w:hint="eastAsia" w:ascii="Times New Roman" w:hAnsi="Times New Roman"/>
                      <w:szCs w:val="21"/>
                      <w:highlight w:val="none"/>
                    </w:rPr>
                    <w:t>内塑外编袋</w:t>
                  </w:r>
                </w:p>
              </w:tc>
              <w:tc>
                <w:tcPr>
                  <w:tcW w:w="609" w:type="pct"/>
                  <w:noWrap w:val="0"/>
                  <w:vAlign w:val="center"/>
                </w:tcPr>
                <w:p w14:paraId="02A6ACC2">
                  <w:pPr>
                    <w:spacing w:line="240" w:lineRule="atLeast"/>
                    <w:jc w:val="center"/>
                    <w:rPr>
                      <w:rFonts w:ascii="Times New Roman" w:hAnsi="Times New Roman"/>
                      <w:szCs w:val="21"/>
                      <w:highlight w:val="none"/>
                    </w:rPr>
                  </w:pPr>
                  <w:r>
                    <w:rPr>
                      <w:rFonts w:hint="eastAsia" w:ascii="Times New Roman" w:hAnsi="Times New Roman"/>
                      <w:szCs w:val="21"/>
                      <w:highlight w:val="none"/>
                    </w:rPr>
                    <w:t>若干</w:t>
                  </w:r>
                </w:p>
              </w:tc>
              <w:tc>
                <w:tcPr>
                  <w:tcW w:w="580" w:type="pct"/>
                  <w:noWrap w:val="0"/>
                  <w:vAlign w:val="center"/>
                </w:tcPr>
                <w:p w14:paraId="4AC8DA81">
                  <w:pPr>
                    <w:spacing w:line="240" w:lineRule="atLeast"/>
                    <w:jc w:val="center"/>
                    <w:rPr>
                      <w:rFonts w:ascii="Times New Roman" w:hAnsi="Times New Roman"/>
                      <w:szCs w:val="21"/>
                      <w:highlight w:val="none"/>
                    </w:rPr>
                  </w:pPr>
                  <w:r>
                    <w:rPr>
                      <w:rFonts w:ascii="Times New Roman" w:hAnsi="Times New Roman"/>
                      <w:szCs w:val="21"/>
                      <w:highlight w:val="none"/>
                    </w:rPr>
                    <w:t>个/a</w:t>
                  </w:r>
                </w:p>
              </w:tc>
              <w:tc>
                <w:tcPr>
                  <w:tcW w:w="2857" w:type="pct"/>
                  <w:noWrap w:val="0"/>
                  <w:vAlign w:val="center"/>
                </w:tcPr>
                <w:p w14:paraId="785F7FFD">
                  <w:pPr>
                    <w:spacing w:line="280" w:lineRule="atLeast"/>
                    <w:jc w:val="center"/>
                    <w:rPr>
                      <w:rFonts w:ascii="Times New Roman" w:hAnsi="Times New Roman"/>
                      <w:bCs/>
                      <w:spacing w:val="9"/>
                      <w:szCs w:val="21"/>
                      <w:highlight w:val="none"/>
                    </w:rPr>
                  </w:pPr>
                  <w:r>
                    <w:rPr>
                      <w:rFonts w:hint="eastAsia" w:ascii="Times New Roman" w:hAnsi="Times New Roman"/>
                      <w:bCs/>
                      <w:spacing w:val="9"/>
                      <w:szCs w:val="21"/>
                      <w:highlight w:val="none"/>
                    </w:rPr>
                    <w:t>用于储存固体废物及干污泥</w:t>
                  </w:r>
                </w:p>
              </w:tc>
            </w:tr>
            <w:tr w14:paraId="0292F29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952" w:type="pct"/>
                  <w:noWrap w:val="0"/>
                  <w:vAlign w:val="center"/>
                </w:tcPr>
                <w:p w14:paraId="2D580E55">
                  <w:pPr>
                    <w:pStyle w:val="75"/>
                    <w:spacing w:line="280" w:lineRule="atLeast"/>
                    <w:ind w:firstLine="0"/>
                    <w:jc w:val="center"/>
                    <w:rPr>
                      <w:rFonts w:hint="eastAsia" w:ascii="Times New Roman" w:hAnsi="Times New Roman" w:eastAsia="宋体"/>
                      <w:szCs w:val="21"/>
                      <w:highlight w:val="none"/>
                      <w:lang w:val="en-US" w:eastAsia="zh-CN"/>
                    </w:rPr>
                  </w:pPr>
                  <w:r>
                    <w:rPr>
                      <w:rFonts w:hint="eastAsia"/>
                      <w:szCs w:val="21"/>
                      <w:highlight w:val="none"/>
                      <w:lang w:val="en-US" w:eastAsia="zh-CN"/>
                    </w:rPr>
                    <w:t>氢氧化钠</w:t>
                  </w:r>
                </w:p>
              </w:tc>
              <w:tc>
                <w:tcPr>
                  <w:tcW w:w="609" w:type="pct"/>
                  <w:noWrap w:val="0"/>
                  <w:vAlign w:val="center"/>
                </w:tcPr>
                <w:p w14:paraId="4172DE55">
                  <w:pPr>
                    <w:spacing w:line="240" w:lineRule="atLeast"/>
                    <w:jc w:val="center"/>
                    <w:rPr>
                      <w:rFonts w:hint="default" w:ascii="Times New Roman" w:hAnsi="Times New Roman" w:eastAsia="宋体"/>
                      <w:szCs w:val="21"/>
                      <w:highlight w:val="none"/>
                      <w:lang w:val="en-US" w:eastAsia="zh-CN"/>
                    </w:rPr>
                  </w:pPr>
                  <w:r>
                    <w:rPr>
                      <w:rFonts w:hint="eastAsia"/>
                      <w:szCs w:val="21"/>
                      <w:highlight w:val="none"/>
                      <w:lang w:val="en-US" w:eastAsia="zh-CN"/>
                    </w:rPr>
                    <w:t>0.3</w:t>
                  </w:r>
                </w:p>
              </w:tc>
              <w:tc>
                <w:tcPr>
                  <w:tcW w:w="580" w:type="pct"/>
                  <w:noWrap w:val="0"/>
                  <w:vAlign w:val="center"/>
                </w:tcPr>
                <w:p w14:paraId="335A2028">
                  <w:pPr>
                    <w:spacing w:line="240" w:lineRule="atLeast"/>
                    <w:jc w:val="center"/>
                    <w:rPr>
                      <w:rFonts w:hint="default" w:ascii="Times New Roman" w:hAnsi="Times New Roman" w:eastAsia="宋体"/>
                      <w:szCs w:val="21"/>
                      <w:highlight w:val="none"/>
                      <w:lang w:val="en-US" w:eastAsia="zh-CN"/>
                    </w:rPr>
                  </w:pPr>
                  <w:r>
                    <w:rPr>
                      <w:rFonts w:hint="eastAsia"/>
                      <w:szCs w:val="21"/>
                      <w:highlight w:val="none"/>
                      <w:lang w:val="en-US" w:eastAsia="zh-CN"/>
                    </w:rPr>
                    <w:t>t/a</w:t>
                  </w:r>
                </w:p>
              </w:tc>
              <w:tc>
                <w:tcPr>
                  <w:tcW w:w="2857" w:type="pct"/>
                  <w:noWrap w:val="0"/>
                  <w:vAlign w:val="center"/>
                </w:tcPr>
                <w:p w14:paraId="59F79765">
                  <w:pPr>
                    <w:spacing w:line="280" w:lineRule="atLeast"/>
                    <w:jc w:val="center"/>
                    <w:rPr>
                      <w:rFonts w:hint="default" w:ascii="Times New Roman" w:hAnsi="Times New Roman" w:eastAsia="宋体"/>
                      <w:bCs/>
                      <w:spacing w:val="9"/>
                      <w:szCs w:val="21"/>
                      <w:highlight w:val="none"/>
                      <w:lang w:val="en-US" w:eastAsia="zh-CN"/>
                    </w:rPr>
                  </w:pPr>
                  <w:r>
                    <w:rPr>
                      <w:rFonts w:hint="eastAsia"/>
                      <w:bCs/>
                      <w:spacing w:val="9"/>
                      <w:szCs w:val="21"/>
                      <w:highlight w:val="none"/>
                      <w:lang w:val="en-US" w:eastAsia="zh-CN"/>
                    </w:rPr>
                    <w:t>外购，用于废气治理</w:t>
                  </w:r>
                </w:p>
              </w:tc>
            </w:tr>
            <w:tr w14:paraId="2378FEF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cantSplit/>
                <w:trHeight w:val="397" w:hRule="atLeast"/>
                <w:jc w:val="center"/>
              </w:trPr>
              <w:tc>
                <w:tcPr>
                  <w:tcW w:w="952" w:type="pct"/>
                  <w:noWrap w:val="0"/>
                  <w:vAlign w:val="center"/>
                </w:tcPr>
                <w:p w14:paraId="7C21C54B">
                  <w:pPr>
                    <w:pStyle w:val="75"/>
                    <w:spacing w:line="280" w:lineRule="atLeast"/>
                    <w:ind w:firstLine="0"/>
                    <w:jc w:val="center"/>
                    <w:rPr>
                      <w:rFonts w:hint="eastAsia" w:ascii="Times New Roman" w:hAnsi="Times New Roman" w:eastAsia="宋体"/>
                      <w:szCs w:val="21"/>
                      <w:highlight w:val="none"/>
                      <w:lang w:val="en-US" w:eastAsia="zh-CN"/>
                    </w:rPr>
                  </w:pPr>
                  <w:r>
                    <w:rPr>
                      <w:rFonts w:hint="eastAsia"/>
                      <w:szCs w:val="21"/>
                      <w:highlight w:val="none"/>
                      <w:lang w:val="en-US" w:eastAsia="zh-CN"/>
                    </w:rPr>
                    <w:t>电</w:t>
                  </w:r>
                </w:p>
              </w:tc>
              <w:tc>
                <w:tcPr>
                  <w:tcW w:w="609" w:type="pct"/>
                  <w:noWrap w:val="0"/>
                  <w:vAlign w:val="center"/>
                </w:tcPr>
                <w:p w14:paraId="1236E08F">
                  <w:pPr>
                    <w:spacing w:line="240" w:lineRule="atLeast"/>
                    <w:jc w:val="center"/>
                    <w:rPr>
                      <w:rFonts w:hint="default" w:ascii="Times New Roman" w:hAnsi="Times New Roman" w:eastAsia="宋体"/>
                      <w:szCs w:val="21"/>
                      <w:highlight w:val="none"/>
                      <w:lang w:val="en-US" w:eastAsia="zh-CN"/>
                    </w:rPr>
                  </w:pPr>
                  <w:r>
                    <w:rPr>
                      <w:rFonts w:hint="eastAsia"/>
                      <w:szCs w:val="21"/>
                      <w:highlight w:val="none"/>
                      <w:lang w:val="en-US" w:eastAsia="zh-CN"/>
                    </w:rPr>
                    <w:t>1500</w:t>
                  </w:r>
                </w:p>
              </w:tc>
              <w:tc>
                <w:tcPr>
                  <w:tcW w:w="580" w:type="pct"/>
                  <w:noWrap w:val="0"/>
                  <w:vAlign w:val="center"/>
                </w:tcPr>
                <w:p w14:paraId="0A3DC0A4">
                  <w:pPr>
                    <w:spacing w:line="240" w:lineRule="atLeast"/>
                    <w:jc w:val="center"/>
                    <w:rPr>
                      <w:rFonts w:hint="default" w:ascii="Times New Roman" w:hAnsi="Times New Roman" w:eastAsia="宋体"/>
                      <w:szCs w:val="21"/>
                      <w:highlight w:val="none"/>
                      <w:lang w:val="en-US" w:eastAsia="zh-CN"/>
                    </w:rPr>
                  </w:pPr>
                  <w:r>
                    <w:rPr>
                      <w:rFonts w:hint="default" w:ascii="Times New Roman" w:hAnsi="Times New Roman" w:cs="Times New Roman"/>
                      <w:color w:val="auto"/>
                      <w:szCs w:val="21"/>
                      <w:highlight w:val="none"/>
                    </w:rPr>
                    <w:t>kW·h</w:t>
                  </w:r>
                  <w:r>
                    <w:rPr>
                      <w:rFonts w:hint="default" w:ascii="Times New Roman" w:hAnsi="Times New Roman" w:cs="Times New Roman"/>
                      <w:bCs/>
                      <w:color w:val="auto"/>
                      <w:szCs w:val="21"/>
                      <w:highlight w:val="none"/>
                    </w:rPr>
                    <w:t>/a</w:t>
                  </w:r>
                </w:p>
              </w:tc>
              <w:tc>
                <w:tcPr>
                  <w:tcW w:w="2857" w:type="pct"/>
                  <w:noWrap w:val="0"/>
                  <w:vAlign w:val="center"/>
                </w:tcPr>
                <w:p w14:paraId="0FEA0295">
                  <w:pPr>
                    <w:spacing w:line="280" w:lineRule="atLeast"/>
                    <w:jc w:val="center"/>
                    <w:rPr>
                      <w:rFonts w:hint="default" w:ascii="Times New Roman" w:hAnsi="Times New Roman" w:eastAsia="宋体"/>
                      <w:bCs/>
                      <w:spacing w:val="9"/>
                      <w:szCs w:val="21"/>
                      <w:highlight w:val="none"/>
                      <w:lang w:val="en-US" w:eastAsia="zh-CN"/>
                    </w:rPr>
                  </w:pPr>
                  <w:r>
                    <w:rPr>
                      <w:rFonts w:hint="eastAsia"/>
                      <w:bCs/>
                      <w:spacing w:val="9"/>
                      <w:szCs w:val="21"/>
                      <w:highlight w:val="none"/>
                      <w:lang w:val="en-US" w:eastAsia="zh-CN"/>
                    </w:rPr>
                    <w:t>园区供电管网</w:t>
                  </w:r>
                </w:p>
              </w:tc>
            </w:tr>
            <w:tr w14:paraId="0C32076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397" w:hRule="atLeast"/>
                <w:jc w:val="center"/>
              </w:trPr>
              <w:tc>
                <w:tcPr>
                  <w:tcW w:w="952" w:type="pct"/>
                  <w:noWrap w:val="0"/>
                  <w:vAlign w:val="center"/>
                </w:tcPr>
                <w:p w14:paraId="58C48533">
                  <w:pPr>
                    <w:pStyle w:val="75"/>
                    <w:spacing w:line="280" w:lineRule="atLeast"/>
                    <w:ind w:firstLine="0"/>
                    <w:jc w:val="center"/>
                    <w:rPr>
                      <w:rFonts w:hint="eastAsia" w:ascii="Times New Roman" w:hAnsi="Times New Roman" w:eastAsia="宋体"/>
                      <w:szCs w:val="21"/>
                      <w:highlight w:val="none"/>
                      <w:lang w:val="en-US" w:eastAsia="zh-CN"/>
                    </w:rPr>
                  </w:pPr>
                  <w:r>
                    <w:rPr>
                      <w:rFonts w:hint="eastAsia"/>
                      <w:szCs w:val="21"/>
                      <w:highlight w:val="none"/>
                      <w:lang w:val="en-US" w:eastAsia="zh-CN"/>
                    </w:rPr>
                    <w:t>新鲜水</w:t>
                  </w:r>
                </w:p>
              </w:tc>
              <w:tc>
                <w:tcPr>
                  <w:tcW w:w="609" w:type="pct"/>
                  <w:noWrap w:val="0"/>
                  <w:vAlign w:val="center"/>
                </w:tcPr>
                <w:p w14:paraId="7300BA88">
                  <w:pPr>
                    <w:spacing w:line="240" w:lineRule="atLeast"/>
                    <w:jc w:val="center"/>
                    <w:rPr>
                      <w:rFonts w:hint="default" w:ascii="Times New Roman" w:hAnsi="Times New Roman" w:eastAsia="宋体"/>
                      <w:szCs w:val="21"/>
                      <w:highlight w:val="none"/>
                      <w:lang w:val="en-US" w:eastAsia="zh-CN"/>
                    </w:rPr>
                  </w:pPr>
                  <w:r>
                    <w:rPr>
                      <w:rFonts w:hint="eastAsia"/>
                      <w:szCs w:val="21"/>
                      <w:highlight w:val="none"/>
                      <w:lang w:val="en-US" w:eastAsia="zh-CN"/>
                    </w:rPr>
                    <w:t>327.07</w:t>
                  </w:r>
                </w:p>
              </w:tc>
              <w:tc>
                <w:tcPr>
                  <w:tcW w:w="580" w:type="pct"/>
                  <w:noWrap w:val="0"/>
                  <w:vAlign w:val="center"/>
                </w:tcPr>
                <w:p w14:paraId="70D9A330">
                  <w:pPr>
                    <w:spacing w:line="240" w:lineRule="atLeast"/>
                    <w:jc w:val="center"/>
                    <w:rPr>
                      <w:rFonts w:hint="default" w:ascii="Times New Roman" w:hAnsi="Times New Roman" w:eastAsia="宋体"/>
                      <w:szCs w:val="21"/>
                      <w:highlight w:val="none"/>
                      <w:lang w:val="en-US" w:eastAsia="zh-CN"/>
                    </w:rPr>
                  </w:pPr>
                  <w:r>
                    <w:rPr>
                      <w:rFonts w:hint="eastAsia"/>
                      <w:szCs w:val="21"/>
                      <w:highlight w:val="none"/>
                      <w:lang w:val="en-US" w:eastAsia="zh-CN"/>
                    </w:rPr>
                    <w:t>m</w:t>
                  </w:r>
                  <w:r>
                    <w:rPr>
                      <w:rFonts w:hint="eastAsia"/>
                      <w:szCs w:val="21"/>
                      <w:highlight w:val="none"/>
                      <w:vertAlign w:val="superscript"/>
                      <w:lang w:val="en-US" w:eastAsia="zh-CN"/>
                    </w:rPr>
                    <w:t>3</w:t>
                  </w:r>
                  <w:r>
                    <w:rPr>
                      <w:rFonts w:hint="eastAsia"/>
                      <w:szCs w:val="21"/>
                      <w:highlight w:val="none"/>
                      <w:lang w:val="en-US" w:eastAsia="zh-CN"/>
                    </w:rPr>
                    <w:t>/a</w:t>
                  </w:r>
                </w:p>
              </w:tc>
              <w:tc>
                <w:tcPr>
                  <w:tcW w:w="2857" w:type="pct"/>
                  <w:noWrap w:val="0"/>
                  <w:vAlign w:val="center"/>
                </w:tcPr>
                <w:p w14:paraId="4B1EC2EE">
                  <w:pPr>
                    <w:spacing w:line="280" w:lineRule="atLeast"/>
                    <w:jc w:val="center"/>
                    <w:rPr>
                      <w:rFonts w:hint="default" w:ascii="Times New Roman" w:hAnsi="Times New Roman" w:eastAsia="宋体"/>
                      <w:bCs/>
                      <w:spacing w:val="9"/>
                      <w:szCs w:val="21"/>
                      <w:highlight w:val="none"/>
                      <w:lang w:val="en-US" w:eastAsia="zh-CN"/>
                    </w:rPr>
                  </w:pPr>
                  <w:r>
                    <w:rPr>
                      <w:rFonts w:hint="eastAsia"/>
                      <w:bCs/>
                      <w:spacing w:val="9"/>
                      <w:szCs w:val="21"/>
                      <w:highlight w:val="none"/>
                      <w:lang w:val="en-US" w:eastAsia="zh-CN"/>
                    </w:rPr>
                    <w:t>自备水井</w:t>
                  </w:r>
                </w:p>
              </w:tc>
            </w:tr>
          </w:tbl>
          <w:p w14:paraId="7007A243">
            <w:pPr>
              <w:spacing w:line="360" w:lineRule="auto"/>
              <w:ind w:firstLine="480"/>
              <w:rPr>
                <w:rFonts w:hint="default" w:ascii="Times New Roman" w:hAnsi="Times New Roman" w:eastAsia="宋体" w:cs="Times New Roman"/>
                <w:sz w:val="24"/>
                <w:highlight w:val="none"/>
                <w:lang w:val="en-US"/>
              </w:rPr>
            </w:pPr>
            <w:r>
              <w:rPr>
                <w:rFonts w:hint="eastAsia" w:ascii="Times New Roman" w:hAnsi="Times New Roman" w:eastAsia="宋体" w:cs="Times New Roman"/>
                <w:sz w:val="24"/>
                <w:highlight w:val="none"/>
                <w:lang w:val="en-US" w:eastAsia="zh-CN"/>
              </w:rPr>
              <w:t>氢氧化钠理化性质如下表；</w:t>
            </w:r>
          </w:p>
          <w:p w14:paraId="0D086216">
            <w:pPr>
              <w:pStyle w:val="48"/>
              <w:numPr>
                <w:ilvl w:val="0"/>
                <w:numId w:val="4"/>
              </w:numPr>
              <w:spacing w:line="360" w:lineRule="auto"/>
              <w:ind w:left="0" w:firstLine="0" w:firstLineChars="0"/>
              <w:jc w:val="center"/>
              <w:rPr>
                <w:rFonts w:ascii="宋体" w:hAnsi="宋体" w:eastAsia="宋体"/>
                <w:b/>
                <w:sz w:val="21"/>
                <w:highlight w:val="none"/>
              </w:rPr>
            </w:pPr>
            <w:r>
              <w:rPr>
                <w:rFonts w:hint="eastAsia" w:ascii="宋体" w:hAnsi="宋体" w:eastAsia="宋体"/>
                <w:b/>
                <w:sz w:val="21"/>
                <w:highlight w:val="none"/>
                <w:lang w:val="en-US" w:eastAsia="zh-CN"/>
              </w:rPr>
              <w:t>氢氧化钠理化性质</w:t>
            </w:r>
            <w:r>
              <w:rPr>
                <w:rFonts w:hint="eastAsia" w:ascii="宋体" w:hAnsi="宋体" w:eastAsia="宋体"/>
                <w:b/>
                <w:sz w:val="21"/>
                <w:highlight w:val="none"/>
              </w:rPr>
              <w:t>一览表</w:t>
            </w:r>
          </w:p>
          <w:tbl>
            <w:tblPr>
              <w:tblStyle w:val="2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9"/>
              <w:gridCol w:w="2539"/>
              <w:gridCol w:w="375"/>
              <w:gridCol w:w="1743"/>
              <w:gridCol w:w="861"/>
              <w:gridCol w:w="2431"/>
            </w:tblGrid>
            <w:tr w14:paraId="25E8ED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15" w:hRule="atLeast"/>
              </w:trPr>
              <w:tc>
                <w:tcPr>
                  <w:tcW w:w="256" w:type="pct"/>
                  <w:vMerge w:val="restart"/>
                  <w:tcBorders>
                    <w:top w:val="single" w:color="auto" w:sz="4" w:space="0"/>
                    <w:left w:val="single" w:color="auto" w:sz="4" w:space="0"/>
                    <w:bottom w:val="single" w:color="auto" w:sz="4" w:space="0"/>
                    <w:right w:val="single" w:color="auto" w:sz="4" w:space="0"/>
                  </w:tcBorders>
                  <w:noWrap w:val="0"/>
                  <w:vAlign w:val="center"/>
                </w:tcPr>
                <w:p w14:paraId="33A5FAFC">
                  <w:pPr>
                    <w:spacing w:line="440" w:lineRule="exact"/>
                    <w:jc w:val="center"/>
                    <w:rPr>
                      <w:highlight w:val="none"/>
                    </w:rPr>
                  </w:pPr>
                  <w:r>
                    <w:rPr>
                      <w:rFonts w:hint="eastAsia"/>
                      <w:highlight w:val="none"/>
                    </w:rPr>
                    <w:t>标识</w:t>
                  </w:r>
                </w:p>
              </w:tc>
              <w:tc>
                <w:tcPr>
                  <w:tcW w:w="1739" w:type="pct"/>
                  <w:gridSpan w:val="2"/>
                  <w:tcBorders>
                    <w:top w:val="single" w:color="auto" w:sz="4" w:space="0"/>
                    <w:left w:val="single" w:color="auto" w:sz="4" w:space="0"/>
                    <w:bottom w:val="single" w:color="auto" w:sz="4" w:space="0"/>
                    <w:right w:val="single" w:color="auto" w:sz="4" w:space="0"/>
                  </w:tcBorders>
                  <w:noWrap w:val="0"/>
                  <w:vAlign w:val="top"/>
                </w:tcPr>
                <w:p w14:paraId="6EE5C77B">
                  <w:pPr>
                    <w:spacing w:line="340" w:lineRule="exact"/>
                    <w:rPr>
                      <w:highlight w:val="none"/>
                    </w:rPr>
                  </w:pPr>
                  <w:r>
                    <w:rPr>
                      <w:rFonts w:hint="eastAsia"/>
                      <w:highlight w:val="none"/>
                    </w:rPr>
                    <w:t>中文名：氢氧化钠；烧碱</w:t>
                  </w:r>
                </w:p>
              </w:tc>
              <w:tc>
                <w:tcPr>
                  <w:tcW w:w="3004" w:type="pct"/>
                  <w:gridSpan w:val="3"/>
                  <w:tcBorders>
                    <w:top w:val="single" w:color="auto" w:sz="4" w:space="0"/>
                    <w:left w:val="single" w:color="auto" w:sz="4" w:space="0"/>
                    <w:bottom w:val="single" w:color="auto" w:sz="4" w:space="0"/>
                    <w:right w:val="single" w:color="auto" w:sz="4" w:space="0"/>
                  </w:tcBorders>
                  <w:noWrap w:val="0"/>
                  <w:vAlign w:val="top"/>
                </w:tcPr>
                <w:p w14:paraId="321E5648">
                  <w:pPr>
                    <w:spacing w:line="340" w:lineRule="exact"/>
                    <w:rPr>
                      <w:highlight w:val="none"/>
                    </w:rPr>
                  </w:pPr>
                  <w:r>
                    <w:rPr>
                      <w:rFonts w:hint="eastAsia"/>
                      <w:highlight w:val="none"/>
                    </w:rPr>
                    <w:t>英文名：</w:t>
                  </w:r>
                  <w:r>
                    <w:rPr>
                      <w:highlight w:val="none"/>
                    </w:rPr>
                    <w:t>sodiun hydroxide</w:t>
                  </w:r>
                  <w:r>
                    <w:rPr>
                      <w:rFonts w:hint="eastAsia"/>
                      <w:highlight w:val="none"/>
                    </w:rPr>
                    <w:t>；</w:t>
                  </w:r>
                  <w:r>
                    <w:rPr>
                      <w:highlight w:val="none"/>
                    </w:rPr>
                    <w:t>caustic soda</w:t>
                  </w:r>
                </w:p>
              </w:tc>
            </w:tr>
            <w:tr w14:paraId="77C54A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8" w:hRule="atLeast"/>
              </w:trPr>
              <w:tc>
                <w:tcPr>
                  <w:tcW w:w="256" w:type="pct"/>
                  <w:vMerge w:val="continue"/>
                  <w:tcBorders>
                    <w:top w:val="single" w:color="auto" w:sz="4" w:space="0"/>
                    <w:left w:val="single" w:color="auto" w:sz="4" w:space="0"/>
                    <w:bottom w:val="single" w:color="auto" w:sz="4" w:space="0"/>
                    <w:right w:val="single" w:color="auto" w:sz="4" w:space="0"/>
                  </w:tcBorders>
                  <w:noWrap w:val="0"/>
                  <w:vAlign w:val="center"/>
                </w:tcPr>
                <w:p w14:paraId="56730F38">
                  <w:pPr>
                    <w:widowControl/>
                    <w:jc w:val="left"/>
                    <w:rPr>
                      <w:highlight w:val="none"/>
                    </w:rPr>
                  </w:pPr>
                </w:p>
              </w:tc>
              <w:tc>
                <w:tcPr>
                  <w:tcW w:w="1739" w:type="pct"/>
                  <w:gridSpan w:val="2"/>
                  <w:tcBorders>
                    <w:top w:val="single" w:color="auto" w:sz="4" w:space="0"/>
                    <w:left w:val="single" w:color="auto" w:sz="4" w:space="0"/>
                    <w:bottom w:val="single" w:color="auto" w:sz="4" w:space="0"/>
                    <w:right w:val="single" w:color="auto" w:sz="4" w:space="0"/>
                  </w:tcBorders>
                  <w:noWrap w:val="0"/>
                  <w:vAlign w:val="top"/>
                </w:tcPr>
                <w:p w14:paraId="74B6B412">
                  <w:pPr>
                    <w:spacing w:line="340" w:lineRule="exact"/>
                    <w:rPr>
                      <w:highlight w:val="none"/>
                    </w:rPr>
                  </w:pPr>
                  <w:r>
                    <w:rPr>
                      <w:rFonts w:hint="eastAsia"/>
                      <w:highlight w:val="none"/>
                    </w:rPr>
                    <w:t>分子式：</w:t>
                  </w:r>
                  <w:r>
                    <w:rPr>
                      <w:highlight w:val="none"/>
                    </w:rPr>
                    <w:t>NaOH</w:t>
                  </w:r>
                </w:p>
              </w:tc>
              <w:tc>
                <w:tcPr>
                  <w:tcW w:w="1554" w:type="pct"/>
                  <w:gridSpan w:val="2"/>
                  <w:tcBorders>
                    <w:top w:val="single" w:color="auto" w:sz="4" w:space="0"/>
                    <w:left w:val="single" w:color="auto" w:sz="4" w:space="0"/>
                    <w:bottom w:val="single" w:color="auto" w:sz="4" w:space="0"/>
                    <w:right w:val="single" w:color="auto" w:sz="4" w:space="0"/>
                  </w:tcBorders>
                  <w:noWrap w:val="0"/>
                  <w:vAlign w:val="top"/>
                </w:tcPr>
                <w:p w14:paraId="47508B3B">
                  <w:pPr>
                    <w:spacing w:line="340" w:lineRule="exact"/>
                    <w:rPr>
                      <w:highlight w:val="none"/>
                    </w:rPr>
                  </w:pPr>
                  <w:r>
                    <w:rPr>
                      <w:rFonts w:hint="eastAsia"/>
                      <w:highlight w:val="none"/>
                    </w:rPr>
                    <w:t>分子量：</w:t>
                  </w:r>
                  <w:r>
                    <w:rPr>
                      <w:highlight w:val="none"/>
                    </w:rPr>
                    <w:t>40.01</w:t>
                  </w:r>
                </w:p>
              </w:tc>
              <w:tc>
                <w:tcPr>
                  <w:tcW w:w="1449" w:type="pct"/>
                  <w:tcBorders>
                    <w:top w:val="single" w:color="auto" w:sz="4" w:space="0"/>
                    <w:left w:val="single" w:color="auto" w:sz="4" w:space="0"/>
                    <w:bottom w:val="single" w:color="auto" w:sz="4" w:space="0"/>
                    <w:right w:val="single" w:color="auto" w:sz="4" w:space="0"/>
                  </w:tcBorders>
                  <w:noWrap w:val="0"/>
                  <w:vAlign w:val="top"/>
                </w:tcPr>
                <w:p w14:paraId="7BBE743B">
                  <w:pPr>
                    <w:spacing w:line="340" w:lineRule="exact"/>
                    <w:rPr>
                      <w:highlight w:val="none"/>
                    </w:rPr>
                  </w:pPr>
                  <w:r>
                    <w:rPr>
                      <w:highlight w:val="none"/>
                    </w:rPr>
                    <w:t>CAS</w:t>
                  </w:r>
                  <w:r>
                    <w:rPr>
                      <w:rFonts w:hint="eastAsia"/>
                      <w:highlight w:val="none"/>
                    </w:rPr>
                    <w:t>号：</w:t>
                  </w:r>
                  <w:r>
                    <w:rPr>
                      <w:highlight w:val="none"/>
                    </w:rPr>
                    <w:t>1310</w:t>
                  </w:r>
                  <w:r>
                    <w:rPr>
                      <w:rFonts w:hint="eastAsia"/>
                      <w:highlight w:val="none"/>
                    </w:rPr>
                    <w:t>－</w:t>
                  </w:r>
                  <w:r>
                    <w:rPr>
                      <w:highlight w:val="none"/>
                    </w:rPr>
                    <w:t>73</w:t>
                  </w:r>
                  <w:r>
                    <w:rPr>
                      <w:rFonts w:hint="eastAsia"/>
                      <w:highlight w:val="none"/>
                    </w:rPr>
                    <w:t>－</w:t>
                  </w:r>
                  <w:r>
                    <w:rPr>
                      <w:highlight w:val="none"/>
                    </w:rPr>
                    <w:t>2</w:t>
                  </w:r>
                </w:p>
              </w:tc>
            </w:tr>
            <w:tr w14:paraId="58F817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3" w:hRule="atLeast"/>
              </w:trPr>
              <w:tc>
                <w:tcPr>
                  <w:tcW w:w="256" w:type="pct"/>
                  <w:vMerge w:val="continue"/>
                  <w:tcBorders>
                    <w:top w:val="single" w:color="auto" w:sz="4" w:space="0"/>
                    <w:left w:val="single" w:color="auto" w:sz="4" w:space="0"/>
                    <w:bottom w:val="single" w:color="auto" w:sz="4" w:space="0"/>
                    <w:right w:val="single" w:color="auto" w:sz="4" w:space="0"/>
                  </w:tcBorders>
                  <w:noWrap w:val="0"/>
                  <w:vAlign w:val="center"/>
                </w:tcPr>
                <w:p w14:paraId="629F2976">
                  <w:pPr>
                    <w:widowControl/>
                    <w:jc w:val="left"/>
                    <w:rPr>
                      <w:highlight w:val="none"/>
                    </w:rPr>
                  </w:pPr>
                </w:p>
              </w:tc>
              <w:tc>
                <w:tcPr>
                  <w:tcW w:w="4743" w:type="pct"/>
                  <w:gridSpan w:val="5"/>
                  <w:tcBorders>
                    <w:top w:val="single" w:color="auto" w:sz="4" w:space="0"/>
                    <w:left w:val="single" w:color="auto" w:sz="4" w:space="0"/>
                    <w:bottom w:val="single" w:color="auto" w:sz="4" w:space="0"/>
                    <w:right w:val="single" w:color="auto" w:sz="4" w:space="0"/>
                  </w:tcBorders>
                  <w:noWrap w:val="0"/>
                  <w:vAlign w:val="top"/>
                </w:tcPr>
                <w:p w14:paraId="72117E04">
                  <w:pPr>
                    <w:spacing w:line="340" w:lineRule="exact"/>
                    <w:rPr>
                      <w:highlight w:val="none"/>
                    </w:rPr>
                  </w:pPr>
                  <w:r>
                    <w:rPr>
                      <w:rFonts w:hint="eastAsia"/>
                      <w:highlight w:val="none"/>
                    </w:rPr>
                    <w:t>危规号：</w:t>
                  </w:r>
                  <w:r>
                    <w:rPr>
                      <w:highlight w:val="none"/>
                    </w:rPr>
                    <w:t>82001</w:t>
                  </w:r>
                </w:p>
              </w:tc>
            </w:tr>
            <w:tr w14:paraId="79CBED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6" w:hRule="atLeast"/>
              </w:trPr>
              <w:tc>
                <w:tcPr>
                  <w:tcW w:w="256" w:type="pct"/>
                  <w:vMerge w:val="restart"/>
                  <w:tcBorders>
                    <w:top w:val="single" w:color="auto" w:sz="4" w:space="0"/>
                    <w:left w:val="single" w:color="auto" w:sz="4" w:space="0"/>
                    <w:bottom w:val="single" w:color="auto" w:sz="4" w:space="0"/>
                    <w:right w:val="single" w:color="auto" w:sz="4" w:space="0"/>
                  </w:tcBorders>
                  <w:noWrap w:val="0"/>
                  <w:vAlign w:val="center"/>
                </w:tcPr>
                <w:p w14:paraId="21696580">
                  <w:pPr>
                    <w:spacing w:line="340" w:lineRule="exact"/>
                    <w:jc w:val="center"/>
                    <w:rPr>
                      <w:highlight w:val="none"/>
                    </w:rPr>
                  </w:pPr>
                  <w:r>
                    <w:rPr>
                      <w:rFonts w:hint="eastAsia"/>
                      <w:highlight w:val="none"/>
                    </w:rPr>
                    <w:t>理化性质</w:t>
                  </w:r>
                </w:p>
              </w:tc>
              <w:tc>
                <w:tcPr>
                  <w:tcW w:w="4743" w:type="pct"/>
                  <w:gridSpan w:val="5"/>
                  <w:tcBorders>
                    <w:top w:val="single" w:color="auto" w:sz="4" w:space="0"/>
                    <w:left w:val="single" w:color="auto" w:sz="4" w:space="0"/>
                    <w:bottom w:val="single" w:color="auto" w:sz="4" w:space="0"/>
                    <w:right w:val="single" w:color="auto" w:sz="4" w:space="0"/>
                  </w:tcBorders>
                  <w:noWrap w:val="0"/>
                  <w:vAlign w:val="top"/>
                </w:tcPr>
                <w:p w14:paraId="3C622E09">
                  <w:pPr>
                    <w:spacing w:line="340" w:lineRule="exact"/>
                    <w:rPr>
                      <w:highlight w:val="none"/>
                    </w:rPr>
                  </w:pPr>
                  <w:r>
                    <w:rPr>
                      <w:rFonts w:hint="eastAsia"/>
                      <w:highlight w:val="none"/>
                    </w:rPr>
                    <w:t>性状：</w:t>
                  </w:r>
                  <w:r>
                    <w:rPr>
                      <w:highlight w:val="none"/>
                    </w:rPr>
                    <w:t xml:space="preserve"> </w:t>
                  </w:r>
                  <w:r>
                    <w:rPr>
                      <w:rFonts w:hint="eastAsia"/>
                      <w:highlight w:val="none"/>
                    </w:rPr>
                    <w:t>白色不透明固体，易潮解。</w:t>
                  </w:r>
                </w:p>
              </w:tc>
            </w:tr>
            <w:tr w14:paraId="75798B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0" w:hRule="atLeast"/>
              </w:trPr>
              <w:tc>
                <w:tcPr>
                  <w:tcW w:w="256" w:type="pct"/>
                  <w:vMerge w:val="continue"/>
                  <w:tcBorders>
                    <w:top w:val="single" w:color="auto" w:sz="4" w:space="0"/>
                    <w:left w:val="single" w:color="auto" w:sz="4" w:space="0"/>
                    <w:bottom w:val="single" w:color="auto" w:sz="4" w:space="0"/>
                    <w:right w:val="single" w:color="auto" w:sz="4" w:space="0"/>
                  </w:tcBorders>
                  <w:noWrap w:val="0"/>
                  <w:vAlign w:val="center"/>
                </w:tcPr>
                <w:p w14:paraId="3032DB24">
                  <w:pPr>
                    <w:widowControl/>
                    <w:jc w:val="left"/>
                    <w:rPr>
                      <w:highlight w:val="none"/>
                    </w:rPr>
                  </w:pPr>
                </w:p>
              </w:tc>
              <w:tc>
                <w:tcPr>
                  <w:tcW w:w="4743" w:type="pct"/>
                  <w:gridSpan w:val="5"/>
                  <w:tcBorders>
                    <w:top w:val="single" w:color="auto" w:sz="4" w:space="0"/>
                    <w:left w:val="single" w:color="auto" w:sz="4" w:space="0"/>
                    <w:bottom w:val="single" w:color="auto" w:sz="4" w:space="0"/>
                    <w:right w:val="single" w:color="auto" w:sz="4" w:space="0"/>
                  </w:tcBorders>
                  <w:noWrap w:val="0"/>
                  <w:vAlign w:val="top"/>
                </w:tcPr>
                <w:p w14:paraId="2440F707">
                  <w:pPr>
                    <w:spacing w:line="340" w:lineRule="exact"/>
                    <w:rPr>
                      <w:highlight w:val="none"/>
                    </w:rPr>
                  </w:pPr>
                  <w:r>
                    <w:rPr>
                      <w:rFonts w:hint="eastAsia"/>
                      <w:highlight w:val="none"/>
                    </w:rPr>
                    <w:t>溶解性：易溶于水、乙醇、甘油，不溶于丙酮。</w:t>
                  </w:r>
                </w:p>
              </w:tc>
            </w:tr>
            <w:tr w14:paraId="6DF32B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5" w:hRule="atLeast"/>
              </w:trPr>
              <w:tc>
                <w:tcPr>
                  <w:tcW w:w="256" w:type="pct"/>
                  <w:vMerge w:val="continue"/>
                  <w:tcBorders>
                    <w:top w:val="single" w:color="auto" w:sz="4" w:space="0"/>
                    <w:left w:val="single" w:color="auto" w:sz="4" w:space="0"/>
                    <w:bottom w:val="single" w:color="auto" w:sz="4" w:space="0"/>
                    <w:right w:val="single" w:color="auto" w:sz="4" w:space="0"/>
                  </w:tcBorders>
                  <w:noWrap w:val="0"/>
                  <w:vAlign w:val="center"/>
                </w:tcPr>
                <w:p w14:paraId="30CFF470">
                  <w:pPr>
                    <w:widowControl/>
                    <w:jc w:val="left"/>
                    <w:rPr>
                      <w:highlight w:val="none"/>
                    </w:rPr>
                  </w:pPr>
                </w:p>
              </w:tc>
              <w:tc>
                <w:tcPr>
                  <w:tcW w:w="1515" w:type="pct"/>
                  <w:tcBorders>
                    <w:top w:val="single" w:color="auto" w:sz="4" w:space="0"/>
                    <w:left w:val="single" w:color="auto" w:sz="4" w:space="0"/>
                    <w:bottom w:val="single" w:color="auto" w:sz="4" w:space="0"/>
                    <w:right w:val="single" w:color="auto" w:sz="4" w:space="0"/>
                  </w:tcBorders>
                  <w:noWrap w:val="0"/>
                  <w:vAlign w:val="top"/>
                </w:tcPr>
                <w:p w14:paraId="36501EF5">
                  <w:pPr>
                    <w:spacing w:line="340" w:lineRule="exact"/>
                    <w:rPr>
                      <w:highlight w:val="none"/>
                    </w:rPr>
                  </w:pPr>
                  <w:r>
                    <w:rPr>
                      <w:rFonts w:hint="eastAsia"/>
                      <w:highlight w:val="none"/>
                    </w:rPr>
                    <w:t>熔点（℃）：</w:t>
                  </w:r>
                  <w:r>
                    <w:rPr>
                      <w:highlight w:val="none"/>
                    </w:rPr>
                    <w:t>318.4</w:t>
                  </w:r>
                </w:p>
              </w:tc>
              <w:tc>
                <w:tcPr>
                  <w:tcW w:w="1264" w:type="pct"/>
                  <w:gridSpan w:val="2"/>
                  <w:tcBorders>
                    <w:top w:val="single" w:color="auto" w:sz="4" w:space="0"/>
                    <w:left w:val="single" w:color="auto" w:sz="4" w:space="0"/>
                    <w:bottom w:val="single" w:color="auto" w:sz="4" w:space="0"/>
                    <w:right w:val="single" w:color="auto" w:sz="4" w:space="0"/>
                  </w:tcBorders>
                  <w:noWrap w:val="0"/>
                  <w:vAlign w:val="top"/>
                </w:tcPr>
                <w:p w14:paraId="55D76351">
                  <w:pPr>
                    <w:spacing w:line="340" w:lineRule="exact"/>
                    <w:rPr>
                      <w:highlight w:val="none"/>
                    </w:rPr>
                  </w:pPr>
                  <w:r>
                    <w:rPr>
                      <w:rFonts w:hint="eastAsia"/>
                      <w:highlight w:val="none"/>
                    </w:rPr>
                    <w:t>沸点（℃）：</w:t>
                  </w:r>
                  <w:r>
                    <w:rPr>
                      <w:highlight w:val="none"/>
                    </w:rPr>
                    <w:t>1390</w:t>
                  </w:r>
                </w:p>
              </w:tc>
              <w:tc>
                <w:tcPr>
                  <w:tcW w:w="1962" w:type="pct"/>
                  <w:gridSpan w:val="2"/>
                  <w:tcBorders>
                    <w:top w:val="single" w:color="auto" w:sz="4" w:space="0"/>
                    <w:left w:val="single" w:color="auto" w:sz="4" w:space="0"/>
                    <w:bottom w:val="single" w:color="auto" w:sz="4" w:space="0"/>
                    <w:right w:val="single" w:color="auto" w:sz="4" w:space="0"/>
                  </w:tcBorders>
                  <w:noWrap w:val="0"/>
                  <w:vAlign w:val="top"/>
                </w:tcPr>
                <w:p w14:paraId="499CA355">
                  <w:pPr>
                    <w:spacing w:line="340" w:lineRule="exact"/>
                    <w:rPr>
                      <w:rFonts w:hint="eastAsia" w:eastAsia="宋体"/>
                      <w:highlight w:val="none"/>
                      <w:lang w:val="en-US" w:eastAsia="zh-CN"/>
                    </w:rPr>
                  </w:pPr>
                  <w:r>
                    <w:rPr>
                      <w:rFonts w:hint="eastAsia"/>
                      <w:highlight w:val="none"/>
                    </w:rPr>
                    <w:t>相对密度（水＝</w:t>
                  </w:r>
                  <w:r>
                    <w:rPr>
                      <w:highlight w:val="none"/>
                    </w:rPr>
                    <w:t>1</w:t>
                  </w:r>
                  <w:r>
                    <w:rPr>
                      <w:rFonts w:hint="eastAsia"/>
                      <w:highlight w:val="none"/>
                    </w:rPr>
                    <w:t>）：</w:t>
                  </w:r>
                  <w:r>
                    <w:rPr>
                      <w:highlight w:val="none"/>
                    </w:rPr>
                    <w:t>2.1</w:t>
                  </w:r>
                  <w:r>
                    <w:rPr>
                      <w:rFonts w:hint="eastAsia"/>
                      <w:highlight w:val="none"/>
                      <w:lang w:val="en-US" w:eastAsia="zh-CN"/>
                    </w:rPr>
                    <w:t>3</w:t>
                  </w:r>
                </w:p>
              </w:tc>
            </w:tr>
            <w:tr w14:paraId="5AF75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5" w:hRule="atLeast"/>
              </w:trPr>
              <w:tc>
                <w:tcPr>
                  <w:tcW w:w="256" w:type="pct"/>
                  <w:vMerge w:val="continue"/>
                  <w:tcBorders>
                    <w:top w:val="single" w:color="auto" w:sz="4" w:space="0"/>
                    <w:left w:val="single" w:color="auto" w:sz="4" w:space="0"/>
                    <w:bottom w:val="single" w:color="auto" w:sz="4" w:space="0"/>
                    <w:right w:val="single" w:color="auto" w:sz="4" w:space="0"/>
                  </w:tcBorders>
                  <w:noWrap w:val="0"/>
                  <w:vAlign w:val="center"/>
                </w:tcPr>
                <w:p w14:paraId="21C2BD02">
                  <w:pPr>
                    <w:widowControl/>
                    <w:jc w:val="left"/>
                    <w:rPr>
                      <w:highlight w:val="none"/>
                    </w:rPr>
                  </w:pPr>
                </w:p>
              </w:tc>
              <w:tc>
                <w:tcPr>
                  <w:tcW w:w="1515" w:type="pct"/>
                  <w:tcBorders>
                    <w:top w:val="single" w:color="auto" w:sz="4" w:space="0"/>
                    <w:left w:val="single" w:color="auto" w:sz="4" w:space="0"/>
                    <w:bottom w:val="single" w:color="auto" w:sz="4" w:space="0"/>
                    <w:right w:val="single" w:color="auto" w:sz="4" w:space="0"/>
                  </w:tcBorders>
                  <w:noWrap w:val="0"/>
                  <w:vAlign w:val="top"/>
                </w:tcPr>
                <w:p w14:paraId="43280EC4">
                  <w:pPr>
                    <w:spacing w:line="340" w:lineRule="exact"/>
                    <w:rPr>
                      <w:highlight w:val="none"/>
                    </w:rPr>
                  </w:pPr>
                  <w:r>
                    <w:rPr>
                      <w:rFonts w:hint="eastAsia"/>
                      <w:highlight w:val="none"/>
                    </w:rPr>
                    <w:t>临界温度（℃）：</w:t>
                  </w:r>
                </w:p>
              </w:tc>
              <w:tc>
                <w:tcPr>
                  <w:tcW w:w="1264" w:type="pct"/>
                  <w:gridSpan w:val="2"/>
                  <w:tcBorders>
                    <w:top w:val="single" w:color="auto" w:sz="4" w:space="0"/>
                    <w:left w:val="single" w:color="auto" w:sz="4" w:space="0"/>
                    <w:bottom w:val="single" w:color="auto" w:sz="4" w:space="0"/>
                    <w:right w:val="single" w:color="auto" w:sz="4" w:space="0"/>
                  </w:tcBorders>
                  <w:noWrap w:val="0"/>
                  <w:vAlign w:val="top"/>
                </w:tcPr>
                <w:p w14:paraId="42494F6A">
                  <w:pPr>
                    <w:spacing w:line="340" w:lineRule="exact"/>
                    <w:rPr>
                      <w:highlight w:val="none"/>
                    </w:rPr>
                  </w:pPr>
                  <w:r>
                    <w:rPr>
                      <w:rFonts w:hint="eastAsia"/>
                      <w:highlight w:val="none"/>
                    </w:rPr>
                    <w:t>临界压力（</w:t>
                  </w:r>
                  <w:r>
                    <w:rPr>
                      <w:highlight w:val="none"/>
                    </w:rPr>
                    <w:t>MPa</w:t>
                  </w:r>
                  <w:r>
                    <w:rPr>
                      <w:rFonts w:hint="eastAsia"/>
                      <w:highlight w:val="none"/>
                    </w:rPr>
                    <w:t>）：</w:t>
                  </w:r>
                </w:p>
              </w:tc>
              <w:tc>
                <w:tcPr>
                  <w:tcW w:w="1962" w:type="pct"/>
                  <w:gridSpan w:val="2"/>
                  <w:tcBorders>
                    <w:top w:val="single" w:color="auto" w:sz="4" w:space="0"/>
                    <w:left w:val="single" w:color="auto" w:sz="4" w:space="0"/>
                    <w:bottom w:val="single" w:color="auto" w:sz="4" w:space="0"/>
                    <w:right w:val="single" w:color="auto" w:sz="4" w:space="0"/>
                  </w:tcBorders>
                  <w:noWrap w:val="0"/>
                  <w:vAlign w:val="top"/>
                </w:tcPr>
                <w:p w14:paraId="2A1507C3">
                  <w:pPr>
                    <w:spacing w:line="340" w:lineRule="exact"/>
                    <w:rPr>
                      <w:highlight w:val="none"/>
                    </w:rPr>
                  </w:pPr>
                  <w:r>
                    <w:rPr>
                      <w:rFonts w:hint="eastAsia"/>
                      <w:highlight w:val="none"/>
                    </w:rPr>
                    <w:t>相对密度（空气＝</w:t>
                  </w:r>
                  <w:r>
                    <w:rPr>
                      <w:highlight w:val="none"/>
                    </w:rPr>
                    <w:t>1</w:t>
                  </w:r>
                  <w:r>
                    <w:rPr>
                      <w:rFonts w:hint="eastAsia"/>
                      <w:highlight w:val="none"/>
                    </w:rPr>
                    <w:t>）：</w:t>
                  </w:r>
                </w:p>
              </w:tc>
            </w:tr>
            <w:tr w14:paraId="6CFD54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25" w:hRule="atLeast"/>
              </w:trPr>
              <w:tc>
                <w:tcPr>
                  <w:tcW w:w="256" w:type="pct"/>
                  <w:vMerge w:val="continue"/>
                  <w:tcBorders>
                    <w:top w:val="single" w:color="auto" w:sz="4" w:space="0"/>
                    <w:left w:val="single" w:color="auto" w:sz="4" w:space="0"/>
                    <w:bottom w:val="single" w:color="auto" w:sz="4" w:space="0"/>
                    <w:right w:val="single" w:color="auto" w:sz="4" w:space="0"/>
                  </w:tcBorders>
                  <w:noWrap w:val="0"/>
                  <w:vAlign w:val="center"/>
                </w:tcPr>
                <w:p w14:paraId="65B453CB">
                  <w:pPr>
                    <w:widowControl/>
                    <w:jc w:val="left"/>
                    <w:rPr>
                      <w:highlight w:val="none"/>
                    </w:rPr>
                  </w:pPr>
                </w:p>
              </w:tc>
              <w:tc>
                <w:tcPr>
                  <w:tcW w:w="1515" w:type="pct"/>
                  <w:tcBorders>
                    <w:top w:val="single" w:color="auto" w:sz="4" w:space="0"/>
                    <w:left w:val="single" w:color="auto" w:sz="4" w:space="0"/>
                    <w:bottom w:val="single" w:color="auto" w:sz="4" w:space="0"/>
                    <w:right w:val="single" w:color="auto" w:sz="4" w:space="0"/>
                  </w:tcBorders>
                  <w:noWrap w:val="0"/>
                  <w:vAlign w:val="top"/>
                </w:tcPr>
                <w:p w14:paraId="0D308AE6">
                  <w:pPr>
                    <w:spacing w:line="340" w:lineRule="exact"/>
                    <w:rPr>
                      <w:highlight w:val="none"/>
                    </w:rPr>
                  </w:pPr>
                  <w:r>
                    <w:rPr>
                      <w:rFonts w:hint="eastAsia"/>
                      <w:highlight w:val="none"/>
                    </w:rPr>
                    <w:t>燃烧热（</w:t>
                  </w:r>
                  <w:r>
                    <w:rPr>
                      <w:highlight w:val="none"/>
                    </w:rPr>
                    <w:t>KJ/mol</w:t>
                  </w:r>
                  <w:r>
                    <w:rPr>
                      <w:rFonts w:hint="eastAsia"/>
                      <w:highlight w:val="none"/>
                    </w:rPr>
                    <w:t>）：无意义</w:t>
                  </w:r>
                </w:p>
              </w:tc>
              <w:tc>
                <w:tcPr>
                  <w:tcW w:w="1264" w:type="pct"/>
                  <w:gridSpan w:val="2"/>
                  <w:tcBorders>
                    <w:top w:val="single" w:color="auto" w:sz="4" w:space="0"/>
                    <w:left w:val="single" w:color="auto" w:sz="4" w:space="0"/>
                    <w:bottom w:val="single" w:color="auto" w:sz="4" w:space="0"/>
                    <w:right w:val="single" w:color="auto" w:sz="4" w:space="0"/>
                  </w:tcBorders>
                  <w:noWrap w:val="0"/>
                  <w:vAlign w:val="top"/>
                </w:tcPr>
                <w:p w14:paraId="2F08D70D">
                  <w:pPr>
                    <w:spacing w:line="340" w:lineRule="exact"/>
                    <w:rPr>
                      <w:highlight w:val="none"/>
                    </w:rPr>
                  </w:pPr>
                  <w:r>
                    <w:rPr>
                      <w:rFonts w:hint="eastAsia"/>
                      <w:highlight w:val="none"/>
                    </w:rPr>
                    <w:t>最小点火能（</w:t>
                  </w:r>
                  <w:r>
                    <w:rPr>
                      <w:highlight w:val="none"/>
                    </w:rPr>
                    <w:t>mJ</w:t>
                  </w:r>
                  <w:r>
                    <w:rPr>
                      <w:rFonts w:hint="eastAsia"/>
                      <w:highlight w:val="none"/>
                    </w:rPr>
                    <w:t>）：</w:t>
                  </w:r>
                </w:p>
              </w:tc>
              <w:tc>
                <w:tcPr>
                  <w:tcW w:w="1962" w:type="pct"/>
                  <w:gridSpan w:val="2"/>
                  <w:tcBorders>
                    <w:top w:val="single" w:color="auto" w:sz="4" w:space="0"/>
                    <w:left w:val="single" w:color="auto" w:sz="4" w:space="0"/>
                    <w:bottom w:val="single" w:color="auto" w:sz="4" w:space="0"/>
                    <w:right w:val="single" w:color="auto" w:sz="4" w:space="0"/>
                  </w:tcBorders>
                  <w:noWrap w:val="0"/>
                  <w:vAlign w:val="top"/>
                </w:tcPr>
                <w:p w14:paraId="73A44E7C">
                  <w:pPr>
                    <w:spacing w:line="340" w:lineRule="exact"/>
                    <w:rPr>
                      <w:highlight w:val="none"/>
                    </w:rPr>
                  </w:pPr>
                  <w:r>
                    <w:rPr>
                      <w:rFonts w:hint="eastAsia"/>
                      <w:highlight w:val="none"/>
                    </w:rPr>
                    <w:t>饱和蒸汽压（</w:t>
                  </w:r>
                  <w:r>
                    <w:rPr>
                      <w:highlight w:val="none"/>
                    </w:rPr>
                    <w:t>KPa</w:t>
                  </w:r>
                  <w:r>
                    <w:rPr>
                      <w:rFonts w:hint="eastAsia"/>
                      <w:highlight w:val="none"/>
                    </w:rPr>
                    <w:t>）：</w:t>
                  </w:r>
                  <w:r>
                    <w:rPr>
                      <w:highlight w:val="none"/>
                    </w:rPr>
                    <w:t>0.13</w:t>
                  </w:r>
                  <w:r>
                    <w:rPr>
                      <w:rFonts w:hint="eastAsia"/>
                      <w:highlight w:val="none"/>
                    </w:rPr>
                    <w:t>（</w:t>
                  </w:r>
                  <w:r>
                    <w:rPr>
                      <w:highlight w:val="none"/>
                    </w:rPr>
                    <w:t>739</w:t>
                  </w:r>
                  <w:r>
                    <w:rPr>
                      <w:rFonts w:hint="eastAsia"/>
                      <w:highlight w:val="none"/>
                    </w:rPr>
                    <w:t>℃）</w:t>
                  </w:r>
                </w:p>
              </w:tc>
            </w:tr>
            <w:tr w14:paraId="4B7E01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5" w:hRule="atLeast"/>
              </w:trPr>
              <w:tc>
                <w:tcPr>
                  <w:tcW w:w="256" w:type="pct"/>
                  <w:vMerge w:val="restart"/>
                  <w:tcBorders>
                    <w:top w:val="single" w:color="auto" w:sz="4" w:space="0"/>
                    <w:left w:val="single" w:color="auto" w:sz="4" w:space="0"/>
                    <w:bottom w:val="single" w:color="auto" w:sz="4" w:space="0"/>
                    <w:right w:val="single" w:color="auto" w:sz="4" w:space="0"/>
                  </w:tcBorders>
                  <w:noWrap w:val="0"/>
                  <w:vAlign w:val="center"/>
                </w:tcPr>
                <w:p w14:paraId="70F7AE1F">
                  <w:pPr>
                    <w:spacing w:line="280" w:lineRule="exact"/>
                    <w:jc w:val="center"/>
                    <w:rPr>
                      <w:highlight w:val="none"/>
                    </w:rPr>
                  </w:pPr>
                  <w:r>
                    <w:rPr>
                      <w:rFonts w:hint="eastAsia"/>
                      <w:highlight w:val="none"/>
                    </w:rPr>
                    <w:t>燃烧爆炸危险性</w:t>
                  </w:r>
                </w:p>
              </w:tc>
              <w:tc>
                <w:tcPr>
                  <w:tcW w:w="1739" w:type="pct"/>
                  <w:gridSpan w:val="2"/>
                  <w:tcBorders>
                    <w:top w:val="single" w:color="auto" w:sz="4" w:space="0"/>
                    <w:left w:val="single" w:color="auto" w:sz="4" w:space="0"/>
                    <w:bottom w:val="single" w:color="auto" w:sz="4" w:space="0"/>
                    <w:right w:val="single" w:color="auto" w:sz="4" w:space="0"/>
                  </w:tcBorders>
                  <w:noWrap w:val="0"/>
                  <w:vAlign w:val="top"/>
                </w:tcPr>
                <w:p w14:paraId="28051129">
                  <w:pPr>
                    <w:spacing w:line="340" w:lineRule="exact"/>
                    <w:rPr>
                      <w:highlight w:val="none"/>
                    </w:rPr>
                  </w:pPr>
                  <w:r>
                    <w:rPr>
                      <w:rFonts w:hint="eastAsia"/>
                      <w:highlight w:val="none"/>
                    </w:rPr>
                    <w:t>燃烧性：不燃</w:t>
                  </w:r>
                </w:p>
              </w:tc>
              <w:tc>
                <w:tcPr>
                  <w:tcW w:w="3004" w:type="pct"/>
                  <w:gridSpan w:val="3"/>
                  <w:tcBorders>
                    <w:top w:val="single" w:color="auto" w:sz="4" w:space="0"/>
                    <w:left w:val="single" w:color="auto" w:sz="4" w:space="0"/>
                    <w:bottom w:val="single" w:color="auto" w:sz="4" w:space="0"/>
                    <w:right w:val="single" w:color="auto" w:sz="4" w:space="0"/>
                  </w:tcBorders>
                  <w:noWrap w:val="0"/>
                  <w:vAlign w:val="top"/>
                </w:tcPr>
                <w:p w14:paraId="706E164B">
                  <w:pPr>
                    <w:spacing w:line="340" w:lineRule="exact"/>
                    <w:rPr>
                      <w:highlight w:val="none"/>
                    </w:rPr>
                  </w:pPr>
                  <w:r>
                    <w:rPr>
                      <w:rFonts w:hint="eastAsia"/>
                      <w:highlight w:val="none"/>
                    </w:rPr>
                    <w:t>燃烧分解产物：可能产生有害的毒性烟雾。</w:t>
                  </w:r>
                </w:p>
              </w:tc>
            </w:tr>
            <w:tr w14:paraId="0104C0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 w:hRule="atLeast"/>
              </w:trPr>
              <w:tc>
                <w:tcPr>
                  <w:tcW w:w="256" w:type="pct"/>
                  <w:vMerge w:val="continue"/>
                  <w:tcBorders>
                    <w:top w:val="single" w:color="auto" w:sz="4" w:space="0"/>
                    <w:left w:val="single" w:color="auto" w:sz="4" w:space="0"/>
                    <w:bottom w:val="single" w:color="auto" w:sz="4" w:space="0"/>
                    <w:right w:val="single" w:color="auto" w:sz="4" w:space="0"/>
                  </w:tcBorders>
                  <w:noWrap w:val="0"/>
                  <w:vAlign w:val="center"/>
                </w:tcPr>
                <w:p w14:paraId="7057DC26">
                  <w:pPr>
                    <w:widowControl/>
                    <w:jc w:val="left"/>
                    <w:rPr>
                      <w:highlight w:val="none"/>
                    </w:rPr>
                  </w:pPr>
                </w:p>
              </w:tc>
              <w:tc>
                <w:tcPr>
                  <w:tcW w:w="1739" w:type="pct"/>
                  <w:gridSpan w:val="2"/>
                  <w:tcBorders>
                    <w:top w:val="single" w:color="auto" w:sz="4" w:space="0"/>
                    <w:left w:val="single" w:color="auto" w:sz="4" w:space="0"/>
                    <w:bottom w:val="single" w:color="auto" w:sz="4" w:space="0"/>
                    <w:right w:val="single" w:color="auto" w:sz="4" w:space="0"/>
                  </w:tcBorders>
                  <w:noWrap w:val="0"/>
                  <w:vAlign w:val="top"/>
                </w:tcPr>
                <w:p w14:paraId="1B6188CF">
                  <w:pPr>
                    <w:spacing w:line="340" w:lineRule="exact"/>
                    <w:rPr>
                      <w:highlight w:val="none"/>
                    </w:rPr>
                  </w:pPr>
                  <w:r>
                    <w:rPr>
                      <w:rFonts w:hint="eastAsia"/>
                      <w:highlight w:val="none"/>
                    </w:rPr>
                    <w:t>闪点（℃）：无意义</w:t>
                  </w:r>
                </w:p>
              </w:tc>
              <w:tc>
                <w:tcPr>
                  <w:tcW w:w="3004" w:type="pct"/>
                  <w:gridSpan w:val="3"/>
                  <w:tcBorders>
                    <w:top w:val="single" w:color="auto" w:sz="4" w:space="0"/>
                    <w:left w:val="single" w:color="auto" w:sz="4" w:space="0"/>
                    <w:bottom w:val="single" w:color="auto" w:sz="4" w:space="0"/>
                    <w:right w:val="single" w:color="auto" w:sz="4" w:space="0"/>
                  </w:tcBorders>
                  <w:noWrap w:val="0"/>
                  <w:vAlign w:val="top"/>
                </w:tcPr>
                <w:p w14:paraId="78204523">
                  <w:pPr>
                    <w:spacing w:line="340" w:lineRule="exact"/>
                    <w:rPr>
                      <w:highlight w:val="none"/>
                    </w:rPr>
                  </w:pPr>
                  <w:r>
                    <w:rPr>
                      <w:rFonts w:hint="eastAsia"/>
                      <w:highlight w:val="none"/>
                    </w:rPr>
                    <w:t>聚合危害：不聚合</w:t>
                  </w:r>
                </w:p>
              </w:tc>
            </w:tr>
            <w:tr w14:paraId="074E64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 w:hRule="atLeast"/>
              </w:trPr>
              <w:tc>
                <w:tcPr>
                  <w:tcW w:w="256" w:type="pct"/>
                  <w:vMerge w:val="continue"/>
                  <w:tcBorders>
                    <w:top w:val="single" w:color="auto" w:sz="4" w:space="0"/>
                    <w:left w:val="single" w:color="auto" w:sz="4" w:space="0"/>
                    <w:bottom w:val="single" w:color="auto" w:sz="4" w:space="0"/>
                    <w:right w:val="single" w:color="auto" w:sz="4" w:space="0"/>
                  </w:tcBorders>
                  <w:noWrap w:val="0"/>
                  <w:vAlign w:val="center"/>
                </w:tcPr>
                <w:p w14:paraId="73E2A70B">
                  <w:pPr>
                    <w:widowControl/>
                    <w:jc w:val="left"/>
                    <w:rPr>
                      <w:highlight w:val="none"/>
                    </w:rPr>
                  </w:pPr>
                </w:p>
              </w:tc>
              <w:tc>
                <w:tcPr>
                  <w:tcW w:w="1739" w:type="pct"/>
                  <w:gridSpan w:val="2"/>
                  <w:tcBorders>
                    <w:top w:val="single" w:color="auto" w:sz="4" w:space="0"/>
                    <w:left w:val="single" w:color="auto" w:sz="4" w:space="0"/>
                    <w:bottom w:val="single" w:color="auto" w:sz="4" w:space="0"/>
                    <w:right w:val="single" w:color="auto" w:sz="4" w:space="0"/>
                  </w:tcBorders>
                  <w:noWrap w:val="0"/>
                  <w:vAlign w:val="top"/>
                </w:tcPr>
                <w:p w14:paraId="4267FE3F">
                  <w:pPr>
                    <w:spacing w:line="340" w:lineRule="exact"/>
                    <w:rPr>
                      <w:highlight w:val="none"/>
                    </w:rPr>
                  </w:pPr>
                  <w:r>
                    <w:rPr>
                      <w:rFonts w:hint="eastAsia"/>
                      <w:highlight w:val="none"/>
                    </w:rPr>
                    <w:t>爆炸下限（％）：无意义</w:t>
                  </w:r>
                </w:p>
              </w:tc>
              <w:tc>
                <w:tcPr>
                  <w:tcW w:w="3004" w:type="pct"/>
                  <w:gridSpan w:val="3"/>
                  <w:tcBorders>
                    <w:top w:val="single" w:color="auto" w:sz="4" w:space="0"/>
                    <w:left w:val="single" w:color="auto" w:sz="4" w:space="0"/>
                    <w:bottom w:val="single" w:color="auto" w:sz="4" w:space="0"/>
                    <w:right w:val="single" w:color="auto" w:sz="4" w:space="0"/>
                  </w:tcBorders>
                  <w:noWrap w:val="0"/>
                  <w:vAlign w:val="top"/>
                </w:tcPr>
                <w:p w14:paraId="377470A8">
                  <w:pPr>
                    <w:spacing w:line="340" w:lineRule="exact"/>
                    <w:rPr>
                      <w:highlight w:val="none"/>
                    </w:rPr>
                  </w:pPr>
                  <w:r>
                    <w:rPr>
                      <w:rFonts w:hint="eastAsia"/>
                      <w:highlight w:val="none"/>
                    </w:rPr>
                    <w:t>稳定性：稳定</w:t>
                  </w:r>
                </w:p>
              </w:tc>
            </w:tr>
            <w:tr w14:paraId="0F9CFE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5" w:hRule="atLeast"/>
              </w:trPr>
              <w:tc>
                <w:tcPr>
                  <w:tcW w:w="256" w:type="pct"/>
                  <w:vMerge w:val="continue"/>
                  <w:tcBorders>
                    <w:top w:val="single" w:color="auto" w:sz="4" w:space="0"/>
                    <w:left w:val="single" w:color="auto" w:sz="4" w:space="0"/>
                    <w:bottom w:val="single" w:color="auto" w:sz="4" w:space="0"/>
                    <w:right w:val="single" w:color="auto" w:sz="4" w:space="0"/>
                  </w:tcBorders>
                  <w:noWrap w:val="0"/>
                  <w:vAlign w:val="center"/>
                </w:tcPr>
                <w:p w14:paraId="69C5AF8E">
                  <w:pPr>
                    <w:widowControl/>
                    <w:jc w:val="left"/>
                    <w:rPr>
                      <w:highlight w:val="none"/>
                    </w:rPr>
                  </w:pPr>
                </w:p>
              </w:tc>
              <w:tc>
                <w:tcPr>
                  <w:tcW w:w="1739" w:type="pct"/>
                  <w:gridSpan w:val="2"/>
                  <w:tcBorders>
                    <w:top w:val="single" w:color="auto" w:sz="4" w:space="0"/>
                    <w:left w:val="single" w:color="auto" w:sz="4" w:space="0"/>
                    <w:bottom w:val="single" w:color="auto" w:sz="4" w:space="0"/>
                    <w:right w:val="single" w:color="auto" w:sz="4" w:space="0"/>
                  </w:tcBorders>
                  <w:noWrap w:val="0"/>
                  <w:vAlign w:val="top"/>
                </w:tcPr>
                <w:p w14:paraId="6F67C8E0">
                  <w:pPr>
                    <w:spacing w:line="340" w:lineRule="exact"/>
                    <w:rPr>
                      <w:highlight w:val="none"/>
                    </w:rPr>
                  </w:pPr>
                  <w:r>
                    <w:rPr>
                      <w:rFonts w:hint="eastAsia"/>
                      <w:highlight w:val="none"/>
                    </w:rPr>
                    <w:t>爆炸上限（％）：无意义</w:t>
                  </w:r>
                </w:p>
              </w:tc>
              <w:tc>
                <w:tcPr>
                  <w:tcW w:w="3004" w:type="pct"/>
                  <w:gridSpan w:val="3"/>
                  <w:tcBorders>
                    <w:top w:val="single" w:color="auto" w:sz="4" w:space="0"/>
                    <w:left w:val="single" w:color="auto" w:sz="4" w:space="0"/>
                    <w:bottom w:val="single" w:color="auto" w:sz="4" w:space="0"/>
                    <w:right w:val="single" w:color="auto" w:sz="4" w:space="0"/>
                  </w:tcBorders>
                  <w:noWrap w:val="0"/>
                  <w:vAlign w:val="top"/>
                </w:tcPr>
                <w:p w14:paraId="02805C69">
                  <w:pPr>
                    <w:spacing w:line="340" w:lineRule="exact"/>
                    <w:rPr>
                      <w:highlight w:val="none"/>
                    </w:rPr>
                  </w:pPr>
                  <w:r>
                    <w:rPr>
                      <w:rFonts w:hint="eastAsia"/>
                      <w:highlight w:val="none"/>
                    </w:rPr>
                    <w:t>最大爆炸压力（</w:t>
                  </w:r>
                  <w:r>
                    <w:rPr>
                      <w:highlight w:val="none"/>
                    </w:rPr>
                    <w:t>MPa</w:t>
                  </w:r>
                  <w:r>
                    <w:rPr>
                      <w:rFonts w:hint="eastAsia"/>
                      <w:highlight w:val="none"/>
                    </w:rPr>
                    <w:t>）：无意义</w:t>
                  </w:r>
                </w:p>
              </w:tc>
            </w:tr>
            <w:tr w14:paraId="35D066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0" w:hRule="atLeast"/>
              </w:trPr>
              <w:tc>
                <w:tcPr>
                  <w:tcW w:w="256" w:type="pct"/>
                  <w:vMerge w:val="continue"/>
                  <w:tcBorders>
                    <w:top w:val="single" w:color="auto" w:sz="4" w:space="0"/>
                    <w:left w:val="single" w:color="auto" w:sz="4" w:space="0"/>
                    <w:bottom w:val="single" w:color="auto" w:sz="4" w:space="0"/>
                    <w:right w:val="single" w:color="auto" w:sz="4" w:space="0"/>
                  </w:tcBorders>
                  <w:noWrap w:val="0"/>
                  <w:vAlign w:val="center"/>
                </w:tcPr>
                <w:p w14:paraId="3C18395C">
                  <w:pPr>
                    <w:widowControl/>
                    <w:jc w:val="left"/>
                    <w:rPr>
                      <w:highlight w:val="none"/>
                    </w:rPr>
                  </w:pPr>
                </w:p>
              </w:tc>
              <w:tc>
                <w:tcPr>
                  <w:tcW w:w="1739" w:type="pct"/>
                  <w:gridSpan w:val="2"/>
                  <w:tcBorders>
                    <w:top w:val="single" w:color="auto" w:sz="4" w:space="0"/>
                    <w:left w:val="single" w:color="auto" w:sz="4" w:space="0"/>
                    <w:bottom w:val="single" w:color="auto" w:sz="4" w:space="0"/>
                    <w:right w:val="single" w:color="auto" w:sz="4" w:space="0"/>
                  </w:tcBorders>
                  <w:noWrap w:val="0"/>
                  <w:vAlign w:val="top"/>
                </w:tcPr>
                <w:p w14:paraId="46617EFF">
                  <w:pPr>
                    <w:spacing w:line="340" w:lineRule="exact"/>
                    <w:rPr>
                      <w:highlight w:val="none"/>
                    </w:rPr>
                  </w:pPr>
                  <w:r>
                    <w:rPr>
                      <w:rFonts w:hint="eastAsia"/>
                      <w:highlight w:val="none"/>
                    </w:rPr>
                    <w:t>引燃温度（℃）：无意义</w:t>
                  </w:r>
                </w:p>
              </w:tc>
              <w:tc>
                <w:tcPr>
                  <w:tcW w:w="3004" w:type="pct"/>
                  <w:gridSpan w:val="3"/>
                  <w:tcBorders>
                    <w:top w:val="single" w:color="auto" w:sz="4" w:space="0"/>
                    <w:left w:val="single" w:color="auto" w:sz="4" w:space="0"/>
                    <w:bottom w:val="single" w:color="auto" w:sz="4" w:space="0"/>
                    <w:right w:val="single" w:color="auto" w:sz="4" w:space="0"/>
                  </w:tcBorders>
                  <w:noWrap w:val="0"/>
                  <w:vAlign w:val="top"/>
                </w:tcPr>
                <w:p w14:paraId="727DAAB2">
                  <w:pPr>
                    <w:spacing w:line="340" w:lineRule="exact"/>
                    <w:rPr>
                      <w:highlight w:val="none"/>
                    </w:rPr>
                  </w:pPr>
                  <w:r>
                    <w:rPr>
                      <w:rFonts w:hint="eastAsia"/>
                      <w:highlight w:val="none"/>
                    </w:rPr>
                    <w:t>禁忌物：强酸、易燃或可燃物、二氧化碳、过氧化物、水。</w:t>
                  </w:r>
                </w:p>
              </w:tc>
            </w:tr>
            <w:tr w14:paraId="13DDC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9" w:hRule="atLeast"/>
              </w:trPr>
              <w:tc>
                <w:tcPr>
                  <w:tcW w:w="256" w:type="pct"/>
                  <w:vMerge w:val="continue"/>
                  <w:tcBorders>
                    <w:top w:val="single" w:color="auto" w:sz="4" w:space="0"/>
                    <w:left w:val="single" w:color="auto" w:sz="4" w:space="0"/>
                    <w:bottom w:val="single" w:color="auto" w:sz="4" w:space="0"/>
                    <w:right w:val="single" w:color="auto" w:sz="4" w:space="0"/>
                  </w:tcBorders>
                  <w:noWrap w:val="0"/>
                  <w:vAlign w:val="center"/>
                </w:tcPr>
                <w:p w14:paraId="75A311EE">
                  <w:pPr>
                    <w:widowControl/>
                    <w:jc w:val="left"/>
                    <w:rPr>
                      <w:highlight w:val="none"/>
                    </w:rPr>
                  </w:pPr>
                </w:p>
              </w:tc>
              <w:tc>
                <w:tcPr>
                  <w:tcW w:w="4743" w:type="pct"/>
                  <w:gridSpan w:val="5"/>
                  <w:tcBorders>
                    <w:top w:val="single" w:color="auto" w:sz="4" w:space="0"/>
                    <w:left w:val="single" w:color="auto" w:sz="4" w:space="0"/>
                    <w:bottom w:val="single" w:color="auto" w:sz="4" w:space="0"/>
                    <w:right w:val="single" w:color="auto" w:sz="4" w:space="0"/>
                  </w:tcBorders>
                  <w:noWrap w:val="0"/>
                  <w:vAlign w:val="top"/>
                </w:tcPr>
                <w:p w14:paraId="5EE00947">
                  <w:pPr>
                    <w:spacing w:line="340" w:lineRule="exact"/>
                    <w:rPr>
                      <w:highlight w:val="none"/>
                    </w:rPr>
                  </w:pPr>
                  <w:r>
                    <w:rPr>
                      <w:rFonts w:hint="eastAsia"/>
                      <w:highlight w:val="none"/>
                    </w:rPr>
                    <w:t>危险特性：与酸发生中和反应并放热。遇潮时对铝、锌和锡有腐蚀性，并放出易燃易爆的氢气。本品不会燃烧，遇水和水蒸气大量放热，形成腐蚀性溶液，具有强腐蚀性。</w:t>
                  </w:r>
                </w:p>
              </w:tc>
            </w:tr>
            <w:tr w14:paraId="1140A5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3" w:hRule="atLeast"/>
              </w:trPr>
              <w:tc>
                <w:tcPr>
                  <w:tcW w:w="256" w:type="pct"/>
                  <w:vMerge w:val="continue"/>
                  <w:tcBorders>
                    <w:top w:val="single" w:color="auto" w:sz="4" w:space="0"/>
                    <w:left w:val="single" w:color="auto" w:sz="4" w:space="0"/>
                    <w:bottom w:val="single" w:color="auto" w:sz="4" w:space="0"/>
                    <w:right w:val="single" w:color="auto" w:sz="4" w:space="0"/>
                  </w:tcBorders>
                  <w:noWrap w:val="0"/>
                  <w:vAlign w:val="center"/>
                </w:tcPr>
                <w:p w14:paraId="5B761E0A">
                  <w:pPr>
                    <w:widowControl/>
                    <w:jc w:val="left"/>
                    <w:rPr>
                      <w:highlight w:val="none"/>
                    </w:rPr>
                  </w:pPr>
                </w:p>
              </w:tc>
              <w:tc>
                <w:tcPr>
                  <w:tcW w:w="4743" w:type="pct"/>
                  <w:gridSpan w:val="5"/>
                  <w:tcBorders>
                    <w:top w:val="single" w:color="auto" w:sz="4" w:space="0"/>
                    <w:left w:val="single" w:color="auto" w:sz="4" w:space="0"/>
                    <w:bottom w:val="single" w:color="auto" w:sz="4" w:space="0"/>
                    <w:right w:val="single" w:color="auto" w:sz="4" w:space="0"/>
                  </w:tcBorders>
                  <w:noWrap w:val="0"/>
                  <w:vAlign w:val="top"/>
                </w:tcPr>
                <w:p w14:paraId="4ED2CF02">
                  <w:pPr>
                    <w:spacing w:line="340" w:lineRule="exact"/>
                    <w:rPr>
                      <w:highlight w:val="none"/>
                    </w:rPr>
                  </w:pPr>
                  <w:r>
                    <w:rPr>
                      <w:rFonts w:hint="eastAsia"/>
                      <w:highlight w:val="none"/>
                    </w:rPr>
                    <w:t>灭火方法：用水、砂土扑救，但须防止物品遇水产生飞溅，造成灼伤。</w:t>
                  </w:r>
                </w:p>
              </w:tc>
            </w:tr>
            <w:tr w14:paraId="19AE59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trPr>
              <w:tc>
                <w:tcPr>
                  <w:tcW w:w="256" w:type="pct"/>
                  <w:tcBorders>
                    <w:top w:val="single" w:color="auto" w:sz="4" w:space="0"/>
                    <w:left w:val="single" w:color="auto" w:sz="4" w:space="0"/>
                    <w:bottom w:val="single" w:color="auto" w:sz="4" w:space="0"/>
                    <w:right w:val="single" w:color="auto" w:sz="4" w:space="0"/>
                  </w:tcBorders>
                  <w:noWrap w:val="0"/>
                  <w:vAlign w:val="center"/>
                </w:tcPr>
                <w:p w14:paraId="69972C23">
                  <w:pPr>
                    <w:jc w:val="center"/>
                    <w:rPr>
                      <w:highlight w:val="none"/>
                    </w:rPr>
                  </w:pPr>
                  <w:r>
                    <w:rPr>
                      <w:rFonts w:hint="eastAsia"/>
                      <w:highlight w:val="none"/>
                    </w:rPr>
                    <w:t>毒性</w:t>
                  </w:r>
                </w:p>
              </w:tc>
              <w:tc>
                <w:tcPr>
                  <w:tcW w:w="4743" w:type="pct"/>
                  <w:gridSpan w:val="5"/>
                  <w:tcBorders>
                    <w:top w:val="single" w:color="auto" w:sz="4" w:space="0"/>
                    <w:left w:val="single" w:color="auto" w:sz="4" w:space="0"/>
                    <w:bottom w:val="single" w:color="auto" w:sz="4" w:space="0"/>
                    <w:right w:val="single" w:color="auto" w:sz="4" w:space="0"/>
                  </w:tcBorders>
                  <w:noWrap w:val="0"/>
                  <w:vAlign w:val="top"/>
                </w:tcPr>
                <w:p w14:paraId="4D64B413">
                  <w:pPr>
                    <w:spacing w:line="340" w:lineRule="exact"/>
                    <w:rPr>
                      <w:highlight w:val="none"/>
                    </w:rPr>
                  </w:pPr>
                  <w:r>
                    <w:rPr>
                      <w:rFonts w:hint="eastAsia"/>
                      <w:highlight w:val="none"/>
                    </w:rPr>
                    <w:t>接触限值：</w:t>
                  </w:r>
                  <w:r>
                    <w:rPr>
                      <w:highlight w:val="none"/>
                    </w:rPr>
                    <w:t xml:space="preserve"> </w:t>
                  </w:r>
                  <w:r>
                    <w:rPr>
                      <w:rFonts w:hint="eastAsia"/>
                      <w:highlight w:val="none"/>
                    </w:rPr>
                    <w:t>中国</w:t>
                  </w:r>
                  <w:r>
                    <w:rPr>
                      <w:highlight w:val="none"/>
                    </w:rPr>
                    <w:t>MAC</w:t>
                  </w:r>
                  <w:r>
                    <w:rPr>
                      <w:rFonts w:hint="eastAsia"/>
                      <w:highlight w:val="none"/>
                    </w:rPr>
                    <w:t>（</w:t>
                  </w:r>
                  <w:r>
                    <w:rPr>
                      <w:highlight w:val="none"/>
                    </w:rPr>
                    <w:t>mg/m</w:t>
                  </w:r>
                  <w:r>
                    <w:rPr>
                      <w:highlight w:val="none"/>
                      <w:vertAlign w:val="superscript"/>
                    </w:rPr>
                    <w:t>3</w:t>
                  </w:r>
                  <w:r>
                    <w:rPr>
                      <w:rFonts w:hint="eastAsia"/>
                      <w:highlight w:val="none"/>
                    </w:rPr>
                    <w:t>）</w:t>
                  </w:r>
                  <w:r>
                    <w:rPr>
                      <w:highlight w:val="none"/>
                    </w:rPr>
                    <w:t xml:space="preserve"> 0.5    </w:t>
                  </w:r>
                  <w:r>
                    <w:rPr>
                      <w:rFonts w:hint="eastAsia"/>
                      <w:highlight w:val="none"/>
                    </w:rPr>
                    <w:t>前苏联</w:t>
                  </w:r>
                  <w:r>
                    <w:rPr>
                      <w:highlight w:val="none"/>
                    </w:rPr>
                    <w:t xml:space="preserve"> MAC</w:t>
                  </w:r>
                  <w:r>
                    <w:rPr>
                      <w:rFonts w:hint="eastAsia"/>
                      <w:highlight w:val="none"/>
                    </w:rPr>
                    <w:t>（</w:t>
                  </w:r>
                  <w:r>
                    <w:rPr>
                      <w:highlight w:val="none"/>
                    </w:rPr>
                    <w:t>mg/m</w:t>
                  </w:r>
                  <w:r>
                    <w:rPr>
                      <w:highlight w:val="none"/>
                      <w:vertAlign w:val="superscript"/>
                    </w:rPr>
                    <w:t>3</w:t>
                  </w:r>
                  <w:r>
                    <w:rPr>
                      <w:rFonts w:hint="eastAsia"/>
                      <w:highlight w:val="none"/>
                    </w:rPr>
                    <w:t>）</w:t>
                  </w:r>
                  <w:r>
                    <w:rPr>
                      <w:highlight w:val="none"/>
                    </w:rPr>
                    <w:t xml:space="preserve">  0.5</w:t>
                  </w:r>
                </w:p>
                <w:p w14:paraId="5016E717">
                  <w:pPr>
                    <w:spacing w:line="340" w:lineRule="exact"/>
                    <w:rPr>
                      <w:highlight w:val="none"/>
                    </w:rPr>
                  </w:pPr>
                  <w:r>
                    <w:rPr>
                      <w:rFonts w:hint="eastAsia"/>
                      <w:highlight w:val="none"/>
                    </w:rPr>
                    <w:t>美国</w:t>
                  </w:r>
                  <w:r>
                    <w:rPr>
                      <w:highlight w:val="none"/>
                    </w:rPr>
                    <w:t>TVL</w:t>
                  </w:r>
                  <w:r>
                    <w:rPr>
                      <w:rFonts w:hint="eastAsia"/>
                      <w:highlight w:val="none"/>
                    </w:rPr>
                    <w:t>－</w:t>
                  </w:r>
                  <w:r>
                    <w:rPr>
                      <w:highlight w:val="none"/>
                    </w:rPr>
                    <w:t>TWA  OSHA  2mg/m</w:t>
                  </w:r>
                  <w:r>
                    <w:rPr>
                      <w:highlight w:val="none"/>
                      <w:vertAlign w:val="superscript"/>
                    </w:rPr>
                    <w:t>3</w:t>
                  </w:r>
                  <w:r>
                    <w:rPr>
                      <w:highlight w:val="none"/>
                    </w:rPr>
                    <w:t xml:space="preserve">     </w:t>
                  </w:r>
                  <w:r>
                    <w:rPr>
                      <w:rFonts w:hint="eastAsia"/>
                      <w:highlight w:val="none"/>
                    </w:rPr>
                    <w:t>美国</w:t>
                  </w:r>
                  <w:r>
                    <w:rPr>
                      <w:highlight w:val="none"/>
                    </w:rPr>
                    <w:t>TLV</w:t>
                  </w:r>
                  <w:r>
                    <w:rPr>
                      <w:rFonts w:hint="eastAsia"/>
                      <w:highlight w:val="none"/>
                    </w:rPr>
                    <w:t>－</w:t>
                  </w:r>
                  <w:r>
                    <w:rPr>
                      <w:highlight w:val="none"/>
                    </w:rPr>
                    <w:t>STEL  ACGIH  2mg/m</w:t>
                  </w:r>
                  <w:r>
                    <w:rPr>
                      <w:highlight w:val="none"/>
                      <w:vertAlign w:val="superscript"/>
                    </w:rPr>
                    <w:t>2</w:t>
                  </w:r>
                  <w:r>
                    <w:rPr>
                      <w:highlight w:val="none"/>
                    </w:rPr>
                    <w:t xml:space="preserve"> </w:t>
                  </w:r>
                </w:p>
              </w:tc>
            </w:tr>
            <w:tr w14:paraId="3ADD3B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0" w:hRule="atLeast"/>
              </w:trPr>
              <w:tc>
                <w:tcPr>
                  <w:tcW w:w="256" w:type="pct"/>
                  <w:tcBorders>
                    <w:top w:val="single" w:color="auto" w:sz="4" w:space="0"/>
                    <w:left w:val="single" w:color="auto" w:sz="4" w:space="0"/>
                    <w:bottom w:val="single" w:color="auto" w:sz="4" w:space="0"/>
                    <w:right w:val="single" w:color="auto" w:sz="4" w:space="0"/>
                  </w:tcBorders>
                  <w:noWrap w:val="0"/>
                  <w:vAlign w:val="center"/>
                </w:tcPr>
                <w:p w14:paraId="0631C634">
                  <w:pPr>
                    <w:spacing w:line="240" w:lineRule="exact"/>
                    <w:jc w:val="center"/>
                    <w:rPr>
                      <w:highlight w:val="none"/>
                    </w:rPr>
                  </w:pPr>
                  <w:r>
                    <w:rPr>
                      <w:rFonts w:hint="eastAsia"/>
                      <w:highlight w:val="none"/>
                    </w:rPr>
                    <w:t>对人体危害</w:t>
                  </w:r>
                </w:p>
              </w:tc>
              <w:tc>
                <w:tcPr>
                  <w:tcW w:w="4743" w:type="pct"/>
                  <w:gridSpan w:val="5"/>
                  <w:tcBorders>
                    <w:top w:val="single" w:color="auto" w:sz="4" w:space="0"/>
                    <w:left w:val="single" w:color="auto" w:sz="4" w:space="0"/>
                    <w:bottom w:val="single" w:color="auto" w:sz="4" w:space="0"/>
                    <w:right w:val="single" w:color="auto" w:sz="4" w:space="0"/>
                  </w:tcBorders>
                  <w:noWrap w:val="0"/>
                  <w:vAlign w:val="top"/>
                </w:tcPr>
                <w:p w14:paraId="06A62CFD">
                  <w:pPr>
                    <w:spacing w:line="340" w:lineRule="exact"/>
                    <w:rPr>
                      <w:highlight w:val="none"/>
                    </w:rPr>
                  </w:pPr>
                  <w:r>
                    <w:rPr>
                      <w:rFonts w:hint="eastAsia"/>
                      <w:highlight w:val="none"/>
                    </w:rPr>
                    <w:t>侵入途径：</w:t>
                  </w:r>
                  <w:r>
                    <w:rPr>
                      <w:highlight w:val="none"/>
                    </w:rPr>
                    <w:t xml:space="preserve"> </w:t>
                  </w:r>
                  <w:r>
                    <w:rPr>
                      <w:rFonts w:hint="eastAsia"/>
                      <w:highlight w:val="none"/>
                    </w:rPr>
                    <w:t>吸入、食入。</w:t>
                  </w:r>
                </w:p>
                <w:p w14:paraId="15E01AB2">
                  <w:pPr>
                    <w:spacing w:line="340" w:lineRule="exact"/>
                    <w:rPr>
                      <w:highlight w:val="none"/>
                    </w:rPr>
                  </w:pPr>
                  <w:r>
                    <w:rPr>
                      <w:rFonts w:hint="eastAsia"/>
                      <w:highlight w:val="none"/>
                    </w:rPr>
                    <w:t>健康危害：本品具有强烈刺激和腐蚀性。粉尘刺激眼和呼吸道，腐蚀鼻中隔；皮肤和眼直接接触可引起灼伤；误服可造成消化道灼伤，粘膜糜烂、出血和休克。</w:t>
                  </w:r>
                </w:p>
              </w:tc>
            </w:tr>
            <w:tr w14:paraId="11592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6" w:type="pct"/>
                  <w:tcBorders>
                    <w:top w:val="single" w:color="auto" w:sz="4" w:space="0"/>
                    <w:left w:val="single" w:color="auto" w:sz="4" w:space="0"/>
                    <w:bottom w:val="single" w:color="auto" w:sz="4" w:space="0"/>
                    <w:right w:val="single" w:color="auto" w:sz="4" w:space="0"/>
                  </w:tcBorders>
                  <w:noWrap w:val="0"/>
                  <w:vAlign w:val="center"/>
                </w:tcPr>
                <w:p w14:paraId="763CC4F5">
                  <w:pPr>
                    <w:spacing w:line="320" w:lineRule="exact"/>
                    <w:jc w:val="center"/>
                    <w:rPr>
                      <w:highlight w:val="none"/>
                    </w:rPr>
                  </w:pPr>
                  <w:r>
                    <w:rPr>
                      <w:rFonts w:hint="eastAsia"/>
                      <w:highlight w:val="none"/>
                    </w:rPr>
                    <w:t>急救</w:t>
                  </w:r>
                </w:p>
              </w:tc>
              <w:tc>
                <w:tcPr>
                  <w:tcW w:w="4743" w:type="pct"/>
                  <w:gridSpan w:val="5"/>
                  <w:tcBorders>
                    <w:top w:val="single" w:color="auto" w:sz="4" w:space="0"/>
                    <w:left w:val="single" w:color="auto" w:sz="4" w:space="0"/>
                    <w:bottom w:val="single" w:color="auto" w:sz="4" w:space="0"/>
                    <w:right w:val="single" w:color="auto" w:sz="4" w:space="0"/>
                  </w:tcBorders>
                  <w:noWrap w:val="0"/>
                  <w:vAlign w:val="top"/>
                </w:tcPr>
                <w:p w14:paraId="2934A594">
                  <w:pPr>
                    <w:spacing w:line="340" w:lineRule="exact"/>
                    <w:rPr>
                      <w:highlight w:val="none"/>
                    </w:rPr>
                  </w:pPr>
                  <w:r>
                    <w:rPr>
                      <w:rFonts w:hint="eastAsia"/>
                      <w:highlight w:val="none"/>
                    </w:rPr>
                    <w:t>皮肤接触：立即脱出被污染的衣着。用大量流动清水冲洗，至少</w:t>
                  </w:r>
                  <w:r>
                    <w:rPr>
                      <w:highlight w:val="none"/>
                    </w:rPr>
                    <w:t>15</w:t>
                  </w:r>
                  <w:r>
                    <w:rPr>
                      <w:rFonts w:hint="eastAsia"/>
                      <w:highlight w:val="none"/>
                    </w:rPr>
                    <w:t>分钟。就医。</w:t>
                  </w:r>
                </w:p>
                <w:p w14:paraId="0655F822">
                  <w:pPr>
                    <w:spacing w:line="340" w:lineRule="exact"/>
                    <w:rPr>
                      <w:highlight w:val="none"/>
                    </w:rPr>
                  </w:pPr>
                  <w:r>
                    <w:rPr>
                      <w:rFonts w:hint="eastAsia"/>
                      <w:highlight w:val="none"/>
                    </w:rPr>
                    <w:t>眼睛接触：立即提起眼睑，用大量流动清水或生理盐水彻底冲洗至少</w:t>
                  </w:r>
                  <w:r>
                    <w:rPr>
                      <w:highlight w:val="none"/>
                    </w:rPr>
                    <w:t>15</w:t>
                  </w:r>
                  <w:r>
                    <w:rPr>
                      <w:rFonts w:hint="eastAsia"/>
                      <w:highlight w:val="none"/>
                    </w:rPr>
                    <w:t>分钟。就医。</w:t>
                  </w:r>
                </w:p>
                <w:p w14:paraId="15F58DA1">
                  <w:pPr>
                    <w:spacing w:line="340" w:lineRule="exact"/>
                    <w:rPr>
                      <w:highlight w:val="none"/>
                    </w:rPr>
                  </w:pPr>
                  <w:r>
                    <w:rPr>
                      <w:rFonts w:hint="eastAsia"/>
                      <w:highlight w:val="none"/>
                    </w:rPr>
                    <w:t>吸入：迅速脱离现场至空气新鲜处，保持呼吸道通畅。如呼吸困难，给输氧。如呼吸停止，立即进行人工呼吸。就医。</w:t>
                  </w:r>
                </w:p>
                <w:p w14:paraId="442A17E8">
                  <w:pPr>
                    <w:spacing w:line="340" w:lineRule="exact"/>
                    <w:rPr>
                      <w:highlight w:val="none"/>
                    </w:rPr>
                  </w:pPr>
                  <w:r>
                    <w:rPr>
                      <w:rFonts w:hint="eastAsia"/>
                      <w:highlight w:val="none"/>
                    </w:rPr>
                    <w:t>食入：误服者用水漱口，给饮牛奶或蛋清。就医。</w:t>
                  </w:r>
                </w:p>
              </w:tc>
            </w:tr>
            <w:tr w14:paraId="387C28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1" w:hRule="atLeast"/>
              </w:trPr>
              <w:tc>
                <w:tcPr>
                  <w:tcW w:w="256" w:type="pct"/>
                  <w:tcBorders>
                    <w:top w:val="single" w:color="auto" w:sz="4" w:space="0"/>
                    <w:left w:val="single" w:color="auto" w:sz="4" w:space="0"/>
                    <w:bottom w:val="single" w:color="auto" w:sz="4" w:space="0"/>
                    <w:right w:val="single" w:color="auto" w:sz="4" w:space="0"/>
                  </w:tcBorders>
                  <w:noWrap w:val="0"/>
                  <w:vAlign w:val="center"/>
                </w:tcPr>
                <w:p w14:paraId="3B42BE0B">
                  <w:pPr>
                    <w:spacing w:line="500" w:lineRule="exact"/>
                    <w:jc w:val="center"/>
                    <w:rPr>
                      <w:highlight w:val="none"/>
                    </w:rPr>
                  </w:pPr>
                  <w:r>
                    <w:rPr>
                      <w:rFonts w:hint="eastAsia"/>
                      <w:highlight w:val="none"/>
                    </w:rPr>
                    <w:t>防护</w:t>
                  </w:r>
                </w:p>
              </w:tc>
              <w:tc>
                <w:tcPr>
                  <w:tcW w:w="4743" w:type="pct"/>
                  <w:gridSpan w:val="5"/>
                  <w:tcBorders>
                    <w:top w:val="single" w:color="auto" w:sz="4" w:space="0"/>
                    <w:left w:val="single" w:color="auto" w:sz="4" w:space="0"/>
                    <w:bottom w:val="single" w:color="auto" w:sz="4" w:space="0"/>
                    <w:right w:val="single" w:color="auto" w:sz="4" w:space="0"/>
                  </w:tcBorders>
                  <w:noWrap w:val="0"/>
                  <w:vAlign w:val="top"/>
                </w:tcPr>
                <w:p w14:paraId="33B10293">
                  <w:pPr>
                    <w:spacing w:line="340" w:lineRule="exact"/>
                    <w:rPr>
                      <w:highlight w:val="none"/>
                    </w:rPr>
                  </w:pPr>
                  <w:r>
                    <w:rPr>
                      <w:rFonts w:hint="eastAsia"/>
                      <w:highlight w:val="none"/>
                    </w:rPr>
                    <w:t>工程防护：密闭操作。提供安全淋浴和洗眼设备。</w:t>
                  </w:r>
                </w:p>
                <w:p w14:paraId="61E98E74">
                  <w:pPr>
                    <w:spacing w:line="340" w:lineRule="exact"/>
                    <w:rPr>
                      <w:highlight w:val="none"/>
                    </w:rPr>
                  </w:pPr>
                  <w:r>
                    <w:rPr>
                      <w:rFonts w:hint="eastAsia"/>
                      <w:highlight w:val="none"/>
                    </w:rPr>
                    <w:t>个人防护：可能接触其粉尘时，必须佩戴头罩型电动送风过滤式防尘呼吸器。必要时，佩戴空气呼吸器；穿橡胶耐酸碱服；戴橡胶耐酸碱手套。工作现场严禁吸烟、进食和饮水。工作毕，淋浴更衣。注意个人清洁卫生。</w:t>
                  </w:r>
                </w:p>
              </w:tc>
            </w:tr>
            <w:tr w14:paraId="7AEF2D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8" w:hRule="atLeast"/>
              </w:trPr>
              <w:tc>
                <w:tcPr>
                  <w:tcW w:w="256" w:type="pct"/>
                  <w:tcBorders>
                    <w:top w:val="single" w:color="auto" w:sz="4" w:space="0"/>
                    <w:left w:val="single" w:color="auto" w:sz="4" w:space="0"/>
                    <w:bottom w:val="single" w:color="auto" w:sz="4" w:space="0"/>
                    <w:right w:val="single" w:color="auto" w:sz="4" w:space="0"/>
                  </w:tcBorders>
                  <w:noWrap w:val="0"/>
                  <w:vAlign w:val="center"/>
                </w:tcPr>
                <w:p w14:paraId="36AA63EC">
                  <w:pPr>
                    <w:spacing w:line="260" w:lineRule="exact"/>
                    <w:jc w:val="center"/>
                    <w:rPr>
                      <w:highlight w:val="none"/>
                    </w:rPr>
                  </w:pPr>
                  <w:r>
                    <w:rPr>
                      <w:rFonts w:hint="eastAsia"/>
                      <w:highlight w:val="none"/>
                    </w:rPr>
                    <w:t>泄漏处理</w:t>
                  </w:r>
                </w:p>
              </w:tc>
              <w:tc>
                <w:tcPr>
                  <w:tcW w:w="4743" w:type="pct"/>
                  <w:gridSpan w:val="5"/>
                  <w:tcBorders>
                    <w:top w:val="single" w:color="auto" w:sz="4" w:space="0"/>
                    <w:left w:val="single" w:color="auto" w:sz="4" w:space="0"/>
                    <w:bottom w:val="single" w:color="auto" w:sz="4" w:space="0"/>
                    <w:right w:val="single" w:color="auto" w:sz="4" w:space="0"/>
                  </w:tcBorders>
                  <w:noWrap w:val="0"/>
                  <w:vAlign w:val="top"/>
                </w:tcPr>
                <w:p w14:paraId="31304AF6">
                  <w:pPr>
                    <w:spacing w:line="340" w:lineRule="exact"/>
                    <w:rPr>
                      <w:highlight w:val="none"/>
                    </w:rPr>
                  </w:pPr>
                  <w:r>
                    <w:rPr>
                      <w:rFonts w:hint="eastAsia"/>
                      <w:highlight w:val="none"/>
                    </w:rPr>
                    <w:t>隔离泄漏污染区，限制出入。建议应急处理人员戴自给式呼吸器，穿防酸碱工作服。不要直接接触泄漏物。小量泄漏：避免扬尘，用洁净的铲子收集于干燥、洁净、有盖的容器中。也可以用大量水冲洗，洗水稀释后放入废水系统。大量泄漏：收集回收或运至废物处理场所处置。</w:t>
                  </w:r>
                </w:p>
              </w:tc>
            </w:tr>
            <w:tr w14:paraId="5C6083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256" w:type="pct"/>
                  <w:tcBorders>
                    <w:top w:val="single" w:color="auto" w:sz="4" w:space="0"/>
                    <w:left w:val="single" w:color="auto" w:sz="4" w:space="0"/>
                    <w:bottom w:val="single" w:color="auto" w:sz="4" w:space="0"/>
                    <w:right w:val="single" w:color="auto" w:sz="4" w:space="0"/>
                  </w:tcBorders>
                  <w:noWrap w:val="0"/>
                  <w:vAlign w:val="center"/>
                </w:tcPr>
                <w:p w14:paraId="39317214">
                  <w:pPr>
                    <w:spacing w:line="500" w:lineRule="atLeast"/>
                    <w:jc w:val="center"/>
                    <w:rPr>
                      <w:highlight w:val="none"/>
                    </w:rPr>
                  </w:pPr>
                  <w:r>
                    <w:rPr>
                      <w:rFonts w:hint="eastAsia"/>
                      <w:highlight w:val="none"/>
                    </w:rPr>
                    <w:t>贮运</w:t>
                  </w:r>
                </w:p>
              </w:tc>
              <w:tc>
                <w:tcPr>
                  <w:tcW w:w="4743" w:type="pct"/>
                  <w:gridSpan w:val="5"/>
                  <w:tcBorders>
                    <w:top w:val="single" w:color="auto" w:sz="4" w:space="0"/>
                    <w:left w:val="single" w:color="auto" w:sz="4" w:space="0"/>
                    <w:bottom w:val="single" w:color="auto" w:sz="4" w:space="0"/>
                    <w:right w:val="single" w:color="auto" w:sz="4" w:space="0"/>
                  </w:tcBorders>
                  <w:noWrap w:val="0"/>
                  <w:vAlign w:val="top"/>
                </w:tcPr>
                <w:p w14:paraId="20BAD401">
                  <w:pPr>
                    <w:spacing w:line="340" w:lineRule="exact"/>
                    <w:rPr>
                      <w:highlight w:val="none"/>
                    </w:rPr>
                  </w:pPr>
                  <w:r>
                    <w:rPr>
                      <w:rFonts w:hint="eastAsia"/>
                      <w:highlight w:val="none"/>
                    </w:rPr>
                    <w:t>包装标志：</w:t>
                  </w:r>
                  <w:r>
                    <w:rPr>
                      <w:highlight w:val="none"/>
                    </w:rPr>
                    <w:t>20     UN</w:t>
                  </w:r>
                  <w:r>
                    <w:rPr>
                      <w:rFonts w:hint="eastAsia"/>
                      <w:highlight w:val="none"/>
                    </w:rPr>
                    <w:t>编号：</w:t>
                  </w:r>
                  <w:r>
                    <w:rPr>
                      <w:highlight w:val="none"/>
                    </w:rPr>
                    <w:t xml:space="preserve"> 1823    </w:t>
                  </w:r>
                  <w:r>
                    <w:rPr>
                      <w:rFonts w:hint="eastAsia"/>
                      <w:highlight w:val="none"/>
                    </w:rPr>
                    <w:t>包装分类：Ⅱ</w:t>
                  </w:r>
                  <w:r>
                    <w:rPr>
                      <w:highlight w:val="none"/>
                    </w:rPr>
                    <w:t xml:space="preserve">      </w:t>
                  </w:r>
                  <w:r>
                    <w:rPr>
                      <w:rFonts w:hint="eastAsia"/>
                      <w:highlight w:val="none"/>
                    </w:rPr>
                    <w:t>包装方法：小开口钢桶；塑料袋、多层牛皮纸外木板箱。</w:t>
                  </w:r>
                </w:p>
                <w:p w14:paraId="0CD5E291">
                  <w:pPr>
                    <w:spacing w:line="340" w:lineRule="exact"/>
                    <w:rPr>
                      <w:highlight w:val="none"/>
                    </w:rPr>
                  </w:pPr>
                  <w:r>
                    <w:rPr>
                      <w:rFonts w:hint="eastAsia"/>
                      <w:highlight w:val="none"/>
                    </w:rPr>
                    <w:t>储运条件：储存于干燥清洁的仓间内。注意防潮和雨淋。应与易燃或可燃物及酸类分开存放。分装和搬运作业要注意个人防护。搬运要轻装轻卸，防止包装及容器损坏。雨天不宜运输。</w:t>
                  </w:r>
                </w:p>
              </w:tc>
            </w:tr>
          </w:tbl>
          <w:p w14:paraId="7404786C">
            <w:pPr>
              <w:spacing w:before="120" w:beforeLines="50" w:line="360" w:lineRule="auto"/>
              <w:ind w:firstLine="482" w:firstLineChars="200"/>
              <w:rPr>
                <w:b/>
                <w:sz w:val="24"/>
                <w:highlight w:val="none"/>
              </w:rPr>
            </w:pPr>
            <w:r>
              <w:rPr>
                <w:b/>
                <w:sz w:val="24"/>
                <w:highlight w:val="none"/>
              </w:rPr>
              <w:t>6．</w:t>
            </w:r>
            <w:r>
              <w:rPr>
                <w:rFonts w:hint="eastAsia"/>
                <w:b/>
                <w:sz w:val="24"/>
                <w:highlight w:val="none"/>
              </w:rPr>
              <w:t>劳动定员及工作制度</w:t>
            </w:r>
          </w:p>
          <w:p w14:paraId="78447B7C">
            <w:pPr>
              <w:spacing w:line="360" w:lineRule="auto"/>
              <w:ind w:firstLine="480"/>
              <w:rPr>
                <w:rFonts w:hint="eastAsia"/>
                <w:sz w:val="24"/>
                <w:highlight w:val="none"/>
                <w:lang w:val="en-US" w:eastAsia="zh-CN"/>
              </w:rPr>
            </w:pPr>
            <w:r>
              <w:rPr>
                <w:rFonts w:hint="eastAsia"/>
                <w:sz w:val="24"/>
                <w:highlight w:val="none"/>
              </w:rPr>
              <w:t>项目劳动定员</w:t>
            </w:r>
            <w:r>
              <w:rPr>
                <w:rFonts w:hint="eastAsia"/>
                <w:sz w:val="24"/>
                <w:highlight w:val="none"/>
                <w:lang w:val="en-US" w:eastAsia="zh-CN"/>
              </w:rPr>
              <w:t>3</w:t>
            </w:r>
            <w:r>
              <w:rPr>
                <w:rFonts w:hint="eastAsia"/>
                <w:sz w:val="24"/>
                <w:highlight w:val="none"/>
              </w:rPr>
              <w:t>人，年生产</w:t>
            </w:r>
            <w:r>
              <w:rPr>
                <w:rFonts w:hint="eastAsia"/>
                <w:sz w:val="24"/>
                <w:highlight w:val="none"/>
                <w:lang w:val="en-US" w:eastAsia="zh-CN"/>
              </w:rPr>
              <w:t>365</w:t>
            </w:r>
            <w:r>
              <w:rPr>
                <w:rFonts w:hint="eastAsia"/>
                <w:sz w:val="24"/>
                <w:highlight w:val="none"/>
              </w:rPr>
              <w:t>天，每天</w:t>
            </w:r>
            <w:r>
              <w:rPr>
                <w:rFonts w:hint="eastAsia"/>
                <w:sz w:val="24"/>
                <w:highlight w:val="none"/>
                <w:lang w:val="en-US" w:eastAsia="zh-CN"/>
              </w:rPr>
              <w:t>1</w:t>
            </w:r>
            <w:r>
              <w:rPr>
                <w:rFonts w:hint="eastAsia"/>
                <w:sz w:val="24"/>
                <w:highlight w:val="none"/>
              </w:rPr>
              <w:t>班，每班</w:t>
            </w:r>
            <w:r>
              <w:rPr>
                <w:rFonts w:hint="eastAsia"/>
                <w:sz w:val="24"/>
                <w:highlight w:val="none"/>
                <w:lang w:val="en-US" w:eastAsia="zh-CN"/>
              </w:rPr>
              <w:t>8</w:t>
            </w:r>
            <w:r>
              <w:rPr>
                <w:rFonts w:hint="eastAsia"/>
                <w:sz w:val="24"/>
                <w:highlight w:val="none"/>
              </w:rPr>
              <w:t>小时，年运行时间</w:t>
            </w:r>
            <w:r>
              <w:rPr>
                <w:rFonts w:hint="eastAsia"/>
                <w:sz w:val="24"/>
                <w:highlight w:val="none"/>
                <w:lang w:val="en-US" w:eastAsia="zh-CN"/>
              </w:rPr>
              <w:t>2920</w:t>
            </w:r>
            <w:r>
              <w:rPr>
                <w:rFonts w:hint="eastAsia"/>
                <w:sz w:val="24"/>
                <w:highlight w:val="none"/>
              </w:rPr>
              <w:t>小时</w:t>
            </w:r>
            <w:r>
              <w:rPr>
                <w:rFonts w:hint="eastAsia"/>
                <w:sz w:val="24"/>
                <w:highlight w:val="none"/>
                <w:lang w:eastAsia="zh-CN"/>
              </w:rPr>
              <w:t>；</w:t>
            </w:r>
            <w:r>
              <w:rPr>
                <w:rFonts w:hint="eastAsia"/>
                <w:sz w:val="24"/>
                <w:highlight w:val="none"/>
                <w:lang w:val="en-US" w:eastAsia="zh-CN"/>
              </w:rPr>
              <w:t>危险废物贮存时间为每天24小时，年贮存365天，年运营时间 8760 小时。</w:t>
            </w:r>
          </w:p>
          <w:p w14:paraId="10B8955F">
            <w:pPr>
              <w:spacing w:line="360" w:lineRule="auto"/>
              <w:ind w:firstLine="482" w:firstLineChars="200"/>
              <w:rPr>
                <w:b/>
                <w:sz w:val="24"/>
                <w:highlight w:val="none"/>
              </w:rPr>
            </w:pPr>
            <w:r>
              <w:rPr>
                <w:b/>
                <w:sz w:val="24"/>
                <w:highlight w:val="none"/>
              </w:rPr>
              <w:t>7．</w:t>
            </w:r>
            <w:r>
              <w:rPr>
                <w:rFonts w:hint="eastAsia"/>
                <w:b/>
                <w:sz w:val="24"/>
                <w:highlight w:val="none"/>
              </w:rPr>
              <w:t>厂区平面布置情况</w:t>
            </w:r>
          </w:p>
          <w:p w14:paraId="557F059E">
            <w:pPr>
              <w:adjustRightInd w:val="0"/>
              <w:snapToGrid w:val="0"/>
              <w:spacing w:line="360" w:lineRule="auto"/>
              <w:ind w:firstLine="480" w:firstLineChars="200"/>
              <w:rPr>
                <w:sz w:val="24"/>
                <w:highlight w:val="none"/>
              </w:rPr>
            </w:pPr>
            <w:r>
              <w:rPr>
                <w:rFonts w:hint="eastAsia"/>
                <w:sz w:val="24"/>
                <w:highlight w:val="none"/>
              </w:rPr>
              <w:t>厂区出入口位于厂区的</w:t>
            </w:r>
            <w:r>
              <w:rPr>
                <w:rFonts w:hint="eastAsia"/>
                <w:sz w:val="24"/>
                <w:highlight w:val="none"/>
                <w:lang w:val="en-US" w:eastAsia="zh-CN"/>
              </w:rPr>
              <w:t>西侧</w:t>
            </w:r>
            <w:r>
              <w:rPr>
                <w:rFonts w:hint="eastAsia"/>
                <w:sz w:val="24"/>
                <w:highlight w:val="none"/>
              </w:rPr>
              <w:t>，厂区</w:t>
            </w:r>
            <w:r>
              <w:rPr>
                <w:rFonts w:hint="eastAsia"/>
                <w:sz w:val="24"/>
                <w:highlight w:val="none"/>
                <w:lang w:val="en-US" w:eastAsia="zh-CN"/>
              </w:rPr>
              <w:t>自北向南依次为办公区、危险废物收集贮存库、事故池；</w:t>
            </w:r>
            <w:r>
              <w:rPr>
                <w:rFonts w:hint="eastAsia"/>
                <w:sz w:val="24"/>
                <w:highlight w:val="none"/>
              </w:rPr>
              <w:t>厂区平面布置详见附图</w:t>
            </w:r>
            <w:r>
              <w:rPr>
                <w:rFonts w:hint="eastAsia"/>
                <w:sz w:val="24"/>
                <w:highlight w:val="none"/>
                <w:lang w:val="en-US" w:eastAsia="zh-CN"/>
              </w:rPr>
              <w:t>2；危险废物收集贮存库分八个区域，本项目每种不同类别的危险废物均分区堆放，其中具有会发性的液态/半固态贮存区总面积77m</w:t>
            </w:r>
            <w:r>
              <w:rPr>
                <w:rFonts w:hint="eastAsia"/>
                <w:sz w:val="24"/>
                <w:highlight w:val="none"/>
                <w:vertAlign w:val="superscript"/>
                <w:lang w:val="en-US" w:eastAsia="zh-CN"/>
              </w:rPr>
              <w:t>2</w:t>
            </w:r>
            <w:r>
              <w:rPr>
                <w:rFonts w:hint="eastAsia"/>
                <w:sz w:val="24"/>
                <w:highlight w:val="none"/>
                <w:lang w:val="en-US" w:eastAsia="zh-CN"/>
              </w:rPr>
              <w:t>，贮存种类为</w:t>
            </w:r>
            <w:r>
              <w:rPr>
                <w:rFonts w:hint="eastAsia" w:ascii="Times New Roman" w:hAnsi="Times New Roman"/>
                <w:sz w:val="24"/>
                <w:highlight w:val="none"/>
              </w:rPr>
              <w:t>HW04、HW06、HW09、HW11、HW12、HW13</w:t>
            </w:r>
            <w:r>
              <w:rPr>
                <w:rFonts w:hint="eastAsia" w:ascii="Times New Roman" w:hAnsi="Times New Roman"/>
                <w:sz w:val="24"/>
                <w:highlight w:val="none"/>
                <w:lang w:eastAsia="zh-CN"/>
              </w:rPr>
              <w:t>，</w:t>
            </w:r>
            <w:r>
              <w:rPr>
                <w:rFonts w:hint="eastAsia"/>
                <w:sz w:val="24"/>
                <w:highlight w:val="none"/>
                <w:lang w:val="en-US" w:eastAsia="zh-CN"/>
              </w:rPr>
              <w:t>内设单独的导流渠和收集池，该区为封闭区域，贮存区以拉线形式进行分区；其他液态和半固态</w:t>
            </w:r>
            <w:r>
              <w:rPr>
                <w:rFonts w:hint="eastAsia" w:ascii="Times New Roman" w:hAnsi="Times New Roman"/>
                <w:sz w:val="24"/>
                <w:highlight w:val="none"/>
              </w:rPr>
              <w:t>HW0</w:t>
            </w:r>
            <w:r>
              <w:rPr>
                <w:rFonts w:hint="eastAsia" w:ascii="Times New Roman" w:hAnsi="Times New Roman"/>
                <w:sz w:val="24"/>
                <w:highlight w:val="none"/>
                <w:lang w:val="en-US" w:eastAsia="zh-CN"/>
              </w:rPr>
              <w:t>3</w:t>
            </w:r>
            <w:r>
              <w:rPr>
                <w:rFonts w:hint="eastAsia" w:ascii="Times New Roman" w:hAnsi="Times New Roman"/>
                <w:sz w:val="24"/>
                <w:highlight w:val="none"/>
              </w:rPr>
              <w:t>、HW</w:t>
            </w:r>
            <w:r>
              <w:rPr>
                <w:rFonts w:hint="eastAsia" w:ascii="Times New Roman" w:hAnsi="Times New Roman"/>
                <w:sz w:val="24"/>
                <w:highlight w:val="none"/>
                <w:lang w:val="en-US" w:eastAsia="zh-CN"/>
              </w:rPr>
              <w:t>16</w:t>
            </w:r>
            <w:r>
              <w:rPr>
                <w:rFonts w:hint="eastAsia" w:ascii="Times New Roman" w:hAnsi="Times New Roman"/>
                <w:sz w:val="24"/>
                <w:highlight w:val="none"/>
              </w:rPr>
              <w:t>、HW</w:t>
            </w:r>
            <w:r>
              <w:rPr>
                <w:rFonts w:hint="eastAsia" w:ascii="Times New Roman" w:hAnsi="Times New Roman"/>
                <w:sz w:val="24"/>
                <w:highlight w:val="none"/>
                <w:lang w:val="en-US" w:eastAsia="zh-CN"/>
              </w:rPr>
              <w:t>17</w:t>
            </w:r>
            <w:r>
              <w:rPr>
                <w:rFonts w:hint="eastAsia" w:ascii="Times New Roman" w:hAnsi="Times New Roman"/>
                <w:sz w:val="24"/>
                <w:highlight w:val="none"/>
              </w:rPr>
              <w:t>、HW</w:t>
            </w:r>
            <w:r>
              <w:rPr>
                <w:rFonts w:hint="eastAsia" w:ascii="Times New Roman" w:hAnsi="Times New Roman"/>
                <w:sz w:val="24"/>
                <w:highlight w:val="none"/>
                <w:lang w:val="en-US" w:eastAsia="zh-CN"/>
              </w:rPr>
              <w:t>23</w:t>
            </w:r>
            <w:r>
              <w:rPr>
                <w:rFonts w:hint="eastAsia" w:ascii="Times New Roman" w:hAnsi="Times New Roman"/>
                <w:sz w:val="24"/>
                <w:highlight w:val="none"/>
              </w:rPr>
              <w:t>、HW</w:t>
            </w:r>
            <w:r>
              <w:rPr>
                <w:rFonts w:hint="eastAsia" w:ascii="Times New Roman" w:hAnsi="Times New Roman"/>
                <w:sz w:val="24"/>
                <w:highlight w:val="none"/>
                <w:lang w:val="en-US" w:eastAsia="zh-CN"/>
              </w:rPr>
              <w:t>32</w:t>
            </w:r>
            <w:r>
              <w:rPr>
                <w:rFonts w:hint="eastAsia" w:ascii="Times New Roman" w:hAnsi="Times New Roman"/>
                <w:sz w:val="24"/>
                <w:highlight w:val="none"/>
              </w:rPr>
              <w:t>、HW</w:t>
            </w:r>
            <w:r>
              <w:rPr>
                <w:rFonts w:hint="eastAsia" w:ascii="Times New Roman" w:hAnsi="Times New Roman"/>
                <w:sz w:val="24"/>
                <w:highlight w:val="none"/>
                <w:lang w:val="en-US" w:eastAsia="zh-CN"/>
              </w:rPr>
              <w:t>35、HW37、HW48、HW50，贮存面积为98m</w:t>
            </w:r>
            <w:r>
              <w:rPr>
                <w:rFonts w:hint="eastAsia" w:ascii="Times New Roman" w:hAnsi="Times New Roman"/>
                <w:sz w:val="24"/>
                <w:highlight w:val="none"/>
                <w:vertAlign w:val="superscript"/>
                <w:lang w:val="en-US" w:eastAsia="zh-CN"/>
              </w:rPr>
              <w:t>2</w:t>
            </w:r>
            <w:r>
              <w:rPr>
                <w:rFonts w:hint="eastAsia" w:ascii="Times New Roman" w:hAnsi="Times New Roman"/>
                <w:sz w:val="24"/>
                <w:highlight w:val="none"/>
                <w:vertAlign w:val="baseline"/>
                <w:lang w:val="en-US" w:eastAsia="zh-CN"/>
              </w:rPr>
              <w:t>，设围堰1.1m高，</w:t>
            </w:r>
            <w:r>
              <w:rPr>
                <w:rFonts w:hint="eastAsia"/>
                <w:sz w:val="24"/>
                <w:highlight w:val="none"/>
                <w:lang w:val="en-US" w:eastAsia="zh-CN"/>
              </w:rPr>
              <w:t>贮存区以拉线形式进行分区</w:t>
            </w:r>
            <w:r>
              <w:rPr>
                <w:rFonts w:hint="eastAsia" w:ascii="Times New Roman" w:hAnsi="Times New Roman"/>
                <w:sz w:val="24"/>
                <w:highlight w:val="none"/>
                <w:lang w:eastAsia="zh-CN"/>
              </w:rPr>
              <w:t>；</w:t>
            </w:r>
            <w:r>
              <w:rPr>
                <w:rFonts w:hint="eastAsia"/>
                <w:sz w:val="24"/>
                <w:highlight w:val="none"/>
                <w:lang w:val="en-US" w:eastAsia="zh-CN"/>
              </w:rPr>
              <w:t>HW49中900-047-49贮存于单独区域，贮存区面积为16m</w:t>
            </w:r>
            <w:r>
              <w:rPr>
                <w:rFonts w:hint="eastAsia"/>
                <w:sz w:val="24"/>
                <w:highlight w:val="none"/>
                <w:vertAlign w:val="superscript"/>
                <w:lang w:val="en-US" w:eastAsia="zh-CN"/>
              </w:rPr>
              <w:t>2</w:t>
            </w:r>
            <w:r>
              <w:rPr>
                <w:rFonts w:hint="eastAsia"/>
                <w:sz w:val="24"/>
                <w:highlight w:val="none"/>
                <w:lang w:val="en-US" w:eastAsia="zh-CN"/>
              </w:rPr>
              <w:t>，内设单独的导流渠和收集池，该区为封闭区域；HW49其他类贮存于单独区域，贮存面积为210m</w:t>
            </w:r>
            <w:r>
              <w:rPr>
                <w:rFonts w:hint="eastAsia"/>
                <w:sz w:val="24"/>
                <w:highlight w:val="none"/>
                <w:vertAlign w:val="superscript"/>
                <w:lang w:val="en-US" w:eastAsia="zh-CN"/>
              </w:rPr>
              <w:t>2</w:t>
            </w:r>
            <w:r>
              <w:rPr>
                <w:rFonts w:hint="eastAsia"/>
                <w:sz w:val="24"/>
                <w:highlight w:val="none"/>
                <w:vertAlign w:val="baseline"/>
                <w:lang w:val="en-US" w:eastAsia="zh-CN"/>
              </w:rPr>
              <w:t>，以拉线形式进行分区</w:t>
            </w:r>
            <w:r>
              <w:rPr>
                <w:rFonts w:hint="eastAsia"/>
                <w:sz w:val="24"/>
                <w:highlight w:val="none"/>
                <w:lang w:val="en-US" w:eastAsia="zh-CN"/>
              </w:rPr>
              <w:t>。HW34为单独贮存区，贮存区面积为16m</w:t>
            </w:r>
            <w:r>
              <w:rPr>
                <w:rFonts w:hint="eastAsia"/>
                <w:sz w:val="24"/>
                <w:highlight w:val="none"/>
                <w:vertAlign w:val="superscript"/>
                <w:lang w:val="en-US" w:eastAsia="zh-CN"/>
              </w:rPr>
              <w:t>2</w:t>
            </w:r>
            <w:r>
              <w:rPr>
                <w:rFonts w:hint="eastAsia"/>
                <w:sz w:val="24"/>
                <w:highlight w:val="none"/>
                <w:lang w:val="en-US" w:eastAsia="zh-CN"/>
              </w:rPr>
              <w:t>，内设单独的导流渠和收集池，该区为封闭区域；HW08储罐区设置有3个60m</w:t>
            </w:r>
            <w:r>
              <w:rPr>
                <w:rFonts w:hint="eastAsia"/>
                <w:sz w:val="24"/>
                <w:highlight w:val="none"/>
                <w:vertAlign w:val="superscript"/>
                <w:lang w:val="en-US" w:eastAsia="zh-CN"/>
              </w:rPr>
              <w:t>3</w:t>
            </w:r>
            <w:r>
              <w:rPr>
                <w:rFonts w:hint="eastAsia"/>
                <w:sz w:val="24"/>
                <w:highlight w:val="none"/>
                <w:lang w:val="en-US" w:eastAsia="zh-CN"/>
              </w:rPr>
              <w:t>废油储罐，有效储存容积为153吨，贮存区面积为192m</w:t>
            </w:r>
            <w:r>
              <w:rPr>
                <w:rFonts w:hint="eastAsia"/>
                <w:sz w:val="24"/>
                <w:highlight w:val="none"/>
                <w:vertAlign w:val="superscript"/>
                <w:lang w:val="en-US" w:eastAsia="zh-CN"/>
              </w:rPr>
              <w:t>2</w:t>
            </w:r>
            <w:r>
              <w:rPr>
                <w:rFonts w:hint="eastAsia"/>
                <w:sz w:val="24"/>
                <w:highlight w:val="none"/>
                <w:vertAlign w:val="baseline"/>
                <w:lang w:val="en-US" w:eastAsia="zh-CN"/>
              </w:rPr>
              <w:t>，设围堰为1.1m高，油桶高于地面40cm，以拉线形式进行分区</w:t>
            </w:r>
            <w:r>
              <w:rPr>
                <w:rFonts w:hint="eastAsia"/>
                <w:sz w:val="24"/>
                <w:highlight w:val="none"/>
                <w:lang w:val="en-US" w:eastAsia="zh-CN"/>
              </w:rPr>
              <w:t>；固态类贮存区总面积210m</w:t>
            </w:r>
            <w:r>
              <w:rPr>
                <w:rFonts w:hint="eastAsia"/>
                <w:sz w:val="24"/>
                <w:highlight w:val="none"/>
                <w:vertAlign w:val="superscript"/>
                <w:lang w:val="en-US" w:eastAsia="zh-CN"/>
              </w:rPr>
              <w:t>2</w:t>
            </w:r>
            <w:r>
              <w:rPr>
                <w:rFonts w:hint="eastAsia"/>
                <w:sz w:val="24"/>
                <w:highlight w:val="none"/>
                <w:lang w:val="en-US" w:eastAsia="zh-CN"/>
              </w:rPr>
              <w:t>，主要以袋装贮存为主，固体贮存区以拉线形式进行分区；废油桶压块工艺位于单独贮存区内，贮存区面积为252m</w:t>
            </w:r>
            <w:r>
              <w:rPr>
                <w:rFonts w:hint="eastAsia"/>
                <w:sz w:val="24"/>
                <w:highlight w:val="none"/>
                <w:vertAlign w:val="superscript"/>
                <w:lang w:val="en-US" w:eastAsia="zh-CN"/>
              </w:rPr>
              <w:t>2</w:t>
            </w:r>
            <w:r>
              <w:rPr>
                <w:rFonts w:hint="eastAsia"/>
                <w:sz w:val="24"/>
                <w:highlight w:val="none"/>
                <w:lang w:val="en-US" w:eastAsia="zh-CN"/>
              </w:rPr>
              <w:t>。库房平面布置图详见附图3</w:t>
            </w:r>
            <w:r>
              <w:rPr>
                <w:rFonts w:hint="eastAsia"/>
                <w:sz w:val="24"/>
                <w:highlight w:val="none"/>
              </w:rPr>
              <w:t>。</w:t>
            </w:r>
          </w:p>
          <w:p w14:paraId="37BFBA2A">
            <w:pPr>
              <w:spacing w:line="360" w:lineRule="auto"/>
              <w:ind w:firstLine="482" w:firstLineChars="200"/>
              <w:rPr>
                <w:b/>
                <w:sz w:val="24"/>
                <w:highlight w:val="none"/>
              </w:rPr>
            </w:pPr>
            <w:r>
              <w:rPr>
                <w:b/>
                <w:sz w:val="24"/>
                <w:highlight w:val="none"/>
              </w:rPr>
              <w:t>8．</w:t>
            </w:r>
            <w:r>
              <w:rPr>
                <w:rFonts w:hint="eastAsia"/>
                <w:b/>
                <w:sz w:val="24"/>
                <w:highlight w:val="none"/>
              </w:rPr>
              <w:t>给、排水工程及水平衡分析</w:t>
            </w:r>
          </w:p>
          <w:p w14:paraId="4531DA7F">
            <w:pPr>
              <w:spacing w:line="360" w:lineRule="auto"/>
              <w:ind w:firstLine="480"/>
              <w:rPr>
                <w:sz w:val="24"/>
                <w:highlight w:val="none"/>
              </w:rPr>
            </w:pPr>
            <w:r>
              <w:rPr>
                <w:rFonts w:hint="eastAsia"/>
                <w:sz w:val="24"/>
                <w:highlight w:val="none"/>
              </w:rPr>
              <w:t>结合工程分析可知，项目用水工序为生活用水</w:t>
            </w:r>
            <w:r>
              <w:rPr>
                <w:rFonts w:hint="eastAsia"/>
                <w:sz w:val="24"/>
                <w:highlight w:val="none"/>
                <w:lang w:val="en-US" w:eastAsia="zh-CN"/>
              </w:rPr>
              <w:t>和碱液喷淋用水</w:t>
            </w:r>
            <w:r>
              <w:rPr>
                <w:rFonts w:hint="eastAsia"/>
                <w:sz w:val="24"/>
                <w:highlight w:val="none"/>
              </w:rPr>
              <w:t>。</w:t>
            </w:r>
          </w:p>
          <w:p w14:paraId="3CB2ADA9">
            <w:pPr>
              <w:spacing w:line="360" w:lineRule="auto"/>
              <w:ind w:firstLine="480"/>
              <w:rPr>
                <w:sz w:val="24"/>
                <w:highlight w:val="none"/>
              </w:rPr>
            </w:pPr>
            <w:r>
              <w:rPr>
                <w:rFonts w:hint="eastAsia"/>
                <w:sz w:val="24"/>
                <w:highlight w:val="none"/>
              </w:rPr>
              <w:t>（</w:t>
            </w:r>
            <w:r>
              <w:rPr>
                <w:sz w:val="24"/>
                <w:highlight w:val="none"/>
              </w:rPr>
              <w:t>1</w:t>
            </w:r>
            <w:r>
              <w:rPr>
                <w:rFonts w:hint="eastAsia"/>
                <w:sz w:val="24"/>
                <w:highlight w:val="none"/>
              </w:rPr>
              <w:t>）给水</w:t>
            </w:r>
          </w:p>
          <w:p w14:paraId="47FE1976">
            <w:pPr>
              <w:spacing w:line="360" w:lineRule="auto"/>
              <w:ind w:firstLine="480"/>
              <w:rPr>
                <w:sz w:val="24"/>
                <w:highlight w:val="none"/>
              </w:rPr>
            </w:pPr>
            <w:r>
              <w:rPr>
                <w:rFonts w:hint="eastAsia"/>
                <w:sz w:val="24"/>
                <w:highlight w:val="none"/>
                <w:lang w:val="en-US" w:eastAsia="zh-CN"/>
              </w:rPr>
              <w:t>生活用水：</w:t>
            </w:r>
            <w:r>
              <w:rPr>
                <w:rFonts w:hint="eastAsia"/>
                <w:sz w:val="24"/>
                <w:highlight w:val="none"/>
              </w:rPr>
              <w:t>根据河北省地方标准《生活与服务业用水定额第</w:t>
            </w:r>
            <w:r>
              <w:rPr>
                <w:sz w:val="24"/>
                <w:highlight w:val="none"/>
              </w:rPr>
              <w:t>1</w:t>
            </w:r>
            <w:r>
              <w:rPr>
                <w:rFonts w:hint="eastAsia"/>
                <w:sz w:val="24"/>
                <w:highlight w:val="none"/>
              </w:rPr>
              <w:t>部分：居民生活》（</w:t>
            </w:r>
            <w:r>
              <w:rPr>
                <w:sz w:val="24"/>
                <w:highlight w:val="none"/>
              </w:rPr>
              <w:t>DB13/T5450.1-2021</w:t>
            </w:r>
            <w:r>
              <w:rPr>
                <w:rFonts w:hint="eastAsia"/>
                <w:sz w:val="24"/>
                <w:highlight w:val="none"/>
              </w:rPr>
              <w:t>），生活用水按照</w:t>
            </w:r>
            <w:r>
              <w:rPr>
                <w:sz w:val="24"/>
                <w:highlight w:val="none"/>
              </w:rPr>
              <w:t>2</w:t>
            </w:r>
            <w:r>
              <w:rPr>
                <w:rFonts w:hint="eastAsia"/>
                <w:sz w:val="24"/>
                <w:highlight w:val="none"/>
                <w:lang w:val="en-US" w:eastAsia="zh-CN"/>
              </w:rPr>
              <w:t>2</w:t>
            </w:r>
            <w:r>
              <w:rPr>
                <w:sz w:val="24"/>
                <w:highlight w:val="none"/>
              </w:rPr>
              <w:t>m</w:t>
            </w:r>
            <w:r>
              <w:rPr>
                <w:sz w:val="24"/>
                <w:highlight w:val="none"/>
                <w:vertAlign w:val="superscript"/>
              </w:rPr>
              <w:t>3</w:t>
            </w:r>
            <w:r>
              <w:rPr>
                <w:sz w:val="24"/>
                <w:highlight w:val="none"/>
              </w:rPr>
              <w:t>/</w:t>
            </w:r>
            <w:r>
              <w:rPr>
                <w:rFonts w:hint="eastAsia"/>
                <w:sz w:val="24"/>
                <w:highlight w:val="none"/>
              </w:rPr>
              <w:t>人·</w:t>
            </w:r>
            <w:r>
              <w:rPr>
                <w:sz w:val="24"/>
                <w:highlight w:val="none"/>
              </w:rPr>
              <w:t>a</w:t>
            </w:r>
            <w:r>
              <w:rPr>
                <w:rFonts w:hint="eastAsia"/>
                <w:sz w:val="24"/>
                <w:highlight w:val="none"/>
              </w:rPr>
              <w:t>计</w:t>
            </w:r>
            <w:r>
              <w:rPr>
                <w:rFonts w:hint="eastAsia" w:ascii="Times New Roman" w:hAnsi="Times New Roman" w:eastAsia="宋体" w:cs="Times New Roman"/>
                <w:color w:val="auto"/>
                <w:sz w:val="24"/>
                <w:highlight w:val="none"/>
                <w:lang w:val="en-US" w:eastAsia="zh-CN"/>
              </w:rPr>
              <w:t>（365天），</w:t>
            </w:r>
            <w:r>
              <w:rPr>
                <w:rFonts w:hint="eastAsia"/>
                <w:sz w:val="24"/>
                <w:highlight w:val="none"/>
              </w:rPr>
              <w:t>项目劳动定员</w:t>
            </w:r>
            <w:r>
              <w:rPr>
                <w:rFonts w:hint="eastAsia"/>
                <w:sz w:val="24"/>
                <w:highlight w:val="none"/>
                <w:lang w:val="en-US" w:eastAsia="zh-CN"/>
              </w:rPr>
              <w:t>3</w:t>
            </w:r>
            <w:r>
              <w:rPr>
                <w:rFonts w:hint="eastAsia"/>
                <w:sz w:val="24"/>
                <w:highlight w:val="none"/>
              </w:rPr>
              <w:t>人，年工作</w:t>
            </w:r>
            <w:r>
              <w:rPr>
                <w:rFonts w:hint="eastAsia"/>
                <w:sz w:val="24"/>
                <w:highlight w:val="none"/>
                <w:lang w:val="en-US" w:eastAsia="zh-CN"/>
              </w:rPr>
              <w:t>365</w:t>
            </w:r>
            <w:r>
              <w:rPr>
                <w:rFonts w:hint="eastAsia"/>
                <w:sz w:val="24"/>
                <w:highlight w:val="none"/>
              </w:rPr>
              <w:t>天，则生活用水量为</w:t>
            </w:r>
            <w:r>
              <w:rPr>
                <w:rFonts w:hint="eastAsia"/>
                <w:sz w:val="24"/>
                <w:highlight w:val="none"/>
                <w:lang w:val="en-US" w:eastAsia="zh-CN"/>
              </w:rPr>
              <w:t>0.18</w:t>
            </w:r>
            <w:r>
              <w:rPr>
                <w:sz w:val="24"/>
                <w:highlight w:val="none"/>
              </w:rPr>
              <w:t>m</w:t>
            </w:r>
            <w:r>
              <w:rPr>
                <w:sz w:val="24"/>
                <w:highlight w:val="none"/>
                <w:vertAlign w:val="superscript"/>
              </w:rPr>
              <w:t>3</w:t>
            </w:r>
            <w:r>
              <w:rPr>
                <w:sz w:val="24"/>
                <w:highlight w:val="none"/>
              </w:rPr>
              <w:t>/d</w:t>
            </w:r>
            <w:r>
              <w:rPr>
                <w:rFonts w:hint="eastAsia"/>
                <w:sz w:val="24"/>
                <w:highlight w:val="none"/>
              </w:rPr>
              <w:t>（</w:t>
            </w:r>
            <w:r>
              <w:rPr>
                <w:rFonts w:hint="eastAsia"/>
                <w:sz w:val="24"/>
                <w:highlight w:val="none"/>
                <w:lang w:val="en-US" w:eastAsia="zh-CN"/>
              </w:rPr>
              <w:t>66</w:t>
            </w:r>
            <w:r>
              <w:rPr>
                <w:sz w:val="24"/>
                <w:highlight w:val="none"/>
              </w:rPr>
              <w:t>m</w:t>
            </w:r>
            <w:r>
              <w:rPr>
                <w:sz w:val="24"/>
                <w:highlight w:val="none"/>
                <w:vertAlign w:val="superscript"/>
              </w:rPr>
              <w:t>3</w:t>
            </w:r>
            <w:r>
              <w:rPr>
                <w:sz w:val="24"/>
                <w:highlight w:val="none"/>
              </w:rPr>
              <w:t>/a</w:t>
            </w:r>
            <w:r>
              <w:rPr>
                <w:rFonts w:hint="eastAsia"/>
                <w:sz w:val="24"/>
                <w:highlight w:val="none"/>
              </w:rPr>
              <w:t>），全部为新鲜水。</w:t>
            </w:r>
          </w:p>
          <w:p w14:paraId="661DB818">
            <w:pPr>
              <w:spacing w:line="360" w:lineRule="auto"/>
              <w:ind w:firstLine="480"/>
              <w:rPr>
                <w:rFonts w:hint="eastAsia"/>
                <w:sz w:val="24"/>
                <w:highlight w:val="none"/>
              </w:rPr>
            </w:pPr>
            <w:r>
              <w:rPr>
                <w:rFonts w:hint="eastAsia" w:ascii="Times New Roman" w:hAnsi="Times New Roman" w:eastAsia="宋体" w:cs="Times New Roman"/>
                <w:sz w:val="24"/>
                <w:highlight w:val="none"/>
                <w:lang w:val="en-US" w:eastAsia="zh-CN"/>
              </w:rPr>
              <w:t>碱液喷淋用水：</w:t>
            </w:r>
            <w:r>
              <w:rPr>
                <w:rFonts w:hint="default" w:ascii="Times New Roman" w:hAnsi="Times New Roman" w:eastAsia="宋体" w:cs="Times New Roman"/>
                <w:sz w:val="24"/>
                <w:highlight w:val="none"/>
                <w:lang w:val="en-US" w:eastAsia="zh-CN"/>
              </w:rPr>
              <w:t>碱洗塔</w:t>
            </w:r>
            <w:r>
              <w:rPr>
                <w:rFonts w:hint="eastAsia" w:ascii="Times New Roman" w:hAnsi="Times New Roman" w:eastAsia="宋体" w:cs="Times New Roman"/>
                <w:sz w:val="24"/>
                <w:highlight w:val="none"/>
                <w:lang w:val="en-US" w:eastAsia="zh-CN"/>
              </w:rPr>
              <w:t>1</w:t>
            </w:r>
            <w:r>
              <w:rPr>
                <w:rFonts w:hint="default" w:ascii="Times New Roman" w:hAnsi="Times New Roman" w:eastAsia="宋体" w:cs="Times New Roman"/>
                <w:sz w:val="24"/>
                <w:highlight w:val="none"/>
                <w:lang w:val="en-US" w:eastAsia="zh-CN"/>
              </w:rPr>
              <w:t>台，承装容积2</w:t>
            </w:r>
            <w:r>
              <w:rPr>
                <w:rFonts w:hint="eastAsia" w:ascii="Times New Roman" w:hAnsi="Times New Roman" w:eastAsia="宋体" w:cs="Times New Roman"/>
                <w:sz w:val="24"/>
                <w:highlight w:val="none"/>
                <w:lang w:val="en-US" w:eastAsia="zh-CN"/>
              </w:rPr>
              <w:t>.8</w:t>
            </w:r>
            <w:r>
              <w:rPr>
                <w:rFonts w:hint="default" w:ascii="Times New Roman" w:hAnsi="Times New Roman" w:eastAsia="宋体" w:cs="Times New Roman"/>
                <w:sz w:val="24"/>
                <w:highlight w:val="none"/>
                <w:lang w:val="en-US" w:eastAsia="zh-CN"/>
              </w:rPr>
              <w:t>m</w:t>
            </w:r>
            <w:r>
              <w:rPr>
                <w:rFonts w:hint="default" w:ascii="Times New Roman" w:hAnsi="Times New Roman" w:eastAsia="宋体" w:cs="Times New Roman"/>
                <w:sz w:val="24"/>
                <w:highlight w:val="none"/>
                <w:vertAlign w:val="superscript"/>
                <w:lang w:val="en-US" w:eastAsia="zh-CN"/>
              </w:rPr>
              <w:t>3</w:t>
            </w:r>
            <w:r>
              <w:rPr>
                <w:rFonts w:hint="default" w:ascii="Times New Roman" w:hAnsi="Times New Roman" w:eastAsia="宋体" w:cs="Times New Roman"/>
                <w:sz w:val="24"/>
                <w:highlight w:val="none"/>
                <w:lang w:val="en-US" w:eastAsia="zh-CN"/>
              </w:rPr>
              <w:t>，4</w:t>
            </w:r>
            <w:r>
              <w:rPr>
                <w:rFonts w:hint="eastAsia" w:ascii="Times New Roman" w:hAnsi="Times New Roman" w:eastAsia="宋体" w:cs="Times New Roman"/>
                <w:sz w:val="24"/>
                <w:highlight w:val="none"/>
                <w:lang w:val="en-US" w:eastAsia="zh-CN"/>
              </w:rPr>
              <w:t>5</w:t>
            </w:r>
            <w:r>
              <w:rPr>
                <w:rFonts w:hint="default" w:ascii="Times New Roman" w:hAnsi="Times New Roman" w:eastAsia="宋体" w:cs="Times New Roman"/>
                <w:sz w:val="24"/>
                <w:highlight w:val="none"/>
                <w:lang w:val="en-US" w:eastAsia="zh-CN"/>
              </w:rPr>
              <w:t>天更换一次，年更换次数</w:t>
            </w:r>
            <w:r>
              <w:rPr>
                <w:rFonts w:hint="eastAsia" w:ascii="Times New Roman" w:hAnsi="Times New Roman" w:eastAsia="宋体" w:cs="Times New Roman"/>
                <w:sz w:val="24"/>
                <w:highlight w:val="none"/>
                <w:lang w:val="en-US" w:eastAsia="zh-CN"/>
              </w:rPr>
              <w:t>8</w:t>
            </w:r>
            <w:r>
              <w:rPr>
                <w:rFonts w:hint="default" w:ascii="Times New Roman" w:hAnsi="Times New Roman" w:eastAsia="宋体" w:cs="Times New Roman"/>
                <w:sz w:val="24"/>
                <w:highlight w:val="none"/>
                <w:lang w:val="en-US" w:eastAsia="zh-CN"/>
              </w:rPr>
              <w:t>次，</w:t>
            </w:r>
            <w:r>
              <w:rPr>
                <w:rFonts w:hint="eastAsia" w:ascii="Times New Roman" w:hAnsi="Times New Roman" w:eastAsia="宋体" w:cs="Times New Roman"/>
                <w:sz w:val="24"/>
                <w:highlight w:val="none"/>
                <w:lang w:val="en-US" w:eastAsia="zh-CN"/>
              </w:rPr>
              <w:t>碱液喷淋需要</w:t>
            </w:r>
            <w:r>
              <w:rPr>
                <w:rFonts w:hint="default" w:ascii="Times New Roman" w:hAnsi="Times New Roman" w:eastAsia="宋体" w:cs="Times New Roman"/>
                <w:sz w:val="24"/>
                <w:highlight w:val="none"/>
                <w:lang w:val="en-US" w:eastAsia="zh-CN"/>
              </w:rPr>
              <w:t>用</w:t>
            </w:r>
            <w:r>
              <w:rPr>
                <w:rFonts w:hint="eastAsia" w:ascii="Times New Roman" w:hAnsi="Times New Roman" w:eastAsia="宋体" w:cs="Times New Roman"/>
                <w:sz w:val="24"/>
                <w:highlight w:val="none"/>
                <w:lang w:val="en-US" w:eastAsia="zh-CN"/>
              </w:rPr>
              <w:t>30</w:t>
            </w:r>
            <w:r>
              <w:rPr>
                <w:rFonts w:hint="default" w:ascii="Times New Roman" w:hAnsi="Times New Roman" w:eastAsia="宋体" w:cs="Times New Roman"/>
                <w:sz w:val="24"/>
                <w:highlight w:val="none"/>
                <w:lang w:val="en-US" w:eastAsia="zh-CN"/>
              </w:rPr>
              <w:t>%</w:t>
            </w:r>
            <w:r>
              <w:rPr>
                <w:rFonts w:hint="eastAsia" w:ascii="Times New Roman" w:hAnsi="Times New Roman" w:eastAsia="宋体" w:cs="Times New Roman"/>
                <w:sz w:val="24"/>
                <w:highlight w:val="none"/>
                <w:lang w:val="en-US" w:eastAsia="zh-CN"/>
              </w:rPr>
              <w:t>Na</w:t>
            </w:r>
            <w:r>
              <w:rPr>
                <w:rFonts w:hint="default" w:ascii="Times New Roman" w:hAnsi="Times New Roman" w:eastAsia="宋体" w:cs="Times New Roman"/>
                <w:sz w:val="24"/>
                <w:highlight w:val="none"/>
                <w:lang w:val="en-US" w:eastAsia="zh-CN"/>
              </w:rPr>
              <w:t>OH</w:t>
            </w:r>
            <w:r>
              <w:rPr>
                <w:rFonts w:hint="eastAsia" w:ascii="Times New Roman" w:hAnsi="Times New Roman" w:eastAsia="宋体" w:cs="Times New Roman"/>
                <w:sz w:val="24"/>
                <w:highlight w:val="none"/>
                <w:lang w:val="en-US" w:eastAsia="zh-CN"/>
              </w:rPr>
              <w:t>，30</w:t>
            </w:r>
            <w:r>
              <w:rPr>
                <w:rFonts w:hint="default" w:ascii="Times New Roman" w:hAnsi="Times New Roman" w:eastAsia="宋体" w:cs="Times New Roman"/>
                <w:sz w:val="24"/>
                <w:highlight w:val="none"/>
                <w:lang w:val="en-US" w:eastAsia="zh-CN"/>
              </w:rPr>
              <w:t>%</w:t>
            </w:r>
            <w:r>
              <w:rPr>
                <w:rFonts w:hint="eastAsia" w:ascii="Times New Roman" w:hAnsi="Times New Roman" w:eastAsia="宋体" w:cs="Times New Roman"/>
                <w:sz w:val="24"/>
                <w:highlight w:val="none"/>
                <w:lang w:val="en-US" w:eastAsia="zh-CN"/>
              </w:rPr>
              <w:t>Na</w:t>
            </w:r>
            <w:r>
              <w:rPr>
                <w:rFonts w:hint="default" w:ascii="Times New Roman" w:hAnsi="Times New Roman" w:eastAsia="宋体" w:cs="Times New Roman"/>
                <w:sz w:val="24"/>
                <w:highlight w:val="none"/>
                <w:lang w:val="en-US" w:eastAsia="zh-CN"/>
              </w:rPr>
              <w:t>OH稀释用水</w:t>
            </w:r>
            <w:r>
              <w:rPr>
                <w:rFonts w:hint="eastAsia" w:ascii="Times New Roman" w:hAnsi="Times New Roman" w:eastAsia="宋体" w:cs="Times New Roman"/>
                <w:sz w:val="24"/>
                <w:highlight w:val="none"/>
                <w:lang w:val="en-US" w:eastAsia="zh-CN"/>
              </w:rPr>
              <w:t>261.07</w:t>
            </w:r>
            <w:r>
              <w:rPr>
                <w:rFonts w:hint="default" w:ascii="Times New Roman" w:hAnsi="Times New Roman" w:eastAsia="宋体" w:cs="Times New Roman"/>
                <w:sz w:val="24"/>
                <w:highlight w:val="none"/>
                <w:lang w:val="en-US" w:eastAsia="zh-CN"/>
              </w:rPr>
              <w:t>m</w:t>
            </w:r>
            <w:r>
              <w:rPr>
                <w:rFonts w:hint="default" w:ascii="Times New Roman" w:hAnsi="Times New Roman" w:eastAsia="宋体" w:cs="Times New Roman"/>
                <w:sz w:val="24"/>
                <w:highlight w:val="none"/>
                <w:vertAlign w:val="superscript"/>
                <w:lang w:val="en-US" w:eastAsia="zh-CN"/>
              </w:rPr>
              <w:t>3</w:t>
            </w:r>
            <w:r>
              <w:rPr>
                <w:rFonts w:hint="default" w:ascii="Times New Roman" w:hAnsi="Times New Roman" w:eastAsia="宋体" w:cs="Times New Roman"/>
                <w:sz w:val="24"/>
                <w:highlight w:val="none"/>
                <w:lang w:val="en-US" w:eastAsia="zh-CN"/>
              </w:rPr>
              <w:t>/a，用水来自</w:t>
            </w:r>
            <w:r>
              <w:rPr>
                <w:rFonts w:hint="eastAsia" w:ascii="Times New Roman" w:hAnsi="Times New Roman" w:eastAsia="宋体" w:cs="Times New Roman"/>
                <w:sz w:val="24"/>
                <w:highlight w:val="none"/>
                <w:lang w:val="en-US" w:eastAsia="zh-CN"/>
              </w:rPr>
              <w:t>新鲜</w:t>
            </w:r>
            <w:r>
              <w:rPr>
                <w:rFonts w:hint="default" w:ascii="Times New Roman" w:hAnsi="Times New Roman" w:eastAsia="宋体" w:cs="Times New Roman"/>
                <w:sz w:val="24"/>
                <w:highlight w:val="none"/>
                <w:lang w:val="en-US" w:eastAsia="zh-CN"/>
              </w:rPr>
              <w:t>水</w:t>
            </w:r>
            <w:r>
              <w:rPr>
                <w:rFonts w:hint="eastAsia" w:ascii="Times New Roman" w:hAnsi="Times New Roman" w:eastAsia="宋体" w:cs="Times New Roman"/>
                <w:sz w:val="24"/>
                <w:highlight w:val="none"/>
                <w:lang w:val="en-US" w:eastAsia="zh-CN"/>
              </w:rPr>
              <w:t>。</w:t>
            </w:r>
          </w:p>
          <w:p w14:paraId="2E18E0C3">
            <w:pPr>
              <w:spacing w:line="360" w:lineRule="auto"/>
              <w:ind w:firstLine="480"/>
              <w:rPr>
                <w:sz w:val="24"/>
                <w:highlight w:val="none"/>
              </w:rPr>
            </w:pPr>
            <w:r>
              <w:rPr>
                <w:rFonts w:hint="eastAsia"/>
                <w:sz w:val="24"/>
                <w:highlight w:val="none"/>
              </w:rPr>
              <w:t>（</w:t>
            </w:r>
            <w:r>
              <w:rPr>
                <w:sz w:val="24"/>
                <w:highlight w:val="none"/>
              </w:rPr>
              <w:t>2</w:t>
            </w:r>
            <w:r>
              <w:rPr>
                <w:rFonts w:hint="eastAsia"/>
                <w:sz w:val="24"/>
                <w:highlight w:val="none"/>
              </w:rPr>
              <w:t>）排水</w:t>
            </w:r>
          </w:p>
          <w:p w14:paraId="0B735323">
            <w:pPr>
              <w:spacing w:line="360" w:lineRule="auto"/>
              <w:ind w:firstLine="480"/>
              <w:rPr>
                <w:rFonts w:hint="default" w:eastAsia="宋体"/>
                <w:sz w:val="24"/>
                <w:highlight w:val="none"/>
                <w:lang w:val="en-US" w:eastAsia="zh-CN"/>
              </w:rPr>
            </w:pPr>
            <w:r>
              <w:rPr>
                <w:rFonts w:hint="eastAsia"/>
                <w:sz w:val="24"/>
                <w:highlight w:val="none"/>
              </w:rPr>
              <w:t>项目废水主要为生活污水</w:t>
            </w:r>
            <w:r>
              <w:rPr>
                <w:rFonts w:hint="eastAsia"/>
                <w:sz w:val="24"/>
                <w:highlight w:val="none"/>
                <w:lang w:val="en-US" w:eastAsia="zh-CN"/>
              </w:rPr>
              <w:t>和碱液喷淋废水（废碱液）</w:t>
            </w:r>
          </w:p>
          <w:p w14:paraId="2B29E986">
            <w:pPr>
              <w:spacing w:line="360" w:lineRule="auto"/>
              <w:ind w:firstLine="480"/>
              <w:rPr>
                <w:rFonts w:hint="eastAsia" w:ascii="Times New Roman" w:hAnsi="Times New Roman" w:eastAsia="宋体" w:cs="Times New Roman"/>
                <w:sz w:val="24"/>
                <w:highlight w:val="none"/>
                <w:lang w:val="en-US" w:eastAsia="zh-CN"/>
              </w:rPr>
            </w:pPr>
            <w:r>
              <w:rPr>
                <w:rFonts w:hint="eastAsia"/>
                <w:sz w:val="24"/>
                <w:highlight w:val="none"/>
                <w:lang w:val="en-US" w:eastAsia="zh-CN"/>
              </w:rPr>
              <w:t>生活污水：</w:t>
            </w:r>
            <w:r>
              <w:rPr>
                <w:rFonts w:hint="eastAsia"/>
                <w:sz w:val="24"/>
                <w:highlight w:val="none"/>
              </w:rPr>
              <w:t>生活污水产生量按用水量的</w:t>
            </w:r>
            <w:r>
              <w:rPr>
                <w:sz w:val="24"/>
                <w:highlight w:val="none"/>
              </w:rPr>
              <w:t>80%</w:t>
            </w:r>
            <w:r>
              <w:rPr>
                <w:rFonts w:hint="eastAsia"/>
                <w:sz w:val="24"/>
                <w:highlight w:val="none"/>
              </w:rPr>
              <w:t>计，则生活污水产生量为</w:t>
            </w:r>
            <w:r>
              <w:rPr>
                <w:rFonts w:hint="eastAsia"/>
                <w:sz w:val="24"/>
                <w:highlight w:val="none"/>
                <w:lang w:val="en-US" w:eastAsia="zh-CN"/>
              </w:rPr>
              <w:t>0.144</w:t>
            </w:r>
            <w:r>
              <w:rPr>
                <w:sz w:val="24"/>
                <w:highlight w:val="none"/>
              </w:rPr>
              <w:t>m</w:t>
            </w:r>
            <w:r>
              <w:rPr>
                <w:sz w:val="24"/>
                <w:highlight w:val="none"/>
                <w:vertAlign w:val="superscript"/>
              </w:rPr>
              <w:t>3</w:t>
            </w:r>
            <w:r>
              <w:rPr>
                <w:sz w:val="24"/>
                <w:highlight w:val="none"/>
              </w:rPr>
              <w:t>/d</w:t>
            </w:r>
            <w:r>
              <w:rPr>
                <w:rFonts w:hint="eastAsia"/>
                <w:sz w:val="24"/>
                <w:highlight w:val="none"/>
              </w:rPr>
              <w:t>（</w:t>
            </w:r>
            <w:r>
              <w:rPr>
                <w:rFonts w:hint="eastAsia"/>
                <w:sz w:val="24"/>
                <w:highlight w:val="none"/>
                <w:lang w:val="en-US" w:eastAsia="zh-CN"/>
              </w:rPr>
              <w:t>52.8</w:t>
            </w:r>
            <w:r>
              <w:rPr>
                <w:sz w:val="24"/>
                <w:highlight w:val="none"/>
              </w:rPr>
              <w:t>m</w:t>
            </w:r>
            <w:r>
              <w:rPr>
                <w:sz w:val="24"/>
                <w:highlight w:val="none"/>
                <w:vertAlign w:val="superscript"/>
              </w:rPr>
              <w:t>3</w:t>
            </w:r>
            <w:r>
              <w:rPr>
                <w:sz w:val="24"/>
                <w:highlight w:val="none"/>
              </w:rPr>
              <w:t>/a</w:t>
            </w:r>
            <w:r>
              <w:rPr>
                <w:rFonts w:hint="eastAsia"/>
                <w:sz w:val="24"/>
                <w:highlight w:val="none"/>
              </w:rPr>
              <w:t>）。</w:t>
            </w:r>
            <w:r>
              <w:rPr>
                <w:rFonts w:hint="eastAsia"/>
                <w:sz w:val="24"/>
                <w:highlight w:val="none"/>
                <w:lang w:val="en-US" w:eastAsia="zh-CN"/>
              </w:rPr>
              <w:t>生活污水依托</w:t>
            </w:r>
            <w:r>
              <w:rPr>
                <w:rFonts w:hint="eastAsia"/>
                <w:sz w:val="24"/>
                <w:highlight w:val="none"/>
              </w:rPr>
              <w:t>承德坤元环保科技有限公司</w:t>
            </w:r>
            <w:r>
              <w:rPr>
                <w:rFonts w:hint="eastAsia"/>
                <w:sz w:val="24"/>
                <w:highlight w:val="none"/>
                <w:lang w:val="en-US" w:eastAsia="zh-CN"/>
              </w:rPr>
              <w:t>化粪池处理后定期抽排至</w:t>
            </w:r>
            <w:r>
              <w:rPr>
                <w:rFonts w:hint="eastAsia" w:ascii="Times New Roman" w:hAnsi="Times New Roman" w:eastAsia="宋体" w:cs="Times New Roman"/>
                <w:sz w:val="24"/>
                <w:highlight w:val="none"/>
                <w:lang w:val="en-US" w:eastAsia="zh-CN"/>
              </w:rPr>
              <w:t>宽城碧水源环保有限公司。</w:t>
            </w:r>
          </w:p>
          <w:p w14:paraId="2813DB3C">
            <w:pPr>
              <w:spacing w:line="360" w:lineRule="auto"/>
              <w:ind w:firstLine="480"/>
              <w:rPr>
                <w:rFonts w:hint="default" w:ascii="Times New Roman" w:hAnsi="Times New Roman" w:eastAsia="宋体" w:cs="Times New Roman"/>
                <w:sz w:val="24"/>
                <w:highlight w:val="none"/>
                <w:lang w:val="en-US" w:eastAsia="zh-CN"/>
              </w:rPr>
            </w:pPr>
            <w:r>
              <w:rPr>
                <w:rFonts w:hint="eastAsia"/>
                <w:sz w:val="24"/>
                <w:highlight w:val="none"/>
                <w:lang w:val="en-US" w:eastAsia="zh-CN"/>
              </w:rPr>
              <w:t>碱液喷淋废水（废碱液）：废碱液产</w:t>
            </w:r>
            <w:r>
              <w:rPr>
                <w:rFonts w:hint="eastAsia" w:ascii="Times New Roman" w:hAnsi="Times New Roman" w:eastAsia="宋体" w:cs="Times New Roman"/>
                <w:sz w:val="24"/>
                <w:highlight w:val="none"/>
                <w:lang w:val="en-US" w:eastAsia="zh-CN"/>
              </w:rPr>
              <w:t>生量为261.07</w:t>
            </w:r>
            <w:r>
              <w:rPr>
                <w:rFonts w:hint="default" w:ascii="Times New Roman" w:hAnsi="Times New Roman" w:eastAsia="宋体" w:cs="Times New Roman"/>
                <w:sz w:val="24"/>
                <w:highlight w:val="none"/>
                <w:lang w:val="en-US" w:eastAsia="zh-CN"/>
              </w:rPr>
              <w:t>m</w:t>
            </w:r>
            <w:r>
              <w:rPr>
                <w:rFonts w:hint="default" w:ascii="Times New Roman" w:hAnsi="Times New Roman" w:eastAsia="宋体" w:cs="Times New Roman"/>
                <w:sz w:val="24"/>
                <w:highlight w:val="none"/>
                <w:vertAlign w:val="superscript"/>
                <w:lang w:val="en-US" w:eastAsia="zh-CN"/>
              </w:rPr>
              <w:t>3</w:t>
            </w:r>
            <w:r>
              <w:rPr>
                <w:rFonts w:hint="default" w:ascii="Times New Roman" w:hAnsi="Times New Roman" w:eastAsia="宋体" w:cs="Times New Roman"/>
                <w:sz w:val="24"/>
                <w:highlight w:val="none"/>
                <w:lang w:val="en-US" w:eastAsia="zh-CN"/>
              </w:rPr>
              <w:t>/a，</w:t>
            </w:r>
            <w:r>
              <w:rPr>
                <w:rFonts w:hint="eastAsia" w:ascii="Times New Roman" w:hAnsi="Times New Roman"/>
                <w:kern w:val="0"/>
                <w:sz w:val="24"/>
                <w:highlight w:val="none"/>
              </w:rPr>
              <w:t>废碱液按照危险废物处理</w:t>
            </w:r>
            <w:r>
              <w:rPr>
                <w:rFonts w:hint="default" w:ascii="Times New Roman" w:hAnsi="Times New Roman" w:eastAsia="宋体" w:cs="Times New Roman"/>
                <w:sz w:val="24"/>
                <w:highlight w:val="none"/>
                <w:lang w:val="en-US" w:eastAsia="zh-CN"/>
              </w:rPr>
              <w:t>，</w:t>
            </w:r>
            <w:r>
              <w:rPr>
                <w:rFonts w:hint="eastAsia" w:ascii="Times New Roman" w:hAnsi="Times New Roman" w:eastAsia="宋体" w:cs="Times New Roman"/>
                <w:sz w:val="24"/>
                <w:highlight w:val="none"/>
                <w:lang w:val="en-US" w:eastAsia="zh-CN"/>
              </w:rPr>
              <w:t>贮存于</w:t>
            </w:r>
            <w:r>
              <w:rPr>
                <w:rFonts w:hint="eastAsia" w:cs="Times New Roman"/>
                <w:sz w:val="24"/>
                <w:highlight w:val="none"/>
                <w:lang w:val="en-US" w:eastAsia="zh-CN"/>
              </w:rPr>
              <w:t>危险废物收集贮存库</w:t>
            </w:r>
            <w:r>
              <w:rPr>
                <w:rFonts w:hint="eastAsia" w:ascii="Times New Roman" w:hAnsi="Times New Roman" w:eastAsia="宋体" w:cs="Times New Roman"/>
                <w:sz w:val="24"/>
                <w:highlight w:val="none"/>
                <w:lang w:val="en-US" w:eastAsia="zh-CN"/>
              </w:rPr>
              <w:t>HW35区域内，定期由有资质单位处置。</w:t>
            </w:r>
          </w:p>
          <w:p w14:paraId="21ACD6CF">
            <w:pPr>
              <w:spacing w:line="360" w:lineRule="auto"/>
              <w:ind w:firstLine="480"/>
              <w:rPr>
                <w:sz w:val="24"/>
                <w:highlight w:val="none"/>
              </w:rPr>
            </w:pPr>
            <w:r>
              <w:rPr>
                <w:rFonts w:hint="eastAsia"/>
                <w:sz w:val="24"/>
                <w:highlight w:val="none"/>
              </w:rPr>
              <w:t>（</w:t>
            </w:r>
            <w:r>
              <w:rPr>
                <w:sz w:val="24"/>
                <w:highlight w:val="none"/>
              </w:rPr>
              <w:t>3</w:t>
            </w:r>
            <w:r>
              <w:rPr>
                <w:rFonts w:hint="eastAsia"/>
                <w:sz w:val="24"/>
                <w:highlight w:val="none"/>
              </w:rPr>
              <w:t>）给排水平衡</w:t>
            </w:r>
          </w:p>
          <w:p w14:paraId="1925CCB4">
            <w:pPr>
              <w:spacing w:line="360" w:lineRule="auto"/>
              <w:ind w:firstLine="480"/>
              <w:rPr>
                <w:sz w:val="24"/>
                <w:highlight w:val="none"/>
              </w:rPr>
            </w:pPr>
            <w:r>
              <w:rPr>
                <w:rFonts w:hint="eastAsia"/>
                <w:sz w:val="24"/>
                <w:highlight w:val="none"/>
              </w:rPr>
              <w:t>项目水平衡详见下表：</w:t>
            </w:r>
          </w:p>
          <w:p w14:paraId="02A1823E">
            <w:pPr>
              <w:pStyle w:val="48"/>
              <w:numPr>
                <w:ilvl w:val="0"/>
                <w:numId w:val="4"/>
              </w:numPr>
              <w:spacing w:line="360" w:lineRule="auto"/>
              <w:ind w:left="0" w:firstLine="0" w:firstLineChars="0"/>
              <w:jc w:val="center"/>
              <w:rPr>
                <w:rFonts w:ascii="Times New Roman" w:hAnsi="Times New Roman" w:eastAsia="宋体"/>
                <w:b/>
                <w:sz w:val="21"/>
                <w:highlight w:val="none"/>
              </w:rPr>
            </w:pPr>
            <w:r>
              <w:rPr>
                <w:rFonts w:hint="eastAsia" w:ascii="宋体" w:hAnsi="宋体" w:eastAsia="宋体"/>
                <w:b/>
                <w:sz w:val="21"/>
                <w:highlight w:val="none"/>
              </w:rPr>
              <w:t>项目水平衡情况一览表</w:t>
            </w:r>
            <w:r>
              <w:rPr>
                <w:rFonts w:ascii="Times New Roman" w:hAnsi="Times New Roman" w:eastAsia="宋体"/>
                <w:b/>
                <w:sz w:val="21"/>
                <w:highlight w:val="none"/>
              </w:rPr>
              <w:t>（单位：m</w:t>
            </w:r>
            <w:r>
              <w:rPr>
                <w:rFonts w:ascii="Times New Roman" w:hAnsi="Times New Roman" w:eastAsia="宋体"/>
                <w:b/>
                <w:sz w:val="21"/>
                <w:highlight w:val="none"/>
                <w:vertAlign w:val="superscript"/>
              </w:rPr>
              <w:t>3</w:t>
            </w:r>
            <w:r>
              <w:rPr>
                <w:rFonts w:ascii="Times New Roman" w:hAnsi="Times New Roman" w:eastAsia="宋体"/>
                <w:b/>
                <w:sz w:val="21"/>
                <w:highlight w:val="none"/>
              </w:rPr>
              <w:t>/</w:t>
            </w:r>
            <w:r>
              <w:rPr>
                <w:rFonts w:hint="eastAsia" w:ascii="Times New Roman" w:hAnsi="Times New Roman" w:eastAsia="宋体"/>
                <w:b/>
                <w:sz w:val="21"/>
                <w:highlight w:val="none"/>
                <w:lang w:val="en-US" w:eastAsia="zh-CN"/>
              </w:rPr>
              <w:t>a</w:t>
            </w:r>
            <w:r>
              <w:rPr>
                <w:rFonts w:ascii="Times New Roman" w:hAnsi="Times New Roman" w:eastAsia="宋体"/>
                <w:b/>
                <w:sz w:val="21"/>
                <w:highlight w:val="none"/>
              </w:rPr>
              <w:t>）</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32"/>
              <w:gridCol w:w="1764"/>
              <w:gridCol w:w="2033"/>
              <w:gridCol w:w="1862"/>
              <w:gridCol w:w="1684"/>
            </w:tblGrid>
            <w:tr w14:paraId="0C8583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16" w:type="pct"/>
                  <w:tcBorders>
                    <w:top w:val="single" w:color="auto" w:sz="4" w:space="0"/>
                    <w:left w:val="single" w:color="auto" w:sz="4" w:space="0"/>
                    <w:bottom w:val="single" w:color="auto" w:sz="4" w:space="0"/>
                    <w:right w:val="single" w:color="auto" w:sz="4" w:space="0"/>
                  </w:tcBorders>
                  <w:vAlign w:val="center"/>
                </w:tcPr>
                <w:p w14:paraId="11F7246D">
                  <w:pPr>
                    <w:adjustRightInd w:val="0"/>
                    <w:snapToGrid w:val="0"/>
                    <w:jc w:val="center"/>
                    <w:rPr>
                      <w:b/>
                      <w:szCs w:val="21"/>
                      <w:highlight w:val="none"/>
                    </w:rPr>
                  </w:pPr>
                  <w:r>
                    <w:rPr>
                      <w:rFonts w:hint="eastAsia"/>
                      <w:b/>
                      <w:szCs w:val="21"/>
                      <w:highlight w:val="none"/>
                    </w:rPr>
                    <w:t>序号</w:t>
                  </w:r>
                </w:p>
              </w:tc>
              <w:tc>
                <w:tcPr>
                  <w:tcW w:w="1053" w:type="pct"/>
                  <w:tcBorders>
                    <w:top w:val="single" w:color="auto" w:sz="4" w:space="0"/>
                    <w:left w:val="single" w:color="auto" w:sz="4" w:space="0"/>
                    <w:bottom w:val="single" w:color="auto" w:sz="4" w:space="0"/>
                    <w:right w:val="single" w:color="auto" w:sz="4" w:space="0"/>
                  </w:tcBorders>
                  <w:vAlign w:val="center"/>
                </w:tcPr>
                <w:p w14:paraId="513D3640">
                  <w:pPr>
                    <w:adjustRightInd w:val="0"/>
                    <w:snapToGrid w:val="0"/>
                    <w:jc w:val="center"/>
                    <w:rPr>
                      <w:b/>
                      <w:szCs w:val="21"/>
                      <w:highlight w:val="none"/>
                    </w:rPr>
                  </w:pPr>
                  <w:r>
                    <w:rPr>
                      <w:rFonts w:hint="eastAsia"/>
                      <w:b/>
                      <w:szCs w:val="21"/>
                      <w:highlight w:val="none"/>
                    </w:rPr>
                    <w:t>项目</w:t>
                  </w:r>
                </w:p>
              </w:tc>
              <w:tc>
                <w:tcPr>
                  <w:tcW w:w="1213" w:type="pct"/>
                  <w:tcBorders>
                    <w:top w:val="single" w:color="auto" w:sz="4" w:space="0"/>
                    <w:left w:val="single" w:color="auto" w:sz="4" w:space="0"/>
                    <w:bottom w:val="single" w:color="auto" w:sz="4" w:space="0"/>
                    <w:right w:val="single" w:color="auto" w:sz="4" w:space="0"/>
                  </w:tcBorders>
                  <w:vAlign w:val="center"/>
                </w:tcPr>
                <w:p w14:paraId="09DF630F">
                  <w:pPr>
                    <w:adjustRightInd w:val="0"/>
                    <w:snapToGrid w:val="0"/>
                    <w:jc w:val="center"/>
                    <w:rPr>
                      <w:b/>
                      <w:szCs w:val="21"/>
                      <w:highlight w:val="none"/>
                    </w:rPr>
                  </w:pPr>
                  <w:r>
                    <w:rPr>
                      <w:rFonts w:hint="eastAsia"/>
                      <w:b/>
                      <w:szCs w:val="21"/>
                      <w:highlight w:val="none"/>
                    </w:rPr>
                    <w:t>新鲜水用量</w:t>
                  </w:r>
                </w:p>
              </w:tc>
              <w:tc>
                <w:tcPr>
                  <w:tcW w:w="1111" w:type="pct"/>
                  <w:tcBorders>
                    <w:top w:val="single" w:color="auto" w:sz="4" w:space="0"/>
                    <w:left w:val="single" w:color="auto" w:sz="4" w:space="0"/>
                    <w:bottom w:val="single" w:color="auto" w:sz="4" w:space="0"/>
                    <w:right w:val="single" w:color="auto" w:sz="4" w:space="0"/>
                  </w:tcBorders>
                  <w:vAlign w:val="center"/>
                </w:tcPr>
                <w:p w14:paraId="59E7E919">
                  <w:pPr>
                    <w:widowControl/>
                    <w:jc w:val="center"/>
                    <w:rPr>
                      <w:rFonts w:eastAsiaTheme="minorEastAsia"/>
                      <w:b/>
                      <w:szCs w:val="21"/>
                      <w:highlight w:val="none"/>
                    </w:rPr>
                  </w:pPr>
                  <w:r>
                    <w:rPr>
                      <w:rFonts w:hint="eastAsia"/>
                      <w:b/>
                      <w:bCs/>
                      <w:kern w:val="0"/>
                      <w:szCs w:val="21"/>
                      <w:highlight w:val="none"/>
                    </w:rPr>
                    <w:t>消耗量</w:t>
                  </w:r>
                </w:p>
              </w:tc>
              <w:tc>
                <w:tcPr>
                  <w:tcW w:w="1005" w:type="pct"/>
                  <w:tcBorders>
                    <w:top w:val="single" w:color="auto" w:sz="4" w:space="0"/>
                    <w:left w:val="single" w:color="auto" w:sz="4" w:space="0"/>
                    <w:bottom w:val="single" w:color="auto" w:sz="4" w:space="0"/>
                    <w:right w:val="single" w:color="auto" w:sz="4" w:space="0"/>
                  </w:tcBorders>
                  <w:vAlign w:val="center"/>
                </w:tcPr>
                <w:p w14:paraId="106BA429">
                  <w:pPr>
                    <w:widowControl/>
                    <w:jc w:val="center"/>
                    <w:rPr>
                      <w:b/>
                      <w:szCs w:val="21"/>
                      <w:highlight w:val="none"/>
                    </w:rPr>
                  </w:pPr>
                  <w:r>
                    <w:rPr>
                      <w:rFonts w:hint="eastAsia"/>
                      <w:b/>
                      <w:bCs/>
                      <w:kern w:val="0"/>
                      <w:szCs w:val="21"/>
                      <w:highlight w:val="none"/>
                    </w:rPr>
                    <w:t>排水量</w:t>
                  </w:r>
                </w:p>
              </w:tc>
            </w:tr>
            <w:tr w14:paraId="0D9BFF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7" w:hRule="atLeast"/>
                <w:jc w:val="center"/>
              </w:trPr>
              <w:tc>
                <w:tcPr>
                  <w:tcW w:w="616" w:type="pct"/>
                  <w:tcBorders>
                    <w:top w:val="single" w:color="auto" w:sz="4" w:space="0"/>
                    <w:left w:val="single" w:color="auto" w:sz="4" w:space="0"/>
                    <w:bottom w:val="single" w:color="auto" w:sz="4" w:space="0"/>
                    <w:right w:val="single" w:color="auto" w:sz="4" w:space="0"/>
                  </w:tcBorders>
                  <w:vAlign w:val="center"/>
                </w:tcPr>
                <w:p w14:paraId="78FF6320">
                  <w:pPr>
                    <w:adjustRightInd w:val="0"/>
                    <w:snapToGrid w:val="0"/>
                    <w:jc w:val="center"/>
                    <w:rPr>
                      <w:bCs/>
                      <w:szCs w:val="21"/>
                      <w:highlight w:val="none"/>
                    </w:rPr>
                  </w:pPr>
                  <w:r>
                    <w:rPr>
                      <w:bCs/>
                      <w:szCs w:val="21"/>
                      <w:highlight w:val="none"/>
                    </w:rPr>
                    <w:t>1</w:t>
                  </w:r>
                </w:p>
              </w:tc>
              <w:tc>
                <w:tcPr>
                  <w:tcW w:w="1053" w:type="pct"/>
                  <w:tcBorders>
                    <w:top w:val="single" w:color="auto" w:sz="4" w:space="0"/>
                    <w:left w:val="single" w:color="auto" w:sz="4" w:space="0"/>
                    <w:bottom w:val="single" w:color="auto" w:sz="4" w:space="0"/>
                    <w:right w:val="single" w:color="auto" w:sz="4" w:space="0"/>
                  </w:tcBorders>
                  <w:vAlign w:val="center"/>
                </w:tcPr>
                <w:p w14:paraId="788AB171">
                  <w:pPr>
                    <w:jc w:val="center"/>
                    <w:rPr>
                      <w:rFonts w:eastAsiaTheme="minorEastAsia"/>
                      <w:szCs w:val="16"/>
                      <w:highlight w:val="none"/>
                    </w:rPr>
                  </w:pPr>
                  <w:r>
                    <w:rPr>
                      <w:rFonts w:hint="eastAsia"/>
                      <w:szCs w:val="16"/>
                      <w:highlight w:val="none"/>
                    </w:rPr>
                    <w:t>生活用水</w:t>
                  </w:r>
                </w:p>
              </w:tc>
              <w:tc>
                <w:tcPr>
                  <w:tcW w:w="1213" w:type="pct"/>
                  <w:tcBorders>
                    <w:top w:val="single" w:color="auto" w:sz="4" w:space="0"/>
                    <w:left w:val="single" w:color="auto" w:sz="4" w:space="0"/>
                    <w:bottom w:val="single" w:color="auto" w:sz="4" w:space="0"/>
                    <w:right w:val="single" w:color="auto" w:sz="4" w:space="0"/>
                  </w:tcBorders>
                  <w:vAlign w:val="center"/>
                </w:tcPr>
                <w:p w14:paraId="7CFCF2A3">
                  <w:pPr>
                    <w:widowControl/>
                    <w:jc w:val="center"/>
                    <w:textAlignment w:val="center"/>
                    <w:rPr>
                      <w:rFonts w:hint="default" w:eastAsia="宋体"/>
                      <w:szCs w:val="16"/>
                      <w:highlight w:val="none"/>
                      <w:lang w:val="en-US" w:eastAsia="zh-CN"/>
                    </w:rPr>
                  </w:pPr>
                  <w:r>
                    <w:rPr>
                      <w:rFonts w:hint="eastAsia"/>
                      <w:szCs w:val="16"/>
                      <w:highlight w:val="none"/>
                      <w:lang w:val="en-US" w:eastAsia="zh-CN"/>
                    </w:rPr>
                    <w:t>66</w:t>
                  </w:r>
                </w:p>
              </w:tc>
              <w:tc>
                <w:tcPr>
                  <w:tcW w:w="1111" w:type="pct"/>
                  <w:tcBorders>
                    <w:top w:val="single" w:color="auto" w:sz="4" w:space="0"/>
                    <w:left w:val="single" w:color="auto" w:sz="4" w:space="0"/>
                    <w:bottom w:val="single" w:color="auto" w:sz="4" w:space="0"/>
                    <w:right w:val="single" w:color="auto" w:sz="4" w:space="0"/>
                  </w:tcBorders>
                  <w:vAlign w:val="center"/>
                </w:tcPr>
                <w:p w14:paraId="0EF5448A">
                  <w:pPr>
                    <w:widowControl/>
                    <w:jc w:val="center"/>
                    <w:textAlignment w:val="center"/>
                    <w:rPr>
                      <w:rFonts w:hint="default" w:eastAsia="宋体"/>
                      <w:szCs w:val="16"/>
                      <w:highlight w:val="none"/>
                      <w:lang w:val="en-US" w:eastAsia="zh-CN"/>
                    </w:rPr>
                  </w:pPr>
                  <w:r>
                    <w:rPr>
                      <w:rFonts w:hint="eastAsia"/>
                      <w:szCs w:val="16"/>
                      <w:highlight w:val="none"/>
                      <w:lang w:val="en-US" w:eastAsia="zh-CN"/>
                    </w:rPr>
                    <w:t>13.2</w:t>
                  </w:r>
                </w:p>
              </w:tc>
              <w:tc>
                <w:tcPr>
                  <w:tcW w:w="1005" w:type="pct"/>
                  <w:tcBorders>
                    <w:top w:val="single" w:color="auto" w:sz="4" w:space="0"/>
                    <w:left w:val="single" w:color="auto" w:sz="4" w:space="0"/>
                    <w:bottom w:val="single" w:color="auto" w:sz="4" w:space="0"/>
                    <w:right w:val="single" w:color="auto" w:sz="4" w:space="0"/>
                  </w:tcBorders>
                  <w:vAlign w:val="center"/>
                </w:tcPr>
                <w:p w14:paraId="7887D24E">
                  <w:pPr>
                    <w:widowControl/>
                    <w:jc w:val="center"/>
                    <w:textAlignment w:val="center"/>
                    <w:rPr>
                      <w:rFonts w:hint="default" w:eastAsia="宋体"/>
                      <w:szCs w:val="16"/>
                      <w:highlight w:val="none"/>
                      <w:lang w:val="en-US" w:eastAsia="zh-CN"/>
                    </w:rPr>
                  </w:pPr>
                  <w:r>
                    <w:rPr>
                      <w:rFonts w:hint="eastAsia"/>
                      <w:szCs w:val="16"/>
                      <w:highlight w:val="none"/>
                      <w:lang w:val="en-US" w:eastAsia="zh-CN"/>
                    </w:rPr>
                    <w:t>52.8</w:t>
                  </w:r>
                </w:p>
              </w:tc>
            </w:tr>
            <w:tr w14:paraId="6788CF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16" w:type="pct"/>
                  <w:tcBorders>
                    <w:top w:val="single" w:color="auto" w:sz="4" w:space="0"/>
                    <w:left w:val="single" w:color="auto" w:sz="4" w:space="0"/>
                    <w:bottom w:val="single" w:color="auto" w:sz="4" w:space="0"/>
                    <w:right w:val="single" w:color="auto" w:sz="4" w:space="0"/>
                  </w:tcBorders>
                  <w:vAlign w:val="center"/>
                </w:tcPr>
                <w:p w14:paraId="4E8A99A1">
                  <w:pPr>
                    <w:adjustRightInd w:val="0"/>
                    <w:snapToGrid w:val="0"/>
                    <w:jc w:val="center"/>
                    <w:rPr>
                      <w:rFonts w:hint="eastAsia" w:eastAsia="宋体"/>
                      <w:bCs/>
                      <w:szCs w:val="21"/>
                      <w:highlight w:val="none"/>
                      <w:lang w:val="en-US" w:eastAsia="zh-CN"/>
                    </w:rPr>
                  </w:pPr>
                  <w:r>
                    <w:rPr>
                      <w:rFonts w:hint="eastAsia"/>
                      <w:bCs/>
                      <w:szCs w:val="21"/>
                      <w:highlight w:val="none"/>
                      <w:lang w:val="en-US" w:eastAsia="zh-CN"/>
                    </w:rPr>
                    <w:t>2</w:t>
                  </w:r>
                </w:p>
              </w:tc>
              <w:tc>
                <w:tcPr>
                  <w:tcW w:w="1053" w:type="pct"/>
                  <w:tcBorders>
                    <w:top w:val="single" w:color="auto" w:sz="4" w:space="0"/>
                    <w:left w:val="single" w:color="auto" w:sz="4" w:space="0"/>
                    <w:bottom w:val="single" w:color="auto" w:sz="4" w:space="0"/>
                    <w:right w:val="single" w:color="auto" w:sz="4" w:space="0"/>
                  </w:tcBorders>
                  <w:vAlign w:val="center"/>
                </w:tcPr>
                <w:p w14:paraId="18E6C481">
                  <w:pPr>
                    <w:jc w:val="center"/>
                    <w:rPr>
                      <w:rFonts w:hint="default" w:eastAsia="宋体"/>
                      <w:szCs w:val="16"/>
                      <w:highlight w:val="none"/>
                      <w:lang w:val="en-US" w:eastAsia="zh-CN"/>
                    </w:rPr>
                  </w:pPr>
                  <w:r>
                    <w:rPr>
                      <w:rFonts w:hint="eastAsia"/>
                      <w:szCs w:val="16"/>
                      <w:highlight w:val="none"/>
                      <w:lang w:val="en-US" w:eastAsia="zh-CN"/>
                    </w:rPr>
                    <w:t>碱液喷淋用水</w:t>
                  </w:r>
                </w:p>
              </w:tc>
              <w:tc>
                <w:tcPr>
                  <w:tcW w:w="1213" w:type="pct"/>
                  <w:tcBorders>
                    <w:top w:val="single" w:color="auto" w:sz="4" w:space="0"/>
                    <w:left w:val="single" w:color="auto" w:sz="4" w:space="0"/>
                    <w:bottom w:val="single" w:color="auto" w:sz="4" w:space="0"/>
                    <w:right w:val="single" w:color="auto" w:sz="4" w:space="0"/>
                  </w:tcBorders>
                  <w:vAlign w:val="center"/>
                </w:tcPr>
                <w:p w14:paraId="06DB8683">
                  <w:pPr>
                    <w:widowControl/>
                    <w:jc w:val="center"/>
                    <w:textAlignment w:val="center"/>
                    <w:rPr>
                      <w:rFonts w:hint="default"/>
                      <w:szCs w:val="16"/>
                      <w:highlight w:val="none"/>
                      <w:lang w:val="en-US" w:eastAsia="zh-CN"/>
                    </w:rPr>
                  </w:pPr>
                  <w:r>
                    <w:rPr>
                      <w:rFonts w:hint="eastAsia"/>
                      <w:szCs w:val="16"/>
                      <w:highlight w:val="none"/>
                      <w:lang w:val="en-US" w:eastAsia="zh-CN"/>
                    </w:rPr>
                    <w:t>261.07</w:t>
                  </w:r>
                </w:p>
              </w:tc>
              <w:tc>
                <w:tcPr>
                  <w:tcW w:w="1111" w:type="pct"/>
                  <w:tcBorders>
                    <w:top w:val="single" w:color="auto" w:sz="4" w:space="0"/>
                    <w:left w:val="single" w:color="auto" w:sz="4" w:space="0"/>
                    <w:bottom w:val="single" w:color="auto" w:sz="4" w:space="0"/>
                    <w:right w:val="single" w:color="auto" w:sz="4" w:space="0"/>
                  </w:tcBorders>
                  <w:vAlign w:val="center"/>
                </w:tcPr>
                <w:p w14:paraId="491D0E86">
                  <w:pPr>
                    <w:widowControl/>
                    <w:jc w:val="center"/>
                    <w:textAlignment w:val="center"/>
                    <w:rPr>
                      <w:rFonts w:hint="default"/>
                      <w:szCs w:val="16"/>
                      <w:highlight w:val="none"/>
                      <w:lang w:val="en-US" w:eastAsia="zh-CN"/>
                    </w:rPr>
                  </w:pPr>
                  <w:r>
                    <w:rPr>
                      <w:rFonts w:hint="eastAsia"/>
                      <w:szCs w:val="16"/>
                      <w:highlight w:val="none"/>
                      <w:lang w:val="en-US" w:eastAsia="zh-CN"/>
                    </w:rPr>
                    <w:t>0</w:t>
                  </w:r>
                </w:p>
              </w:tc>
              <w:tc>
                <w:tcPr>
                  <w:tcW w:w="1005" w:type="pct"/>
                  <w:tcBorders>
                    <w:top w:val="single" w:color="auto" w:sz="4" w:space="0"/>
                    <w:left w:val="single" w:color="auto" w:sz="4" w:space="0"/>
                    <w:bottom w:val="single" w:color="auto" w:sz="4" w:space="0"/>
                    <w:right w:val="single" w:color="auto" w:sz="4" w:space="0"/>
                  </w:tcBorders>
                  <w:vAlign w:val="center"/>
                </w:tcPr>
                <w:p w14:paraId="378859F0">
                  <w:pPr>
                    <w:widowControl/>
                    <w:jc w:val="center"/>
                    <w:textAlignment w:val="center"/>
                    <w:rPr>
                      <w:rFonts w:hint="default"/>
                      <w:szCs w:val="16"/>
                      <w:highlight w:val="none"/>
                      <w:lang w:val="en-US" w:eastAsia="zh-CN"/>
                    </w:rPr>
                  </w:pPr>
                  <w:r>
                    <w:rPr>
                      <w:rFonts w:hint="eastAsia"/>
                      <w:szCs w:val="16"/>
                      <w:highlight w:val="none"/>
                      <w:lang w:val="en-US" w:eastAsia="zh-CN"/>
                    </w:rPr>
                    <w:t>261.07</w:t>
                  </w:r>
                </w:p>
              </w:tc>
            </w:tr>
          </w:tbl>
          <w:p w14:paraId="08DCCDAB">
            <w:pPr>
              <w:spacing w:before="120" w:beforeLines="50" w:line="360" w:lineRule="auto"/>
              <w:ind w:firstLine="482"/>
              <w:jc w:val="left"/>
              <w:rPr>
                <w:rFonts w:hint="eastAsia" w:eastAsia="宋体"/>
                <w:sz w:val="24"/>
                <w:highlight w:val="none"/>
                <w:lang w:eastAsia="zh-CN"/>
              </w:rPr>
            </w:pPr>
            <w:r>
              <w:rPr>
                <w:rFonts w:hint="eastAsia"/>
                <w:sz w:val="24"/>
                <w:highlight w:val="none"/>
              </w:rPr>
              <w:t>项目水平衡情况示意图如下图所示：</w:t>
            </w:r>
            <w:r>
              <w:rPr>
                <w:rFonts w:hint="eastAsia" w:eastAsia="宋体"/>
                <w:sz w:val="24"/>
                <w:highlight w:val="none"/>
                <w:lang w:eastAsia="zh-CN"/>
              </w:rPr>
              <w:drawing>
                <wp:inline distT="0" distB="0" distL="114300" distR="114300">
                  <wp:extent cx="5323205" cy="1299210"/>
                  <wp:effectExtent l="0" t="0" r="0" b="0"/>
                  <wp:docPr id="12" name="ECB019B1-382A-4266-B25C-5B523AA43C14-1" desc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CB019B1-382A-4266-B25C-5B523AA43C14-1" descr="wps"/>
                          <pic:cNvPicPr>
                            <a:picLocks noChangeAspect="1"/>
                          </pic:cNvPicPr>
                        </pic:nvPicPr>
                        <pic:blipFill>
                          <a:blip r:embed="rId14"/>
                          <a:stretch>
                            <a:fillRect/>
                          </a:stretch>
                        </pic:blipFill>
                        <pic:spPr>
                          <a:xfrm>
                            <a:off x="0" y="0"/>
                            <a:ext cx="5323205" cy="1299210"/>
                          </a:xfrm>
                          <a:prstGeom prst="rect">
                            <a:avLst/>
                          </a:prstGeom>
                        </pic:spPr>
                      </pic:pic>
                    </a:graphicData>
                  </a:graphic>
                </wp:inline>
              </w:drawing>
            </w:r>
          </w:p>
          <w:p w14:paraId="25218770">
            <w:pPr>
              <w:pStyle w:val="2"/>
              <w:numPr>
                <w:ilvl w:val="0"/>
                <w:numId w:val="5"/>
              </w:numPr>
              <w:ind w:left="0" w:leftChars="0" w:firstLine="0"/>
              <w:rPr>
                <w:b/>
                <w:w w:val="100"/>
                <w:sz w:val="21"/>
                <w:highlight w:val="none"/>
              </w:rPr>
            </w:pPr>
            <w:r>
              <w:rPr>
                <w:rFonts w:hint="eastAsia"/>
                <w:b/>
                <w:w w:val="100"/>
                <w:sz w:val="21"/>
                <w:highlight w:val="none"/>
              </w:rPr>
              <w:t>项目水平衡情况示意图（单位：m</w:t>
            </w:r>
            <w:r>
              <w:rPr>
                <w:b/>
                <w:w w:val="100"/>
                <w:sz w:val="21"/>
                <w:highlight w:val="none"/>
                <w:vertAlign w:val="superscript"/>
              </w:rPr>
              <w:t>3</w:t>
            </w:r>
            <w:r>
              <w:rPr>
                <w:b/>
                <w:w w:val="100"/>
                <w:sz w:val="21"/>
                <w:highlight w:val="none"/>
              </w:rPr>
              <w:t>/</w:t>
            </w:r>
            <w:r>
              <w:rPr>
                <w:rFonts w:hint="eastAsia"/>
                <w:b/>
                <w:w w:val="100"/>
                <w:sz w:val="21"/>
                <w:highlight w:val="none"/>
                <w:lang w:val="en-US" w:eastAsia="zh-CN"/>
              </w:rPr>
              <w:t>a</w:t>
            </w:r>
            <w:r>
              <w:rPr>
                <w:rFonts w:hint="eastAsia"/>
                <w:b/>
                <w:w w:val="100"/>
                <w:sz w:val="21"/>
                <w:highlight w:val="none"/>
              </w:rPr>
              <w:t>）</w:t>
            </w:r>
          </w:p>
        </w:tc>
      </w:tr>
      <w:tr w14:paraId="098965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63" w:hRule="atLeast"/>
          <w:jc w:val="center"/>
        </w:trPr>
        <w:tc>
          <w:tcPr>
            <w:tcW w:w="823" w:type="dxa"/>
            <w:vAlign w:val="center"/>
          </w:tcPr>
          <w:p w14:paraId="79DB1DA3">
            <w:pPr>
              <w:adjustRightInd w:val="0"/>
              <w:snapToGrid w:val="0"/>
              <w:jc w:val="center"/>
              <w:rPr>
                <w:rFonts w:ascii="宋体" w:hAnsi="宋体" w:cs="宋体"/>
                <w:kern w:val="0"/>
                <w:sz w:val="24"/>
                <w:highlight w:val="none"/>
              </w:rPr>
            </w:pPr>
            <w:r>
              <w:rPr>
                <w:rFonts w:hint="eastAsia" w:ascii="宋体" w:hAnsi="宋体" w:cs="宋体"/>
                <w:kern w:val="0"/>
                <w:sz w:val="24"/>
                <w:highlight w:val="none"/>
              </w:rPr>
              <w:t>工艺流程和产排污环节</w:t>
            </w:r>
          </w:p>
        </w:tc>
        <w:tc>
          <w:tcPr>
            <w:tcW w:w="8161" w:type="dxa"/>
          </w:tcPr>
          <w:p w14:paraId="660CF118">
            <w:pPr>
              <w:spacing w:before="120" w:beforeLines="50" w:line="360" w:lineRule="auto"/>
              <w:ind w:firstLine="482" w:firstLineChars="200"/>
              <w:rPr>
                <w:b/>
                <w:sz w:val="24"/>
                <w:highlight w:val="none"/>
              </w:rPr>
            </w:pPr>
            <w:r>
              <w:rPr>
                <w:b/>
                <w:sz w:val="24"/>
                <w:highlight w:val="none"/>
              </w:rPr>
              <w:t>1．</w:t>
            </w:r>
            <w:r>
              <w:rPr>
                <w:rFonts w:hint="eastAsia"/>
                <w:b/>
                <w:sz w:val="24"/>
                <w:highlight w:val="none"/>
              </w:rPr>
              <w:t>施工期工艺流程</w:t>
            </w:r>
          </w:p>
          <w:p w14:paraId="501ABD40">
            <w:pPr>
              <w:spacing w:line="360" w:lineRule="auto"/>
              <w:ind w:firstLine="480" w:firstLineChars="200"/>
              <w:rPr>
                <w:bCs/>
                <w:sz w:val="24"/>
                <w:highlight w:val="none"/>
              </w:rPr>
            </w:pPr>
            <w:r>
              <w:rPr>
                <w:rFonts w:hint="eastAsia"/>
                <w:bCs/>
                <w:sz w:val="24"/>
                <w:highlight w:val="none"/>
              </w:rPr>
              <w:t>项目施工期主要为场地清理、</w:t>
            </w:r>
            <w:r>
              <w:rPr>
                <w:rFonts w:hint="eastAsia"/>
                <w:bCs/>
                <w:sz w:val="24"/>
                <w:highlight w:val="none"/>
                <w:lang w:val="en-US" w:eastAsia="zh-CN"/>
              </w:rPr>
              <w:t>危废间储存库、事故池</w:t>
            </w:r>
            <w:r>
              <w:rPr>
                <w:rFonts w:hint="eastAsia"/>
                <w:bCs/>
                <w:sz w:val="24"/>
                <w:highlight w:val="none"/>
              </w:rPr>
              <w:t>等工程，产污环节主要为车间建设等过程中产生的施工扬尘、施工设备噪声、固体废物等污染物。</w:t>
            </w:r>
          </w:p>
          <w:p w14:paraId="59324CF3">
            <w:pPr>
              <w:spacing w:line="360" w:lineRule="auto"/>
              <w:ind w:firstLine="480" w:firstLineChars="200"/>
              <w:rPr>
                <w:bCs/>
                <w:sz w:val="24"/>
                <w:highlight w:val="none"/>
              </w:rPr>
            </w:pPr>
            <w:r>
              <w:rPr>
                <w:rFonts w:hint="eastAsia"/>
                <w:bCs/>
                <w:sz w:val="24"/>
                <w:highlight w:val="none"/>
              </w:rPr>
              <w:t>施工期</w:t>
            </w:r>
            <w:r>
              <w:rPr>
                <w:bCs/>
                <w:sz w:val="24"/>
                <w:highlight w:val="none"/>
              </w:rPr>
              <w:t>工艺流程及产排污节点示意图如下图所示：</w:t>
            </w:r>
          </w:p>
          <w:p w14:paraId="79BEDEB1">
            <w:pPr>
              <w:pStyle w:val="2"/>
              <w:ind w:left="0" w:leftChars="0"/>
              <w:rPr>
                <w:highlight w:val="none"/>
              </w:rPr>
            </w:pPr>
            <w:r>
              <w:rPr>
                <w:highlight w:val="none"/>
              </w:rPr>
              <w:drawing>
                <wp:inline distT="0" distB="0" distL="114300" distR="114300">
                  <wp:extent cx="5323205" cy="2015490"/>
                  <wp:effectExtent l="0" t="0" r="10795" b="3810"/>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15"/>
                          <a:stretch>
                            <a:fillRect/>
                          </a:stretch>
                        </pic:blipFill>
                        <pic:spPr>
                          <a:xfrm>
                            <a:off x="0" y="0"/>
                            <a:ext cx="5323205" cy="2015490"/>
                          </a:xfrm>
                          <a:prstGeom prst="rect">
                            <a:avLst/>
                          </a:prstGeom>
                          <a:noFill/>
                          <a:ln>
                            <a:noFill/>
                          </a:ln>
                        </pic:spPr>
                      </pic:pic>
                    </a:graphicData>
                  </a:graphic>
                </wp:inline>
              </w:drawing>
            </w:r>
          </w:p>
          <w:p w14:paraId="3DC8B364">
            <w:pPr>
              <w:pStyle w:val="2"/>
              <w:numPr>
                <w:ilvl w:val="0"/>
                <w:numId w:val="5"/>
              </w:numPr>
              <w:ind w:left="0" w:leftChars="0" w:firstLine="0"/>
              <w:rPr>
                <w:b/>
                <w:w w:val="100"/>
                <w:sz w:val="21"/>
                <w:highlight w:val="none"/>
              </w:rPr>
            </w:pPr>
            <w:r>
              <w:rPr>
                <w:rFonts w:hint="eastAsia"/>
                <w:b/>
                <w:w w:val="100"/>
                <w:sz w:val="21"/>
                <w:highlight w:val="none"/>
              </w:rPr>
              <w:t>项目施工期工艺流程及产排污节点示意图</w:t>
            </w:r>
          </w:p>
          <w:p w14:paraId="5796DFA3">
            <w:pPr>
              <w:spacing w:line="360" w:lineRule="auto"/>
              <w:ind w:firstLine="482" w:firstLineChars="200"/>
              <w:rPr>
                <w:b/>
                <w:sz w:val="24"/>
                <w:highlight w:val="none"/>
              </w:rPr>
            </w:pPr>
            <w:r>
              <w:rPr>
                <w:b/>
                <w:sz w:val="24"/>
                <w:highlight w:val="none"/>
              </w:rPr>
              <w:t>2．</w:t>
            </w:r>
            <w:r>
              <w:rPr>
                <w:rFonts w:hint="eastAsia"/>
                <w:b/>
                <w:sz w:val="24"/>
                <w:highlight w:val="none"/>
              </w:rPr>
              <w:t>运营期工艺流程</w:t>
            </w:r>
          </w:p>
          <w:p w14:paraId="64897CBD">
            <w:pPr>
              <w:autoSpaceDE w:val="0"/>
              <w:autoSpaceDN w:val="0"/>
              <w:adjustRightInd w:val="0"/>
              <w:spacing w:line="360" w:lineRule="auto"/>
              <w:ind w:firstLine="480" w:firstLineChars="200"/>
              <w:rPr>
                <w:rFonts w:ascii="Times New Roman" w:hAnsi="Times New Roman"/>
                <w:sz w:val="24"/>
                <w:highlight w:val="none"/>
              </w:rPr>
            </w:pPr>
            <w:r>
              <w:rPr>
                <w:rFonts w:ascii="Times New Roman" w:hAnsi="Times New Roman"/>
                <w:sz w:val="24"/>
                <w:highlight w:val="none"/>
              </w:rPr>
              <w:t>（1）运输</w:t>
            </w:r>
          </w:p>
          <w:p w14:paraId="79CD6204">
            <w:pPr>
              <w:spacing w:line="360" w:lineRule="auto"/>
              <w:ind w:firstLine="480" w:firstLineChars="200"/>
              <w:jc w:val="left"/>
              <w:rPr>
                <w:rFonts w:ascii="Times New Roman" w:hAnsi="Times New Roman"/>
                <w:sz w:val="24"/>
                <w:highlight w:val="none"/>
                <w:lang w:bidi="ar"/>
              </w:rPr>
            </w:pPr>
            <w:r>
              <w:rPr>
                <w:rFonts w:hint="eastAsia" w:ascii="Times New Roman" w:hAnsi="Times New Roman"/>
                <w:sz w:val="24"/>
                <w:highlight w:val="none"/>
                <w:lang w:bidi="ar"/>
              </w:rPr>
              <w:t>本项目委托有危险废物运输资质的公司承担危险废物收运任务。</w:t>
            </w:r>
            <w:r>
              <w:rPr>
                <w:rFonts w:ascii="Times New Roman" w:hAnsi="Times New Roman"/>
                <w:sz w:val="24"/>
                <w:highlight w:val="none"/>
                <w:lang w:bidi="ar"/>
              </w:rPr>
              <w:t>危险废物运输线路的规划必须以本项目的地理位置、服务的区域范围、危险废物的类型及产生量、运输时间分配等因素综合考虑。转运路线确定的总体原则为：运输线路按照规定的路线限速行驶，尽可能避免运载危险废物的车辆穿越学校、医院和居民小区等人流密集区域，并尽可能避开饮用水水源保护区、自然保护区等敏感区域。运输过程中会产生噪声</w:t>
            </w:r>
          </w:p>
          <w:p w14:paraId="08B49BAD">
            <w:pPr>
              <w:pStyle w:val="76"/>
              <w:numPr>
                <w:ilvl w:val="0"/>
                <w:numId w:val="6"/>
              </w:numPr>
              <w:jc w:val="both"/>
              <w:rPr>
                <w:b w:val="0"/>
                <w:sz w:val="24"/>
                <w:szCs w:val="24"/>
                <w:highlight w:val="none"/>
              </w:rPr>
            </w:pPr>
            <w:r>
              <w:rPr>
                <w:b w:val="0"/>
                <w:sz w:val="24"/>
                <w:szCs w:val="24"/>
                <w:highlight w:val="none"/>
              </w:rPr>
              <w:t>装卸、分区贮存</w:t>
            </w:r>
          </w:p>
          <w:p w14:paraId="7FC492ED">
            <w:pPr>
              <w:pStyle w:val="76"/>
              <w:ind w:firstLine="480" w:firstLineChars="200"/>
              <w:jc w:val="both"/>
              <w:rPr>
                <w:b w:val="0"/>
                <w:sz w:val="24"/>
                <w:szCs w:val="24"/>
                <w:highlight w:val="none"/>
              </w:rPr>
            </w:pPr>
            <w:r>
              <w:rPr>
                <w:b w:val="0"/>
                <w:sz w:val="24"/>
                <w:szCs w:val="24"/>
                <w:highlight w:val="none"/>
              </w:rPr>
              <w:t>危险废物经专用车辆经过规定的运输路线运至项目暂存厂区，用叉车进行卸车，卸车前进行危险废物登记。在厂区卸车区域进行危废的转移，转移方式为直接将车上袋装的固体或半固体危废和桶装的液态危废转移至厂区内暂存区。本项目不涉及转运容器及运输车辆的清洗。</w:t>
            </w:r>
          </w:p>
          <w:p w14:paraId="1A6B71C8">
            <w:pPr>
              <w:pStyle w:val="76"/>
              <w:ind w:firstLine="480" w:firstLineChars="200"/>
              <w:jc w:val="both"/>
              <w:rPr>
                <w:b w:val="0"/>
                <w:bCs/>
                <w:sz w:val="24"/>
                <w:szCs w:val="24"/>
                <w:highlight w:val="none"/>
              </w:rPr>
            </w:pPr>
            <w:r>
              <w:rPr>
                <w:b w:val="0"/>
                <w:sz w:val="24"/>
                <w:szCs w:val="24"/>
                <w:highlight w:val="none"/>
              </w:rPr>
              <w:t>根据收集的危险废物种类、形态，将危险废物分类暂存于项目对</w:t>
            </w:r>
            <w:r>
              <w:rPr>
                <w:rFonts w:hint="eastAsia"/>
                <w:b w:val="0"/>
                <w:sz w:val="24"/>
                <w:szCs w:val="24"/>
                <w:highlight w:val="none"/>
              </w:rPr>
              <w:t>应的危险废物暂存区。各危险废物暂存区地面采取防渗、防腐措施，并在废矿物油储存区、液体溶剂储存区设置围堰。</w:t>
            </w:r>
          </w:p>
          <w:p w14:paraId="7D566B5B">
            <w:pPr>
              <w:pStyle w:val="76"/>
              <w:jc w:val="both"/>
              <w:rPr>
                <w:rFonts w:hint="default" w:eastAsia="宋体"/>
                <w:b w:val="0"/>
                <w:bCs/>
                <w:sz w:val="24"/>
                <w:szCs w:val="24"/>
                <w:highlight w:val="none"/>
                <w:lang w:val="en-US" w:eastAsia="zh-CN"/>
              </w:rPr>
            </w:pPr>
            <w:r>
              <w:rPr>
                <w:rFonts w:hint="eastAsia"/>
                <w:b w:val="0"/>
                <w:bCs/>
                <w:sz w:val="24"/>
                <w:szCs w:val="24"/>
                <w:highlight w:val="none"/>
                <w:lang w:eastAsia="zh-CN"/>
              </w:rPr>
              <w:t>（</w:t>
            </w:r>
            <w:r>
              <w:rPr>
                <w:rFonts w:hint="eastAsia"/>
                <w:b w:val="0"/>
                <w:bCs/>
                <w:sz w:val="24"/>
                <w:szCs w:val="24"/>
                <w:highlight w:val="none"/>
                <w:lang w:val="en-US" w:eastAsia="zh-CN"/>
              </w:rPr>
              <w:t>3</w:t>
            </w:r>
            <w:r>
              <w:rPr>
                <w:rFonts w:hint="eastAsia"/>
                <w:b w:val="0"/>
                <w:bCs/>
                <w:sz w:val="24"/>
                <w:szCs w:val="24"/>
                <w:highlight w:val="none"/>
                <w:lang w:eastAsia="zh-CN"/>
              </w:rPr>
              <w:t>）</w:t>
            </w:r>
            <w:r>
              <w:rPr>
                <w:rFonts w:hint="eastAsia"/>
                <w:b w:val="0"/>
                <w:bCs/>
                <w:sz w:val="24"/>
                <w:szCs w:val="24"/>
                <w:highlight w:val="none"/>
                <w:lang w:val="en-US" w:eastAsia="zh-CN"/>
              </w:rPr>
              <w:t>废油桶压实</w:t>
            </w:r>
          </w:p>
          <w:p w14:paraId="1217E618">
            <w:pPr>
              <w:pStyle w:val="76"/>
              <w:ind w:firstLine="480" w:firstLineChars="200"/>
              <w:jc w:val="both"/>
              <w:rPr>
                <w:b w:val="0"/>
                <w:bCs/>
                <w:sz w:val="24"/>
                <w:szCs w:val="24"/>
                <w:highlight w:val="none"/>
              </w:rPr>
            </w:pPr>
            <w:r>
              <w:rPr>
                <w:rFonts w:hint="eastAsia"/>
                <w:b w:val="0"/>
                <w:bCs w:val="0"/>
                <w:color w:val="000000" w:themeColor="text1"/>
                <w:sz w:val="24"/>
                <w:szCs w:val="22"/>
                <w:highlight w:val="none"/>
                <w:lang w:val="en-US" w:eastAsia="zh-CN"/>
                <w14:textFill>
                  <w14:solidFill>
                    <w14:schemeClr w14:val="tx1"/>
                  </w14:solidFill>
                </w14:textFill>
              </w:rPr>
              <w:t>将废油桶</w:t>
            </w:r>
            <w:r>
              <w:rPr>
                <w:rFonts w:hint="eastAsia"/>
                <w:b w:val="0"/>
                <w:bCs w:val="0"/>
                <w:color w:val="000000" w:themeColor="text1"/>
                <w:sz w:val="24"/>
                <w:szCs w:val="22"/>
                <w:highlight w:val="none"/>
                <w14:textFill>
                  <w14:solidFill>
                    <w14:schemeClr w14:val="tx1"/>
                  </w14:solidFill>
                </w14:textFill>
              </w:rPr>
              <w:t>倒置沥油方式将桶内残留矿物油回收至专用矿物油储桶中进行储存，残留矿物油收集后暂存于废矿物油储存桶内。沥净过程，若发生少量废油遗撒，使用抹布清理，废抹布</w:t>
            </w:r>
            <w:r>
              <w:rPr>
                <w:rFonts w:hint="eastAsia"/>
                <w:b w:val="0"/>
                <w:bCs w:val="0"/>
                <w:color w:val="000000" w:themeColor="text1"/>
                <w:sz w:val="24"/>
                <w:szCs w:val="22"/>
                <w:highlight w:val="none"/>
                <w:lang w:val="en-US" w:eastAsia="zh-CN"/>
                <w14:textFill>
                  <w14:solidFill>
                    <w14:schemeClr w14:val="tx1"/>
                  </w14:solidFill>
                </w14:textFill>
              </w:rPr>
              <w:t>贮存于危险废物贮存库，定期交由有资质单位处置</w:t>
            </w:r>
            <w:r>
              <w:rPr>
                <w:rFonts w:hint="eastAsia"/>
                <w:b w:val="0"/>
                <w:bCs w:val="0"/>
                <w:color w:val="000000" w:themeColor="text1"/>
                <w:sz w:val="24"/>
                <w:szCs w:val="22"/>
                <w:highlight w:val="none"/>
                <w14:textFill>
                  <w14:solidFill>
                    <w14:schemeClr w14:val="tx1"/>
                  </w14:solidFill>
                </w14:textFill>
              </w:rPr>
              <w:t>，若发生大量废油遗撒，将废油收集至废油桶内，地面采用抹布清理。待废油储罐达到储存容量后，将收集的废油转运至隔壁</w:t>
            </w:r>
            <w:r>
              <w:rPr>
                <w:rFonts w:hint="eastAsia"/>
                <w:b w:val="0"/>
                <w:bCs w:val="0"/>
                <w:color w:val="000000" w:themeColor="text1"/>
                <w:sz w:val="24"/>
                <w:szCs w:val="22"/>
                <w:highlight w:val="none"/>
                <w:lang w:val="en-US" w:eastAsia="zh-CN"/>
                <w14:textFill>
                  <w14:solidFill>
                    <w14:schemeClr w14:val="tx1"/>
                  </w14:solidFill>
                </w14:textFill>
              </w:rPr>
              <w:t>废油贮存区</w:t>
            </w:r>
            <w:r>
              <w:rPr>
                <w:rFonts w:hint="eastAsia"/>
                <w:b w:val="0"/>
                <w:bCs w:val="0"/>
                <w:color w:val="000000" w:themeColor="text1"/>
                <w:sz w:val="24"/>
                <w:szCs w:val="22"/>
                <w:highlight w:val="none"/>
                <w14:textFill>
                  <w14:solidFill>
                    <w14:schemeClr w14:val="tx1"/>
                  </w14:solidFill>
                </w14:textFill>
              </w:rPr>
              <w:t>进行暂存</w:t>
            </w:r>
            <w:r>
              <w:rPr>
                <w:rFonts w:hint="eastAsia"/>
                <w:b w:val="0"/>
                <w:bCs w:val="0"/>
                <w:color w:val="000000" w:themeColor="text1"/>
                <w:sz w:val="24"/>
                <w:szCs w:val="22"/>
                <w:highlight w:val="none"/>
                <w:lang w:eastAsia="zh-CN"/>
                <w14:textFill>
                  <w14:solidFill>
                    <w14:schemeClr w14:val="tx1"/>
                  </w14:solidFill>
                </w14:textFill>
              </w:rPr>
              <w:t>；</w:t>
            </w:r>
            <w:r>
              <w:rPr>
                <w:rFonts w:hint="eastAsia"/>
                <w:b w:val="0"/>
                <w:color w:val="auto"/>
                <w:sz w:val="24"/>
                <w:szCs w:val="24"/>
                <w:highlight w:val="none"/>
              </w:rPr>
              <w:t>废油桶</w:t>
            </w:r>
            <w:r>
              <w:rPr>
                <w:rFonts w:hint="eastAsia"/>
                <w:b w:val="0"/>
                <w:color w:val="auto"/>
                <w:sz w:val="24"/>
                <w:szCs w:val="24"/>
                <w:highlight w:val="none"/>
                <w:lang w:eastAsia="zh-CN"/>
              </w:rPr>
              <w:t>卸载后经压块</w:t>
            </w:r>
            <w:r>
              <w:rPr>
                <w:rFonts w:hint="eastAsia"/>
                <w:b w:val="0"/>
                <w:color w:val="auto"/>
                <w:sz w:val="24"/>
                <w:szCs w:val="24"/>
                <w:highlight w:val="none"/>
              </w:rPr>
              <w:t>机进行压实，再由叉车运输至危险废物</w:t>
            </w:r>
            <w:r>
              <w:rPr>
                <w:rFonts w:hint="eastAsia"/>
                <w:b w:val="0"/>
                <w:color w:val="auto"/>
                <w:sz w:val="24"/>
                <w:szCs w:val="24"/>
                <w:highlight w:val="none"/>
                <w:lang w:eastAsia="zh-CN"/>
              </w:rPr>
              <w:t>收集仓库</w:t>
            </w:r>
            <w:r>
              <w:rPr>
                <w:rFonts w:hint="eastAsia"/>
                <w:b w:val="0"/>
                <w:color w:val="auto"/>
                <w:sz w:val="24"/>
                <w:szCs w:val="24"/>
                <w:highlight w:val="none"/>
              </w:rPr>
              <w:t>内的废油桶贮存区。</w:t>
            </w:r>
            <w:r>
              <w:rPr>
                <w:rFonts w:hint="eastAsia"/>
                <w:b w:val="0"/>
                <w:color w:val="auto"/>
                <w:sz w:val="24"/>
                <w:szCs w:val="24"/>
                <w:highlight w:val="none"/>
                <w:lang w:eastAsia="zh-CN"/>
              </w:rPr>
              <w:t>压块</w:t>
            </w:r>
            <w:r>
              <w:rPr>
                <w:rFonts w:hint="eastAsia"/>
                <w:b w:val="0"/>
                <w:color w:val="auto"/>
                <w:sz w:val="24"/>
                <w:szCs w:val="24"/>
                <w:highlight w:val="none"/>
              </w:rPr>
              <w:t>机下配备接油托盘，</w:t>
            </w:r>
            <w:r>
              <w:rPr>
                <w:rFonts w:hint="eastAsia" w:ascii="Times New Roman" w:hAnsi="Times New Roman" w:eastAsia="宋体" w:cs="Times New Roman"/>
                <w:b w:val="0"/>
                <w:color w:val="auto"/>
                <w:kern w:val="2"/>
                <w:sz w:val="24"/>
                <w:szCs w:val="24"/>
                <w:highlight w:val="none"/>
                <w:lang w:val="en-US" w:eastAsia="zh-CN" w:bidi="ar-SA"/>
              </w:rPr>
              <w:t>收集废油桶破碎及压实过程中产生的废油压实后的废油桶放置于接油托盘上进行转运，废油桶贮存区配备有防渗漏托盘，废油桶放置于防渗托盘上贮存，确保废油不泄露至地面。</w:t>
            </w:r>
          </w:p>
          <w:p w14:paraId="1B54874D">
            <w:pPr>
              <w:pStyle w:val="76"/>
              <w:numPr>
                <w:ilvl w:val="0"/>
                <w:numId w:val="0"/>
              </w:numPr>
              <w:jc w:val="both"/>
              <w:rPr>
                <w:b w:val="0"/>
                <w:bCs/>
                <w:sz w:val="24"/>
                <w:szCs w:val="24"/>
                <w:highlight w:val="none"/>
              </w:rPr>
            </w:pPr>
            <w:r>
              <w:rPr>
                <w:rFonts w:hint="eastAsia"/>
                <w:b w:val="0"/>
                <w:bCs/>
                <w:sz w:val="24"/>
                <w:szCs w:val="24"/>
                <w:highlight w:val="none"/>
                <w:lang w:eastAsia="zh-CN"/>
              </w:rPr>
              <w:t>（</w:t>
            </w:r>
            <w:r>
              <w:rPr>
                <w:rFonts w:hint="eastAsia"/>
                <w:b w:val="0"/>
                <w:bCs/>
                <w:sz w:val="24"/>
                <w:szCs w:val="24"/>
                <w:highlight w:val="none"/>
                <w:lang w:val="en-US" w:eastAsia="zh-CN"/>
              </w:rPr>
              <w:t>4</w:t>
            </w:r>
            <w:r>
              <w:rPr>
                <w:rFonts w:hint="eastAsia"/>
                <w:b w:val="0"/>
                <w:bCs/>
                <w:sz w:val="24"/>
                <w:szCs w:val="24"/>
                <w:highlight w:val="none"/>
                <w:lang w:eastAsia="zh-CN"/>
              </w:rPr>
              <w:t>）</w:t>
            </w:r>
            <w:r>
              <w:rPr>
                <w:b w:val="0"/>
                <w:bCs/>
                <w:sz w:val="24"/>
                <w:szCs w:val="24"/>
                <w:highlight w:val="none"/>
              </w:rPr>
              <w:t>危险废物最终处置</w:t>
            </w:r>
          </w:p>
          <w:p w14:paraId="55971210">
            <w:pPr>
              <w:pStyle w:val="76"/>
              <w:ind w:firstLine="480" w:firstLineChars="200"/>
              <w:jc w:val="both"/>
              <w:rPr>
                <w:b w:val="0"/>
                <w:bCs/>
                <w:sz w:val="24"/>
                <w:szCs w:val="24"/>
                <w:highlight w:val="none"/>
              </w:rPr>
            </w:pPr>
            <w:r>
              <w:rPr>
                <w:b w:val="0"/>
                <w:bCs/>
                <w:sz w:val="24"/>
                <w:szCs w:val="24"/>
                <w:highlight w:val="none"/>
              </w:rPr>
              <w:t>项目危废贮存</w:t>
            </w:r>
            <w:r>
              <w:rPr>
                <w:rFonts w:hint="eastAsia"/>
                <w:b w:val="0"/>
                <w:bCs/>
                <w:sz w:val="24"/>
                <w:szCs w:val="24"/>
                <w:highlight w:val="none"/>
              </w:rPr>
              <w:t>库房</w:t>
            </w:r>
            <w:r>
              <w:rPr>
                <w:b w:val="0"/>
                <w:bCs/>
                <w:sz w:val="24"/>
                <w:szCs w:val="24"/>
                <w:highlight w:val="none"/>
              </w:rPr>
              <w:t>贮存的危险废物达到</w:t>
            </w:r>
            <w:r>
              <w:rPr>
                <w:rFonts w:hint="eastAsia"/>
                <w:b w:val="0"/>
                <w:bCs/>
                <w:sz w:val="24"/>
                <w:szCs w:val="24"/>
                <w:highlight w:val="none"/>
                <w:lang w:val="en-US" w:eastAsia="zh-CN"/>
              </w:rPr>
              <w:t>最大转运量60%</w:t>
            </w:r>
            <w:r>
              <w:rPr>
                <w:rFonts w:hint="eastAsia"/>
                <w:b w:val="0"/>
                <w:bCs/>
                <w:sz w:val="24"/>
                <w:szCs w:val="24"/>
                <w:highlight w:val="none"/>
              </w:rPr>
              <w:t>后</w:t>
            </w:r>
            <w:r>
              <w:rPr>
                <w:b w:val="0"/>
                <w:bCs/>
                <w:sz w:val="24"/>
                <w:szCs w:val="24"/>
                <w:highlight w:val="none"/>
              </w:rPr>
              <w:t>，委托具备危险废物运输资质的公司外运至下游有危险废物处理资质的单位处置。</w:t>
            </w:r>
          </w:p>
          <w:p w14:paraId="4EA8029F">
            <w:pPr>
              <w:spacing w:line="360" w:lineRule="auto"/>
              <w:ind w:firstLine="480"/>
              <w:rPr>
                <w:rFonts w:hint="eastAsia"/>
                <w:sz w:val="24"/>
                <w:highlight w:val="none"/>
              </w:rPr>
            </w:pPr>
            <w:r>
              <w:rPr>
                <w:rFonts w:hint="eastAsia"/>
                <w:sz w:val="24"/>
                <w:highlight w:val="none"/>
              </w:rPr>
              <w:t>上述工艺过程的工艺流程图如下：</w:t>
            </w:r>
          </w:p>
          <w:p w14:paraId="207C5CB3">
            <w:pPr>
              <w:pStyle w:val="18"/>
              <w:rPr>
                <w:rFonts w:hint="eastAsia" w:eastAsia="宋体"/>
                <w:sz w:val="24"/>
                <w:highlight w:val="none"/>
                <w:lang w:eastAsia="zh-CN"/>
              </w:rPr>
            </w:pPr>
            <w:r>
              <w:rPr>
                <w:rFonts w:hint="eastAsia" w:eastAsia="宋体"/>
                <w:sz w:val="24"/>
                <w:highlight w:val="none"/>
                <w:lang w:eastAsia="zh-CN"/>
              </w:rPr>
              <w:drawing>
                <wp:inline distT="0" distB="0" distL="114300" distR="114300">
                  <wp:extent cx="5319395" cy="4098925"/>
                  <wp:effectExtent l="0" t="0" r="0" b="0"/>
                  <wp:docPr id="67" name="ECB019B1-382A-4266-B25C-5B523AA43C14-2" desc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ECB019B1-382A-4266-B25C-5B523AA43C14-2" descr="wps"/>
                          <pic:cNvPicPr>
                            <a:picLocks noChangeAspect="1"/>
                          </pic:cNvPicPr>
                        </pic:nvPicPr>
                        <pic:blipFill>
                          <a:blip r:embed="rId16"/>
                          <a:stretch>
                            <a:fillRect/>
                          </a:stretch>
                        </pic:blipFill>
                        <pic:spPr>
                          <a:xfrm>
                            <a:off x="0" y="0"/>
                            <a:ext cx="5319395" cy="4098925"/>
                          </a:xfrm>
                          <a:prstGeom prst="rect">
                            <a:avLst/>
                          </a:prstGeom>
                        </pic:spPr>
                      </pic:pic>
                    </a:graphicData>
                  </a:graphic>
                </wp:inline>
              </w:drawing>
            </w:r>
          </w:p>
          <w:p w14:paraId="304FDD83">
            <w:pPr>
              <w:pStyle w:val="18"/>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sz w:val="24"/>
                <w:highlight w:val="none"/>
                <w:lang w:eastAsia="zh-CN"/>
              </w:rPr>
            </w:pPr>
            <w:r>
              <w:rPr>
                <w:rFonts w:hint="eastAsia"/>
                <w:b/>
                <w:highlight w:val="none"/>
              </w:rPr>
              <w:t>（注：S固废）</w:t>
            </w:r>
          </w:p>
          <w:p w14:paraId="734C6C68">
            <w:pPr>
              <w:pStyle w:val="2"/>
              <w:numPr>
                <w:ilvl w:val="0"/>
                <w:numId w:val="5"/>
              </w:numPr>
              <w:ind w:leftChars="0"/>
              <w:rPr>
                <w:b/>
                <w:w w:val="100"/>
                <w:sz w:val="21"/>
                <w:highlight w:val="none"/>
              </w:rPr>
            </w:pPr>
            <w:r>
              <w:rPr>
                <w:rFonts w:hint="eastAsia"/>
                <w:b/>
                <w:w w:val="100"/>
                <w:sz w:val="21"/>
                <w:highlight w:val="none"/>
                <w:lang w:val="en-US" w:eastAsia="zh-CN"/>
              </w:rPr>
              <w:t>废油桶压实</w:t>
            </w:r>
            <w:r>
              <w:rPr>
                <w:rFonts w:hint="eastAsia"/>
                <w:b/>
                <w:w w:val="100"/>
                <w:sz w:val="21"/>
                <w:highlight w:val="none"/>
              </w:rPr>
              <w:t>工艺流程及产排污节点示意图</w:t>
            </w:r>
          </w:p>
          <w:p w14:paraId="75E78050">
            <w:pPr>
              <w:spacing w:line="360" w:lineRule="auto"/>
              <w:jc w:val="center"/>
              <w:rPr>
                <w:rFonts w:hint="eastAsia" w:eastAsia="宋体"/>
                <w:sz w:val="24"/>
                <w:highlight w:val="none"/>
                <w:lang w:eastAsia="zh-CN"/>
              </w:rPr>
            </w:pPr>
            <w:r>
              <w:rPr>
                <w:rFonts w:hint="eastAsia" w:eastAsia="宋体"/>
                <w:sz w:val="24"/>
                <w:highlight w:val="none"/>
                <w:lang w:eastAsia="zh-CN"/>
              </w:rPr>
              <w:drawing>
                <wp:inline distT="0" distB="0" distL="114300" distR="114300">
                  <wp:extent cx="5321935" cy="3855085"/>
                  <wp:effectExtent l="0" t="0" r="0" b="0"/>
                  <wp:docPr id="66" name="ECB019B1-382A-4266-B25C-5B523AA43C14-3" desc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ECB019B1-382A-4266-B25C-5B523AA43C14-3" descr="wps"/>
                          <pic:cNvPicPr>
                            <a:picLocks noChangeAspect="1"/>
                          </pic:cNvPicPr>
                        </pic:nvPicPr>
                        <pic:blipFill>
                          <a:blip r:embed="rId17"/>
                          <a:stretch>
                            <a:fillRect/>
                          </a:stretch>
                        </pic:blipFill>
                        <pic:spPr>
                          <a:xfrm>
                            <a:off x="0" y="0"/>
                            <a:ext cx="5321935" cy="3855085"/>
                          </a:xfrm>
                          <a:prstGeom prst="rect">
                            <a:avLst/>
                          </a:prstGeom>
                        </pic:spPr>
                      </pic:pic>
                    </a:graphicData>
                  </a:graphic>
                </wp:inline>
              </w:drawing>
            </w:r>
          </w:p>
          <w:p w14:paraId="2124C9CD">
            <w:pPr>
              <w:spacing w:line="360" w:lineRule="auto"/>
              <w:jc w:val="center"/>
              <w:rPr>
                <w:b/>
                <w:highlight w:val="none"/>
              </w:rPr>
            </w:pPr>
            <w:r>
              <w:rPr>
                <w:rFonts w:hint="eastAsia"/>
                <w:b/>
                <w:highlight w:val="none"/>
              </w:rPr>
              <w:t>（注：G废气、</w:t>
            </w:r>
            <w:r>
              <w:rPr>
                <w:b/>
                <w:highlight w:val="none"/>
              </w:rPr>
              <w:t>N</w:t>
            </w:r>
            <w:r>
              <w:rPr>
                <w:rFonts w:hint="eastAsia"/>
                <w:b/>
                <w:highlight w:val="none"/>
              </w:rPr>
              <w:t>噪声、S固废）</w:t>
            </w:r>
          </w:p>
          <w:p w14:paraId="1B5E8D6C">
            <w:pPr>
              <w:pStyle w:val="2"/>
              <w:numPr>
                <w:ilvl w:val="0"/>
                <w:numId w:val="5"/>
              </w:numPr>
              <w:ind w:leftChars="0"/>
              <w:rPr>
                <w:b/>
                <w:w w:val="100"/>
                <w:sz w:val="21"/>
                <w:highlight w:val="none"/>
              </w:rPr>
            </w:pPr>
            <w:r>
              <w:rPr>
                <w:rFonts w:hint="eastAsia"/>
                <w:b/>
                <w:w w:val="100"/>
                <w:sz w:val="21"/>
                <w:highlight w:val="none"/>
                <w:lang w:val="en-US" w:eastAsia="zh-CN"/>
              </w:rPr>
              <w:t>危险废物转运</w:t>
            </w:r>
            <w:r>
              <w:rPr>
                <w:rFonts w:hint="eastAsia"/>
                <w:b/>
                <w:w w:val="100"/>
                <w:sz w:val="21"/>
                <w:highlight w:val="none"/>
              </w:rPr>
              <w:t>工艺流程及产排污节点示意图</w:t>
            </w:r>
          </w:p>
          <w:p w14:paraId="0CF39C4D">
            <w:pPr>
              <w:spacing w:before="120" w:beforeLines="50" w:line="360" w:lineRule="auto"/>
              <w:ind w:firstLine="482" w:firstLineChars="200"/>
              <w:rPr>
                <w:b/>
                <w:sz w:val="24"/>
                <w:highlight w:val="none"/>
              </w:rPr>
            </w:pPr>
            <w:r>
              <w:rPr>
                <w:b/>
                <w:sz w:val="24"/>
                <w:highlight w:val="none"/>
              </w:rPr>
              <w:t>3．</w:t>
            </w:r>
            <w:r>
              <w:rPr>
                <w:rFonts w:hint="eastAsia"/>
                <w:b/>
                <w:sz w:val="24"/>
                <w:highlight w:val="none"/>
              </w:rPr>
              <w:t>产排污节点</w:t>
            </w:r>
          </w:p>
          <w:p w14:paraId="5F36D865">
            <w:pPr>
              <w:spacing w:line="360" w:lineRule="auto"/>
              <w:ind w:firstLine="482"/>
              <w:rPr>
                <w:sz w:val="24"/>
                <w:highlight w:val="none"/>
                <w:lang w:bidi="zh-CN"/>
              </w:rPr>
            </w:pPr>
            <w:r>
              <w:rPr>
                <w:rFonts w:hint="eastAsia"/>
                <w:sz w:val="24"/>
                <w:highlight w:val="none"/>
                <w:lang w:bidi="zh-CN"/>
              </w:rPr>
              <w:t>现将上述生产工艺过程的产排污环节汇总如下：</w:t>
            </w:r>
          </w:p>
          <w:p w14:paraId="5618932D">
            <w:pPr>
              <w:pStyle w:val="48"/>
              <w:numPr>
                <w:ilvl w:val="0"/>
                <w:numId w:val="4"/>
              </w:numPr>
              <w:spacing w:line="360" w:lineRule="auto"/>
              <w:ind w:left="0" w:firstLine="0" w:firstLineChars="0"/>
              <w:jc w:val="center"/>
              <w:rPr>
                <w:rFonts w:ascii="宋体" w:hAnsi="宋体" w:eastAsia="宋体"/>
                <w:b/>
                <w:sz w:val="21"/>
                <w:highlight w:val="none"/>
              </w:rPr>
            </w:pPr>
            <w:r>
              <w:rPr>
                <w:rFonts w:hint="eastAsia" w:ascii="宋体" w:hAnsi="宋体" w:eastAsia="宋体"/>
                <w:b/>
                <w:sz w:val="21"/>
                <w:highlight w:val="none"/>
              </w:rPr>
              <w:t>生产过程产排污环节一览表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3"/>
              <w:gridCol w:w="905"/>
              <w:gridCol w:w="1001"/>
              <w:gridCol w:w="1058"/>
              <w:gridCol w:w="1276"/>
              <w:gridCol w:w="664"/>
              <w:gridCol w:w="3041"/>
            </w:tblGrid>
            <w:tr w14:paraId="41F63D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8" w:type="pct"/>
                  <w:tcBorders>
                    <w:top w:val="single" w:color="auto" w:sz="4" w:space="0"/>
                    <w:left w:val="single" w:color="auto" w:sz="4" w:space="0"/>
                    <w:bottom w:val="single" w:color="auto" w:sz="4" w:space="0"/>
                    <w:right w:val="single" w:color="auto" w:sz="4" w:space="0"/>
                  </w:tcBorders>
                  <w:vAlign w:val="center"/>
                </w:tcPr>
                <w:p w14:paraId="1A10F690">
                  <w:pPr>
                    <w:jc w:val="center"/>
                    <w:rPr>
                      <w:b/>
                      <w:bCs/>
                      <w:szCs w:val="21"/>
                      <w:highlight w:val="none"/>
                    </w:rPr>
                  </w:pPr>
                  <w:r>
                    <w:rPr>
                      <w:rFonts w:hint="eastAsia"/>
                      <w:b/>
                      <w:bCs/>
                      <w:szCs w:val="21"/>
                      <w:highlight w:val="none"/>
                    </w:rPr>
                    <w:t>类别</w:t>
                  </w:r>
                </w:p>
              </w:tc>
              <w:tc>
                <w:tcPr>
                  <w:tcW w:w="540" w:type="pct"/>
                  <w:tcBorders>
                    <w:top w:val="single" w:color="auto" w:sz="4" w:space="0"/>
                    <w:left w:val="single" w:color="auto" w:sz="4" w:space="0"/>
                    <w:bottom w:val="single" w:color="auto" w:sz="4" w:space="0"/>
                    <w:right w:val="single" w:color="auto" w:sz="4" w:space="0"/>
                  </w:tcBorders>
                  <w:vAlign w:val="center"/>
                </w:tcPr>
                <w:p w14:paraId="17CFB78D">
                  <w:pPr>
                    <w:jc w:val="center"/>
                    <w:rPr>
                      <w:b/>
                      <w:bCs/>
                      <w:szCs w:val="21"/>
                      <w:highlight w:val="none"/>
                    </w:rPr>
                  </w:pPr>
                  <w:r>
                    <w:rPr>
                      <w:rFonts w:hint="eastAsia"/>
                      <w:b/>
                      <w:bCs/>
                      <w:szCs w:val="21"/>
                      <w:highlight w:val="none"/>
                    </w:rPr>
                    <w:t>序号</w:t>
                  </w:r>
                </w:p>
              </w:tc>
              <w:tc>
                <w:tcPr>
                  <w:tcW w:w="597" w:type="pct"/>
                  <w:tcBorders>
                    <w:top w:val="single" w:color="auto" w:sz="4" w:space="0"/>
                    <w:left w:val="single" w:color="auto" w:sz="4" w:space="0"/>
                    <w:bottom w:val="single" w:color="auto" w:sz="4" w:space="0"/>
                    <w:right w:val="single" w:color="auto" w:sz="4" w:space="0"/>
                  </w:tcBorders>
                  <w:vAlign w:val="center"/>
                </w:tcPr>
                <w:p w14:paraId="16C14968">
                  <w:pPr>
                    <w:jc w:val="center"/>
                    <w:rPr>
                      <w:b/>
                      <w:bCs/>
                      <w:szCs w:val="21"/>
                      <w:highlight w:val="none"/>
                    </w:rPr>
                  </w:pPr>
                  <w:r>
                    <w:rPr>
                      <w:rFonts w:hint="eastAsia"/>
                      <w:b/>
                      <w:bCs/>
                      <w:szCs w:val="21"/>
                      <w:highlight w:val="none"/>
                    </w:rPr>
                    <w:t>排污节点</w:t>
                  </w:r>
                </w:p>
              </w:tc>
              <w:tc>
                <w:tcPr>
                  <w:tcW w:w="631" w:type="pct"/>
                  <w:tcBorders>
                    <w:top w:val="single" w:color="auto" w:sz="4" w:space="0"/>
                    <w:left w:val="single" w:color="auto" w:sz="4" w:space="0"/>
                    <w:bottom w:val="single" w:color="auto" w:sz="4" w:space="0"/>
                    <w:right w:val="single" w:color="auto" w:sz="4" w:space="0"/>
                  </w:tcBorders>
                  <w:vAlign w:val="center"/>
                </w:tcPr>
                <w:p w14:paraId="1029E291">
                  <w:pPr>
                    <w:jc w:val="center"/>
                    <w:rPr>
                      <w:b/>
                      <w:bCs/>
                      <w:szCs w:val="21"/>
                      <w:highlight w:val="none"/>
                    </w:rPr>
                  </w:pPr>
                  <w:r>
                    <w:rPr>
                      <w:rFonts w:hint="eastAsia"/>
                      <w:b/>
                      <w:bCs/>
                      <w:szCs w:val="21"/>
                      <w:highlight w:val="none"/>
                    </w:rPr>
                    <w:t>污染物</w:t>
                  </w:r>
                </w:p>
              </w:tc>
              <w:tc>
                <w:tcPr>
                  <w:tcW w:w="761" w:type="pct"/>
                  <w:tcBorders>
                    <w:top w:val="single" w:color="auto" w:sz="4" w:space="0"/>
                    <w:left w:val="single" w:color="auto" w:sz="4" w:space="0"/>
                    <w:bottom w:val="single" w:color="auto" w:sz="4" w:space="0"/>
                    <w:right w:val="single" w:color="auto" w:sz="4" w:space="0"/>
                  </w:tcBorders>
                  <w:vAlign w:val="center"/>
                </w:tcPr>
                <w:p w14:paraId="31E5889A">
                  <w:pPr>
                    <w:jc w:val="center"/>
                    <w:rPr>
                      <w:rFonts w:eastAsiaTheme="minorEastAsia"/>
                      <w:b/>
                      <w:bCs/>
                      <w:szCs w:val="21"/>
                      <w:highlight w:val="none"/>
                    </w:rPr>
                  </w:pPr>
                  <w:r>
                    <w:rPr>
                      <w:rFonts w:hint="eastAsia"/>
                      <w:b/>
                      <w:bCs/>
                      <w:szCs w:val="21"/>
                      <w:highlight w:val="none"/>
                    </w:rPr>
                    <w:t>污染因子</w:t>
                  </w:r>
                </w:p>
              </w:tc>
              <w:tc>
                <w:tcPr>
                  <w:tcW w:w="396" w:type="pct"/>
                  <w:tcBorders>
                    <w:top w:val="single" w:color="auto" w:sz="4" w:space="0"/>
                    <w:left w:val="single" w:color="auto" w:sz="4" w:space="0"/>
                    <w:bottom w:val="single" w:color="auto" w:sz="4" w:space="0"/>
                    <w:right w:val="single" w:color="auto" w:sz="4" w:space="0"/>
                  </w:tcBorders>
                  <w:vAlign w:val="center"/>
                </w:tcPr>
                <w:p w14:paraId="4DB65110">
                  <w:pPr>
                    <w:jc w:val="center"/>
                    <w:rPr>
                      <w:b/>
                      <w:bCs/>
                      <w:szCs w:val="21"/>
                      <w:highlight w:val="none"/>
                    </w:rPr>
                  </w:pPr>
                  <w:r>
                    <w:rPr>
                      <w:rFonts w:hint="eastAsia"/>
                      <w:b/>
                      <w:bCs/>
                      <w:szCs w:val="21"/>
                      <w:highlight w:val="none"/>
                    </w:rPr>
                    <w:t>产生特征</w:t>
                  </w:r>
                </w:p>
              </w:tc>
              <w:tc>
                <w:tcPr>
                  <w:tcW w:w="1814" w:type="pct"/>
                  <w:tcBorders>
                    <w:top w:val="single" w:color="auto" w:sz="4" w:space="0"/>
                    <w:left w:val="single" w:color="auto" w:sz="4" w:space="0"/>
                    <w:bottom w:val="single" w:color="auto" w:sz="4" w:space="0"/>
                    <w:right w:val="single" w:color="auto" w:sz="4" w:space="0"/>
                  </w:tcBorders>
                  <w:vAlign w:val="center"/>
                </w:tcPr>
                <w:p w14:paraId="6650B9D6">
                  <w:pPr>
                    <w:jc w:val="center"/>
                    <w:rPr>
                      <w:b/>
                      <w:bCs/>
                      <w:szCs w:val="21"/>
                      <w:highlight w:val="none"/>
                    </w:rPr>
                  </w:pPr>
                  <w:r>
                    <w:rPr>
                      <w:rFonts w:hint="eastAsia"/>
                      <w:b/>
                      <w:bCs/>
                      <w:szCs w:val="21"/>
                      <w:highlight w:val="none"/>
                    </w:rPr>
                    <w:t>保护措施</w:t>
                  </w:r>
                </w:p>
              </w:tc>
            </w:tr>
            <w:tr w14:paraId="3F11D1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0" w:hRule="atLeast"/>
                <w:jc w:val="center"/>
              </w:trPr>
              <w:tc>
                <w:tcPr>
                  <w:tcW w:w="258" w:type="pct"/>
                  <w:vMerge w:val="restart"/>
                  <w:tcBorders>
                    <w:top w:val="single" w:color="auto" w:sz="4" w:space="0"/>
                    <w:left w:val="single" w:color="auto" w:sz="4" w:space="0"/>
                    <w:bottom w:val="single" w:color="auto" w:sz="4" w:space="0"/>
                    <w:right w:val="single" w:color="auto" w:sz="4" w:space="0"/>
                  </w:tcBorders>
                  <w:vAlign w:val="center"/>
                </w:tcPr>
                <w:p w14:paraId="1EA533C1">
                  <w:pPr>
                    <w:jc w:val="center"/>
                    <w:rPr>
                      <w:szCs w:val="21"/>
                      <w:highlight w:val="none"/>
                    </w:rPr>
                  </w:pPr>
                  <w:r>
                    <w:rPr>
                      <w:rFonts w:hint="eastAsia"/>
                      <w:szCs w:val="21"/>
                      <w:highlight w:val="none"/>
                    </w:rPr>
                    <w:t>废气</w:t>
                  </w:r>
                </w:p>
              </w:tc>
              <w:tc>
                <w:tcPr>
                  <w:tcW w:w="540" w:type="pct"/>
                  <w:vMerge w:val="restart"/>
                  <w:tcBorders>
                    <w:top w:val="single" w:color="auto" w:sz="4" w:space="0"/>
                    <w:left w:val="single" w:color="auto" w:sz="4" w:space="0"/>
                    <w:right w:val="single" w:color="auto" w:sz="4" w:space="0"/>
                  </w:tcBorders>
                  <w:vAlign w:val="center"/>
                </w:tcPr>
                <w:p w14:paraId="42BF368D">
                  <w:pPr>
                    <w:jc w:val="center"/>
                    <w:rPr>
                      <w:szCs w:val="21"/>
                      <w:highlight w:val="none"/>
                    </w:rPr>
                  </w:pPr>
                  <w:r>
                    <w:rPr>
                      <w:szCs w:val="21"/>
                      <w:highlight w:val="none"/>
                    </w:rPr>
                    <w:t>G1</w:t>
                  </w:r>
                </w:p>
              </w:tc>
              <w:tc>
                <w:tcPr>
                  <w:tcW w:w="597" w:type="pct"/>
                  <w:vMerge w:val="restart"/>
                  <w:tcBorders>
                    <w:top w:val="single" w:color="auto" w:sz="4" w:space="0"/>
                    <w:left w:val="single" w:color="auto" w:sz="4" w:space="0"/>
                    <w:right w:val="single" w:color="auto" w:sz="4" w:space="0"/>
                  </w:tcBorders>
                  <w:vAlign w:val="center"/>
                </w:tcPr>
                <w:p w14:paraId="3C9C84FB">
                  <w:pPr>
                    <w:jc w:val="center"/>
                    <w:rPr>
                      <w:rFonts w:hint="default" w:eastAsia="宋体"/>
                      <w:szCs w:val="21"/>
                      <w:highlight w:val="none"/>
                      <w:lang w:val="en-US" w:eastAsia="zh-CN"/>
                    </w:rPr>
                  </w:pPr>
                  <w:r>
                    <w:rPr>
                      <w:rFonts w:hint="eastAsia"/>
                      <w:szCs w:val="21"/>
                      <w:highlight w:val="none"/>
                      <w:lang w:val="en-US" w:eastAsia="zh-CN"/>
                    </w:rPr>
                    <w:t>危险废物贮存</w:t>
                  </w:r>
                </w:p>
              </w:tc>
              <w:tc>
                <w:tcPr>
                  <w:tcW w:w="631" w:type="pct"/>
                  <w:tcBorders>
                    <w:top w:val="single" w:color="auto" w:sz="4" w:space="0"/>
                    <w:left w:val="single" w:color="auto" w:sz="4" w:space="0"/>
                    <w:bottom w:val="single" w:color="auto" w:sz="4" w:space="0"/>
                    <w:right w:val="single" w:color="auto" w:sz="4" w:space="0"/>
                  </w:tcBorders>
                  <w:vAlign w:val="center"/>
                </w:tcPr>
                <w:p w14:paraId="5BA66F24">
                  <w:pPr>
                    <w:jc w:val="center"/>
                    <w:rPr>
                      <w:rFonts w:hint="default" w:eastAsia="宋体"/>
                      <w:szCs w:val="21"/>
                      <w:highlight w:val="none"/>
                      <w:lang w:val="en-US" w:eastAsia="zh-CN"/>
                    </w:rPr>
                  </w:pPr>
                  <w:r>
                    <w:rPr>
                      <w:rFonts w:hint="eastAsia"/>
                      <w:szCs w:val="21"/>
                      <w:highlight w:val="none"/>
                      <w:lang w:val="en-US" w:eastAsia="zh-CN"/>
                    </w:rPr>
                    <w:t>挥发性有机物和异味气体</w:t>
                  </w:r>
                </w:p>
              </w:tc>
              <w:tc>
                <w:tcPr>
                  <w:tcW w:w="761" w:type="pct"/>
                  <w:tcBorders>
                    <w:top w:val="single" w:color="auto" w:sz="4" w:space="0"/>
                    <w:left w:val="single" w:color="auto" w:sz="4" w:space="0"/>
                    <w:bottom w:val="single" w:color="auto" w:sz="4" w:space="0"/>
                    <w:right w:val="single" w:color="auto" w:sz="4" w:space="0"/>
                  </w:tcBorders>
                  <w:vAlign w:val="center"/>
                </w:tcPr>
                <w:p w14:paraId="1B02AFBE">
                  <w:pPr>
                    <w:jc w:val="center"/>
                    <w:rPr>
                      <w:szCs w:val="21"/>
                      <w:highlight w:val="none"/>
                    </w:rPr>
                  </w:pPr>
                  <w:r>
                    <w:rPr>
                      <w:rFonts w:hint="eastAsia"/>
                      <w:szCs w:val="21"/>
                      <w:highlight w:val="none"/>
                    </w:rPr>
                    <w:t>非甲烷总烃、异味气体（氨、</w:t>
                  </w:r>
                  <w:r>
                    <w:rPr>
                      <w:rFonts w:hint="eastAsia"/>
                      <w:szCs w:val="21"/>
                      <w:highlight w:val="none"/>
                      <w:lang w:eastAsia="zh-CN"/>
                    </w:rPr>
                    <w:t>氯化氢</w:t>
                  </w:r>
                  <w:r>
                    <w:rPr>
                      <w:rFonts w:hint="eastAsia"/>
                      <w:szCs w:val="21"/>
                      <w:highlight w:val="none"/>
                    </w:rPr>
                    <w:t>、臭气浓度）</w:t>
                  </w:r>
                </w:p>
              </w:tc>
              <w:tc>
                <w:tcPr>
                  <w:tcW w:w="396" w:type="pct"/>
                  <w:tcBorders>
                    <w:top w:val="single" w:color="auto" w:sz="4" w:space="0"/>
                    <w:left w:val="single" w:color="auto" w:sz="4" w:space="0"/>
                    <w:bottom w:val="single" w:color="auto" w:sz="4" w:space="0"/>
                    <w:right w:val="single" w:color="auto" w:sz="4" w:space="0"/>
                  </w:tcBorders>
                  <w:vAlign w:val="center"/>
                </w:tcPr>
                <w:p w14:paraId="511CC292">
                  <w:pPr>
                    <w:jc w:val="center"/>
                    <w:rPr>
                      <w:szCs w:val="21"/>
                      <w:highlight w:val="none"/>
                    </w:rPr>
                  </w:pPr>
                  <w:r>
                    <w:rPr>
                      <w:rFonts w:hint="eastAsia"/>
                      <w:szCs w:val="21"/>
                      <w:highlight w:val="none"/>
                    </w:rPr>
                    <w:t>间断</w:t>
                  </w:r>
                </w:p>
              </w:tc>
              <w:tc>
                <w:tcPr>
                  <w:tcW w:w="1814" w:type="pct"/>
                  <w:tcBorders>
                    <w:top w:val="single" w:color="auto" w:sz="4" w:space="0"/>
                    <w:left w:val="single" w:color="auto" w:sz="4" w:space="0"/>
                    <w:bottom w:val="single" w:color="auto" w:sz="4" w:space="0"/>
                    <w:right w:val="single" w:color="auto" w:sz="4" w:space="0"/>
                  </w:tcBorders>
                  <w:vAlign w:val="center"/>
                </w:tcPr>
                <w:p w14:paraId="488F5DE4">
                  <w:pPr>
                    <w:widowControl/>
                    <w:snapToGrid w:val="0"/>
                    <w:jc w:val="center"/>
                    <w:rPr>
                      <w:szCs w:val="21"/>
                      <w:highlight w:val="none"/>
                    </w:rPr>
                  </w:pPr>
                  <w:r>
                    <w:rPr>
                      <w:rFonts w:hint="eastAsia"/>
                      <w:szCs w:val="21"/>
                      <w:highlight w:val="none"/>
                    </w:rPr>
                    <w:t>设集气罩及收集管道，收集后的废气经两级活性炭吸附装置处理后经1根15m高排气筒（DA001）排放</w:t>
                  </w:r>
                </w:p>
              </w:tc>
            </w:tr>
            <w:tr w14:paraId="6C7C6C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0" w:hRule="atLeast"/>
                <w:jc w:val="center"/>
              </w:trPr>
              <w:tc>
                <w:tcPr>
                  <w:tcW w:w="258" w:type="pct"/>
                  <w:vMerge w:val="continue"/>
                  <w:tcBorders>
                    <w:left w:val="single" w:color="auto" w:sz="4" w:space="0"/>
                    <w:right w:val="single" w:color="auto" w:sz="4" w:space="0"/>
                  </w:tcBorders>
                  <w:vAlign w:val="center"/>
                </w:tcPr>
                <w:p w14:paraId="08EED66A">
                  <w:pPr>
                    <w:jc w:val="center"/>
                    <w:rPr>
                      <w:rFonts w:hint="eastAsia"/>
                      <w:szCs w:val="21"/>
                      <w:highlight w:val="none"/>
                    </w:rPr>
                  </w:pPr>
                </w:p>
              </w:tc>
              <w:tc>
                <w:tcPr>
                  <w:tcW w:w="540" w:type="pct"/>
                  <w:vMerge w:val="continue"/>
                  <w:tcBorders>
                    <w:left w:val="single" w:color="auto" w:sz="4" w:space="0"/>
                    <w:bottom w:val="single" w:color="auto" w:sz="4" w:space="0"/>
                    <w:right w:val="single" w:color="auto" w:sz="4" w:space="0"/>
                  </w:tcBorders>
                  <w:vAlign w:val="center"/>
                </w:tcPr>
                <w:p w14:paraId="191D4384">
                  <w:pPr>
                    <w:jc w:val="center"/>
                    <w:rPr>
                      <w:szCs w:val="21"/>
                      <w:highlight w:val="none"/>
                    </w:rPr>
                  </w:pPr>
                </w:p>
              </w:tc>
              <w:tc>
                <w:tcPr>
                  <w:tcW w:w="597" w:type="pct"/>
                  <w:vMerge w:val="continue"/>
                  <w:tcBorders>
                    <w:left w:val="single" w:color="auto" w:sz="4" w:space="0"/>
                    <w:bottom w:val="single" w:color="auto" w:sz="4" w:space="0"/>
                    <w:right w:val="single" w:color="auto" w:sz="4" w:space="0"/>
                  </w:tcBorders>
                  <w:vAlign w:val="center"/>
                </w:tcPr>
                <w:p w14:paraId="0966A8F6">
                  <w:pPr>
                    <w:jc w:val="center"/>
                    <w:rPr>
                      <w:rFonts w:hint="default"/>
                      <w:szCs w:val="21"/>
                      <w:highlight w:val="none"/>
                      <w:lang w:val="en-US" w:eastAsia="zh-CN"/>
                    </w:rPr>
                  </w:pPr>
                </w:p>
              </w:tc>
              <w:tc>
                <w:tcPr>
                  <w:tcW w:w="631" w:type="pct"/>
                  <w:tcBorders>
                    <w:top w:val="single" w:color="auto" w:sz="4" w:space="0"/>
                    <w:left w:val="single" w:color="auto" w:sz="4" w:space="0"/>
                    <w:bottom w:val="single" w:color="auto" w:sz="4" w:space="0"/>
                    <w:right w:val="single" w:color="auto" w:sz="4" w:space="0"/>
                  </w:tcBorders>
                  <w:shd w:val="clear" w:color="auto" w:fill="auto"/>
                  <w:vAlign w:val="center"/>
                </w:tcPr>
                <w:p w14:paraId="226B3C77">
                  <w:pPr>
                    <w:jc w:val="center"/>
                    <w:rPr>
                      <w:rFonts w:hint="eastAsia" w:ascii="Times New Roman" w:hAnsi="Times New Roman" w:eastAsia="宋体" w:cs="Times New Roman"/>
                      <w:kern w:val="2"/>
                      <w:sz w:val="21"/>
                      <w:szCs w:val="21"/>
                      <w:highlight w:val="none"/>
                      <w:lang w:val="en-US" w:eastAsia="zh-CN" w:bidi="ar-SA"/>
                    </w:rPr>
                  </w:pPr>
                  <w:r>
                    <w:rPr>
                      <w:b w:val="0"/>
                      <w:bCs/>
                      <w:sz w:val="24"/>
                      <w:szCs w:val="24"/>
                      <w:highlight w:val="none"/>
                    </w:rPr>
                    <w:t>HCl</w:t>
                  </w:r>
                </w:p>
              </w:tc>
              <w:tc>
                <w:tcPr>
                  <w:tcW w:w="761" w:type="pct"/>
                  <w:tcBorders>
                    <w:top w:val="single" w:color="auto" w:sz="4" w:space="0"/>
                    <w:left w:val="single" w:color="auto" w:sz="4" w:space="0"/>
                    <w:bottom w:val="single" w:color="auto" w:sz="4" w:space="0"/>
                    <w:right w:val="single" w:color="auto" w:sz="4" w:space="0"/>
                  </w:tcBorders>
                  <w:shd w:val="clear" w:color="auto" w:fill="auto"/>
                  <w:vAlign w:val="center"/>
                </w:tcPr>
                <w:p w14:paraId="77B18786">
                  <w:pPr>
                    <w:jc w:val="center"/>
                    <w:rPr>
                      <w:rFonts w:hint="eastAsia" w:ascii="Times New Roman" w:hAnsi="Times New Roman" w:eastAsia="宋体" w:cs="Times New Roman"/>
                      <w:kern w:val="2"/>
                      <w:sz w:val="21"/>
                      <w:szCs w:val="21"/>
                      <w:highlight w:val="none"/>
                      <w:lang w:val="en-US" w:eastAsia="zh-CN" w:bidi="ar-SA"/>
                    </w:rPr>
                  </w:pPr>
                  <w:r>
                    <w:rPr>
                      <w:b w:val="0"/>
                      <w:bCs/>
                      <w:sz w:val="24"/>
                      <w:szCs w:val="24"/>
                      <w:highlight w:val="none"/>
                    </w:rPr>
                    <w:t>HCl</w:t>
                  </w:r>
                </w:p>
              </w:tc>
              <w:tc>
                <w:tcPr>
                  <w:tcW w:w="396" w:type="pct"/>
                  <w:tcBorders>
                    <w:top w:val="single" w:color="auto" w:sz="4" w:space="0"/>
                    <w:left w:val="single" w:color="auto" w:sz="4" w:space="0"/>
                    <w:bottom w:val="single" w:color="auto" w:sz="4" w:space="0"/>
                    <w:right w:val="single" w:color="auto" w:sz="4" w:space="0"/>
                  </w:tcBorders>
                  <w:shd w:val="clear" w:color="auto" w:fill="auto"/>
                  <w:vAlign w:val="center"/>
                </w:tcPr>
                <w:p w14:paraId="1ECD85D5">
                  <w:pPr>
                    <w:jc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rPr>
                    <w:t>间断</w:t>
                  </w:r>
                </w:p>
              </w:tc>
              <w:tc>
                <w:tcPr>
                  <w:tcW w:w="1814" w:type="pct"/>
                  <w:tcBorders>
                    <w:left w:val="single" w:color="auto" w:sz="4" w:space="0"/>
                    <w:right w:val="single" w:color="auto" w:sz="4" w:space="0"/>
                  </w:tcBorders>
                  <w:vAlign w:val="center"/>
                </w:tcPr>
                <w:p w14:paraId="46B2B821">
                  <w:pPr>
                    <w:widowControl/>
                    <w:snapToGrid w:val="0"/>
                    <w:jc w:val="center"/>
                    <w:rPr>
                      <w:rFonts w:hint="eastAsia"/>
                      <w:szCs w:val="21"/>
                      <w:highlight w:val="none"/>
                    </w:rPr>
                  </w:pPr>
                  <w:r>
                    <w:rPr>
                      <w:rFonts w:hint="eastAsia"/>
                      <w:szCs w:val="21"/>
                      <w:highlight w:val="none"/>
                    </w:rPr>
                    <w:t>内设集气装置</w:t>
                  </w:r>
                  <w:r>
                    <w:rPr>
                      <w:rFonts w:hint="eastAsia"/>
                      <w:szCs w:val="21"/>
                      <w:highlight w:val="none"/>
                      <w:lang w:val="en-US" w:eastAsia="zh-CN"/>
                    </w:rPr>
                    <w:t>对废气</w:t>
                  </w:r>
                  <w:r>
                    <w:rPr>
                      <w:rFonts w:hint="eastAsia"/>
                      <w:szCs w:val="21"/>
                      <w:highlight w:val="none"/>
                    </w:rPr>
                    <w:t>进行收集，</w:t>
                  </w:r>
                  <w:r>
                    <w:rPr>
                      <w:rFonts w:hint="eastAsia"/>
                      <w:szCs w:val="21"/>
                      <w:highlight w:val="none"/>
                      <w:lang w:val="en-US" w:eastAsia="zh-CN"/>
                    </w:rPr>
                    <w:t>收集的</w:t>
                  </w:r>
                  <w:r>
                    <w:rPr>
                      <w:rFonts w:hint="eastAsia"/>
                      <w:szCs w:val="21"/>
                      <w:highlight w:val="none"/>
                    </w:rPr>
                    <w:t>废气</w:t>
                  </w:r>
                  <w:r>
                    <w:rPr>
                      <w:rFonts w:hint="eastAsia"/>
                      <w:szCs w:val="21"/>
                      <w:highlight w:val="none"/>
                      <w:lang w:val="en-US" w:eastAsia="zh-CN"/>
                    </w:rPr>
                    <w:t>经</w:t>
                  </w:r>
                  <w:r>
                    <w:rPr>
                      <w:rFonts w:hint="eastAsia"/>
                      <w:szCs w:val="21"/>
                      <w:highlight w:val="none"/>
                    </w:rPr>
                    <w:t>“碱液喷淋装置”处理后经1根15m高排气筒（DA002）排放</w:t>
                  </w:r>
                </w:p>
              </w:tc>
            </w:tr>
            <w:tr w14:paraId="70C754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6" w:hRule="atLeast"/>
                <w:jc w:val="center"/>
              </w:trPr>
              <w:tc>
                <w:tcPr>
                  <w:tcW w:w="258" w:type="pct"/>
                  <w:tcBorders>
                    <w:top w:val="single" w:color="auto" w:sz="4" w:space="0"/>
                    <w:left w:val="single" w:color="auto" w:sz="4" w:space="0"/>
                    <w:bottom w:val="single" w:color="auto" w:sz="4" w:space="0"/>
                    <w:right w:val="single" w:color="auto" w:sz="4" w:space="0"/>
                  </w:tcBorders>
                  <w:vAlign w:val="center"/>
                </w:tcPr>
                <w:p w14:paraId="448D59A0">
                  <w:pPr>
                    <w:jc w:val="center"/>
                    <w:rPr>
                      <w:szCs w:val="21"/>
                      <w:highlight w:val="none"/>
                    </w:rPr>
                  </w:pPr>
                  <w:r>
                    <w:rPr>
                      <w:rFonts w:hint="eastAsia"/>
                      <w:szCs w:val="21"/>
                      <w:highlight w:val="none"/>
                    </w:rPr>
                    <w:t>废水</w:t>
                  </w:r>
                </w:p>
              </w:tc>
              <w:tc>
                <w:tcPr>
                  <w:tcW w:w="540" w:type="pct"/>
                  <w:tcBorders>
                    <w:top w:val="single" w:color="auto" w:sz="4" w:space="0"/>
                    <w:left w:val="single" w:color="auto" w:sz="4" w:space="0"/>
                    <w:bottom w:val="single" w:color="auto" w:sz="4" w:space="0"/>
                    <w:right w:val="single" w:color="auto" w:sz="4" w:space="0"/>
                  </w:tcBorders>
                  <w:shd w:val="clear" w:color="auto" w:fill="auto"/>
                  <w:vAlign w:val="center"/>
                </w:tcPr>
                <w:p w14:paraId="7DB43699">
                  <w:pPr>
                    <w:jc w:val="center"/>
                    <w:rPr>
                      <w:rFonts w:ascii="Times New Roman" w:hAnsi="Times New Roman" w:eastAsia="宋体" w:cs="Times New Roman"/>
                      <w:kern w:val="2"/>
                      <w:sz w:val="21"/>
                      <w:szCs w:val="21"/>
                      <w:highlight w:val="none"/>
                      <w:lang w:val="en-US" w:eastAsia="zh-CN" w:bidi="ar-SA"/>
                    </w:rPr>
                  </w:pPr>
                  <w:r>
                    <w:rPr>
                      <w:szCs w:val="21"/>
                      <w:highlight w:val="none"/>
                    </w:rPr>
                    <w:t>/</w:t>
                  </w:r>
                </w:p>
              </w:tc>
              <w:tc>
                <w:tcPr>
                  <w:tcW w:w="597" w:type="pct"/>
                  <w:tcBorders>
                    <w:top w:val="single" w:color="auto" w:sz="4" w:space="0"/>
                    <w:left w:val="single" w:color="auto" w:sz="4" w:space="0"/>
                    <w:bottom w:val="single" w:color="auto" w:sz="4" w:space="0"/>
                    <w:right w:val="single" w:color="auto" w:sz="4" w:space="0"/>
                  </w:tcBorders>
                  <w:shd w:val="clear" w:color="auto" w:fill="auto"/>
                  <w:vAlign w:val="center"/>
                </w:tcPr>
                <w:p w14:paraId="059F85DE">
                  <w:pPr>
                    <w:jc w:val="center"/>
                    <w:rPr>
                      <w:rFonts w:ascii="Times New Roman" w:hAnsi="Times New Roman" w:eastAsia="宋体" w:cs="Times New Roman"/>
                      <w:kern w:val="2"/>
                      <w:sz w:val="21"/>
                      <w:szCs w:val="21"/>
                      <w:highlight w:val="none"/>
                      <w:lang w:val="en-US" w:eastAsia="zh-CN" w:bidi="ar-SA"/>
                    </w:rPr>
                  </w:pPr>
                  <w:r>
                    <w:rPr>
                      <w:rFonts w:hint="eastAsia"/>
                      <w:szCs w:val="21"/>
                      <w:highlight w:val="none"/>
                    </w:rPr>
                    <w:t>职工生活</w:t>
                  </w:r>
                </w:p>
              </w:tc>
              <w:tc>
                <w:tcPr>
                  <w:tcW w:w="631" w:type="pct"/>
                  <w:tcBorders>
                    <w:top w:val="single" w:color="auto" w:sz="4" w:space="0"/>
                    <w:left w:val="single" w:color="auto" w:sz="4" w:space="0"/>
                    <w:bottom w:val="single" w:color="auto" w:sz="4" w:space="0"/>
                    <w:right w:val="single" w:color="auto" w:sz="4" w:space="0"/>
                  </w:tcBorders>
                  <w:shd w:val="clear" w:color="auto" w:fill="auto"/>
                  <w:vAlign w:val="center"/>
                </w:tcPr>
                <w:p w14:paraId="53DF59E8">
                  <w:pPr>
                    <w:jc w:val="center"/>
                    <w:rPr>
                      <w:rFonts w:ascii="Times New Roman" w:hAnsi="Times New Roman" w:eastAsia="宋体" w:cs="Times New Roman"/>
                      <w:kern w:val="2"/>
                      <w:sz w:val="21"/>
                      <w:szCs w:val="21"/>
                      <w:highlight w:val="none"/>
                      <w:lang w:val="en-US" w:eastAsia="zh-CN" w:bidi="ar-SA"/>
                    </w:rPr>
                  </w:pPr>
                  <w:r>
                    <w:rPr>
                      <w:rFonts w:hint="eastAsia"/>
                      <w:szCs w:val="21"/>
                      <w:highlight w:val="none"/>
                    </w:rPr>
                    <w:t>生活污水</w:t>
                  </w:r>
                </w:p>
              </w:tc>
              <w:tc>
                <w:tcPr>
                  <w:tcW w:w="761" w:type="pct"/>
                  <w:tcBorders>
                    <w:top w:val="single" w:color="auto" w:sz="4" w:space="0"/>
                    <w:left w:val="single" w:color="auto" w:sz="4" w:space="0"/>
                    <w:bottom w:val="single" w:color="auto" w:sz="4" w:space="0"/>
                    <w:right w:val="single" w:color="auto" w:sz="4" w:space="0"/>
                  </w:tcBorders>
                  <w:shd w:val="clear" w:color="auto" w:fill="auto"/>
                  <w:vAlign w:val="center"/>
                </w:tcPr>
                <w:p w14:paraId="3A890554">
                  <w:pPr>
                    <w:jc w:val="center"/>
                    <w:rPr>
                      <w:rFonts w:ascii="Times New Roman" w:hAnsi="Times New Roman" w:eastAsia="宋体" w:cs="Times New Roman"/>
                      <w:kern w:val="2"/>
                      <w:sz w:val="21"/>
                      <w:szCs w:val="21"/>
                      <w:highlight w:val="none"/>
                      <w:lang w:val="en-US" w:eastAsia="zh-CN" w:bidi="ar-SA"/>
                    </w:rPr>
                  </w:pPr>
                  <w:r>
                    <w:rPr>
                      <w:szCs w:val="21"/>
                      <w:highlight w:val="none"/>
                    </w:rPr>
                    <w:t>pH</w:t>
                  </w:r>
                  <w:r>
                    <w:rPr>
                      <w:rFonts w:hint="eastAsia"/>
                      <w:szCs w:val="21"/>
                      <w:highlight w:val="none"/>
                    </w:rPr>
                    <w:t>、</w:t>
                  </w:r>
                  <w:r>
                    <w:rPr>
                      <w:szCs w:val="21"/>
                      <w:highlight w:val="none"/>
                    </w:rPr>
                    <w:t>SS</w:t>
                  </w:r>
                  <w:r>
                    <w:rPr>
                      <w:rFonts w:hint="eastAsia"/>
                      <w:szCs w:val="21"/>
                      <w:highlight w:val="none"/>
                    </w:rPr>
                    <w:t>、</w:t>
                  </w:r>
                  <w:r>
                    <w:rPr>
                      <w:szCs w:val="21"/>
                      <w:highlight w:val="none"/>
                    </w:rPr>
                    <w:t>COD</w:t>
                  </w:r>
                  <w:r>
                    <w:rPr>
                      <w:rFonts w:hint="eastAsia"/>
                      <w:szCs w:val="21"/>
                      <w:highlight w:val="none"/>
                    </w:rPr>
                    <w:t>、</w:t>
                  </w:r>
                  <w:r>
                    <w:rPr>
                      <w:szCs w:val="21"/>
                      <w:highlight w:val="none"/>
                    </w:rPr>
                    <w:t>BOD</w:t>
                  </w:r>
                  <w:r>
                    <w:rPr>
                      <w:szCs w:val="21"/>
                      <w:highlight w:val="none"/>
                      <w:vertAlign w:val="subscript"/>
                    </w:rPr>
                    <w:t>5</w:t>
                  </w:r>
                  <w:r>
                    <w:rPr>
                      <w:rFonts w:hint="eastAsia"/>
                      <w:szCs w:val="21"/>
                      <w:highlight w:val="none"/>
                    </w:rPr>
                    <w:t>、氨氮</w:t>
                  </w:r>
                </w:p>
              </w:tc>
              <w:tc>
                <w:tcPr>
                  <w:tcW w:w="396" w:type="pct"/>
                  <w:tcBorders>
                    <w:top w:val="single" w:color="auto" w:sz="4" w:space="0"/>
                    <w:left w:val="single" w:color="auto" w:sz="4" w:space="0"/>
                    <w:bottom w:val="single" w:color="auto" w:sz="4" w:space="0"/>
                    <w:right w:val="single" w:color="auto" w:sz="4" w:space="0"/>
                  </w:tcBorders>
                  <w:shd w:val="clear" w:color="auto" w:fill="auto"/>
                  <w:vAlign w:val="center"/>
                </w:tcPr>
                <w:p w14:paraId="359E3E82">
                  <w:pPr>
                    <w:jc w:val="center"/>
                    <w:rPr>
                      <w:rFonts w:ascii="Times New Roman" w:hAnsi="Times New Roman" w:cs="Times New Roman" w:eastAsiaTheme="minorEastAsia"/>
                      <w:kern w:val="2"/>
                      <w:sz w:val="21"/>
                      <w:szCs w:val="21"/>
                      <w:highlight w:val="none"/>
                      <w:lang w:val="en-US" w:eastAsia="zh-CN" w:bidi="ar-SA"/>
                    </w:rPr>
                  </w:pPr>
                  <w:r>
                    <w:rPr>
                      <w:rFonts w:hint="eastAsia"/>
                      <w:szCs w:val="21"/>
                      <w:highlight w:val="none"/>
                    </w:rPr>
                    <w:t>间断</w:t>
                  </w:r>
                </w:p>
              </w:tc>
              <w:tc>
                <w:tcPr>
                  <w:tcW w:w="1814" w:type="pct"/>
                  <w:tcBorders>
                    <w:top w:val="single" w:color="auto" w:sz="4" w:space="0"/>
                    <w:left w:val="single" w:color="auto" w:sz="4" w:space="0"/>
                    <w:right w:val="single" w:color="auto" w:sz="4" w:space="0"/>
                  </w:tcBorders>
                  <w:shd w:val="clear" w:color="auto" w:fill="auto"/>
                  <w:vAlign w:val="center"/>
                </w:tcPr>
                <w:p w14:paraId="12D0D6A6">
                  <w:pPr>
                    <w:widowControl/>
                    <w:snapToGrid w:val="0"/>
                    <w:jc w:val="center"/>
                    <w:rPr>
                      <w:rFonts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生活污水经承德坤元环保科技有限公司化粪池处理后最终进入宽城碧水源环保有限公司</w:t>
                  </w:r>
                  <w:r>
                    <w:rPr>
                      <w:rFonts w:hint="eastAsia"/>
                      <w:szCs w:val="21"/>
                      <w:highlight w:val="none"/>
                    </w:rPr>
                    <w:t>。</w:t>
                  </w:r>
                </w:p>
              </w:tc>
            </w:tr>
            <w:tr w14:paraId="376FCC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8" w:type="pct"/>
                  <w:vMerge w:val="restart"/>
                  <w:tcBorders>
                    <w:top w:val="single" w:color="auto" w:sz="4" w:space="0"/>
                    <w:left w:val="single" w:color="auto" w:sz="4" w:space="0"/>
                    <w:bottom w:val="single" w:color="auto" w:sz="4" w:space="0"/>
                    <w:right w:val="single" w:color="auto" w:sz="4" w:space="0"/>
                  </w:tcBorders>
                  <w:vAlign w:val="center"/>
                </w:tcPr>
                <w:p w14:paraId="3A7E7EBF">
                  <w:pPr>
                    <w:jc w:val="center"/>
                    <w:rPr>
                      <w:szCs w:val="21"/>
                      <w:highlight w:val="none"/>
                    </w:rPr>
                  </w:pPr>
                  <w:r>
                    <w:rPr>
                      <w:rFonts w:hint="eastAsia"/>
                      <w:szCs w:val="21"/>
                      <w:highlight w:val="none"/>
                    </w:rPr>
                    <w:t>噪声</w:t>
                  </w:r>
                </w:p>
              </w:tc>
              <w:tc>
                <w:tcPr>
                  <w:tcW w:w="540" w:type="pct"/>
                  <w:tcBorders>
                    <w:top w:val="single" w:color="auto" w:sz="4" w:space="0"/>
                    <w:left w:val="single" w:color="auto" w:sz="4" w:space="0"/>
                    <w:bottom w:val="single" w:color="auto" w:sz="4" w:space="0"/>
                    <w:right w:val="single" w:color="auto" w:sz="4" w:space="0"/>
                  </w:tcBorders>
                  <w:vAlign w:val="center"/>
                </w:tcPr>
                <w:p w14:paraId="21D14A64">
                  <w:pPr>
                    <w:jc w:val="center"/>
                    <w:rPr>
                      <w:rFonts w:hint="default" w:eastAsia="宋体"/>
                      <w:szCs w:val="21"/>
                      <w:highlight w:val="none"/>
                      <w:lang w:val="en-US" w:eastAsia="zh-CN"/>
                    </w:rPr>
                  </w:pPr>
                  <w:r>
                    <w:rPr>
                      <w:szCs w:val="21"/>
                      <w:highlight w:val="none"/>
                    </w:rPr>
                    <w:t>N1</w:t>
                  </w:r>
                  <w:r>
                    <w:rPr>
                      <w:rFonts w:hint="eastAsia"/>
                      <w:szCs w:val="21"/>
                      <w:highlight w:val="none"/>
                      <w:lang w:val="en-US" w:eastAsia="zh-CN"/>
                    </w:rPr>
                    <w:t>-N3</w:t>
                  </w:r>
                </w:p>
              </w:tc>
              <w:tc>
                <w:tcPr>
                  <w:tcW w:w="597" w:type="pct"/>
                  <w:tcBorders>
                    <w:top w:val="single" w:color="auto" w:sz="4" w:space="0"/>
                    <w:left w:val="single" w:color="auto" w:sz="4" w:space="0"/>
                    <w:bottom w:val="single" w:color="auto" w:sz="4" w:space="0"/>
                    <w:right w:val="single" w:color="auto" w:sz="4" w:space="0"/>
                  </w:tcBorders>
                  <w:vAlign w:val="center"/>
                </w:tcPr>
                <w:p w14:paraId="751FB278">
                  <w:pPr>
                    <w:jc w:val="center"/>
                    <w:rPr>
                      <w:szCs w:val="21"/>
                      <w:highlight w:val="none"/>
                    </w:rPr>
                  </w:pPr>
                  <w:r>
                    <w:rPr>
                      <w:rFonts w:hint="eastAsia"/>
                      <w:szCs w:val="21"/>
                      <w:highlight w:val="none"/>
                    </w:rPr>
                    <w:t>生产设备</w:t>
                  </w:r>
                </w:p>
              </w:tc>
              <w:tc>
                <w:tcPr>
                  <w:tcW w:w="631" w:type="pct"/>
                  <w:tcBorders>
                    <w:top w:val="single" w:color="auto" w:sz="4" w:space="0"/>
                    <w:left w:val="single" w:color="auto" w:sz="4" w:space="0"/>
                    <w:bottom w:val="single" w:color="auto" w:sz="4" w:space="0"/>
                    <w:right w:val="single" w:color="auto" w:sz="4" w:space="0"/>
                  </w:tcBorders>
                  <w:vAlign w:val="center"/>
                </w:tcPr>
                <w:p w14:paraId="5C0EA51F">
                  <w:pPr>
                    <w:jc w:val="center"/>
                    <w:rPr>
                      <w:szCs w:val="21"/>
                      <w:highlight w:val="none"/>
                    </w:rPr>
                  </w:pPr>
                  <w:r>
                    <w:rPr>
                      <w:rFonts w:hint="eastAsia"/>
                      <w:szCs w:val="21"/>
                      <w:highlight w:val="none"/>
                    </w:rPr>
                    <w:t>噪声</w:t>
                  </w:r>
                </w:p>
              </w:tc>
              <w:tc>
                <w:tcPr>
                  <w:tcW w:w="761" w:type="pct"/>
                  <w:tcBorders>
                    <w:top w:val="single" w:color="auto" w:sz="4" w:space="0"/>
                    <w:left w:val="single" w:color="auto" w:sz="4" w:space="0"/>
                    <w:bottom w:val="single" w:color="auto" w:sz="4" w:space="0"/>
                    <w:right w:val="single" w:color="auto" w:sz="4" w:space="0"/>
                  </w:tcBorders>
                  <w:vAlign w:val="center"/>
                </w:tcPr>
                <w:p w14:paraId="38E17619">
                  <w:pPr>
                    <w:jc w:val="center"/>
                    <w:rPr>
                      <w:szCs w:val="21"/>
                      <w:highlight w:val="none"/>
                    </w:rPr>
                  </w:pPr>
                  <w:r>
                    <w:rPr>
                      <w:rFonts w:hint="eastAsia"/>
                      <w:szCs w:val="21"/>
                      <w:highlight w:val="none"/>
                    </w:rPr>
                    <w:t>噪声</w:t>
                  </w:r>
                </w:p>
              </w:tc>
              <w:tc>
                <w:tcPr>
                  <w:tcW w:w="396" w:type="pct"/>
                  <w:tcBorders>
                    <w:top w:val="single" w:color="auto" w:sz="4" w:space="0"/>
                    <w:left w:val="single" w:color="auto" w:sz="4" w:space="0"/>
                    <w:bottom w:val="single" w:color="auto" w:sz="4" w:space="0"/>
                    <w:right w:val="single" w:color="auto" w:sz="4" w:space="0"/>
                  </w:tcBorders>
                  <w:vAlign w:val="center"/>
                </w:tcPr>
                <w:p w14:paraId="3C7C5CC6">
                  <w:pPr>
                    <w:jc w:val="center"/>
                    <w:rPr>
                      <w:rFonts w:eastAsiaTheme="minorEastAsia"/>
                      <w:szCs w:val="21"/>
                      <w:highlight w:val="none"/>
                    </w:rPr>
                  </w:pPr>
                  <w:r>
                    <w:rPr>
                      <w:rFonts w:hint="eastAsia"/>
                      <w:szCs w:val="21"/>
                      <w:highlight w:val="none"/>
                    </w:rPr>
                    <w:t>间断</w:t>
                  </w:r>
                </w:p>
              </w:tc>
              <w:tc>
                <w:tcPr>
                  <w:tcW w:w="1814" w:type="pct"/>
                  <w:tcBorders>
                    <w:top w:val="single" w:color="auto" w:sz="4" w:space="0"/>
                    <w:left w:val="single" w:color="auto" w:sz="4" w:space="0"/>
                    <w:bottom w:val="single" w:color="auto" w:sz="4" w:space="0"/>
                    <w:right w:val="single" w:color="auto" w:sz="4" w:space="0"/>
                  </w:tcBorders>
                  <w:vAlign w:val="center"/>
                </w:tcPr>
                <w:p w14:paraId="09FFDA8B">
                  <w:pPr>
                    <w:jc w:val="center"/>
                    <w:rPr>
                      <w:szCs w:val="21"/>
                      <w:highlight w:val="none"/>
                    </w:rPr>
                  </w:pPr>
                  <w:r>
                    <w:rPr>
                      <w:rFonts w:hint="eastAsia"/>
                      <w:snapToGrid w:val="0"/>
                      <w:kern w:val="0"/>
                      <w:szCs w:val="21"/>
                      <w:highlight w:val="none"/>
                    </w:rPr>
                    <w:t>车间封闭，选用低噪声设备。</w:t>
                  </w:r>
                </w:p>
              </w:tc>
            </w:tr>
            <w:tr w14:paraId="11D7B4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8" w:type="pct"/>
                  <w:vMerge w:val="continue"/>
                  <w:tcBorders>
                    <w:top w:val="single" w:color="auto" w:sz="4" w:space="0"/>
                    <w:left w:val="single" w:color="auto" w:sz="4" w:space="0"/>
                    <w:bottom w:val="single" w:color="auto" w:sz="4" w:space="0"/>
                    <w:right w:val="single" w:color="auto" w:sz="4" w:space="0"/>
                  </w:tcBorders>
                  <w:vAlign w:val="center"/>
                </w:tcPr>
                <w:p w14:paraId="56FE9771">
                  <w:pPr>
                    <w:jc w:val="center"/>
                    <w:rPr>
                      <w:szCs w:val="21"/>
                      <w:highlight w:val="none"/>
                    </w:rPr>
                  </w:pPr>
                </w:p>
              </w:tc>
              <w:tc>
                <w:tcPr>
                  <w:tcW w:w="540" w:type="pct"/>
                  <w:tcBorders>
                    <w:top w:val="single" w:color="auto" w:sz="4" w:space="0"/>
                    <w:left w:val="single" w:color="auto" w:sz="4" w:space="0"/>
                    <w:bottom w:val="single" w:color="auto" w:sz="4" w:space="0"/>
                    <w:right w:val="single" w:color="auto" w:sz="4" w:space="0"/>
                  </w:tcBorders>
                  <w:vAlign w:val="center"/>
                </w:tcPr>
                <w:p w14:paraId="0004BD98">
                  <w:pPr>
                    <w:jc w:val="center"/>
                    <w:rPr>
                      <w:szCs w:val="21"/>
                      <w:highlight w:val="none"/>
                    </w:rPr>
                  </w:pPr>
                  <w:r>
                    <w:rPr>
                      <w:szCs w:val="21"/>
                      <w:highlight w:val="none"/>
                    </w:rPr>
                    <w:t>/</w:t>
                  </w:r>
                </w:p>
              </w:tc>
              <w:tc>
                <w:tcPr>
                  <w:tcW w:w="597" w:type="pct"/>
                  <w:tcBorders>
                    <w:top w:val="single" w:color="auto" w:sz="4" w:space="0"/>
                    <w:left w:val="single" w:color="auto" w:sz="4" w:space="0"/>
                    <w:bottom w:val="single" w:color="auto" w:sz="4" w:space="0"/>
                    <w:right w:val="single" w:color="auto" w:sz="4" w:space="0"/>
                  </w:tcBorders>
                  <w:vAlign w:val="center"/>
                </w:tcPr>
                <w:p w14:paraId="50EA2724">
                  <w:pPr>
                    <w:jc w:val="center"/>
                    <w:rPr>
                      <w:szCs w:val="21"/>
                      <w:highlight w:val="none"/>
                    </w:rPr>
                  </w:pPr>
                  <w:r>
                    <w:rPr>
                      <w:rFonts w:hint="eastAsia"/>
                      <w:szCs w:val="21"/>
                      <w:highlight w:val="none"/>
                    </w:rPr>
                    <w:t>运输车辆</w:t>
                  </w:r>
                </w:p>
              </w:tc>
              <w:tc>
                <w:tcPr>
                  <w:tcW w:w="631" w:type="pct"/>
                  <w:tcBorders>
                    <w:top w:val="single" w:color="auto" w:sz="4" w:space="0"/>
                    <w:left w:val="single" w:color="auto" w:sz="4" w:space="0"/>
                    <w:bottom w:val="single" w:color="auto" w:sz="4" w:space="0"/>
                    <w:right w:val="single" w:color="auto" w:sz="4" w:space="0"/>
                  </w:tcBorders>
                  <w:vAlign w:val="center"/>
                </w:tcPr>
                <w:p w14:paraId="41EC6F63">
                  <w:pPr>
                    <w:jc w:val="center"/>
                    <w:rPr>
                      <w:szCs w:val="21"/>
                      <w:highlight w:val="none"/>
                    </w:rPr>
                  </w:pPr>
                  <w:r>
                    <w:rPr>
                      <w:rFonts w:hint="eastAsia"/>
                      <w:szCs w:val="21"/>
                      <w:highlight w:val="none"/>
                    </w:rPr>
                    <w:t>噪声</w:t>
                  </w:r>
                </w:p>
              </w:tc>
              <w:tc>
                <w:tcPr>
                  <w:tcW w:w="761" w:type="pct"/>
                  <w:tcBorders>
                    <w:top w:val="single" w:color="auto" w:sz="4" w:space="0"/>
                    <w:left w:val="single" w:color="auto" w:sz="4" w:space="0"/>
                    <w:bottom w:val="single" w:color="auto" w:sz="4" w:space="0"/>
                    <w:right w:val="single" w:color="auto" w:sz="4" w:space="0"/>
                  </w:tcBorders>
                  <w:vAlign w:val="center"/>
                </w:tcPr>
                <w:p w14:paraId="267A1277">
                  <w:pPr>
                    <w:jc w:val="center"/>
                    <w:rPr>
                      <w:szCs w:val="21"/>
                      <w:highlight w:val="none"/>
                    </w:rPr>
                  </w:pPr>
                  <w:r>
                    <w:rPr>
                      <w:rFonts w:hint="eastAsia"/>
                      <w:szCs w:val="21"/>
                      <w:highlight w:val="none"/>
                    </w:rPr>
                    <w:t>噪声</w:t>
                  </w:r>
                </w:p>
              </w:tc>
              <w:tc>
                <w:tcPr>
                  <w:tcW w:w="396" w:type="pct"/>
                  <w:tcBorders>
                    <w:top w:val="single" w:color="auto" w:sz="4" w:space="0"/>
                    <w:left w:val="single" w:color="auto" w:sz="4" w:space="0"/>
                    <w:bottom w:val="single" w:color="auto" w:sz="4" w:space="0"/>
                    <w:right w:val="single" w:color="auto" w:sz="4" w:space="0"/>
                  </w:tcBorders>
                  <w:vAlign w:val="center"/>
                </w:tcPr>
                <w:p w14:paraId="34232F7B">
                  <w:pPr>
                    <w:jc w:val="center"/>
                    <w:rPr>
                      <w:rFonts w:eastAsiaTheme="minorEastAsia"/>
                      <w:szCs w:val="21"/>
                      <w:highlight w:val="none"/>
                    </w:rPr>
                  </w:pPr>
                  <w:r>
                    <w:rPr>
                      <w:rFonts w:hint="eastAsia"/>
                      <w:szCs w:val="21"/>
                      <w:highlight w:val="none"/>
                    </w:rPr>
                    <w:t>间断</w:t>
                  </w:r>
                </w:p>
              </w:tc>
              <w:tc>
                <w:tcPr>
                  <w:tcW w:w="1814" w:type="pct"/>
                  <w:tcBorders>
                    <w:top w:val="single" w:color="auto" w:sz="4" w:space="0"/>
                    <w:left w:val="single" w:color="auto" w:sz="4" w:space="0"/>
                    <w:bottom w:val="single" w:color="auto" w:sz="4" w:space="0"/>
                    <w:right w:val="single" w:color="auto" w:sz="4" w:space="0"/>
                  </w:tcBorders>
                  <w:vAlign w:val="center"/>
                </w:tcPr>
                <w:p w14:paraId="44E149C4">
                  <w:pPr>
                    <w:jc w:val="center"/>
                    <w:rPr>
                      <w:snapToGrid w:val="0"/>
                      <w:kern w:val="0"/>
                      <w:szCs w:val="21"/>
                      <w:highlight w:val="none"/>
                    </w:rPr>
                  </w:pPr>
                  <w:r>
                    <w:rPr>
                      <w:rFonts w:hint="eastAsia"/>
                      <w:szCs w:val="21"/>
                      <w:highlight w:val="none"/>
                    </w:rPr>
                    <w:t>加强管理，运输车辆应减速、禁鸣。</w:t>
                  </w:r>
                </w:p>
              </w:tc>
            </w:tr>
            <w:tr w14:paraId="554548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8" w:type="pct"/>
                  <w:vMerge w:val="restart"/>
                  <w:tcBorders>
                    <w:top w:val="single" w:color="auto" w:sz="4" w:space="0"/>
                    <w:left w:val="single" w:color="auto" w:sz="4" w:space="0"/>
                    <w:bottom w:val="single" w:color="auto" w:sz="4" w:space="0"/>
                    <w:right w:val="single" w:color="auto" w:sz="4" w:space="0"/>
                  </w:tcBorders>
                  <w:vAlign w:val="center"/>
                </w:tcPr>
                <w:p w14:paraId="1B214F00">
                  <w:pPr>
                    <w:jc w:val="center"/>
                    <w:rPr>
                      <w:szCs w:val="21"/>
                      <w:highlight w:val="none"/>
                    </w:rPr>
                  </w:pPr>
                  <w:r>
                    <w:rPr>
                      <w:rFonts w:hint="eastAsia"/>
                      <w:szCs w:val="21"/>
                      <w:highlight w:val="none"/>
                    </w:rPr>
                    <w:t>固废</w:t>
                  </w:r>
                </w:p>
              </w:tc>
              <w:tc>
                <w:tcPr>
                  <w:tcW w:w="540" w:type="pct"/>
                  <w:tcBorders>
                    <w:top w:val="single" w:color="auto" w:sz="4" w:space="0"/>
                    <w:left w:val="single" w:color="auto" w:sz="4" w:space="0"/>
                    <w:bottom w:val="single" w:color="auto" w:sz="4" w:space="0"/>
                    <w:right w:val="single" w:color="auto" w:sz="4" w:space="0"/>
                  </w:tcBorders>
                  <w:shd w:val="clear" w:color="auto" w:fill="auto"/>
                  <w:vAlign w:val="center"/>
                </w:tcPr>
                <w:p w14:paraId="67E07529">
                  <w:pPr>
                    <w:jc w:val="center"/>
                    <w:rPr>
                      <w:rFonts w:ascii="Times New Roman" w:hAnsi="Times New Roman" w:cs="Times New Roman" w:eastAsiaTheme="minorEastAsia"/>
                      <w:kern w:val="2"/>
                      <w:sz w:val="21"/>
                      <w:szCs w:val="21"/>
                      <w:highlight w:val="none"/>
                      <w:lang w:val="en-US" w:eastAsia="zh-CN" w:bidi="ar-SA"/>
                    </w:rPr>
                  </w:pPr>
                  <w:r>
                    <w:rPr>
                      <w:szCs w:val="21"/>
                      <w:highlight w:val="none"/>
                    </w:rPr>
                    <w:t>/</w:t>
                  </w:r>
                </w:p>
              </w:tc>
              <w:tc>
                <w:tcPr>
                  <w:tcW w:w="597" w:type="pct"/>
                  <w:tcBorders>
                    <w:top w:val="single" w:color="auto" w:sz="4" w:space="0"/>
                    <w:left w:val="single" w:color="auto" w:sz="4" w:space="0"/>
                    <w:bottom w:val="single" w:color="auto" w:sz="4" w:space="0"/>
                    <w:right w:val="single" w:color="auto" w:sz="4" w:space="0"/>
                  </w:tcBorders>
                  <w:shd w:val="clear" w:color="auto" w:fill="auto"/>
                  <w:vAlign w:val="center"/>
                </w:tcPr>
                <w:p w14:paraId="28FB8EA5">
                  <w:pPr>
                    <w:jc w:val="center"/>
                    <w:rPr>
                      <w:rFonts w:ascii="Times New Roman" w:hAnsi="Times New Roman" w:eastAsia="宋体" w:cs="Times New Roman"/>
                      <w:kern w:val="2"/>
                      <w:sz w:val="21"/>
                      <w:szCs w:val="21"/>
                      <w:highlight w:val="none"/>
                      <w:lang w:val="en-US" w:eastAsia="zh-CN" w:bidi="ar-SA"/>
                    </w:rPr>
                  </w:pPr>
                  <w:r>
                    <w:rPr>
                      <w:rFonts w:hint="eastAsia"/>
                      <w:szCs w:val="21"/>
                      <w:highlight w:val="none"/>
                    </w:rPr>
                    <w:t>职工生活</w:t>
                  </w:r>
                </w:p>
              </w:tc>
              <w:tc>
                <w:tcPr>
                  <w:tcW w:w="631" w:type="pct"/>
                  <w:tcBorders>
                    <w:top w:val="single" w:color="auto" w:sz="4" w:space="0"/>
                    <w:left w:val="single" w:color="auto" w:sz="4" w:space="0"/>
                    <w:bottom w:val="single" w:color="auto" w:sz="4" w:space="0"/>
                    <w:right w:val="single" w:color="auto" w:sz="4" w:space="0"/>
                  </w:tcBorders>
                  <w:shd w:val="clear" w:color="auto" w:fill="auto"/>
                  <w:vAlign w:val="center"/>
                </w:tcPr>
                <w:p w14:paraId="559C273B">
                  <w:pPr>
                    <w:jc w:val="center"/>
                    <w:rPr>
                      <w:rFonts w:ascii="Times New Roman" w:hAnsi="Times New Roman" w:eastAsia="宋体" w:cs="Times New Roman"/>
                      <w:kern w:val="2"/>
                      <w:sz w:val="21"/>
                      <w:szCs w:val="21"/>
                      <w:highlight w:val="none"/>
                      <w:lang w:val="en-US" w:eastAsia="zh-CN" w:bidi="ar-SA"/>
                    </w:rPr>
                  </w:pPr>
                  <w:r>
                    <w:rPr>
                      <w:rFonts w:hint="eastAsia"/>
                      <w:szCs w:val="21"/>
                      <w:highlight w:val="none"/>
                    </w:rPr>
                    <w:t>生活垃圾</w:t>
                  </w:r>
                </w:p>
              </w:tc>
              <w:tc>
                <w:tcPr>
                  <w:tcW w:w="761" w:type="pct"/>
                  <w:tcBorders>
                    <w:top w:val="single" w:color="auto" w:sz="4" w:space="0"/>
                    <w:left w:val="single" w:color="auto" w:sz="4" w:space="0"/>
                    <w:bottom w:val="single" w:color="auto" w:sz="4" w:space="0"/>
                    <w:right w:val="single" w:color="auto" w:sz="4" w:space="0"/>
                  </w:tcBorders>
                  <w:shd w:val="clear" w:color="auto" w:fill="auto"/>
                  <w:vAlign w:val="center"/>
                </w:tcPr>
                <w:p w14:paraId="6299F3B9">
                  <w:pPr>
                    <w:jc w:val="center"/>
                    <w:rPr>
                      <w:rFonts w:ascii="Times New Roman" w:hAnsi="Times New Roman" w:eastAsia="宋体" w:cs="Times New Roman"/>
                      <w:kern w:val="2"/>
                      <w:sz w:val="21"/>
                      <w:szCs w:val="21"/>
                      <w:highlight w:val="none"/>
                      <w:lang w:val="en-US" w:eastAsia="zh-CN" w:bidi="ar-SA"/>
                    </w:rPr>
                  </w:pPr>
                  <w:r>
                    <w:rPr>
                      <w:rFonts w:hint="eastAsia"/>
                      <w:szCs w:val="21"/>
                      <w:highlight w:val="none"/>
                    </w:rPr>
                    <w:t>生活垃圾</w:t>
                  </w:r>
                </w:p>
              </w:tc>
              <w:tc>
                <w:tcPr>
                  <w:tcW w:w="396" w:type="pct"/>
                  <w:tcBorders>
                    <w:top w:val="single" w:color="auto" w:sz="4" w:space="0"/>
                    <w:left w:val="single" w:color="auto" w:sz="4" w:space="0"/>
                    <w:bottom w:val="single" w:color="auto" w:sz="4" w:space="0"/>
                    <w:right w:val="single" w:color="auto" w:sz="4" w:space="0"/>
                  </w:tcBorders>
                  <w:shd w:val="clear" w:color="auto" w:fill="auto"/>
                  <w:vAlign w:val="center"/>
                </w:tcPr>
                <w:p w14:paraId="4727F29F">
                  <w:pPr>
                    <w:jc w:val="center"/>
                    <w:rPr>
                      <w:rFonts w:ascii="Times New Roman" w:hAnsi="Times New Roman" w:eastAsia="宋体" w:cs="Times New Roman"/>
                      <w:kern w:val="2"/>
                      <w:sz w:val="21"/>
                      <w:szCs w:val="21"/>
                      <w:highlight w:val="none"/>
                      <w:lang w:val="en-US" w:eastAsia="zh-CN" w:bidi="ar-SA"/>
                    </w:rPr>
                  </w:pPr>
                  <w:r>
                    <w:rPr>
                      <w:rFonts w:hint="eastAsia"/>
                      <w:szCs w:val="21"/>
                      <w:highlight w:val="none"/>
                    </w:rPr>
                    <w:t>间断</w:t>
                  </w:r>
                </w:p>
              </w:tc>
              <w:tc>
                <w:tcPr>
                  <w:tcW w:w="1814" w:type="pct"/>
                  <w:tcBorders>
                    <w:top w:val="single" w:color="auto" w:sz="4" w:space="0"/>
                    <w:left w:val="single" w:color="auto" w:sz="4" w:space="0"/>
                    <w:bottom w:val="single" w:color="auto" w:sz="4" w:space="0"/>
                    <w:right w:val="single" w:color="auto" w:sz="4" w:space="0"/>
                  </w:tcBorders>
                  <w:shd w:val="clear" w:color="auto" w:fill="auto"/>
                  <w:vAlign w:val="center"/>
                </w:tcPr>
                <w:p w14:paraId="6293A59C">
                  <w:pPr>
                    <w:jc w:val="center"/>
                    <w:rPr>
                      <w:rFonts w:ascii="Times New Roman" w:hAnsi="Times New Roman" w:eastAsia="宋体" w:cs="Times New Roman"/>
                      <w:kern w:val="2"/>
                      <w:sz w:val="21"/>
                      <w:szCs w:val="21"/>
                      <w:highlight w:val="none"/>
                      <w:lang w:val="en-US" w:eastAsia="zh-CN" w:bidi="ar-SA"/>
                    </w:rPr>
                  </w:pPr>
                  <w:r>
                    <w:rPr>
                      <w:rFonts w:hint="eastAsia"/>
                      <w:szCs w:val="21"/>
                      <w:highlight w:val="none"/>
                    </w:rPr>
                    <w:t>由环卫部门统一处理。</w:t>
                  </w:r>
                </w:p>
              </w:tc>
            </w:tr>
            <w:tr w14:paraId="24DF2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8" w:type="pct"/>
                  <w:vMerge w:val="continue"/>
                  <w:tcBorders>
                    <w:top w:val="single" w:color="auto" w:sz="4" w:space="0"/>
                    <w:left w:val="single" w:color="auto" w:sz="4" w:space="0"/>
                    <w:bottom w:val="single" w:color="auto" w:sz="4" w:space="0"/>
                    <w:right w:val="single" w:color="auto" w:sz="4" w:space="0"/>
                  </w:tcBorders>
                  <w:vAlign w:val="center"/>
                </w:tcPr>
                <w:p w14:paraId="5DF8A057">
                  <w:pPr>
                    <w:jc w:val="center"/>
                    <w:rPr>
                      <w:szCs w:val="21"/>
                      <w:highlight w:val="none"/>
                    </w:rPr>
                  </w:pPr>
                </w:p>
              </w:tc>
              <w:tc>
                <w:tcPr>
                  <w:tcW w:w="540" w:type="pct"/>
                  <w:tcBorders>
                    <w:top w:val="single" w:color="auto" w:sz="4" w:space="0"/>
                    <w:left w:val="single" w:color="auto" w:sz="4" w:space="0"/>
                    <w:bottom w:val="single" w:color="auto" w:sz="4" w:space="0"/>
                    <w:right w:val="single" w:color="auto" w:sz="4" w:space="0"/>
                  </w:tcBorders>
                  <w:shd w:val="clear" w:color="auto" w:fill="auto"/>
                  <w:vAlign w:val="center"/>
                </w:tcPr>
                <w:p w14:paraId="262C1787">
                  <w:pPr>
                    <w:jc w:val="center"/>
                    <w:rPr>
                      <w:rFonts w:ascii="Times New Roman" w:hAnsi="Times New Roman" w:eastAsia="宋体" w:cs="Times New Roman"/>
                      <w:kern w:val="2"/>
                      <w:sz w:val="21"/>
                      <w:szCs w:val="21"/>
                      <w:highlight w:val="none"/>
                      <w:lang w:val="en-US" w:eastAsia="zh-CN" w:bidi="ar-SA"/>
                    </w:rPr>
                  </w:pPr>
                  <w:r>
                    <w:rPr>
                      <w:szCs w:val="21"/>
                      <w:highlight w:val="none"/>
                    </w:rPr>
                    <w:t>/</w:t>
                  </w:r>
                </w:p>
              </w:tc>
              <w:tc>
                <w:tcPr>
                  <w:tcW w:w="597" w:type="pct"/>
                  <w:tcBorders>
                    <w:top w:val="single" w:color="auto" w:sz="4" w:space="0"/>
                    <w:left w:val="single" w:color="auto" w:sz="4" w:space="0"/>
                    <w:bottom w:val="single" w:color="auto" w:sz="4" w:space="0"/>
                    <w:right w:val="single" w:color="auto" w:sz="4" w:space="0"/>
                  </w:tcBorders>
                  <w:shd w:val="clear" w:color="auto" w:fill="auto"/>
                  <w:vAlign w:val="center"/>
                </w:tcPr>
                <w:p w14:paraId="048F5B6E">
                  <w:pPr>
                    <w:jc w:val="center"/>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废气治理</w:t>
                  </w:r>
                </w:p>
              </w:tc>
              <w:tc>
                <w:tcPr>
                  <w:tcW w:w="631" w:type="pct"/>
                  <w:tcBorders>
                    <w:top w:val="single" w:color="auto" w:sz="4" w:space="0"/>
                    <w:left w:val="single" w:color="auto" w:sz="4" w:space="0"/>
                    <w:bottom w:val="single" w:color="auto" w:sz="4" w:space="0"/>
                    <w:right w:val="single" w:color="auto" w:sz="4" w:space="0"/>
                  </w:tcBorders>
                  <w:shd w:val="clear" w:color="auto" w:fill="auto"/>
                  <w:vAlign w:val="center"/>
                </w:tcPr>
                <w:p w14:paraId="0AB34615">
                  <w:pPr>
                    <w:jc w:val="center"/>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废气治理</w:t>
                  </w:r>
                </w:p>
              </w:tc>
              <w:tc>
                <w:tcPr>
                  <w:tcW w:w="761" w:type="pct"/>
                  <w:tcBorders>
                    <w:top w:val="single" w:color="auto" w:sz="4" w:space="0"/>
                    <w:left w:val="single" w:color="auto" w:sz="4" w:space="0"/>
                    <w:bottom w:val="single" w:color="auto" w:sz="4" w:space="0"/>
                    <w:right w:val="single" w:color="auto" w:sz="4" w:space="0"/>
                  </w:tcBorders>
                  <w:shd w:val="clear" w:color="auto" w:fill="auto"/>
                  <w:vAlign w:val="center"/>
                </w:tcPr>
                <w:p w14:paraId="1A94532C">
                  <w:pPr>
                    <w:jc w:val="center"/>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废活性炭、废碱液</w:t>
                  </w:r>
                </w:p>
              </w:tc>
              <w:tc>
                <w:tcPr>
                  <w:tcW w:w="396" w:type="pct"/>
                  <w:tcBorders>
                    <w:top w:val="single" w:color="auto" w:sz="4" w:space="0"/>
                    <w:left w:val="single" w:color="auto" w:sz="4" w:space="0"/>
                    <w:bottom w:val="single" w:color="auto" w:sz="4" w:space="0"/>
                    <w:right w:val="single" w:color="auto" w:sz="4" w:space="0"/>
                  </w:tcBorders>
                  <w:shd w:val="clear" w:color="auto" w:fill="auto"/>
                  <w:vAlign w:val="center"/>
                </w:tcPr>
                <w:p w14:paraId="474773A9">
                  <w:pPr>
                    <w:jc w:val="center"/>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间断</w:t>
                  </w:r>
                </w:p>
              </w:tc>
              <w:tc>
                <w:tcPr>
                  <w:tcW w:w="1814" w:type="pct"/>
                  <w:vMerge w:val="restart"/>
                  <w:tcBorders>
                    <w:top w:val="single" w:color="auto" w:sz="4" w:space="0"/>
                    <w:left w:val="single" w:color="auto" w:sz="4" w:space="0"/>
                    <w:right w:val="single" w:color="auto" w:sz="4" w:space="0"/>
                  </w:tcBorders>
                  <w:shd w:val="clear" w:color="auto" w:fill="auto"/>
                  <w:vAlign w:val="center"/>
                </w:tcPr>
                <w:p w14:paraId="1B2CE879">
                  <w:pPr>
                    <w:jc w:val="center"/>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暂存于危险废物收集贮存库，定期委托有资质单位处置</w:t>
                  </w:r>
                </w:p>
              </w:tc>
            </w:tr>
            <w:tr w14:paraId="2DDCCF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8" w:type="pct"/>
                  <w:vMerge w:val="continue"/>
                  <w:tcBorders>
                    <w:top w:val="single" w:color="auto" w:sz="4" w:space="0"/>
                    <w:left w:val="single" w:color="auto" w:sz="4" w:space="0"/>
                    <w:bottom w:val="single" w:color="auto" w:sz="4" w:space="0"/>
                    <w:right w:val="single" w:color="auto" w:sz="4" w:space="0"/>
                  </w:tcBorders>
                  <w:vAlign w:val="center"/>
                </w:tcPr>
                <w:p w14:paraId="2005AB27">
                  <w:pPr>
                    <w:jc w:val="center"/>
                    <w:rPr>
                      <w:szCs w:val="21"/>
                      <w:highlight w:val="none"/>
                    </w:rPr>
                  </w:pPr>
                </w:p>
              </w:tc>
              <w:tc>
                <w:tcPr>
                  <w:tcW w:w="540" w:type="pct"/>
                  <w:tcBorders>
                    <w:top w:val="single" w:color="auto" w:sz="4" w:space="0"/>
                    <w:left w:val="single" w:color="auto" w:sz="4" w:space="0"/>
                    <w:bottom w:val="single" w:color="auto" w:sz="4" w:space="0"/>
                    <w:right w:val="single" w:color="auto" w:sz="4" w:space="0"/>
                  </w:tcBorders>
                  <w:shd w:val="clear" w:color="auto" w:fill="auto"/>
                  <w:vAlign w:val="center"/>
                </w:tcPr>
                <w:p w14:paraId="1483B0F1">
                  <w:pPr>
                    <w:jc w:val="center"/>
                    <w:rPr>
                      <w:rFonts w:ascii="Times New Roman" w:hAnsi="Times New Roman" w:eastAsia="宋体" w:cs="Times New Roman"/>
                      <w:kern w:val="2"/>
                      <w:sz w:val="21"/>
                      <w:szCs w:val="21"/>
                      <w:highlight w:val="none"/>
                      <w:lang w:val="en-US" w:eastAsia="zh-CN" w:bidi="ar-SA"/>
                    </w:rPr>
                  </w:pPr>
                  <w:r>
                    <w:rPr>
                      <w:szCs w:val="21"/>
                      <w:highlight w:val="none"/>
                    </w:rPr>
                    <w:t>/</w:t>
                  </w:r>
                </w:p>
              </w:tc>
              <w:tc>
                <w:tcPr>
                  <w:tcW w:w="597" w:type="pct"/>
                  <w:tcBorders>
                    <w:top w:val="single" w:color="auto" w:sz="4" w:space="0"/>
                    <w:left w:val="single" w:color="auto" w:sz="4" w:space="0"/>
                    <w:right w:val="single" w:color="auto" w:sz="4" w:space="0"/>
                  </w:tcBorders>
                  <w:shd w:val="clear" w:color="auto" w:fill="auto"/>
                  <w:vAlign w:val="center"/>
                </w:tcPr>
                <w:p w14:paraId="1B27C2C1">
                  <w:pPr>
                    <w:jc w:val="center"/>
                    <w:rPr>
                      <w:rFonts w:hint="default"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油桶压实</w:t>
                  </w:r>
                </w:p>
              </w:tc>
              <w:tc>
                <w:tcPr>
                  <w:tcW w:w="631" w:type="pct"/>
                  <w:tcBorders>
                    <w:top w:val="single" w:color="auto" w:sz="4" w:space="0"/>
                    <w:left w:val="single" w:color="auto" w:sz="4" w:space="0"/>
                    <w:bottom w:val="single" w:color="auto" w:sz="4" w:space="0"/>
                    <w:right w:val="single" w:color="auto" w:sz="4" w:space="0"/>
                  </w:tcBorders>
                  <w:shd w:val="clear" w:color="auto" w:fill="auto"/>
                  <w:vAlign w:val="center"/>
                </w:tcPr>
                <w:p w14:paraId="5F67183D">
                  <w:pPr>
                    <w:jc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压实</w:t>
                  </w:r>
                </w:p>
              </w:tc>
              <w:tc>
                <w:tcPr>
                  <w:tcW w:w="761" w:type="pct"/>
                  <w:tcBorders>
                    <w:top w:val="single" w:color="auto" w:sz="4" w:space="0"/>
                    <w:left w:val="single" w:color="auto" w:sz="4" w:space="0"/>
                    <w:bottom w:val="single" w:color="auto" w:sz="4" w:space="0"/>
                    <w:right w:val="single" w:color="auto" w:sz="4" w:space="0"/>
                  </w:tcBorders>
                  <w:shd w:val="clear" w:color="auto" w:fill="auto"/>
                  <w:vAlign w:val="center"/>
                </w:tcPr>
                <w:p w14:paraId="1119C9DC">
                  <w:pPr>
                    <w:jc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rPr>
                    <w:t>废</w:t>
                  </w:r>
                  <w:r>
                    <w:rPr>
                      <w:rFonts w:hint="eastAsia"/>
                      <w:szCs w:val="21"/>
                      <w:highlight w:val="none"/>
                      <w:lang w:val="en-US" w:eastAsia="zh-CN"/>
                    </w:rPr>
                    <w:t>矿物油</w:t>
                  </w:r>
                </w:p>
              </w:tc>
              <w:tc>
                <w:tcPr>
                  <w:tcW w:w="396" w:type="pct"/>
                  <w:tcBorders>
                    <w:top w:val="single" w:color="auto" w:sz="4" w:space="0"/>
                    <w:left w:val="single" w:color="auto" w:sz="4" w:space="0"/>
                    <w:bottom w:val="single" w:color="auto" w:sz="4" w:space="0"/>
                    <w:right w:val="single" w:color="auto" w:sz="4" w:space="0"/>
                  </w:tcBorders>
                  <w:shd w:val="clear" w:color="auto" w:fill="auto"/>
                  <w:vAlign w:val="center"/>
                </w:tcPr>
                <w:p w14:paraId="2561AD67">
                  <w:pPr>
                    <w:jc w:val="center"/>
                    <w:rPr>
                      <w:rFonts w:ascii="Times New Roman" w:hAnsi="Times New Roman" w:eastAsia="宋体" w:cs="Times New Roman"/>
                      <w:kern w:val="2"/>
                      <w:sz w:val="21"/>
                      <w:szCs w:val="21"/>
                      <w:highlight w:val="none"/>
                      <w:lang w:val="en-US" w:eastAsia="zh-CN" w:bidi="ar-SA"/>
                    </w:rPr>
                  </w:pPr>
                  <w:r>
                    <w:rPr>
                      <w:rFonts w:hint="eastAsia"/>
                      <w:szCs w:val="21"/>
                      <w:highlight w:val="none"/>
                    </w:rPr>
                    <w:t>间断</w:t>
                  </w:r>
                </w:p>
              </w:tc>
              <w:tc>
                <w:tcPr>
                  <w:tcW w:w="1814" w:type="pct"/>
                  <w:vMerge w:val="continue"/>
                  <w:tcBorders>
                    <w:left w:val="single" w:color="auto" w:sz="4" w:space="0"/>
                    <w:right w:val="single" w:color="auto" w:sz="4" w:space="0"/>
                  </w:tcBorders>
                  <w:shd w:val="clear" w:color="auto" w:fill="auto"/>
                  <w:vAlign w:val="center"/>
                </w:tcPr>
                <w:p w14:paraId="2F460FE7">
                  <w:pPr>
                    <w:jc w:val="center"/>
                    <w:rPr>
                      <w:rFonts w:ascii="Times New Roman" w:hAnsi="Times New Roman" w:eastAsia="宋体" w:cs="Times New Roman"/>
                      <w:kern w:val="2"/>
                      <w:sz w:val="21"/>
                      <w:szCs w:val="21"/>
                      <w:highlight w:val="none"/>
                      <w:lang w:val="en-US" w:eastAsia="zh-CN" w:bidi="ar-SA"/>
                    </w:rPr>
                  </w:pPr>
                </w:p>
              </w:tc>
            </w:tr>
            <w:tr w14:paraId="3E7AE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8" w:type="pct"/>
                  <w:vMerge w:val="continue"/>
                  <w:tcBorders>
                    <w:top w:val="single" w:color="auto" w:sz="4" w:space="0"/>
                    <w:left w:val="single" w:color="auto" w:sz="4" w:space="0"/>
                    <w:bottom w:val="single" w:color="auto" w:sz="4" w:space="0"/>
                    <w:right w:val="single" w:color="auto" w:sz="4" w:space="0"/>
                  </w:tcBorders>
                  <w:vAlign w:val="center"/>
                </w:tcPr>
                <w:p w14:paraId="520351DE">
                  <w:pPr>
                    <w:jc w:val="center"/>
                    <w:rPr>
                      <w:szCs w:val="21"/>
                      <w:highlight w:val="none"/>
                    </w:rPr>
                  </w:pPr>
                </w:p>
              </w:tc>
              <w:tc>
                <w:tcPr>
                  <w:tcW w:w="540" w:type="pct"/>
                  <w:tcBorders>
                    <w:top w:val="single" w:color="auto" w:sz="4" w:space="0"/>
                    <w:left w:val="single" w:color="auto" w:sz="4" w:space="0"/>
                    <w:bottom w:val="single" w:color="auto" w:sz="4" w:space="0"/>
                    <w:right w:val="single" w:color="auto" w:sz="4" w:space="0"/>
                  </w:tcBorders>
                  <w:shd w:val="clear" w:color="auto" w:fill="auto"/>
                  <w:vAlign w:val="center"/>
                </w:tcPr>
                <w:p w14:paraId="3DDD8C5F">
                  <w:pPr>
                    <w:jc w:val="center"/>
                    <w:rPr>
                      <w:rFonts w:hint="eastAsia" w:eastAsia="宋体"/>
                      <w:szCs w:val="21"/>
                      <w:highlight w:val="none"/>
                      <w:lang w:val="en-US" w:eastAsia="zh-CN"/>
                    </w:rPr>
                  </w:pPr>
                  <w:r>
                    <w:rPr>
                      <w:rFonts w:hint="eastAsia"/>
                      <w:szCs w:val="21"/>
                      <w:highlight w:val="none"/>
                      <w:lang w:val="en-US" w:eastAsia="zh-CN"/>
                    </w:rPr>
                    <w:t>/</w:t>
                  </w:r>
                </w:p>
              </w:tc>
              <w:tc>
                <w:tcPr>
                  <w:tcW w:w="597" w:type="pct"/>
                  <w:tcBorders>
                    <w:left w:val="single" w:color="auto" w:sz="4" w:space="0"/>
                    <w:bottom w:val="single" w:color="auto" w:sz="4" w:space="0"/>
                    <w:right w:val="single" w:color="auto" w:sz="4" w:space="0"/>
                  </w:tcBorders>
                  <w:shd w:val="clear" w:color="auto" w:fill="auto"/>
                  <w:vAlign w:val="center"/>
                </w:tcPr>
                <w:p w14:paraId="01AD5729">
                  <w:pPr>
                    <w:jc w:val="center"/>
                    <w:rPr>
                      <w:rFonts w:hint="eastAsia"/>
                      <w:szCs w:val="21"/>
                      <w:highlight w:val="none"/>
                      <w:lang w:val="en-US" w:eastAsia="zh-CN"/>
                    </w:rPr>
                  </w:pPr>
                  <w:r>
                    <w:rPr>
                      <w:rFonts w:hint="eastAsia"/>
                      <w:szCs w:val="21"/>
                      <w:highlight w:val="none"/>
                      <w:lang w:val="en-US" w:eastAsia="zh-CN"/>
                    </w:rPr>
                    <w:t>设备维护</w:t>
                  </w:r>
                </w:p>
              </w:tc>
              <w:tc>
                <w:tcPr>
                  <w:tcW w:w="631" w:type="pct"/>
                  <w:tcBorders>
                    <w:top w:val="single" w:color="auto" w:sz="4" w:space="0"/>
                    <w:left w:val="single" w:color="auto" w:sz="4" w:space="0"/>
                    <w:bottom w:val="single" w:color="auto" w:sz="4" w:space="0"/>
                    <w:right w:val="single" w:color="auto" w:sz="4" w:space="0"/>
                  </w:tcBorders>
                  <w:shd w:val="clear" w:color="auto" w:fill="auto"/>
                  <w:vAlign w:val="center"/>
                </w:tcPr>
                <w:p w14:paraId="673D9ED2">
                  <w:pPr>
                    <w:jc w:val="center"/>
                    <w:rPr>
                      <w:rFonts w:hint="default"/>
                      <w:szCs w:val="21"/>
                      <w:highlight w:val="none"/>
                      <w:lang w:val="en-US" w:eastAsia="zh-CN"/>
                    </w:rPr>
                  </w:pPr>
                  <w:r>
                    <w:rPr>
                      <w:rFonts w:hint="eastAsia"/>
                      <w:szCs w:val="21"/>
                      <w:highlight w:val="none"/>
                      <w:lang w:val="en-US" w:eastAsia="zh-CN"/>
                    </w:rPr>
                    <w:t>设备维护</w:t>
                  </w:r>
                </w:p>
              </w:tc>
              <w:tc>
                <w:tcPr>
                  <w:tcW w:w="761" w:type="pct"/>
                  <w:tcBorders>
                    <w:top w:val="single" w:color="auto" w:sz="4" w:space="0"/>
                    <w:left w:val="single" w:color="auto" w:sz="4" w:space="0"/>
                    <w:bottom w:val="single" w:color="auto" w:sz="4" w:space="0"/>
                    <w:right w:val="single" w:color="auto" w:sz="4" w:space="0"/>
                  </w:tcBorders>
                  <w:shd w:val="clear" w:color="auto" w:fill="auto"/>
                  <w:vAlign w:val="center"/>
                </w:tcPr>
                <w:p w14:paraId="72B46F6B">
                  <w:pPr>
                    <w:jc w:val="center"/>
                    <w:rPr>
                      <w:rFonts w:hint="default" w:ascii="Times New Roman" w:hAnsi="Times New Roman" w:eastAsia="宋体" w:cs="Times New Roman"/>
                      <w:kern w:val="2"/>
                      <w:sz w:val="21"/>
                      <w:szCs w:val="21"/>
                      <w:highlight w:val="none"/>
                      <w:lang w:val="en-US" w:eastAsia="zh-CN" w:bidi="ar-SA"/>
                    </w:rPr>
                  </w:pPr>
                  <w:r>
                    <w:rPr>
                      <w:rFonts w:hint="eastAsia"/>
                      <w:szCs w:val="21"/>
                      <w:highlight w:val="none"/>
                    </w:rPr>
                    <w:t>废</w:t>
                  </w:r>
                  <w:r>
                    <w:rPr>
                      <w:rFonts w:hint="eastAsia"/>
                      <w:szCs w:val="21"/>
                      <w:highlight w:val="none"/>
                      <w:lang w:val="en-US" w:eastAsia="zh-CN"/>
                    </w:rPr>
                    <w:t>矿物油及废油桶</w:t>
                  </w:r>
                </w:p>
              </w:tc>
              <w:tc>
                <w:tcPr>
                  <w:tcW w:w="396" w:type="pct"/>
                  <w:tcBorders>
                    <w:top w:val="single" w:color="auto" w:sz="4" w:space="0"/>
                    <w:left w:val="single" w:color="auto" w:sz="4" w:space="0"/>
                    <w:bottom w:val="single" w:color="auto" w:sz="4" w:space="0"/>
                    <w:right w:val="single" w:color="auto" w:sz="4" w:space="0"/>
                  </w:tcBorders>
                  <w:shd w:val="clear" w:color="auto" w:fill="auto"/>
                  <w:vAlign w:val="center"/>
                </w:tcPr>
                <w:p w14:paraId="5A7990AD">
                  <w:pPr>
                    <w:jc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rPr>
                    <w:t>间断</w:t>
                  </w:r>
                </w:p>
              </w:tc>
              <w:tc>
                <w:tcPr>
                  <w:tcW w:w="1814" w:type="pct"/>
                  <w:vMerge w:val="continue"/>
                  <w:tcBorders>
                    <w:left w:val="single" w:color="auto" w:sz="4" w:space="0"/>
                    <w:right w:val="single" w:color="auto" w:sz="4" w:space="0"/>
                  </w:tcBorders>
                  <w:shd w:val="clear" w:color="auto" w:fill="auto"/>
                  <w:vAlign w:val="center"/>
                </w:tcPr>
                <w:p w14:paraId="496A1606">
                  <w:pPr>
                    <w:jc w:val="center"/>
                    <w:rPr>
                      <w:rFonts w:ascii="Times New Roman" w:hAnsi="Times New Roman" w:eastAsia="宋体" w:cs="Times New Roman"/>
                      <w:kern w:val="2"/>
                      <w:sz w:val="21"/>
                      <w:szCs w:val="21"/>
                      <w:highlight w:val="none"/>
                      <w:lang w:val="en-US" w:eastAsia="zh-CN" w:bidi="ar-SA"/>
                    </w:rPr>
                  </w:pPr>
                </w:p>
              </w:tc>
            </w:tr>
            <w:tr w14:paraId="253B0E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8" w:type="pct"/>
                  <w:vMerge w:val="continue"/>
                  <w:tcBorders>
                    <w:top w:val="single" w:color="auto" w:sz="4" w:space="0"/>
                    <w:left w:val="single" w:color="auto" w:sz="4" w:space="0"/>
                    <w:bottom w:val="single" w:color="auto" w:sz="4" w:space="0"/>
                    <w:right w:val="single" w:color="auto" w:sz="4" w:space="0"/>
                  </w:tcBorders>
                  <w:vAlign w:val="center"/>
                </w:tcPr>
                <w:p w14:paraId="005A12E8">
                  <w:pPr>
                    <w:jc w:val="center"/>
                    <w:rPr>
                      <w:szCs w:val="21"/>
                      <w:highlight w:val="none"/>
                    </w:rPr>
                  </w:pPr>
                </w:p>
              </w:tc>
              <w:tc>
                <w:tcPr>
                  <w:tcW w:w="540" w:type="pct"/>
                  <w:tcBorders>
                    <w:top w:val="single" w:color="auto" w:sz="4" w:space="0"/>
                    <w:left w:val="single" w:color="auto" w:sz="4" w:space="0"/>
                    <w:bottom w:val="single" w:color="auto" w:sz="4" w:space="0"/>
                    <w:right w:val="single" w:color="auto" w:sz="4" w:space="0"/>
                  </w:tcBorders>
                  <w:vAlign w:val="center"/>
                </w:tcPr>
                <w:p w14:paraId="1A9DFD0B">
                  <w:pPr>
                    <w:jc w:val="center"/>
                    <w:rPr>
                      <w:rFonts w:eastAsiaTheme="minorEastAsia"/>
                      <w:szCs w:val="21"/>
                      <w:highlight w:val="none"/>
                    </w:rPr>
                  </w:pPr>
                  <w:r>
                    <w:rPr>
                      <w:szCs w:val="21"/>
                      <w:highlight w:val="none"/>
                    </w:rPr>
                    <w:t>/</w:t>
                  </w:r>
                </w:p>
              </w:tc>
              <w:tc>
                <w:tcPr>
                  <w:tcW w:w="597" w:type="pct"/>
                  <w:tcBorders>
                    <w:top w:val="single" w:color="auto" w:sz="4" w:space="0"/>
                    <w:left w:val="single" w:color="auto" w:sz="4" w:space="0"/>
                    <w:bottom w:val="single" w:color="auto" w:sz="4" w:space="0"/>
                    <w:right w:val="single" w:color="auto" w:sz="4" w:space="0"/>
                  </w:tcBorders>
                  <w:vAlign w:val="center"/>
                </w:tcPr>
                <w:p w14:paraId="3A01579A">
                  <w:pPr>
                    <w:jc w:val="center"/>
                    <w:rPr>
                      <w:rFonts w:hint="default" w:eastAsia="宋体"/>
                      <w:szCs w:val="21"/>
                      <w:highlight w:val="none"/>
                      <w:lang w:val="en-US" w:eastAsia="zh-CN"/>
                    </w:rPr>
                  </w:pPr>
                  <w:r>
                    <w:rPr>
                      <w:rFonts w:hint="eastAsia"/>
                      <w:szCs w:val="21"/>
                      <w:highlight w:val="none"/>
                      <w:lang w:val="en-US" w:eastAsia="zh-CN"/>
                    </w:rPr>
                    <w:t>收集、贮存</w:t>
                  </w:r>
                </w:p>
              </w:tc>
              <w:tc>
                <w:tcPr>
                  <w:tcW w:w="631" w:type="pct"/>
                  <w:tcBorders>
                    <w:top w:val="single" w:color="auto" w:sz="4" w:space="0"/>
                    <w:left w:val="single" w:color="auto" w:sz="4" w:space="0"/>
                    <w:bottom w:val="single" w:color="auto" w:sz="4" w:space="0"/>
                    <w:right w:val="single" w:color="auto" w:sz="4" w:space="0"/>
                  </w:tcBorders>
                  <w:vAlign w:val="center"/>
                </w:tcPr>
                <w:p w14:paraId="608A8928">
                  <w:pPr>
                    <w:jc w:val="center"/>
                    <w:rPr>
                      <w:rFonts w:hint="default" w:eastAsia="宋体"/>
                      <w:szCs w:val="21"/>
                      <w:highlight w:val="none"/>
                      <w:lang w:val="en-US" w:eastAsia="zh-CN"/>
                    </w:rPr>
                  </w:pPr>
                  <w:r>
                    <w:rPr>
                      <w:rFonts w:hint="eastAsia"/>
                      <w:szCs w:val="21"/>
                      <w:highlight w:val="none"/>
                    </w:rPr>
                    <w:t>废弃的含油抹布、劳保用品</w:t>
                  </w:r>
                  <w:r>
                    <w:rPr>
                      <w:rFonts w:hint="eastAsia"/>
                      <w:szCs w:val="21"/>
                      <w:highlight w:val="none"/>
                      <w:lang w:eastAsia="zh-CN"/>
                    </w:rPr>
                    <w:t>、</w:t>
                  </w:r>
                  <w:r>
                    <w:rPr>
                      <w:rFonts w:hint="eastAsia"/>
                      <w:szCs w:val="21"/>
                      <w:highlight w:val="none"/>
                      <w:lang w:val="en-US" w:eastAsia="zh-CN"/>
                    </w:rPr>
                    <w:t>废弃包装物</w:t>
                  </w:r>
                </w:p>
              </w:tc>
              <w:tc>
                <w:tcPr>
                  <w:tcW w:w="761" w:type="pct"/>
                  <w:tcBorders>
                    <w:top w:val="single" w:color="auto" w:sz="4" w:space="0"/>
                    <w:left w:val="single" w:color="auto" w:sz="4" w:space="0"/>
                    <w:bottom w:val="single" w:color="auto" w:sz="4" w:space="0"/>
                    <w:right w:val="single" w:color="auto" w:sz="4" w:space="0"/>
                  </w:tcBorders>
                  <w:vAlign w:val="center"/>
                </w:tcPr>
                <w:p w14:paraId="3DBCB80C">
                  <w:pPr>
                    <w:jc w:val="center"/>
                    <w:rPr>
                      <w:szCs w:val="21"/>
                      <w:highlight w:val="none"/>
                    </w:rPr>
                  </w:pPr>
                  <w:r>
                    <w:rPr>
                      <w:rFonts w:hint="eastAsia"/>
                      <w:szCs w:val="21"/>
                      <w:highlight w:val="none"/>
                    </w:rPr>
                    <w:t>废弃的含油抹布、劳保用品</w:t>
                  </w:r>
                  <w:r>
                    <w:rPr>
                      <w:rFonts w:hint="eastAsia"/>
                      <w:szCs w:val="21"/>
                      <w:highlight w:val="none"/>
                      <w:lang w:eastAsia="zh-CN"/>
                    </w:rPr>
                    <w:t>、</w:t>
                  </w:r>
                  <w:r>
                    <w:rPr>
                      <w:rFonts w:hint="eastAsia"/>
                      <w:szCs w:val="21"/>
                      <w:highlight w:val="none"/>
                      <w:lang w:val="en-US" w:eastAsia="zh-CN"/>
                    </w:rPr>
                    <w:t>废弃包装物</w:t>
                  </w:r>
                </w:p>
              </w:tc>
              <w:tc>
                <w:tcPr>
                  <w:tcW w:w="396" w:type="pct"/>
                  <w:tcBorders>
                    <w:top w:val="single" w:color="auto" w:sz="4" w:space="0"/>
                    <w:left w:val="single" w:color="auto" w:sz="4" w:space="0"/>
                    <w:bottom w:val="single" w:color="auto" w:sz="4" w:space="0"/>
                    <w:right w:val="single" w:color="auto" w:sz="4" w:space="0"/>
                  </w:tcBorders>
                  <w:vAlign w:val="center"/>
                </w:tcPr>
                <w:p w14:paraId="0BED6926">
                  <w:pPr>
                    <w:jc w:val="center"/>
                    <w:rPr>
                      <w:szCs w:val="21"/>
                      <w:highlight w:val="none"/>
                    </w:rPr>
                  </w:pPr>
                  <w:r>
                    <w:rPr>
                      <w:rFonts w:hint="eastAsia"/>
                      <w:szCs w:val="21"/>
                      <w:highlight w:val="none"/>
                    </w:rPr>
                    <w:t>间断</w:t>
                  </w:r>
                </w:p>
              </w:tc>
              <w:tc>
                <w:tcPr>
                  <w:tcW w:w="1814" w:type="pct"/>
                  <w:vMerge w:val="continue"/>
                  <w:tcBorders>
                    <w:left w:val="single" w:color="auto" w:sz="4" w:space="0"/>
                    <w:bottom w:val="single" w:color="auto" w:sz="4" w:space="0"/>
                    <w:right w:val="single" w:color="auto" w:sz="4" w:space="0"/>
                  </w:tcBorders>
                  <w:vAlign w:val="center"/>
                </w:tcPr>
                <w:p w14:paraId="2DE7808B">
                  <w:pPr>
                    <w:jc w:val="center"/>
                    <w:rPr>
                      <w:rFonts w:eastAsiaTheme="minorEastAsia"/>
                      <w:szCs w:val="21"/>
                      <w:highlight w:val="none"/>
                    </w:rPr>
                  </w:pPr>
                </w:p>
              </w:tc>
            </w:tr>
          </w:tbl>
          <w:p w14:paraId="0CFE0EC5">
            <w:pPr>
              <w:pStyle w:val="2"/>
              <w:ind w:left="420"/>
              <w:rPr>
                <w:highlight w:val="none"/>
              </w:rPr>
            </w:pPr>
          </w:p>
        </w:tc>
      </w:tr>
      <w:tr w14:paraId="7249BD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33" w:hRule="atLeast"/>
          <w:jc w:val="center"/>
        </w:trPr>
        <w:tc>
          <w:tcPr>
            <w:tcW w:w="823" w:type="dxa"/>
            <w:vAlign w:val="center"/>
          </w:tcPr>
          <w:p w14:paraId="0C5C1244">
            <w:pPr>
              <w:adjustRightInd w:val="0"/>
              <w:snapToGrid w:val="0"/>
              <w:jc w:val="center"/>
              <w:rPr>
                <w:rFonts w:ascii="宋体" w:hAnsi="宋体" w:cs="宋体"/>
                <w:kern w:val="0"/>
                <w:sz w:val="24"/>
                <w:highlight w:val="none"/>
              </w:rPr>
            </w:pPr>
            <w:r>
              <w:rPr>
                <w:rFonts w:hint="eastAsia" w:ascii="宋体" w:hAnsi="宋体" w:cs="宋体"/>
                <w:kern w:val="0"/>
                <w:sz w:val="24"/>
                <w:highlight w:val="none"/>
              </w:rPr>
              <w:t>与项目有关的原有环境污染问题</w:t>
            </w:r>
          </w:p>
        </w:tc>
        <w:tc>
          <w:tcPr>
            <w:tcW w:w="8161" w:type="dxa"/>
            <w:vAlign w:val="center"/>
          </w:tcPr>
          <w:p w14:paraId="5A8EB30E">
            <w:pPr>
              <w:spacing w:line="360" w:lineRule="auto"/>
              <w:ind w:firstLine="480"/>
              <w:rPr>
                <w:sz w:val="24"/>
                <w:highlight w:val="none"/>
              </w:rPr>
            </w:pPr>
            <w:r>
              <w:rPr>
                <w:rFonts w:hint="eastAsia"/>
                <w:sz w:val="24"/>
                <w:highlight w:val="none"/>
              </w:rPr>
              <w:t>项目为新建项目，不存在与项目有关的原有的环境污染问题。</w:t>
            </w:r>
          </w:p>
          <w:p w14:paraId="433563FD">
            <w:pPr>
              <w:spacing w:before="120" w:beforeLines="50" w:line="360" w:lineRule="auto"/>
              <w:ind w:firstLine="482"/>
              <w:rPr>
                <w:sz w:val="24"/>
                <w:highlight w:val="none"/>
              </w:rPr>
            </w:pPr>
          </w:p>
        </w:tc>
      </w:tr>
    </w:tbl>
    <w:p w14:paraId="3524A9E9">
      <w:pPr>
        <w:pStyle w:val="19"/>
        <w:jc w:val="center"/>
        <w:rPr>
          <w:rFonts w:ascii="黑体" w:hAnsi="黑体" w:eastAsia="黑体"/>
          <w:snapToGrid w:val="0"/>
          <w:sz w:val="36"/>
          <w:szCs w:val="36"/>
          <w:highlight w:val="green"/>
        </w:rPr>
        <w:sectPr>
          <w:pgSz w:w="11906" w:h="16838"/>
          <w:pgMar w:top="1701" w:right="1531" w:bottom="1701" w:left="1531" w:header="851" w:footer="851" w:gutter="0"/>
          <w:cols w:space="720" w:num="1"/>
          <w:docGrid w:linePitch="312" w:charSpace="0"/>
        </w:sectPr>
      </w:pPr>
    </w:p>
    <w:p w14:paraId="62EC6DB1">
      <w:pPr>
        <w:pStyle w:val="19"/>
        <w:adjustRightInd w:val="0"/>
        <w:snapToGrid w:val="0"/>
        <w:spacing w:before="0" w:beforeAutospacing="0" w:after="0" w:afterAutospacing="0" w:line="14" w:lineRule="auto"/>
        <w:jc w:val="center"/>
        <w:rPr>
          <w:rFonts w:ascii="黑体" w:hAnsi="黑体" w:eastAsia="黑体"/>
          <w:snapToGrid w:val="0"/>
          <w:sz w:val="30"/>
          <w:szCs w:val="30"/>
          <w:highlight w:val="green"/>
        </w:rPr>
      </w:pPr>
    </w:p>
    <w:p w14:paraId="23391910">
      <w:pPr>
        <w:pStyle w:val="19"/>
        <w:spacing w:before="120" w:beforeLines="50" w:beforeAutospacing="0" w:after="240" w:afterLines="100" w:afterAutospacing="0"/>
        <w:jc w:val="center"/>
        <w:outlineLvl w:val="0"/>
        <w:rPr>
          <w:rFonts w:ascii="黑体" w:hAnsi="黑体" w:eastAsia="黑体"/>
          <w:snapToGrid w:val="0"/>
          <w:sz w:val="30"/>
          <w:szCs w:val="30"/>
        </w:rPr>
      </w:pPr>
      <w:r>
        <w:rPr>
          <w:rFonts w:hint="eastAsia" w:ascii="黑体" w:hAnsi="黑体" w:eastAsia="黑体"/>
          <w:snapToGrid w:val="0"/>
          <w:sz w:val="30"/>
          <w:szCs w:val="30"/>
        </w:rPr>
        <w:t>三、区域环境质量现状、环境保护目标及评价标准</w:t>
      </w:r>
    </w:p>
    <w:tbl>
      <w:tblPr>
        <w:tblStyle w:val="21"/>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8605"/>
      </w:tblGrid>
      <w:tr w14:paraId="588D6D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6" w:hRule="atLeast"/>
          <w:jc w:val="center"/>
        </w:trPr>
        <w:tc>
          <w:tcPr>
            <w:tcW w:w="232" w:type="pct"/>
            <w:vAlign w:val="center"/>
          </w:tcPr>
          <w:p w14:paraId="608334A8">
            <w:pPr>
              <w:adjustRightInd w:val="0"/>
              <w:snapToGrid w:val="0"/>
              <w:jc w:val="center"/>
              <w:rPr>
                <w:rFonts w:ascii="宋体" w:hAnsi="宋体" w:cs="宋体"/>
                <w:kern w:val="0"/>
                <w:sz w:val="24"/>
              </w:rPr>
            </w:pPr>
            <w:r>
              <w:rPr>
                <w:rFonts w:hint="eastAsia" w:ascii="宋体" w:hAnsi="宋体" w:cs="宋体"/>
                <w:kern w:val="0"/>
                <w:sz w:val="24"/>
              </w:rPr>
              <w:t>区域</w:t>
            </w:r>
          </w:p>
          <w:p w14:paraId="2487F390">
            <w:pPr>
              <w:adjustRightInd w:val="0"/>
              <w:snapToGrid w:val="0"/>
              <w:jc w:val="center"/>
              <w:rPr>
                <w:rFonts w:ascii="宋体" w:hAnsi="宋体" w:cs="宋体"/>
                <w:kern w:val="0"/>
                <w:sz w:val="24"/>
              </w:rPr>
            </w:pPr>
            <w:r>
              <w:rPr>
                <w:rFonts w:hint="eastAsia" w:ascii="宋体" w:hAnsi="宋体" w:cs="宋体"/>
                <w:kern w:val="0"/>
                <w:sz w:val="24"/>
              </w:rPr>
              <w:t>环境</w:t>
            </w:r>
          </w:p>
          <w:p w14:paraId="0E97AFAF">
            <w:pPr>
              <w:adjustRightInd w:val="0"/>
              <w:snapToGrid w:val="0"/>
              <w:jc w:val="center"/>
              <w:rPr>
                <w:rFonts w:ascii="宋体" w:hAnsi="宋体" w:cs="宋体"/>
                <w:kern w:val="0"/>
                <w:sz w:val="24"/>
              </w:rPr>
            </w:pPr>
            <w:r>
              <w:rPr>
                <w:rFonts w:hint="eastAsia" w:ascii="宋体" w:hAnsi="宋体" w:cs="宋体"/>
                <w:kern w:val="0"/>
                <w:sz w:val="24"/>
              </w:rPr>
              <w:t>质量</w:t>
            </w:r>
          </w:p>
          <w:p w14:paraId="6C3B9447">
            <w:pPr>
              <w:adjustRightInd w:val="0"/>
              <w:snapToGrid w:val="0"/>
              <w:jc w:val="center"/>
              <w:rPr>
                <w:rFonts w:ascii="宋体" w:hAnsi="宋体" w:cs="宋体"/>
                <w:kern w:val="0"/>
                <w:sz w:val="24"/>
              </w:rPr>
            </w:pPr>
            <w:r>
              <w:rPr>
                <w:rFonts w:hint="eastAsia" w:ascii="宋体" w:hAnsi="宋体" w:cs="宋体"/>
                <w:kern w:val="0"/>
                <w:sz w:val="24"/>
              </w:rPr>
              <w:t>现状</w:t>
            </w:r>
          </w:p>
        </w:tc>
        <w:tc>
          <w:tcPr>
            <w:tcW w:w="4767" w:type="pct"/>
            <w:vAlign w:val="center"/>
          </w:tcPr>
          <w:p w14:paraId="44B4617A">
            <w:pPr>
              <w:spacing w:before="120" w:beforeLines="50" w:line="360" w:lineRule="auto"/>
              <w:ind w:firstLine="482"/>
              <w:rPr>
                <w:b/>
                <w:sz w:val="24"/>
              </w:rPr>
            </w:pPr>
            <w:r>
              <w:rPr>
                <w:b/>
                <w:sz w:val="24"/>
              </w:rPr>
              <w:t>1．</w:t>
            </w:r>
            <w:r>
              <w:rPr>
                <w:rFonts w:hint="eastAsia"/>
                <w:b/>
                <w:sz w:val="24"/>
              </w:rPr>
              <w:t>环境空气质量现状</w:t>
            </w:r>
          </w:p>
          <w:p w14:paraId="5D5E12C9">
            <w:pPr>
              <w:spacing w:line="360" w:lineRule="auto"/>
              <w:ind w:firstLine="480"/>
              <w:rPr>
                <w:sz w:val="24"/>
              </w:rPr>
            </w:pPr>
            <w:r>
              <w:rPr>
                <w:rFonts w:hint="eastAsia"/>
                <w:sz w:val="24"/>
              </w:rPr>
              <w:t>（</w:t>
            </w:r>
            <w:r>
              <w:rPr>
                <w:sz w:val="24"/>
              </w:rPr>
              <w:t>1</w:t>
            </w:r>
            <w:r>
              <w:rPr>
                <w:rFonts w:hint="eastAsia"/>
                <w:sz w:val="24"/>
              </w:rPr>
              <w:t>）大气污染物基本项目环境空气质量现状</w:t>
            </w:r>
          </w:p>
          <w:p w14:paraId="23EC690B">
            <w:pPr>
              <w:spacing w:line="360" w:lineRule="auto"/>
              <w:ind w:firstLine="480"/>
              <w:rPr>
                <w:sz w:val="24"/>
              </w:rPr>
            </w:pPr>
            <w:r>
              <w:rPr>
                <w:rFonts w:hint="eastAsia"/>
                <w:sz w:val="24"/>
              </w:rPr>
              <w:t>项目所在区域环境空气质量执行《环境空气质量标准》（</w:t>
            </w:r>
            <w:r>
              <w:rPr>
                <w:sz w:val="24"/>
              </w:rPr>
              <w:t>GB3095-2012</w:t>
            </w:r>
            <w:r>
              <w:rPr>
                <w:rFonts w:hint="eastAsia"/>
                <w:sz w:val="24"/>
              </w:rPr>
              <w:t>）及其修改单中二级标准要求。</w:t>
            </w:r>
          </w:p>
          <w:p w14:paraId="7D0381E2">
            <w:pPr>
              <w:spacing w:line="360" w:lineRule="auto"/>
              <w:ind w:firstLine="480"/>
              <w:rPr>
                <w:sz w:val="24"/>
              </w:rPr>
            </w:pPr>
            <w:r>
              <w:rPr>
                <w:rFonts w:hint="eastAsia"/>
                <w:sz w:val="24"/>
              </w:rPr>
              <w:t>本次评价</w:t>
            </w:r>
            <w:r>
              <w:rPr>
                <w:sz w:val="24"/>
              </w:rPr>
              <w:t>引用</w:t>
            </w:r>
            <w:r>
              <w:rPr>
                <w:rFonts w:hint="eastAsia"/>
                <w:sz w:val="24"/>
              </w:rPr>
              <w:t>《关于</w:t>
            </w:r>
            <w:r>
              <w:rPr>
                <w:sz w:val="24"/>
              </w:rPr>
              <w:t>2023</w:t>
            </w:r>
            <w:r>
              <w:rPr>
                <w:rFonts w:hint="eastAsia"/>
                <w:sz w:val="24"/>
              </w:rPr>
              <w:t>年</w:t>
            </w:r>
            <w:r>
              <w:rPr>
                <w:sz w:val="24"/>
              </w:rPr>
              <w:t>12</w:t>
            </w:r>
            <w:r>
              <w:rPr>
                <w:rFonts w:hint="eastAsia"/>
                <w:sz w:val="24"/>
              </w:rPr>
              <w:t>月份全市空气质量预警监测结果的通报》（承气领办〔</w:t>
            </w:r>
            <w:r>
              <w:rPr>
                <w:sz w:val="24"/>
              </w:rPr>
              <w:t>2024</w:t>
            </w:r>
            <w:r>
              <w:rPr>
                <w:rFonts w:hint="eastAsia"/>
                <w:sz w:val="24"/>
              </w:rPr>
              <w:t>〕</w:t>
            </w:r>
            <w:r>
              <w:rPr>
                <w:sz w:val="24"/>
              </w:rPr>
              <w:t>12</w:t>
            </w:r>
            <w:r>
              <w:rPr>
                <w:rFonts w:hint="eastAsia"/>
                <w:sz w:val="24"/>
              </w:rPr>
              <w:t>号）</w:t>
            </w:r>
            <w:r>
              <w:rPr>
                <w:sz w:val="24"/>
              </w:rPr>
              <w:t>中</w:t>
            </w:r>
            <w:r>
              <w:rPr>
                <w:rFonts w:hint="eastAsia"/>
                <w:sz w:val="24"/>
                <w:lang w:val="en-US" w:eastAsia="zh-CN"/>
              </w:rPr>
              <w:t>宽城满族自治县</w:t>
            </w:r>
            <w:r>
              <w:rPr>
                <w:rFonts w:hint="eastAsia"/>
                <w:sz w:val="24"/>
              </w:rPr>
              <w:t>环境空气大气</w:t>
            </w:r>
            <w:r>
              <w:rPr>
                <w:sz w:val="24"/>
              </w:rPr>
              <w:t>污染物</w:t>
            </w:r>
            <w:r>
              <w:rPr>
                <w:rFonts w:hint="eastAsia"/>
                <w:sz w:val="24"/>
              </w:rPr>
              <w:t>基本项目</w:t>
            </w:r>
            <w:r>
              <w:rPr>
                <w:sz w:val="24"/>
              </w:rPr>
              <w:t>中的PM</w:t>
            </w:r>
            <w:r>
              <w:rPr>
                <w:sz w:val="24"/>
                <w:vertAlign w:val="subscript"/>
              </w:rPr>
              <w:t>2.5</w:t>
            </w:r>
            <w:r>
              <w:rPr>
                <w:sz w:val="24"/>
              </w:rPr>
              <w:t>、PM</w:t>
            </w:r>
            <w:r>
              <w:rPr>
                <w:sz w:val="24"/>
                <w:vertAlign w:val="subscript"/>
              </w:rPr>
              <w:t>10</w:t>
            </w:r>
            <w:r>
              <w:rPr>
                <w:sz w:val="24"/>
              </w:rPr>
              <w:t>、SO</w:t>
            </w:r>
            <w:r>
              <w:rPr>
                <w:sz w:val="24"/>
                <w:vertAlign w:val="subscript"/>
              </w:rPr>
              <w:t>2</w:t>
            </w:r>
            <w:r>
              <w:rPr>
                <w:sz w:val="24"/>
              </w:rPr>
              <w:t>、CO、O</w:t>
            </w:r>
            <w:r>
              <w:rPr>
                <w:sz w:val="24"/>
                <w:vertAlign w:val="subscript"/>
              </w:rPr>
              <w:t>3</w:t>
            </w:r>
            <w:r>
              <w:rPr>
                <w:sz w:val="24"/>
              </w:rPr>
              <w:t>、NO</w:t>
            </w:r>
            <w:r>
              <w:rPr>
                <w:sz w:val="24"/>
                <w:vertAlign w:val="subscript"/>
              </w:rPr>
              <w:t>2</w:t>
            </w:r>
            <w:r>
              <w:rPr>
                <w:sz w:val="24"/>
              </w:rPr>
              <w:t>现状监测统计资料，来说明建设项目拟建地区的环境空气质量现状，结果见</w:t>
            </w:r>
            <w:r>
              <w:rPr>
                <w:rFonts w:hint="eastAsia"/>
                <w:sz w:val="24"/>
              </w:rPr>
              <w:t>下</w:t>
            </w:r>
            <w:r>
              <w:rPr>
                <w:sz w:val="24"/>
              </w:rPr>
              <w:t>表。</w:t>
            </w:r>
          </w:p>
          <w:p w14:paraId="0A9AA547">
            <w:pPr>
              <w:pStyle w:val="47"/>
              <w:numPr>
                <w:ilvl w:val="0"/>
                <w:numId w:val="7"/>
              </w:numPr>
              <w:spacing w:line="360" w:lineRule="auto"/>
              <w:ind w:left="0" w:firstLine="0"/>
              <w:rPr>
                <w:rFonts w:eastAsia="宋体"/>
                <w:b/>
              </w:rPr>
            </w:pPr>
            <w:r>
              <w:rPr>
                <w:rFonts w:hint="eastAsia" w:eastAsia="宋体"/>
                <w:b/>
              </w:rPr>
              <w:t>20</w:t>
            </w:r>
            <w:r>
              <w:rPr>
                <w:rFonts w:eastAsia="宋体"/>
                <w:b/>
              </w:rPr>
              <w:t>23</w:t>
            </w:r>
            <w:r>
              <w:rPr>
                <w:rFonts w:hint="eastAsia" w:eastAsia="宋体"/>
                <w:b/>
              </w:rPr>
              <w:t>年</w:t>
            </w:r>
            <w:r>
              <w:rPr>
                <w:rFonts w:hint="eastAsia" w:eastAsia="宋体"/>
                <w:b/>
                <w:lang w:eastAsia="zh-CN"/>
              </w:rPr>
              <w:t>宽城满族自治县</w:t>
            </w:r>
            <w:r>
              <w:rPr>
                <w:rFonts w:hint="eastAsia" w:eastAsia="宋体"/>
                <w:b/>
              </w:rPr>
              <w:t>环境空气质量监测结果</w:t>
            </w:r>
          </w:p>
          <w:tbl>
            <w:tblPr>
              <w:tblStyle w:val="21"/>
              <w:tblW w:w="7904" w:type="dxa"/>
              <w:jc w:val="center"/>
              <w:tblLayout w:type="autofit"/>
              <w:tblCellMar>
                <w:top w:w="0" w:type="dxa"/>
                <w:left w:w="108" w:type="dxa"/>
                <w:bottom w:w="0" w:type="dxa"/>
                <w:right w:w="108" w:type="dxa"/>
              </w:tblCellMar>
            </w:tblPr>
            <w:tblGrid>
              <w:gridCol w:w="1007"/>
              <w:gridCol w:w="1197"/>
              <w:gridCol w:w="755"/>
              <w:gridCol w:w="755"/>
              <w:gridCol w:w="755"/>
              <w:gridCol w:w="755"/>
              <w:gridCol w:w="755"/>
              <w:gridCol w:w="764"/>
              <w:gridCol w:w="1161"/>
            </w:tblGrid>
            <w:tr w14:paraId="4E5CA517">
              <w:tblPrEx>
                <w:tblCellMar>
                  <w:top w:w="0" w:type="dxa"/>
                  <w:left w:w="108" w:type="dxa"/>
                  <w:bottom w:w="0" w:type="dxa"/>
                  <w:right w:w="108" w:type="dxa"/>
                </w:tblCellMar>
              </w:tblPrEx>
              <w:trPr>
                <w:cantSplit/>
                <w:trHeight w:val="340" w:hRule="atLeast"/>
                <w:jc w:val="center"/>
              </w:trPr>
              <w:tc>
                <w:tcPr>
                  <w:tcW w:w="1007" w:type="dxa"/>
                  <w:vMerge w:val="restart"/>
                  <w:tcBorders>
                    <w:top w:val="single" w:color="auto" w:sz="4" w:space="0"/>
                    <w:left w:val="single" w:color="auto" w:sz="4" w:space="0"/>
                    <w:bottom w:val="single" w:color="auto" w:sz="4" w:space="0"/>
                    <w:right w:val="single" w:color="auto" w:sz="4" w:space="0"/>
                  </w:tcBorders>
                  <w:vAlign w:val="center"/>
                </w:tcPr>
                <w:p w14:paraId="69C3571A">
                  <w:pPr>
                    <w:jc w:val="center"/>
                    <w:rPr>
                      <w:b/>
                      <w:bCs/>
                    </w:rPr>
                  </w:pPr>
                  <w:r>
                    <w:rPr>
                      <w:b/>
                      <w:bCs/>
                    </w:rPr>
                    <w:t>县区</w:t>
                  </w:r>
                </w:p>
              </w:tc>
              <w:tc>
                <w:tcPr>
                  <w:tcW w:w="1197" w:type="dxa"/>
                  <w:vMerge w:val="restart"/>
                  <w:tcBorders>
                    <w:top w:val="single" w:color="auto" w:sz="4" w:space="0"/>
                    <w:left w:val="nil"/>
                    <w:bottom w:val="single" w:color="auto" w:sz="4" w:space="0"/>
                    <w:right w:val="single" w:color="auto" w:sz="4" w:space="0"/>
                  </w:tcBorders>
                  <w:vAlign w:val="center"/>
                </w:tcPr>
                <w:p w14:paraId="05F17723">
                  <w:pPr>
                    <w:jc w:val="center"/>
                    <w:rPr>
                      <w:b/>
                      <w:bCs/>
                    </w:rPr>
                  </w:pPr>
                  <w:r>
                    <w:rPr>
                      <w:b/>
                      <w:bCs/>
                    </w:rPr>
                    <w:t>环境空气质量综合指数</w:t>
                  </w:r>
                </w:p>
              </w:tc>
              <w:tc>
                <w:tcPr>
                  <w:tcW w:w="4539" w:type="dxa"/>
                  <w:gridSpan w:val="6"/>
                  <w:tcBorders>
                    <w:top w:val="single" w:color="auto" w:sz="4" w:space="0"/>
                    <w:left w:val="nil"/>
                    <w:bottom w:val="single" w:color="auto" w:sz="4" w:space="0"/>
                    <w:right w:val="single" w:color="auto" w:sz="4" w:space="0"/>
                  </w:tcBorders>
                  <w:vAlign w:val="center"/>
                </w:tcPr>
                <w:p w14:paraId="1B742267">
                  <w:pPr>
                    <w:jc w:val="center"/>
                    <w:rPr>
                      <w:b/>
                      <w:bCs/>
                    </w:rPr>
                  </w:pPr>
                  <w:r>
                    <w:rPr>
                      <w:b/>
                      <w:bCs/>
                    </w:rPr>
                    <w:t>各污染物浓度</w:t>
                  </w:r>
                </w:p>
              </w:tc>
              <w:tc>
                <w:tcPr>
                  <w:tcW w:w="1161" w:type="dxa"/>
                  <w:vMerge w:val="restart"/>
                  <w:tcBorders>
                    <w:top w:val="single" w:color="auto" w:sz="4" w:space="0"/>
                    <w:left w:val="nil"/>
                    <w:right w:val="single" w:color="auto" w:sz="4" w:space="0"/>
                  </w:tcBorders>
                  <w:vAlign w:val="center"/>
                </w:tcPr>
                <w:p w14:paraId="51589518">
                  <w:pPr>
                    <w:jc w:val="center"/>
                    <w:rPr>
                      <w:b/>
                      <w:bCs/>
                    </w:rPr>
                  </w:pPr>
                  <w:r>
                    <w:rPr>
                      <w:b/>
                      <w:bCs/>
                    </w:rPr>
                    <w:t>首要污染物</w:t>
                  </w:r>
                </w:p>
              </w:tc>
            </w:tr>
            <w:tr w14:paraId="0B83E8EE">
              <w:tblPrEx>
                <w:tblCellMar>
                  <w:top w:w="0" w:type="dxa"/>
                  <w:left w:w="108" w:type="dxa"/>
                  <w:bottom w:w="0" w:type="dxa"/>
                  <w:right w:w="108" w:type="dxa"/>
                </w:tblCellMar>
              </w:tblPrEx>
              <w:trPr>
                <w:cantSplit/>
                <w:trHeight w:val="372" w:hRule="atLeast"/>
                <w:jc w:val="center"/>
              </w:trPr>
              <w:tc>
                <w:tcPr>
                  <w:tcW w:w="1007" w:type="dxa"/>
                  <w:vMerge w:val="continue"/>
                  <w:tcBorders>
                    <w:top w:val="single" w:color="auto" w:sz="4" w:space="0"/>
                    <w:left w:val="single" w:color="auto" w:sz="4" w:space="0"/>
                    <w:bottom w:val="single" w:color="auto" w:sz="4" w:space="0"/>
                    <w:right w:val="single" w:color="auto" w:sz="4" w:space="0"/>
                  </w:tcBorders>
                  <w:vAlign w:val="center"/>
                </w:tcPr>
                <w:p w14:paraId="5336485C">
                  <w:pPr>
                    <w:jc w:val="center"/>
                    <w:rPr>
                      <w:b/>
                      <w:bCs/>
                    </w:rPr>
                  </w:pPr>
                </w:p>
              </w:tc>
              <w:tc>
                <w:tcPr>
                  <w:tcW w:w="1197" w:type="dxa"/>
                  <w:vMerge w:val="continue"/>
                  <w:tcBorders>
                    <w:top w:val="single" w:color="auto" w:sz="4" w:space="0"/>
                    <w:left w:val="nil"/>
                    <w:bottom w:val="single" w:color="auto" w:sz="4" w:space="0"/>
                    <w:right w:val="single" w:color="auto" w:sz="4" w:space="0"/>
                  </w:tcBorders>
                  <w:vAlign w:val="center"/>
                </w:tcPr>
                <w:p w14:paraId="6482C590">
                  <w:pPr>
                    <w:jc w:val="center"/>
                    <w:rPr>
                      <w:b/>
                      <w:bCs/>
                    </w:rPr>
                  </w:pPr>
                </w:p>
              </w:tc>
              <w:tc>
                <w:tcPr>
                  <w:tcW w:w="755" w:type="dxa"/>
                  <w:tcBorders>
                    <w:top w:val="single" w:color="auto" w:sz="4" w:space="0"/>
                    <w:left w:val="nil"/>
                    <w:bottom w:val="single" w:color="auto" w:sz="4" w:space="0"/>
                    <w:right w:val="single" w:color="auto" w:sz="4" w:space="0"/>
                  </w:tcBorders>
                  <w:vAlign w:val="center"/>
                </w:tcPr>
                <w:p w14:paraId="07E224D8">
                  <w:pPr>
                    <w:jc w:val="center"/>
                    <w:rPr>
                      <w:b/>
                      <w:bCs/>
                    </w:rPr>
                  </w:pPr>
                  <w:r>
                    <w:rPr>
                      <w:b/>
                      <w:bCs/>
                    </w:rPr>
                    <w:t>PM</w:t>
                  </w:r>
                  <w:r>
                    <w:rPr>
                      <w:b/>
                      <w:bCs/>
                      <w:vertAlign w:val="subscript"/>
                    </w:rPr>
                    <w:t>2.5</w:t>
                  </w:r>
                </w:p>
              </w:tc>
              <w:tc>
                <w:tcPr>
                  <w:tcW w:w="755" w:type="dxa"/>
                  <w:tcBorders>
                    <w:top w:val="single" w:color="auto" w:sz="4" w:space="0"/>
                    <w:left w:val="nil"/>
                    <w:bottom w:val="single" w:color="auto" w:sz="4" w:space="0"/>
                    <w:right w:val="single" w:color="auto" w:sz="4" w:space="0"/>
                  </w:tcBorders>
                  <w:vAlign w:val="center"/>
                </w:tcPr>
                <w:p w14:paraId="09AC2BCB">
                  <w:pPr>
                    <w:topLinePunct/>
                    <w:adjustRightInd w:val="0"/>
                    <w:snapToGrid w:val="0"/>
                    <w:jc w:val="center"/>
                    <w:textAlignment w:val="center"/>
                    <w:rPr>
                      <w:b/>
                      <w:bCs/>
                    </w:rPr>
                  </w:pPr>
                  <w:r>
                    <w:rPr>
                      <w:b/>
                      <w:bCs/>
                    </w:rPr>
                    <w:t>PM</w:t>
                  </w:r>
                  <w:r>
                    <w:rPr>
                      <w:b/>
                      <w:bCs/>
                      <w:vertAlign w:val="subscript"/>
                    </w:rPr>
                    <w:t>10</w:t>
                  </w:r>
                </w:p>
              </w:tc>
              <w:tc>
                <w:tcPr>
                  <w:tcW w:w="755" w:type="dxa"/>
                  <w:tcBorders>
                    <w:top w:val="single" w:color="auto" w:sz="4" w:space="0"/>
                    <w:left w:val="nil"/>
                    <w:bottom w:val="single" w:color="auto" w:sz="4" w:space="0"/>
                    <w:right w:val="single" w:color="auto" w:sz="4" w:space="0"/>
                  </w:tcBorders>
                  <w:vAlign w:val="center"/>
                </w:tcPr>
                <w:p w14:paraId="2D18BC80">
                  <w:pPr>
                    <w:topLinePunct/>
                    <w:adjustRightInd w:val="0"/>
                    <w:snapToGrid w:val="0"/>
                    <w:jc w:val="center"/>
                    <w:textAlignment w:val="center"/>
                    <w:rPr>
                      <w:b/>
                      <w:bCs/>
                    </w:rPr>
                  </w:pPr>
                  <w:r>
                    <w:rPr>
                      <w:b/>
                      <w:bCs/>
                    </w:rPr>
                    <w:t>SO</w:t>
                  </w:r>
                  <w:r>
                    <w:rPr>
                      <w:b/>
                      <w:bCs/>
                      <w:vertAlign w:val="subscript"/>
                    </w:rPr>
                    <w:t>2</w:t>
                  </w:r>
                </w:p>
              </w:tc>
              <w:tc>
                <w:tcPr>
                  <w:tcW w:w="755" w:type="dxa"/>
                  <w:tcBorders>
                    <w:top w:val="single" w:color="auto" w:sz="4" w:space="0"/>
                    <w:left w:val="nil"/>
                    <w:bottom w:val="single" w:color="auto" w:sz="4" w:space="0"/>
                    <w:right w:val="single" w:color="auto" w:sz="4" w:space="0"/>
                  </w:tcBorders>
                  <w:vAlign w:val="center"/>
                </w:tcPr>
                <w:p w14:paraId="2904455B">
                  <w:pPr>
                    <w:topLinePunct/>
                    <w:adjustRightInd w:val="0"/>
                    <w:snapToGrid w:val="0"/>
                    <w:jc w:val="center"/>
                    <w:textAlignment w:val="center"/>
                    <w:rPr>
                      <w:b/>
                      <w:bCs/>
                    </w:rPr>
                  </w:pPr>
                  <w:r>
                    <w:rPr>
                      <w:b/>
                      <w:bCs/>
                    </w:rPr>
                    <w:t>CO</w:t>
                  </w:r>
                </w:p>
              </w:tc>
              <w:tc>
                <w:tcPr>
                  <w:tcW w:w="755" w:type="dxa"/>
                  <w:tcBorders>
                    <w:top w:val="single" w:color="auto" w:sz="4" w:space="0"/>
                    <w:left w:val="nil"/>
                    <w:bottom w:val="single" w:color="auto" w:sz="4" w:space="0"/>
                    <w:right w:val="single" w:color="auto" w:sz="4" w:space="0"/>
                  </w:tcBorders>
                  <w:vAlign w:val="center"/>
                </w:tcPr>
                <w:p w14:paraId="23E57925">
                  <w:pPr>
                    <w:topLinePunct/>
                    <w:adjustRightInd w:val="0"/>
                    <w:snapToGrid w:val="0"/>
                    <w:jc w:val="center"/>
                    <w:textAlignment w:val="center"/>
                    <w:rPr>
                      <w:b/>
                      <w:bCs/>
                    </w:rPr>
                  </w:pPr>
                  <w:r>
                    <w:rPr>
                      <w:b/>
                      <w:bCs/>
                    </w:rPr>
                    <w:t>O</w:t>
                  </w:r>
                  <w:r>
                    <w:rPr>
                      <w:b/>
                      <w:bCs/>
                      <w:vertAlign w:val="subscript"/>
                    </w:rPr>
                    <w:t>3</w:t>
                  </w:r>
                </w:p>
              </w:tc>
              <w:tc>
                <w:tcPr>
                  <w:tcW w:w="764" w:type="dxa"/>
                  <w:tcBorders>
                    <w:top w:val="single" w:color="auto" w:sz="4" w:space="0"/>
                    <w:left w:val="nil"/>
                    <w:bottom w:val="single" w:color="auto" w:sz="4" w:space="0"/>
                    <w:right w:val="single" w:color="auto" w:sz="4" w:space="0"/>
                  </w:tcBorders>
                  <w:vAlign w:val="center"/>
                </w:tcPr>
                <w:p w14:paraId="3565460D">
                  <w:pPr>
                    <w:topLinePunct/>
                    <w:adjustRightInd w:val="0"/>
                    <w:snapToGrid w:val="0"/>
                    <w:jc w:val="center"/>
                    <w:textAlignment w:val="center"/>
                    <w:rPr>
                      <w:b/>
                      <w:bCs/>
                    </w:rPr>
                  </w:pPr>
                  <w:r>
                    <w:rPr>
                      <w:b/>
                      <w:bCs/>
                    </w:rPr>
                    <w:t>NO</w:t>
                  </w:r>
                  <w:r>
                    <w:rPr>
                      <w:b/>
                      <w:bCs/>
                      <w:vertAlign w:val="subscript"/>
                    </w:rPr>
                    <w:t>2</w:t>
                  </w:r>
                </w:p>
              </w:tc>
              <w:tc>
                <w:tcPr>
                  <w:tcW w:w="1161" w:type="dxa"/>
                  <w:vMerge w:val="continue"/>
                  <w:tcBorders>
                    <w:left w:val="nil"/>
                    <w:bottom w:val="single" w:color="auto" w:sz="4" w:space="0"/>
                    <w:right w:val="single" w:color="auto" w:sz="4" w:space="0"/>
                  </w:tcBorders>
                  <w:vAlign w:val="center"/>
                </w:tcPr>
                <w:p w14:paraId="093D30C0">
                  <w:pPr>
                    <w:topLinePunct/>
                    <w:adjustRightInd w:val="0"/>
                    <w:snapToGrid w:val="0"/>
                    <w:jc w:val="center"/>
                    <w:textAlignment w:val="center"/>
                    <w:rPr>
                      <w:b/>
                      <w:bCs/>
                    </w:rPr>
                  </w:pPr>
                </w:p>
              </w:tc>
            </w:tr>
            <w:tr w14:paraId="1FC29D9A">
              <w:tblPrEx>
                <w:tblCellMar>
                  <w:top w:w="0" w:type="dxa"/>
                  <w:left w:w="108" w:type="dxa"/>
                  <w:bottom w:w="0" w:type="dxa"/>
                  <w:right w:w="108" w:type="dxa"/>
                </w:tblCellMar>
              </w:tblPrEx>
              <w:trPr>
                <w:cantSplit/>
                <w:trHeight w:val="288" w:hRule="atLeast"/>
                <w:jc w:val="center"/>
              </w:trPr>
              <w:tc>
                <w:tcPr>
                  <w:tcW w:w="1007" w:type="dxa"/>
                  <w:tcBorders>
                    <w:top w:val="single" w:color="auto" w:sz="4" w:space="0"/>
                    <w:left w:val="single" w:color="auto" w:sz="4" w:space="0"/>
                    <w:bottom w:val="single" w:color="auto" w:sz="4" w:space="0"/>
                    <w:right w:val="single" w:color="auto" w:sz="4" w:space="0"/>
                  </w:tcBorders>
                  <w:vAlign w:val="center"/>
                </w:tcPr>
                <w:p w14:paraId="5E8BA842">
                  <w:pPr>
                    <w:jc w:val="center"/>
                    <w:rPr>
                      <w:rFonts w:hint="default" w:eastAsia="宋体"/>
                      <w:bCs/>
                      <w:lang w:val="en-US" w:eastAsia="zh-CN"/>
                    </w:rPr>
                  </w:pPr>
                  <w:r>
                    <w:rPr>
                      <w:rFonts w:hint="eastAsia"/>
                      <w:bCs/>
                      <w:lang w:val="en-US" w:eastAsia="zh-CN"/>
                    </w:rPr>
                    <w:t>宽城满族自治县</w:t>
                  </w:r>
                </w:p>
              </w:tc>
              <w:tc>
                <w:tcPr>
                  <w:tcW w:w="1197" w:type="dxa"/>
                  <w:tcBorders>
                    <w:top w:val="single" w:color="auto" w:sz="4" w:space="0"/>
                    <w:left w:val="nil"/>
                    <w:bottom w:val="single" w:color="auto" w:sz="4" w:space="0"/>
                    <w:right w:val="single" w:color="auto" w:sz="4" w:space="0"/>
                  </w:tcBorders>
                  <w:vAlign w:val="center"/>
                </w:tcPr>
                <w:p w14:paraId="2EC2D5DA">
                  <w:pPr>
                    <w:jc w:val="center"/>
                    <w:rPr>
                      <w:rFonts w:hint="eastAsia" w:eastAsia="宋体"/>
                      <w:bCs/>
                      <w:lang w:val="en-US" w:eastAsia="zh-CN"/>
                    </w:rPr>
                  </w:pPr>
                  <w:r>
                    <w:rPr>
                      <w:color w:val="000000"/>
                      <w:szCs w:val="21"/>
                    </w:rPr>
                    <w:t>3.6</w:t>
                  </w:r>
                  <w:r>
                    <w:rPr>
                      <w:rFonts w:hint="eastAsia"/>
                      <w:color w:val="000000"/>
                      <w:szCs w:val="21"/>
                      <w:lang w:val="en-US" w:eastAsia="zh-CN"/>
                    </w:rPr>
                    <w:t>1</w:t>
                  </w:r>
                </w:p>
              </w:tc>
              <w:tc>
                <w:tcPr>
                  <w:tcW w:w="755" w:type="dxa"/>
                  <w:tcBorders>
                    <w:top w:val="single" w:color="auto" w:sz="4" w:space="0"/>
                    <w:left w:val="nil"/>
                    <w:bottom w:val="single" w:color="auto" w:sz="4" w:space="0"/>
                    <w:right w:val="single" w:color="auto" w:sz="4" w:space="0"/>
                  </w:tcBorders>
                  <w:vAlign w:val="center"/>
                </w:tcPr>
                <w:p w14:paraId="0392D8ED">
                  <w:pPr>
                    <w:jc w:val="center"/>
                    <w:rPr>
                      <w:bCs/>
                      <w:color w:val="000000" w:themeColor="text1"/>
                      <w14:textFill>
                        <w14:solidFill>
                          <w14:schemeClr w14:val="tx1"/>
                        </w14:solidFill>
                      </w14:textFill>
                    </w:rPr>
                  </w:pPr>
                  <w:r>
                    <w:rPr>
                      <w:szCs w:val="21"/>
                    </w:rPr>
                    <w:t>25</w:t>
                  </w:r>
                </w:p>
              </w:tc>
              <w:tc>
                <w:tcPr>
                  <w:tcW w:w="755" w:type="dxa"/>
                  <w:tcBorders>
                    <w:top w:val="single" w:color="auto" w:sz="4" w:space="0"/>
                    <w:left w:val="nil"/>
                    <w:bottom w:val="single" w:color="auto" w:sz="4" w:space="0"/>
                    <w:right w:val="single" w:color="auto" w:sz="4" w:space="0"/>
                  </w:tcBorders>
                  <w:vAlign w:val="center"/>
                </w:tcPr>
                <w:p w14:paraId="3398AF93">
                  <w:pPr>
                    <w:widowControl/>
                    <w:jc w:val="center"/>
                    <w:rPr>
                      <w:rFonts w:hint="default" w:eastAsia="宋体"/>
                      <w:bCs/>
                      <w:color w:val="000000" w:themeColor="text1"/>
                      <w:lang w:val="en-US" w:eastAsia="zh-CN"/>
                      <w14:textFill>
                        <w14:solidFill>
                          <w14:schemeClr w14:val="tx1"/>
                        </w14:solidFill>
                      </w14:textFill>
                    </w:rPr>
                  </w:pPr>
                  <w:r>
                    <w:rPr>
                      <w:rFonts w:hint="eastAsia"/>
                      <w:szCs w:val="21"/>
                      <w:lang w:val="en-US" w:eastAsia="zh-CN"/>
                    </w:rPr>
                    <w:t>49</w:t>
                  </w:r>
                </w:p>
              </w:tc>
              <w:tc>
                <w:tcPr>
                  <w:tcW w:w="755" w:type="dxa"/>
                  <w:tcBorders>
                    <w:top w:val="single" w:color="auto" w:sz="4" w:space="0"/>
                    <w:left w:val="nil"/>
                    <w:bottom w:val="single" w:color="auto" w:sz="4" w:space="0"/>
                    <w:right w:val="single" w:color="auto" w:sz="4" w:space="0"/>
                  </w:tcBorders>
                  <w:vAlign w:val="center"/>
                </w:tcPr>
                <w:p w14:paraId="03946C14">
                  <w:pPr>
                    <w:widowControl/>
                    <w:jc w:val="center"/>
                    <w:rPr>
                      <w:rFonts w:hint="eastAsia" w:eastAsia="宋体"/>
                      <w:bCs/>
                      <w:color w:val="000000" w:themeColor="text1"/>
                      <w:lang w:val="en-US" w:eastAsia="zh-CN"/>
                      <w14:textFill>
                        <w14:solidFill>
                          <w14:schemeClr w14:val="tx1"/>
                        </w14:solidFill>
                      </w14:textFill>
                    </w:rPr>
                  </w:pPr>
                  <w:r>
                    <w:rPr>
                      <w:szCs w:val="21"/>
                    </w:rPr>
                    <w:t>1</w:t>
                  </w:r>
                  <w:r>
                    <w:rPr>
                      <w:rFonts w:hint="eastAsia"/>
                      <w:szCs w:val="21"/>
                      <w:lang w:val="en-US" w:eastAsia="zh-CN"/>
                    </w:rPr>
                    <w:t>2</w:t>
                  </w:r>
                </w:p>
              </w:tc>
              <w:tc>
                <w:tcPr>
                  <w:tcW w:w="755" w:type="dxa"/>
                  <w:tcBorders>
                    <w:top w:val="single" w:color="auto" w:sz="4" w:space="0"/>
                    <w:left w:val="nil"/>
                    <w:right w:val="single" w:color="auto" w:sz="4" w:space="0"/>
                  </w:tcBorders>
                  <w:vAlign w:val="center"/>
                </w:tcPr>
                <w:p w14:paraId="7002EE4A">
                  <w:pPr>
                    <w:widowControl/>
                    <w:jc w:val="center"/>
                    <w:rPr>
                      <w:rFonts w:hint="eastAsia" w:eastAsia="宋体"/>
                      <w:bCs/>
                      <w:color w:val="000000" w:themeColor="text1"/>
                      <w:lang w:val="en-US" w:eastAsia="zh-CN"/>
                      <w14:textFill>
                        <w14:solidFill>
                          <w14:schemeClr w14:val="tx1"/>
                        </w14:solidFill>
                      </w14:textFill>
                    </w:rPr>
                  </w:pPr>
                  <w:r>
                    <w:rPr>
                      <w:szCs w:val="21"/>
                    </w:rPr>
                    <w:t>1.</w:t>
                  </w:r>
                  <w:r>
                    <w:rPr>
                      <w:rFonts w:hint="eastAsia"/>
                      <w:szCs w:val="21"/>
                      <w:lang w:val="en-US" w:eastAsia="zh-CN"/>
                    </w:rPr>
                    <w:t>2</w:t>
                  </w:r>
                </w:p>
              </w:tc>
              <w:tc>
                <w:tcPr>
                  <w:tcW w:w="755" w:type="dxa"/>
                  <w:tcBorders>
                    <w:top w:val="single" w:color="auto" w:sz="4" w:space="0"/>
                    <w:left w:val="nil"/>
                    <w:right w:val="single" w:color="auto" w:sz="4" w:space="0"/>
                  </w:tcBorders>
                  <w:vAlign w:val="center"/>
                </w:tcPr>
                <w:p w14:paraId="3B7C8179">
                  <w:pPr>
                    <w:widowControl/>
                    <w:jc w:val="center"/>
                    <w:rPr>
                      <w:rFonts w:hint="default" w:eastAsia="宋体"/>
                      <w:bCs/>
                      <w:color w:val="000000" w:themeColor="text1"/>
                      <w:lang w:val="en-US" w:eastAsia="zh-CN"/>
                      <w14:textFill>
                        <w14:solidFill>
                          <w14:schemeClr w14:val="tx1"/>
                        </w14:solidFill>
                      </w14:textFill>
                    </w:rPr>
                  </w:pPr>
                  <w:r>
                    <w:rPr>
                      <w:szCs w:val="21"/>
                    </w:rPr>
                    <w:t>1</w:t>
                  </w:r>
                  <w:r>
                    <w:rPr>
                      <w:rFonts w:hint="eastAsia"/>
                      <w:szCs w:val="21"/>
                      <w:lang w:val="en-US" w:eastAsia="zh-CN"/>
                    </w:rPr>
                    <w:t>72</w:t>
                  </w:r>
                </w:p>
              </w:tc>
              <w:tc>
                <w:tcPr>
                  <w:tcW w:w="764" w:type="dxa"/>
                  <w:tcBorders>
                    <w:top w:val="single" w:color="auto" w:sz="4" w:space="0"/>
                    <w:left w:val="nil"/>
                    <w:right w:val="single" w:color="auto" w:sz="4" w:space="0"/>
                  </w:tcBorders>
                  <w:vAlign w:val="center"/>
                </w:tcPr>
                <w:p w14:paraId="327FCAB6">
                  <w:pPr>
                    <w:widowControl/>
                    <w:jc w:val="center"/>
                    <w:rPr>
                      <w:bCs/>
                    </w:rPr>
                  </w:pPr>
                  <w:r>
                    <w:rPr>
                      <w:szCs w:val="21"/>
                    </w:rPr>
                    <w:t>24</w:t>
                  </w:r>
                </w:p>
              </w:tc>
              <w:tc>
                <w:tcPr>
                  <w:tcW w:w="1161" w:type="dxa"/>
                  <w:tcBorders>
                    <w:top w:val="single" w:color="auto" w:sz="4" w:space="0"/>
                    <w:left w:val="nil"/>
                    <w:right w:val="single" w:color="auto" w:sz="4" w:space="0"/>
                  </w:tcBorders>
                  <w:vAlign w:val="center"/>
                </w:tcPr>
                <w:p w14:paraId="6B907418">
                  <w:pPr>
                    <w:widowControl/>
                    <w:jc w:val="center"/>
                    <w:rPr>
                      <w:b/>
                      <w:bCs/>
                    </w:rPr>
                  </w:pPr>
                  <w:r>
                    <w:rPr>
                      <w:b/>
                      <w:color w:val="000000"/>
                      <w:szCs w:val="21"/>
                    </w:rPr>
                    <w:t>O</w:t>
                  </w:r>
                  <w:r>
                    <w:rPr>
                      <w:b/>
                      <w:color w:val="000000"/>
                      <w:szCs w:val="21"/>
                      <w:vertAlign w:val="subscript"/>
                    </w:rPr>
                    <w:t>3</w:t>
                  </w:r>
                </w:p>
              </w:tc>
            </w:tr>
            <w:tr w14:paraId="36FDBAFD">
              <w:tblPrEx>
                <w:tblCellMar>
                  <w:top w:w="0" w:type="dxa"/>
                  <w:left w:w="108" w:type="dxa"/>
                  <w:bottom w:w="0" w:type="dxa"/>
                  <w:right w:w="108" w:type="dxa"/>
                </w:tblCellMar>
              </w:tblPrEx>
              <w:trPr>
                <w:cantSplit/>
                <w:trHeight w:val="315" w:hRule="atLeast"/>
                <w:jc w:val="center"/>
              </w:trPr>
              <w:tc>
                <w:tcPr>
                  <w:tcW w:w="2204" w:type="dxa"/>
                  <w:gridSpan w:val="2"/>
                  <w:tcBorders>
                    <w:top w:val="single" w:color="auto" w:sz="4" w:space="0"/>
                    <w:left w:val="single" w:color="auto" w:sz="4" w:space="0"/>
                    <w:bottom w:val="single" w:color="auto" w:sz="4" w:space="0"/>
                    <w:right w:val="single" w:color="auto" w:sz="4" w:space="0"/>
                  </w:tcBorders>
                  <w:vAlign w:val="center"/>
                </w:tcPr>
                <w:p w14:paraId="0824F18B">
                  <w:pPr>
                    <w:jc w:val="center"/>
                    <w:rPr>
                      <w:bCs/>
                    </w:rPr>
                  </w:pPr>
                  <w:r>
                    <w:rPr>
                      <w:bCs/>
                    </w:rPr>
                    <w:t>年均浓度限值</w:t>
                  </w:r>
                </w:p>
              </w:tc>
              <w:tc>
                <w:tcPr>
                  <w:tcW w:w="755" w:type="dxa"/>
                  <w:tcBorders>
                    <w:top w:val="single" w:color="auto" w:sz="4" w:space="0"/>
                    <w:left w:val="nil"/>
                    <w:bottom w:val="single" w:color="auto" w:sz="4" w:space="0"/>
                    <w:right w:val="single" w:color="auto" w:sz="4" w:space="0"/>
                  </w:tcBorders>
                  <w:vAlign w:val="center"/>
                </w:tcPr>
                <w:p w14:paraId="0C5317BF">
                  <w:pPr>
                    <w:jc w:val="center"/>
                    <w:rPr>
                      <w:bCs/>
                    </w:rPr>
                  </w:pPr>
                  <w:r>
                    <w:rPr>
                      <w:bCs/>
                    </w:rPr>
                    <w:t>35</w:t>
                  </w:r>
                </w:p>
              </w:tc>
              <w:tc>
                <w:tcPr>
                  <w:tcW w:w="755" w:type="dxa"/>
                  <w:tcBorders>
                    <w:top w:val="single" w:color="auto" w:sz="4" w:space="0"/>
                    <w:left w:val="nil"/>
                    <w:bottom w:val="single" w:color="auto" w:sz="4" w:space="0"/>
                    <w:right w:val="single" w:color="auto" w:sz="4" w:space="0"/>
                  </w:tcBorders>
                  <w:vAlign w:val="center"/>
                </w:tcPr>
                <w:p w14:paraId="6AC2C157">
                  <w:pPr>
                    <w:widowControl/>
                    <w:jc w:val="center"/>
                    <w:rPr>
                      <w:bCs/>
                    </w:rPr>
                  </w:pPr>
                  <w:r>
                    <w:rPr>
                      <w:bCs/>
                    </w:rPr>
                    <w:t>70</w:t>
                  </w:r>
                </w:p>
              </w:tc>
              <w:tc>
                <w:tcPr>
                  <w:tcW w:w="755" w:type="dxa"/>
                  <w:tcBorders>
                    <w:top w:val="single" w:color="auto" w:sz="4" w:space="0"/>
                    <w:left w:val="nil"/>
                    <w:bottom w:val="single" w:color="auto" w:sz="4" w:space="0"/>
                    <w:right w:val="single" w:color="auto" w:sz="4" w:space="0"/>
                  </w:tcBorders>
                  <w:vAlign w:val="center"/>
                </w:tcPr>
                <w:p w14:paraId="4C802755">
                  <w:pPr>
                    <w:jc w:val="center"/>
                    <w:rPr>
                      <w:bCs/>
                    </w:rPr>
                  </w:pPr>
                  <w:r>
                    <w:rPr>
                      <w:bCs/>
                    </w:rPr>
                    <w:t>60</w:t>
                  </w:r>
                </w:p>
              </w:tc>
              <w:tc>
                <w:tcPr>
                  <w:tcW w:w="755" w:type="dxa"/>
                  <w:tcBorders>
                    <w:top w:val="single" w:color="auto" w:sz="4" w:space="0"/>
                    <w:left w:val="nil"/>
                    <w:bottom w:val="single" w:color="auto" w:sz="4" w:space="0"/>
                    <w:right w:val="single" w:color="auto" w:sz="4" w:space="0"/>
                  </w:tcBorders>
                  <w:vAlign w:val="center"/>
                </w:tcPr>
                <w:p w14:paraId="6B71C3F7">
                  <w:pPr>
                    <w:jc w:val="center"/>
                    <w:rPr>
                      <w:bCs/>
                    </w:rPr>
                  </w:pPr>
                  <w:r>
                    <w:rPr>
                      <w:bCs/>
                    </w:rPr>
                    <w:t>4</w:t>
                  </w:r>
                </w:p>
              </w:tc>
              <w:tc>
                <w:tcPr>
                  <w:tcW w:w="755" w:type="dxa"/>
                  <w:tcBorders>
                    <w:top w:val="single" w:color="auto" w:sz="4" w:space="0"/>
                    <w:left w:val="nil"/>
                    <w:bottom w:val="single" w:color="auto" w:sz="4" w:space="0"/>
                    <w:right w:val="single" w:color="auto" w:sz="4" w:space="0"/>
                  </w:tcBorders>
                  <w:vAlign w:val="center"/>
                </w:tcPr>
                <w:p w14:paraId="0677BDA4">
                  <w:pPr>
                    <w:jc w:val="center"/>
                    <w:rPr>
                      <w:bCs/>
                    </w:rPr>
                  </w:pPr>
                  <w:r>
                    <w:rPr>
                      <w:bCs/>
                    </w:rPr>
                    <w:t>160</w:t>
                  </w:r>
                </w:p>
              </w:tc>
              <w:tc>
                <w:tcPr>
                  <w:tcW w:w="764" w:type="dxa"/>
                  <w:tcBorders>
                    <w:top w:val="single" w:color="auto" w:sz="4" w:space="0"/>
                    <w:left w:val="nil"/>
                    <w:bottom w:val="single" w:color="auto" w:sz="4" w:space="0"/>
                    <w:right w:val="single" w:color="auto" w:sz="4" w:space="0"/>
                  </w:tcBorders>
                  <w:vAlign w:val="center"/>
                </w:tcPr>
                <w:p w14:paraId="3AB2E710">
                  <w:pPr>
                    <w:jc w:val="center"/>
                    <w:rPr>
                      <w:bCs/>
                    </w:rPr>
                  </w:pPr>
                  <w:r>
                    <w:rPr>
                      <w:bCs/>
                    </w:rPr>
                    <w:t>40</w:t>
                  </w:r>
                </w:p>
              </w:tc>
              <w:tc>
                <w:tcPr>
                  <w:tcW w:w="1161" w:type="dxa"/>
                  <w:tcBorders>
                    <w:top w:val="single" w:color="auto" w:sz="4" w:space="0"/>
                    <w:left w:val="nil"/>
                    <w:bottom w:val="single" w:color="auto" w:sz="4" w:space="0"/>
                    <w:right w:val="single" w:color="auto" w:sz="4" w:space="0"/>
                  </w:tcBorders>
                  <w:vAlign w:val="center"/>
                </w:tcPr>
                <w:p w14:paraId="7C572A46">
                  <w:pPr>
                    <w:jc w:val="center"/>
                    <w:rPr>
                      <w:bCs/>
                    </w:rPr>
                  </w:pPr>
                  <w:r>
                    <w:rPr>
                      <w:bCs/>
                    </w:rPr>
                    <w:t>/</w:t>
                  </w:r>
                </w:p>
              </w:tc>
            </w:tr>
          </w:tbl>
          <w:p w14:paraId="3EFB439E">
            <w:pPr>
              <w:spacing w:line="360" w:lineRule="auto"/>
              <w:ind w:firstLine="361"/>
              <w:rPr>
                <w:rFonts w:ascii="宋体" w:hAnsi="宋体"/>
              </w:rPr>
            </w:pPr>
            <w:r>
              <w:rPr>
                <w:b/>
                <w:bCs/>
                <w:sz w:val="18"/>
              </w:rPr>
              <w:t>注：</w:t>
            </w:r>
            <w:r>
              <w:rPr>
                <w:rFonts w:hint="eastAsia"/>
                <w:b/>
                <w:bCs/>
                <w:sz w:val="18"/>
              </w:rPr>
              <w:t>1.CO的浓度单位是mg/m</w:t>
            </w:r>
            <w:r>
              <w:rPr>
                <w:rFonts w:hint="eastAsia"/>
                <w:b/>
                <w:bCs/>
                <w:sz w:val="18"/>
                <w:vertAlign w:val="superscript"/>
              </w:rPr>
              <w:t>3</w:t>
            </w:r>
            <w:r>
              <w:rPr>
                <w:rFonts w:hint="eastAsia"/>
                <w:b/>
                <w:bCs/>
                <w:sz w:val="18"/>
              </w:rPr>
              <w:t>，PM</w:t>
            </w:r>
            <w:r>
              <w:rPr>
                <w:rFonts w:hint="eastAsia"/>
                <w:b/>
                <w:bCs/>
                <w:sz w:val="18"/>
                <w:vertAlign w:val="subscript"/>
              </w:rPr>
              <w:t>2.5</w:t>
            </w:r>
            <w:r>
              <w:rPr>
                <w:rFonts w:hint="eastAsia"/>
                <w:b/>
                <w:bCs/>
                <w:sz w:val="18"/>
              </w:rPr>
              <w:t>、PM</w:t>
            </w:r>
            <w:r>
              <w:rPr>
                <w:rFonts w:hint="eastAsia"/>
                <w:b/>
                <w:bCs/>
                <w:sz w:val="18"/>
                <w:vertAlign w:val="subscript"/>
              </w:rPr>
              <w:t>10</w:t>
            </w:r>
            <w:r>
              <w:rPr>
                <w:rFonts w:hint="eastAsia"/>
                <w:b/>
                <w:bCs/>
                <w:sz w:val="18"/>
              </w:rPr>
              <w:t>、NO</w:t>
            </w:r>
            <w:r>
              <w:rPr>
                <w:rFonts w:hint="eastAsia"/>
                <w:b/>
                <w:bCs/>
                <w:sz w:val="18"/>
                <w:vertAlign w:val="subscript"/>
              </w:rPr>
              <w:t>2</w:t>
            </w:r>
            <w:r>
              <w:rPr>
                <w:rFonts w:hint="eastAsia"/>
                <w:b/>
                <w:bCs/>
                <w:sz w:val="18"/>
              </w:rPr>
              <w:t>、SO</w:t>
            </w:r>
            <w:r>
              <w:rPr>
                <w:rFonts w:hint="eastAsia"/>
                <w:b/>
                <w:bCs/>
                <w:sz w:val="18"/>
                <w:vertAlign w:val="subscript"/>
              </w:rPr>
              <w:t>2</w:t>
            </w:r>
            <w:r>
              <w:rPr>
                <w:rFonts w:hint="eastAsia"/>
                <w:b/>
                <w:bCs/>
                <w:sz w:val="18"/>
              </w:rPr>
              <w:t>、O</w:t>
            </w:r>
            <w:r>
              <w:rPr>
                <w:rFonts w:hint="eastAsia"/>
                <w:b/>
                <w:bCs/>
                <w:sz w:val="18"/>
                <w:vertAlign w:val="subscript"/>
              </w:rPr>
              <w:t>3</w:t>
            </w:r>
            <w:r>
              <w:rPr>
                <w:rFonts w:hint="eastAsia"/>
                <w:b/>
                <w:bCs/>
                <w:sz w:val="18"/>
              </w:rPr>
              <w:t>的浓度单位是μg/m</w:t>
            </w:r>
            <w:r>
              <w:rPr>
                <w:rFonts w:hint="eastAsia"/>
                <w:b/>
                <w:bCs/>
                <w:sz w:val="18"/>
                <w:vertAlign w:val="superscript"/>
              </w:rPr>
              <w:t>3</w:t>
            </w:r>
            <w:r>
              <w:rPr>
                <w:rFonts w:hint="eastAsia"/>
                <w:b/>
                <w:bCs/>
                <w:sz w:val="18"/>
              </w:rPr>
              <w:t>；2.CO</w:t>
            </w:r>
            <w:r>
              <w:rPr>
                <w:b/>
                <w:bCs/>
                <w:sz w:val="18"/>
              </w:rPr>
              <w:t>为24小时平均第</w:t>
            </w:r>
            <w:r>
              <w:rPr>
                <w:rFonts w:hint="eastAsia"/>
                <w:b/>
                <w:bCs/>
                <w:sz w:val="18"/>
              </w:rPr>
              <w:t>95百分位数，</w:t>
            </w:r>
            <w:r>
              <w:rPr>
                <w:b/>
                <w:bCs/>
                <w:sz w:val="18"/>
              </w:rPr>
              <w:t>O</w:t>
            </w:r>
            <w:r>
              <w:rPr>
                <w:b/>
                <w:bCs/>
                <w:sz w:val="18"/>
                <w:vertAlign w:val="subscript"/>
              </w:rPr>
              <w:t>3</w:t>
            </w:r>
            <w:r>
              <w:rPr>
                <w:b/>
                <w:bCs/>
                <w:sz w:val="18"/>
              </w:rPr>
              <w:t>为日最大8小时平均</w:t>
            </w:r>
            <w:r>
              <w:rPr>
                <w:rFonts w:hint="eastAsia"/>
                <w:b/>
                <w:bCs/>
                <w:sz w:val="18"/>
              </w:rPr>
              <w:t>第90百分位数。</w:t>
            </w:r>
          </w:p>
          <w:p w14:paraId="485DD7B8">
            <w:pPr>
              <w:spacing w:line="360" w:lineRule="auto"/>
              <w:ind w:firstLine="480"/>
              <w:rPr>
                <w:sz w:val="24"/>
              </w:rPr>
            </w:pPr>
            <w:r>
              <w:rPr>
                <w:rFonts w:hint="eastAsia"/>
                <w:sz w:val="24"/>
              </w:rPr>
              <w:t>（</w:t>
            </w:r>
            <w:r>
              <w:rPr>
                <w:sz w:val="24"/>
              </w:rPr>
              <w:t>2</w:t>
            </w:r>
            <w:r>
              <w:rPr>
                <w:rFonts w:hint="eastAsia"/>
                <w:sz w:val="24"/>
              </w:rPr>
              <w:t>）大气污染物其他项目的环境空气质量现状</w:t>
            </w:r>
          </w:p>
          <w:p w14:paraId="3520E72F">
            <w:pPr>
              <w:spacing w:line="360" w:lineRule="auto"/>
              <w:ind w:firstLine="480"/>
              <w:rPr>
                <w:bCs/>
                <w:sz w:val="24"/>
              </w:rPr>
            </w:pPr>
            <w:r>
              <w:rPr>
                <w:rFonts w:hint="eastAsia"/>
                <w:bCs/>
                <w:sz w:val="24"/>
              </w:rPr>
              <w:t>为进一步了解项目区环境空气质量现状</w:t>
            </w:r>
            <w:r>
              <w:rPr>
                <w:rFonts w:hint="eastAsia"/>
                <w:bCs/>
                <w:sz w:val="24"/>
                <w:highlight w:val="none"/>
              </w:rPr>
              <w:t>，</w:t>
            </w:r>
            <w:r>
              <w:rPr>
                <w:rFonts w:hint="eastAsia"/>
                <w:bCs/>
                <w:sz w:val="24"/>
                <w:highlight w:val="none"/>
                <w:lang w:val="en-US" w:eastAsia="zh-CN"/>
              </w:rPr>
              <w:t>企业委托</w:t>
            </w:r>
            <w:r>
              <w:rPr>
                <w:rFonts w:hint="default" w:ascii="Times New Roman" w:hAnsi="Times New Roman" w:eastAsia="宋体" w:cs="Times New Roman"/>
                <w:bCs/>
                <w:sz w:val="24"/>
                <w:highlight w:val="none"/>
              </w:rPr>
              <w:t>承</w:t>
            </w:r>
            <w:r>
              <w:rPr>
                <w:rFonts w:hint="default" w:ascii="Times New Roman" w:hAnsi="Times New Roman" w:eastAsia="宋体" w:cs="Times New Roman"/>
                <w:bCs/>
                <w:sz w:val="24"/>
              </w:rPr>
              <w:t>德安特环境检测技术服务有限公司</w:t>
            </w:r>
            <w:r>
              <w:rPr>
                <w:rFonts w:hint="eastAsia" w:ascii="Times New Roman" w:hAnsi="Times New Roman" w:eastAsia="宋体" w:cs="Times New Roman"/>
                <w:bCs/>
                <w:sz w:val="24"/>
                <w:lang w:val="en-US" w:eastAsia="zh-CN"/>
              </w:rPr>
              <w:t>对周边环境空气质量进行检测并出具检测报告，报告编号为：安特（检）字WT2024-768</w:t>
            </w:r>
            <w:r>
              <w:rPr>
                <w:rFonts w:hint="eastAsia"/>
                <w:bCs/>
                <w:sz w:val="24"/>
              </w:rPr>
              <w:t>。</w:t>
            </w:r>
          </w:p>
          <w:p w14:paraId="5F6C879C">
            <w:pPr>
              <w:spacing w:line="360" w:lineRule="auto"/>
              <w:ind w:firstLine="480"/>
              <w:rPr>
                <w:sz w:val="24"/>
              </w:rPr>
            </w:pPr>
            <w:r>
              <w:rPr>
                <w:rFonts w:hint="eastAsia"/>
                <w:sz w:val="24"/>
              </w:rPr>
              <w:t>监测结果如下所示：</w:t>
            </w:r>
          </w:p>
          <w:p w14:paraId="66CA0867">
            <w:pPr>
              <w:pStyle w:val="47"/>
              <w:numPr>
                <w:ilvl w:val="0"/>
                <w:numId w:val="7"/>
              </w:numPr>
              <w:spacing w:before="120" w:beforeLines="50" w:line="360" w:lineRule="auto"/>
              <w:ind w:left="0" w:firstLine="0"/>
              <w:rPr>
                <w:rFonts w:eastAsia="宋体"/>
                <w:b/>
              </w:rPr>
            </w:pPr>
            <w:r>
              <w:rPr>
                <w:rFonts w:eastAsia="宋体"/>
                <w:b/>
              </w:rPr>
              <w:t>环境空气质量现状监测结果与统计情况一览表</w:t>
            </w:r>
            <w:r>
              <w:rPr>
                <w:rFonts w:hint="eastAsia" w:eastAsia="宋体"/>
                <w:b/>
              </w:rPr>
              <w:t>（非甲烷总烃）</w:t>
            </w:r>
          </w:p>
          <w:tbl>
            <w:tblPr>
              <w:tblStyle w:val="2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1"/>
              <w:gridCol w:w="822"/>
              <w:gridCol w:w="822"/>
              <w:gridCol w:w="775"/>
              <w:gridCol w:w="924"/>
              <w:gridCol w:w="924"/>
              <w:gridCol w:w="924"/>
              <w:gridCol w:w="936"/>
              <w:gridCol w:w="594"/>
              <w:gridCol w:w="494"/>
            </w:tblGrid>
            <w:tr w14:paraId="0C720B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1" w:hRule="atLeast"/>
                <w:tblHeader/>
                <w:jc w:val="center"/>
              </w:trPr>
              <w:tc>
                <w:tcPr>
                  <w:tcW w:w="612" w:type="pct"/>
                  <w:vMerge w:val="restart"/>
                  <w:noWrap w:val="0"/>
                  <w:vAlign w:val="center"/>
                </w:tcPr>
                <w:p w14:paraId="2919C43C">
                  <w:pPr>
                    <w:jc w:val="center"/>
                    <w:rPr>
                      <w:rFonts w:hint="default" w:ascii="Times New Roman" w:hAnsi="Times New Roman" w:eastAsia="宋体" w:cs="Times New Roman"/>
                      <w:b/>
                      <w:bCs/>
                      <w:szCs w:val="21"/>
                      <w:lang w:val="en-US" w:eastAsia="zh-CN"/>
                    </w:rPr>
                  </w:pPr>
                  <w:r>
                    <w:rPr>
                      <w:rFonts w:hint="default" w:ascii="Times New Roman" w:hAnsi="Times New Roman" w:eastAsia="宋体" w:cs="Times New Roman"/>
                      <w:b/>
                      <w:bCs/>
                      <w:szCs w:val="21"/>
                      <w:lang w:val="en-US" w:eastAsia="zh-CN"/>
                    </w:rPr>
                    <w:t>采样日期</w:t>
                  </w:r>
                </w:p>
              </w:tc>
              <w:tc>
                <w:tcPr>
                  <w:tcW w:w="509" w:type="pct"/>
                  <w:vMerge w:val="restart"/>
                  <w:noWrap w:val="0"/>
                  <w:vAlign w:val="center"/>
                </w:tcPr>
                <w:p w14:paraId="2CD07716">
                  <w:pPr>
                    <w:jc w:val="center"/>
                    <w:rPr>
                      <w:rFonts w:hint="default" w:ascii="Times New Roman" w:hAnsi="Times New Roman" w:eastAsia="宋体" w:cs="Times New Roman"/>
                      <w:b/>
                      <w:bCs/>
                      <w:szCs w:val="21"/>
                      <w:lang w:val="en-US" w:eastAsia="zh-CN"/>
                    </w:rPr>
                  </w:pPr>
                  <w:r>
                    <w:rPr>
                      <w:rFonts w:hint="default" w:ascii="Times New Roman" w:hAnsi="Times New Roman" w:eastAsia="宋体" w:cs="Times New Roman"/>
                      <w:b/>
                      <w:bCs/>
                      <w:szCs w:val="21"/>
                      <w:lang w:val="en-US" w:eastAsia="zh-CN"/>
                    </w:rPr>
                    <w:t>检测指标</w:t>
                  </w:r>
                </w:p>
              </w:tc>
              <w:tc>
                <w:tcPr>
                  <w:tcW w:w="509" w:type="pct"/>
                  <w:vMerge w:val="restart"/>
                  <w:noWrap w:val="0"/>
                  <w:vAlign w:val="center"/>
                </w:tcPr>
                <w:p w14:paraId="68C2D44F">
                  <w:pPr>
                    <w:jc w:val="center"/>
                    <w:rPr>
                      <w:rFonts w:hint="default" w:ascii="Times New Roman" w:hAnsi="Times New Roman" w:eastAsia="宋体" w:cs="Times New Roman"/>
                      <w:b/>
                      <w:bCs/>
                      <w:szCs w:val="21"/>
                      <w:lang w:val="en-US" w:eastAsia="zh-CN"/>
                    </w:rPr>
                  </w:pPr>
                  <w:r>
                    <w:rPr>
                      <w:rFonts w:hint="default" w:ascii="Times New Roman" w:hAnsi="Times New Roman" w:eastAsia="宋体" w:cs="Times New Roman"/>
                      <w:b/>
                      <w:bCs/>
                      <w:szCs w:val="21"/>
                      <w:lang w:val="en-US" w:eastAsia="zh-CN"/>
                    </w:rPr>
                    <w:t>检测点位</w:t>
                  </w:r>
                </w:p>
              </w:tc>
              <w:tc>
                <w:tcPr>
                  <w:tcW w:w="417" w:type="pct"/>
                  <w:vMerge w:val="restart"/>
                  <w:noWrap w:val="0"/>
                  <w:vAlign w:val="center"/>
                </w:tcPr>
                <w:p w14:paraId="1DF80BA2">
                  <w:pPr>
                    <w:jc w:val="center"/>
                    <w:rPr>
                      <w:rFonts w:hint="default" w:ascii="Times New Roman" w:hAnsi="Times New Roman" w:eastAsia="宋体" w:cs="Times New Roman"/>
                      <w:b/>
                      <w:bCs/>
                      <w:szCs w:val="21"/>
                      <w:lang w:val="en-US" w:eastAsia="zh-CN"/>
                    </w:rPr>
                  </w:pPr>
                  <w:r>
                    <w:rPr>
                      <w:rFonts w:hint="default" w:ascii="Times New Roman" w:hAnsi="Times New Roman" w:eastAsia="宋体" w:cs="Times New Roman"/>
                      <w:b/>
                      <w:bCs/>
                      <w:szCs w:val="21"/>
                      <w:lang w:val="en-US" w:eastAsia="zh-CN"/>
                    </w:rPr>
                    <w:t>单位</w:t>
                  </w:r>
                </w:p>
              </w:tc>
              <w:tc>
                <w:tcPr>
                  <w:tcW w:w="2287" w:type="pct"/>
                  <w:gridSpan w:val="4"/>
                  <w:noWrap w:val="0"/>
                  <w:vAlign w:val="center"/>
                </w:tcPr>
                <w:p w14:paraId="773248E9">
                  <w:pPr>
                    <w:jc w:val="center"/>
                    <w:rPr>
                      <w:rFonts w:hint="default" w:ascii="Times New Roman" w:hAnsi="Times New Roman" w:eastAsia="宋体" w:cs="Times New Roman"/>
                      <w:b/>
                      <w:bCs/>
                      <w:szCs w:val="21"/>
                      <w:lang w:val="en-US" w:eastAsia="zh-CN"/>
                    </w:rPr>
                  </w:pPr>
                  <w:r>
                    <w:rPr>
                      <w:rFonts w:hint="default" w:ascii="Times New Roman" w:hAnsi="Times New Roman" w:eastAsia="宋体" w:cs="Times New Roman"/>
                      <w:b/>
                      <w:bCs/>
                      <w:szCs w:val="21"/>
                      <w:lang w:val="en-US" w:eastAsia="zh-CN"/>
                    </w:rPr>
                    <w:t>检测结果</w:t>
                  </w:r>
                </w:p>
              </w:tc>
              <w:tc>
                <w:tcPr>
                  <w:tcW w:w="350" w:type="pct"/>
                  <w:vMerge w:val="restart"/>
                  <w:noWrap w:val="0"/>
                  <w:vAlign w:val="center"/>
                </w:tcPr>
                <w:p w14:paraId="534FB085">
                  <w:pPr>
                    <w:jc w:val="center"/>
                    <w:rPr>
                      <w:rFonts w:hint="default" w:ascii="Times New Roman" w:hAnsi="Times New Roman" w:eastAsia="宋体" w:cs="Times New Roman"/>
                      <w:b/>
                      <w:bCs/>
                      <w:szCs w:val="21"/>
                      <w:lang w:val="en-US" w:eastAsia="zh-CN"/>
                    </w:rPr>
                  </w:pPr>
                  <w:r>
                    <w:rPr>
                      <w:rFonts w:hint="default" w:ascii="Times New Roman" w:hAnsi="Times New Roman" w:eastAsia="宋体" w:cs="Times New Roman"/>
                      <w:b/>
                      <w:bCs/>
                      <w:szCs w:val="21"/>
                      <w:lang w:val="en-US" w:eastAsia="zh-CN"/>
                    </w:rPr>
                    <w:t>排放</w:t>
                  </w:r>
                </w:p>
                <w:p w14:paraId="28862BA0">
                  <w:pPr>
                    <w:jc w:val="center"/>
                    <w:rPr>
                      <w:rFonts w:hint="default" w:ascii="Times New Roman" w:hAnsi="Times New Roman" w:eastAsia="宋体" w:cs="Times New Roman"/>
                      <w:b/>
                      <w:bCs/>
                      <w:szCs w:val="21"/>
                      <w:lang w:val="en-US" w:eastAsia="zh-CN"/>
                    </w:rPr>
                  </w:pPr>
                  <w:r>
                    <w:rPr>
                      <w:rFonts w:hint="default" w:ascii="Times New Roman" w:hAnsi="Times New Roman" w:eastAsia="宋体" w:cs="Times New Roman"/>
                      <w:b/>
                      <w:bCs/>
                      <w:szCs w:val="21"/>
                      <w:lang w:val="en-US" w:eastAsia="zh-CN"/>
                    </w:rPr>
                    <w:t>限值</w:t>
                  </w:r>
                </w:p>
              </w:tc>
              <w:tc>
                <w:tcPr>
                  <w:tcW w:w="313" w:type="pct"/>
                  <w:vMerge w:val="restart"/>
                  <w:noWrap w:val="0"/>
                  <w:vAlign w:val="center"/>
                </w:tcPr>
                <w:p w14:paraId="635255D5">
                  <w:pPr>
                    <w:jc w:val="center"/>
                    <w:rPr>
                      <w:rFonts w:hint="default" w:ascii="Times New Roman" w:hAnsi="Times New Roman" w:eastAsia="宋体" w:cs="Times New Roman"/>
                      <w:b/>
                      <w:bCs/>
                      <w:szCs w:val="21"/>
                      <w:lang w:val="en-US" w:eastAsia="zh-CN"/>
                    </w:rPr>
                  </w:pPr>
                  <w:r>
                    <w:rPr>
                      <w:rFonts w:hint="default" w:ascii="Times New Roman" w:hAnsi="Times New Roman" w:eastAsia="宋体" w:cs="Times New Roman"/>
                      <w:b/>
                      <w:bCs/>
                      <w:szCs w:val="21"/>
                      <w:lang w:val="en-US" w:eastAsia="zh-CN"/>
                    </w:rPr>
                    <w:t>是否</w:t>
                  </w:r>
                </w:p>
                <w:p w14:paraId="4E5A3C07">
                  <w:pPr>
                    <w:jc w:val="center"/>
                    <w:rPr>
                      <w:rFonts w:hint="default" w:ascii="Times New Roman" w:hAnsi="Times New Roman" w:eastAsia="宋体" w:cs="Times New Roman"/>
                      <w:b/>
                      <w:bCs/>
                      <w:szCs w:val="21"/>
                      <w:lang w:val="en-US" w:eastAsia="zh-CN"/>
                    </w:rPr>
                  </w:pPr>
                  <w:r>
                    <w:rPr>
                      <w:rFonts w:hint="default" w:ascii="Times New Roman" w:hAnsi="Times New Roman" w:eastAsia="宋体" w:cs="Times New Roman"/>
                      <w:b/>
                      <w:bCs/>
                      <w:szCs w:val="21"/>
                      <w:lang w:val="en-US" w:eastAsia="zh-CN"/>
                    </w:rPr>
                    <w:t>达标</w:t>
                  </w:r>
                </w:p>
              </w:tc>
            </w:tr>
            <w:tr w14:paraId="6E656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1" w:hRule="atLeast"/>
                <w:tblHeader/>
                <w:jc w:val="center"/>
              </w:trPr>
              <w:tc>
                <w:tcPr>
                  <w:tcW w:w="612" w:type="pct"/>
                  <w:vMerge w:val="continue"/>
                  <w:noWrap w:val="0"/>
                  <w:vAlign w:val="center"/>
                </w:tcPr>
                <w:p w14:paraId="2E4ED846">
                  <w:pPr>
                    <w:jc w:val="center"/>
                    <w:rPr>
                      <w:rFonts w:hint="default" w:ascii="Times New Roman" w:hAnsi="Times New Roman" w:eastAsia="宋体" w:cs="Times New Roman"/>
                      <w:szCs w:val="21"/>
                    </w:rPr>
                  </w:pPr>
                </w:p>
              </w:tc>
              <w:tc>
                <w:tcPr>
                  <w:tcW w:w="509" w:type="pct"/>
                  <w:vMerge w:val="continue"/>
                  <w:noWrap w:val="0"/>
                  <w:vAlign w:val="center"/>
                </w:tcPr>
                <w:p w14:paraId="2FAF15C3">
                  <w:pPr>
                    <w:jc w:val="center"/>
                    <w:rPr>
                      <w:rFonts w:hint="default" w:ascii="Times New Roman" w:hAnsi="Times New Roman" w:eastAsia="宋体" w:cs="Times New Roman"/>
                      <w:szCs w:val="21"/>
                    </w:rPr>
                  </w:pPr>
                </w:p>
              </w:tc>
              <w:tc>
                <w:tcPr>
                  <w:tcW w:w="509" w:type="pct"/>
                  <w:vMerge w:val="continue"/>
                  <w:noWrap w:val="0"/>
                  <w:vAlign w:val="center"/>
                </w:tcPr>
                <w:p w14:paraId="2AE0F623">
                  <w:pPr>
                    <w:jc w:val="center"/>
                    <w:rPr>
                      <w:rFonts w:hint="default" w:ascii="Times New Roman" w:hAnsi="Times New Roman" w:eastAsia="宋体" w:cs="Times New Roman"/>
                      <w:szCs w:val="21"/>
                    </w:rPr>
                  </w:pPr>
                </w:p>
              </w:tc>
              <w:tc>
                <w:tcPr>
                  <w:tcW w:w="417" w:type="pct"/>
                  <w:vMerge w:val="continue"/>
                  <w:noWrap w:val="0"/>
                  <w:vAlign w:val="center"/>
                </w:tcPr>
                <w:p w14:paraId="772B736B">
                  <w:pPr>
                    <w:jc w:val="center"/>
                    <w:rPr>
                      <w:rFonts w:hint="default" w:ascii="Times New Roman" w:hAnsi="Times New Roman" w:eastAsia="宋体" w:cs="Times New Roman"/>
                      <w:szCs w:val="21"/>
                    </w:rPr>
                  </w:pPr>
                </w:p>
              </w:tc>
              <w:tc>
                <w:tcPr>
                  <w:tcW w:w="570" w:type="pct"/>
                  <w:noWrap w:val="0"/>
                  <w:vAlign w:val="center"/>
                </w:tcPr>
                <w:p w14:paraId="0DFFB0B1">
                  <w:pPr>
                    <w:jc w:val="center"/>
                    <w:rPr>
                      <w:rFonts w:hint="default" w:ascii="Times New Roman" w:hAnsi="Times New Roman" w:eastAsia="宋体" w:cs="Times New Roman"/>
                      <w:b/>
                      <w:bCs/>
                      <w:szCs w:val="21"/>
                      <w:lang w:val="en-US" w:eastAsia="zh-CN"/>
                    </w:rPr>
                  </w:pPr>
                  <w:r>
                    <w:rPr>
                      <w:rFonts w:hint="default" w:ascii="Times New Roman" w:hAnsi="Times New Roman" w:eastAsia="宋体" w:cs="Times New Roman"/>
                      <w:b/>
                      <w:bCs/>
                      <w:szCs w:val="21"/>
                      <w:lang w:val="en-US" w:eastAsia="zh-CN"/>
                    </w:rPr>
                    <w:t>第1次</w:t>
                  </w:r>
                </w:p>
              </w:tc>
              <w:tc>
                <w:tcPr>
                  <w:tcW w:w="570" w:type="pct"/>
                  <w:noWrap w:val="0"/>
                  <w:vAlign w:val="center"/>
                </w:tcPr>
                <w:p w14:paraId="4BDCB025">
                  <w:pPr>
                    <w:jc w:val="center"/>
                    <w:rPr>
                      <w:rFonts w:hint="default" w:ascii="Times New Roman" w:hAnsi="Times New Roman" w:eastAsia="宋体" w:cs="Times New Roman"/>
                      <w:b/>
                      <w:bCs/>
                      <w:szCs w:val="21"/>
                      <w:lang w:val="en-US" w:eastAsia="zh-CN"/>
                    </w:rPr>
                  </w:pPr>
                  <w:r>
                    <w:rPr>
                      <w:rFonts w:hint="default" w:ascii="Times New Roman" w:hAnsi="Times New Roman" w:eastAsia="宋体" w:cs="Times New Roman"/>
                      <w:b/>
                      <w:bCs/>
                      <w:szCs w:val="21"/>
                      <w:lang w:val="en-US" w:eastAsia="zh-CN"/>
                    </w:rPr>
                    <w:t>第2次</w:t>
                  </w:r>
                </w:p>
              </w:tc>
              <w:tc>
                <w:tcPr>
                  <w:tcW w:w="570" w:type="pct"/>
                  <w:noWrap w:val="0"/>
                  <w:vAlign w:val="center"/>
                </w:tcPr>
                <w:p w14:paraId="56698D75">
                  <w:pPr>
                    <w:jc w:val="center"/>
                    <w:rPr>
                      <w:rFonts w:hint="default" w:ascii="Times New Roman" w:hAnsi="Times New Roman" w:eastAsia="宋体" w:cs="Times New Roman"/>
                      <w:b/>
                      <w:bCs/>
                      <w:szCs w:val="21"/>
                      <w:lang w:val="en-US" w:eastAsia="zh-CN"/>
                    </w:rPr>
                  </w:pPr>
                  <w:r>
                    <w:rPr>
                      <w:rFonts w:hint="default" w:ascii="Times New Roman" w:hAnsi="Times New Roman" w:eastAsia="宋体" w:cs="Times New Roman"/>
                      <w:b/>
                      <w:bCs/>
                      <w:szCs w:val="21"/>
                      <w:lang w:val="en-US" w:eastAsia="zh-CN"/>
                    </w:rPr>
                    <w:t>第3次</w:t>
                  </w:r>
                </w:p>
              </w:tc>
              <w:tc>
                <w:tcPr>
                  <w:tcW w:w="574" w:type="pct"/>
                  <w:noWrap w:val="0"/>
                  <w:vAlign w:val="center"/>
                </w:tcPr>
                <w:p w14:paraId="30C23581">
                  <w:pPr>
                    <w:jc w:val="center"/>
                    <w:rPr>
                      <w:rFonts w:hint="default" w:ascii="Times New Roman" w:hAnsi="Times New Roman" w:eastAsia="宋体" w:cs="Times New Roman"/>
                      <w:b/>
                      <w:bCs/>
                      <w:szCs w:val="21"/>
                      <w:lang w:val="en-US" w:eastAsia="zh-CN"/>
                    </w:rPr>
                  </w:pPr>
                  <w:r>
                    <w:rPr>
                      <w:rFonts w:hint="default" w:ascii="Times New Roman" w:hAnsi="Times New Roman" w:eastAsia="宋体" w:cs="Times New Roman"/>
                      <w:b/>
                      <w:bCs/>
                      <w:szCs w:val="21"/>
                      <w:lang w:val="en-US" w:eastAsia="zh-CN"/>
                    </w:rPr>
                    <w:t>第4次</w:t>
                  </w:r>
                </w:p>
              </w:tc>
              <w:tc>
                <w:tcPr>
                  <w:tcW w:w="350" w:type="pct"/>
                  <w:vMerge w:val="continue"/>
                  <w:noWrap w:val="0"/>
                  <w:vAlign w:val="center"/>
                </w:tcPr>
                <w:p w14:paraId="29868FF7">
                  <w:pPr>
                    <w:jc w:val="center"/>
                    <w:rPr>
                      <w:rFonts w:hint="default" w:ascii="Times New Roman" w:hAnsi="Times New Roman" w:eastAsia="宋体" w:cs="Times New Roman"/>
                      <w:szCs w:val="21"/>
                      <w:lang w:val="en-US" w:eastAsia="zh-CN"/>
                    </w:rPr>
                  </w:pPr>
                </w:p>
              </w:tc>
              <w:tc>
                <w:tcPr>
                  <w:tcW w:w="313" w:type="pct"/>
                  <w:vMerge w:val="continue"/>
                  <w:noWrap w:val="0"/>
                  <w:vAlign w:val="center"/>
                </w:tcPr>
                <w:p w14:paraId="1463C06D">
                  <w:pPr>
                    <w:jc w:val="center"/>
                    <w:rPr>
                      <w:rFonts w:hint="default" w:ascii="Times New Roman" w:hAnsi="Times New Roman" w:eastAsia="宋体" w:cs="Times New Roman"/>
                      <w:szCs w:val="21"/>
                      <w:lang w:val="en-US" w:eastAsia="zh-CN"/>
                    </w:rPr>
                  </w:pPr>
                </w:p>
              </w:tc>
            </w:tr>
            <w:tr w14:paraId="095D12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1" w:hRule="atLeast"/>
                <w:jc w:val="center"/>
              </w:trPr>
              <w:tc>
                <w:tcPr>
                  <w:tcW w:w="612" w:type="pct"/>
                  <w:noWrap w:val="0"/>
                  <w:vAlign w:val="center"/>
                </w:tcPr>
                <w:p w14:paraId="3FA18B5D">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2024.10.25</w:t>
                  </w:r>
                </w:p>
              </w:tc>
              <w:tc>
                <w:tcPr>
                  <w:tcW w:w="509" w:type="pct"/>
                  <w:vMerge w:val="restart"/>
                  <w:noWrap w:val="0"/>
                  <w:vAlign w:val="center"/>
                </w:tcPr>
                <w:p w14:paraId="47B1036A">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非甲烷总烃</w:t>
                  </w:r>
                </w:p>
              </w:tc>
              <w:tc>
                <w:tcPr>
                  <w:tcW w:w="509" w:type="pct"/>
                  <w:noWrap w:val="0"/>
                  <w:vAlign w:val="center"/>
                </w:tcPr>
                <w:p w14:paraId="2B95277C">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下风向50米处</w:t>
                  </w:r>
                </w:p>
              </w:tc>
              <w:tc>
                <w:tcPr>
                  <w:tcW w:w="417" w:type="pct"/>
                  <w:noWrap w:val="0"/>
                  <w:vAlign w:val="center"/>
                </w:tcPr>
                <w:p w14:paraId="67936A30">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mg/m</w:t>
                  </w:r>
                  <w:r>
                    <w:rPr>
                      <w:rFonts w:hint="default" w:ascii="Times New Roman" w:hAnsi="Times New Roman" w:eastAsia="宋体" w:cs="Times New Roman"/>
                      <w:szCs w:val="21"/>
                      <w:vertAlign w:val="superscript"/>
                      <w:lang w:val="en-US" w:eastAsia="zh-CN"/>
                    </w:rPr>
                    <w:t>3</w:t>
                  </w:r>
                </w:p>
              </w:tc>
              <w:tc>
                <w:tcPr>
                  <w:tcW w:w="570" w:type="pct"/>
                  <w:noWrap w:val="0"/>
                  <w:vAlign w:val="center"/>
                </w:tcPr>
                <w:p w14:paraId="3C84FAA4">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0.84</w:t>
                  </w:r>
                </w:p>
              </w:tc>
              <w:tc>
                <w:tcPr>
                  <w:tcW w:w="570" w:type="pct"/>
                  <w:noWrap w:val="0"/>
                  <w:vAlign w:val="center"/>
                </w:tcPr>
                <w:p w14:paraId="05843F6C">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0.99</w:t>
                  </w:r>
                </w:p>
              </w:tc>
              <w:tc>
                <w:tcPr>
                  <w:tcW w:w="570" w:type="pct"/>
                  <w:noWrap w:val="0"/>
                  <w:vAlign w:val="center"/>
                </w:tcPr>
                <w:p w14:paraId="2CE4FB57">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1.01</w:t>
                  </w:r>
                </w:p>
              </w:tc>
              <w:tc>
                <w:tcPr>
                  <w:tcW w:w="574" w:type="pct"/>
                  <w:noWrap w:val="0"/>
                  <w:vAlign w:val="center"/>
                </w:tcPr>
                <w:p w14:paraId="7E1C34AB">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0.98</w:t>
                  </w:r>
                </w:p>
              </w:tc>
              <w:tc>
                <w:tcPr>
                  <w:tcW w:w="350" w:type="pct"/>
                  <w:noWrap w:val="0"/>
                  <w:vAlign w:val="center"/>
                </w:tcPr>
                <w:p w14:paraId="1A888493">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≤2.0</w:t>
                  </w:r>
                </w:p>
              </w:tc>
              <w:tc>
                <w:tcPr>
                  <w:tcW w:w="313" w:type="pct"/>
                  <w:noWrap w:val="0"/>
                  <w:vAlign w:val="center"/>
                </w:tcPr>
                <w:p w14:paraId="5E6A6BB8">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达标</w:t>
                  </w:r>
                </w:p>
              </w:tc>
            </w:tr>
            <w:tr w14:paraId="7590E3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1" w:hRule="atLeast"/>
                <w:jc w:val="center"/>
              </w:trPr>
              <w:tc>
                <w:tcPr>
                  <w:tcW w:w="612" w:type="pct"/>
                  <w:noWrap w:val="0"/>
                  <w:vAlign w:val="center"/>
                </w:tcPr>
                <w:p w14:paraId="5F6E7FE9">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2024.10.26</w:t>
                  </w:r>
                </w:p>
              </w:tc>
              <w:tc>
                <w:tcPr>
                  <w:tcW w:w="509" w:type="pct"/>
                  <w:vMerge w:val="continue"/>
                  <w:noWrap w:val="0"/>
                  <w:vAlign w:val="center"/>
                </w:tcPr>
                <w:p w14:paraId="1FC9CA16">
                  <w:pPr>
                    <w:jc w:val="center"/>
                    <w:rPr>
                      <w:rFonts w:hint="default" w:ascii="Times New Roman" w:hAnsi="Times New Roman" w:eastAsia="宋体" w:cs="Times New Roman"/>
                      <w:szCs w:val="21"/>
                      <w:lang w:val="en-US" w:eastAsia="zh-CN"/>
                    </w:rPr>
                  </w:pPr>
                </w:p>
              </w:tc>
              <w:tc>
                <w:tcPr>
                  <w:tcW w:w="509" w:type="pct"/>
                  <w:noWrap w:val="0"/>
                  <w:vAlign w:val="center"/>
                </w:tcPr>
                <w:p w14:paraId="66F17EA4">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下风向50米处</w:t>
                  </w:r>
                </w:p>
              </w:tc>
              <w:tc>
                <w:tcPr>
                  <w:tcW w:w="417" w:type="pct"/>
                  <w:noWrap w:val="0"/>
                  <w:vAlign w:val="center"/>
                </w:tcPr>
                <w:p w14:paraId="00778C0E">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mg/m</w:t>
                  </w:r>
                  <w:r>
                    <w:rPr>
                      <w:rFonts w:hint="default" w:ascii="Times New Roman" w:hAnsi="Times New Roman" w:eastAsia="宋体" w:cs="Times New Roman"/>
                      <w:szCs w:val="21"/>
                      <w:vertAlign w:val="superscript"/>
                      <w:lang w:val="en-US" w:eastAsia="zh-CN"/>
                    </w:rPr>
                    <w:t>3</w:t>
                  </w:r>
                </w:p>
              </w:tc>
              <w:tc>
                <w:tcPr>
                  <w:tcW w:w="570" w:type="pct"/>
                  <w:noWrap w:val="0"/>
                  <w:vAlign w:val="center"/>
                </w:tcPr>
                <w:p w14:paraId="1F487530">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0.61</w:t>
                  </w:r>
                </w:p>
              </w:tc>
              <w:tc>
                <w:tcPr>
                  <w:tcW w:w="570" w:type="pct"/>
                  <w:noWrap w:val="0"/>
                  <w:vAlign w:val="center"/>
                </w:tcPr>
                <w:p w14:paraId="26F4A745">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0.68</w:t>
                  </w:r>
                </w:p>
              </w:tc>
              <w:tc>
                <w:tcPr>
                  <w:tcW w:w="570" w:type="pct"/>
                  <w:noWrap w:val="0"/>
                  <w:vAlign w:val="center"/>
                </w:tcPr>
                <w:p w14:paraId="69149949">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0.72</w:t>
                  </w:r>
                </w:p>
              </w:tc>
              <w:tc>
                <w:tcPr>
                  <w:tcW w:w="574" w:type="pct"/>
                  <w:noWrap w:val="0"/>
                  <w:vAlign w:val="center"/>
                </w:tcPr>
                <w:p w14:paraId="12C959C4">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0.81</w:t>
                  </w:r>
                </w:p>
              </w:tc>
              <w:tc>
                <w:tcPr>
                  <w:tcW w:w="350" w:type="pct"/>
                  <w:noWrap w:val="0"/>
                  <w:vAlign w:val="center"/>
                </w:tcPr>
                <w:p w14:paraId="2FC715A2">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≤2.0</w:t>
                  </w:r>
                </w:p>
              </w:tc>
              <w:tc>
                <w:tcPr>
                  <w:tcW w:w="313" w:type="pct"/>
                  <w:noWrap w:val="0"/>
                  <w:vAlign w:val="center"/>
                </w:tcPr>
                <w:p w14:paraId="4279886C">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达标</w:t>
                  </w:r>
                </w:p>
              </w:tc>
            </w:tr>
            <w:tr w14:paraId="2BF786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8" w:hRule="atLeast"/>
                <w:jc w:val="center"/>
              </w:trPr>
              <w:tc>
                <w:tcPr>
                  <w:tcW w:w="612" w:type="pct"/>
                  <w:noWrap w:val="0"/>
                  <w:vAlign w:val="center"/>
                </w:tcPr>
                <w:p w14:paraId="66AF784E">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2024.10.27</w:t>
                  </w:r>
                </w:p>
              </w:tc>
              <w:tc>
                <w:tcPr>
                  <w:tcW w:w="509" w:type="pct"/>
                  <w:vMerge w:val="continue"/>
                  <w:noWrap w:val="0"/>
                  <w:vAlign w:val="center"/>
                </w:tcPr>
                <w:p w14:paraId="1425C8DE">
                  <w:pPr>
                    <w:jc w:val="center"/>
                    <w:rPr>
                      <w:rFonts w:hint="default" w:ascii="Times New Roman" w:hAnsi="Times New Roman" w:eastAsia="宋体" w:cs="Times New Roman"/>
                      <w:szCs w:val="21"/>
                      <w:lang w:val="en-US" w:eastAsia="zh-CN"/>
                    </w:rPr>
                  </w:pPr>
                </w:p>
              </w:tc>
              <w:tc>
                <w:tcPr>
                  <w:tcW w:w="509" w:type="pct"/>
                  <w:noWrap w:val="0"/>
                  <w:vAlign w:val="center"/>
                </w:tcPr>
                <w:p w14:paraId="4259B1DA">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下风向50米处</w:t>
                  </w:r>
                </w:p>
              </w:tc>
              <w:tc>
                <w:tcPr>
                  <w:tcW w:w="417" w:type="pct"/>
                  <w:noWrap w:val="0"/>
                  <w:vAlign w:val="center"/>
                </w:tcPr>
                <w:p w14:paraId="7540CD74">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mg/m</w:t>
                  </w:r>
                  <w:r>
                    <w:rPr>
                      <w:rFonts w:hint="default" w:ascii="Times New Roman" w:hAnsi="Times New Roman" w:eastAsia="宋体" w:cs="Times New Roman"/>
                      <w:szCs w:val="21"/>
                      <w:vertAlign w:val="superscript"/>
                      <w:lang w:val="en-US" w:eastAsia="zh-CN"/>
                    </w:rPr>
                    <w:t>3</w:t>
                  </w:r>
                </w:p>
              </w:tc>
              <w:tc>
                <w:tcPr>
                  <w:tcW w:w="570" w:type="pct"/>
                  <w:noWrap w:val="0"/>
                  <w:vAlign w:val="center"/>
                </w:tcPr>
                <w:p w14:paraId="08511FB3">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0.76</w:t>
                  </w:r>
                </w:p>
              </w:tc>
              <w:tc>
                <w:tcPr>
                  <w:tcW w:w="570" w:type="pct"/>
                  <w:noWrap w:val="0"/>
                  <w:vAlign w:val="center"/>
                </w:tcPr>
                <w:p w14:paraId="33020356">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0.89</w:t>
                  </w:r>
                </w:p>
              </w:tc>
              <w:tc>
                <w:tcPr>
                  <w:tcW w:w="570" w:type="pct"/>
                  <w:noWrap w:val="0"/>
                  <w:vAlign w:val="center"/>
                </w:tcPr>
                <w:p w14:paraId="16F019D6">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0.80</w:t>
                  </w:r>
                </w:p>
              </w:tc>
              <w:tc>
                <w:tcPr>
                  <w:tcW w:w="574" w:type="pct"/>
                  <w:noWrap w:val="0"/>
                  <w:vAlign w:val="center"/>
                </w:tcPr>
                <w:p w14:paraId="3EA3FD96">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0.94</w:t>
                  </w:r>
                </w:p>
              </w:tc>
              <w:tc>
                <w:tcPr>
                  <w:tcW w:w="350" w:type="pct"/>
                  <w:noWrap w:val="0"/>
                  <w:vAlign w:val="center"/>
                </w:tcPr>
                <w:p w14:paraId="4ACDDD66">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≤2.0</w:t>
                  </w:r>
                </w:p>
              </w:tc>
              <w:tc>
                <w:tcPr>
                  <w:tcW w:w="313" w:type="pct"/>
                  <w:noWrap w:val="0"/>
                  <w:vAlign w:val="center"/>
                </w:tcPr>
                <w:p w14:paraId="32FB7917">
                  <w:pPr>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达标</w:t>
                  </w:r>
                </w:p>
              </w:tc>
            </w:tr>
          </w:tbl>
          <w:p w14:paraId="4AD83AD4">
            <w:pPr>
              <w:spacing w:before="120" w:beforeLines="50" w:line="360" w:lineRule="auto"/>
              <w:ind w:firstLine="482"/>
              <w:rPr>
                <w:bCs/>
                <w:sz w:val="24"/>
              </w:rPr>
            </w:pPr>
            <w:r>
              <w:rPr>
                <w:rFonts w:hint="eastAsia"/>
                <w:bCs/>
                <w:sz w:val="24"/>
              </w:rPr>
              <w:t>由上表可知，项目所在区域环境空气中非甲烷总烃满足《环境空气质量非甲烷总烃限值》（DB13/1577-2012）二级标准要求。</w:t>
            </w:r>
          </w:p>
          <w:p w14:paraId="20BBAA45">
            <w:pPr>
              <w:pStyle w:val="52"/>
              <w:numPr>
                <w:ilvl w:val="0"/>
                <w:numId w:val="0"/>
              </w:numPr>
              <w:spacing w:before="120" w:beforeLines="50"/>
              <w:ind w:firstLine="480" w:firstLineChars="200"/>
              <w:rPr>
                <w:sz w:val="24"/>
                <w:szCs w:val="24"/>
              </w:rPr>
            </w:pPr>
            <w:bookmarkStart w:id="2" w:name="_Toc426554617"/>
            <w:r>
              <w:rPr>
                <w:rFonts w:hint="eastAsia"/>
                <w:sz w:val="24"/>
                <w:szCs w:val="24"/>
              </w:rPr>
              <w:t>（</w:t>
            </w:r>
            <w:r>
              <w:rPr>
                <w:sz w:val="24"/>
                <w:szCs w:val="24"/>
              </w:rPr>
              <w:t>3</w:t>
            </w:r>
            <w:r>
              <w:rPr>
                <w:rFonts w:hint="eastAsia"/>
                <w:sz w:val="24"/>
                <w:szCs w:val="24"/>
              </w:rPr>
              <w:t>）环境空气质量现状达标情况</w:t>
            </w:r>
          </w:p>
          <w:p w14:paraId="5A7FD289">
            <w:pPr>
              <w:pStyle w:val="52"/>
              <w:numPr>
                <w:ilvl w:val="0"/>
                <w:numId w:val="0"/>
              </w:numPr>
              <w:ind w:firstLine="480" w:firstLineChars="200"/>
              <w:rPr>
                <w:sz w:val="24"/>
                <w:szCs w:val="24"/>
              </w:rPr>
            </w:pPr>
            <w:r>
              <w:rPr>
                <w:rFonts w:hint="eastAsia"/>
                <w:sz w:val="24"/>
              </w:rPr>
              <w:t>①大气污染物基本项目环境空气质量现状达标情况</w:t>
            </w:r>
          </w:p>
          <w:p w14:paraId="47A7912D">
            <w:pPr>
              <w:spacing w:line="360" w:lineRule="auto"/>
              <w:ind w:firstLine="480"/>
              <w:rPr>
                <w:sz w:val="24"/>
              </w:rPr>
            </w:pPr>
            <w:r>
              <w:rPr>
                <w:rFonts w:hint="eastAsia"/>
                <w:sz w:val="24"/>
              </w:rPr>
              <w:t>区域环境质量</w:t>
            </w:r>
            <w:r>
              <w:rPr>
                <w:rFonts w:hint="eastAsia"/>
                <w:sz w:val="24"/>
                <w:lang w:eastAsia="zh-CN"/>
              </w:rPr>
              <w:t>现状</w:t>
            </w:r>
            <w:r>
              <w:rPr>
                <w:rFonts w:hint="eastAsia"/>
                <w:sz w:val="24"/>
              </w:rPr>
              <w:t>评价表列表如下：</w:t>
            </w:r>
          </w:p>
          <w:p w14:paraId="41BE1E5A">
            <w:pPr>
              <w:pStyle w:val="47"/>
              <w:numPr>
                <w:ilvl w:val="0"/>
                <w:numId w:val="7"/>
              </w:numPr>
              <w:spacing w:line="360" w:lineRule="auto"/>
              <w:ind w:left="0" w:firstLine="0"/>
              <w:rPr>
                <w:rFonts w:eastAsia="宋体"/>
                <w:b/>
              </w:rPr>
            </w:pPr>
            <w:r>
              <w:rPr>
                <w:rFonts w:hint="eastAsia" w:eastAsia="宋体"/>
                <w:b/>
              </w:rPr>
              <w:t>区域环境空气质量现状评价表（</w:t>
            </w:r>
            <w:r>
              <w:rPr>
                <w:rFonts w:hint="eastAsia" w:eastAsia="宋体"/>
                <w:b/>
                <w:lang w:val="en-US" w:eastAsia="zh-CN"/>
              </w:rPr>
              <w:t>宽城满族自治县</w:t>
            </w:r>
            <w:r>
              <w:rPr>
                <w:rFonts w:hint="eastAsia" w:eastAsia="宋体"/>
                <w:b/>
              </w:rPr>
              <w:t>）</w:t>
            </w:r>
          </w:p>
          <w:tbl>
            <w:tblPr>
              <w:tblStyle w:val="21"/>
              <w:tblW w:w="511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9"/>
              <w:gridCol w:w="1738"/>
              <w:gridCol w:w="927"/>
              <w:gridCol w:w="927"/>
              <w:gridCol w:w="927"/>
              <w:gridCol w:w="927"/>
              <w:gridCol w:w="942"/>
              <w:gridCol w:w="928"/>
            </w:tblGrid>
            <w:tr w14:paraId="71E039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729" w:type="pct"/>
                  <w:tcBorders>
                    <w:top w:val="single" w:color="auto" w:sz="4" w:space="0"/>
                    <w:left w:val="single" w:color="auto" w:sz="4" w:space="0"/>
                    <w:bottom w:val="single" w:color="auto" w:sz="4" w:space="0"/>
                    <w:right w:val="single" w:color="auto" w:sz="4" w:space="0"/>
                  </w:tcBorders>
                  <w:vAlign w:val="center"/>
                </w:tcPr>
                <w:p w14:paraId="0633FB14">
                  <w:pPr>
                    <w:pStyle w:val="72"/>
                    <w:rPr>
                      <w:rFonts w:cs="Times New Roman"/>
                      <w:b/>
                    </w:rPr>
                  </w:pPr>
                  <w:r>
                    <w:rPr>
                      <w:rFonts w:hint="eastAsia" w:cs="Times New Roman"/>
                      <w:b/>
                    </w:rPr>
                    <w:t>年份</w:t>
                  </w:r>
                </w:p>
              </w:tc>
              <w:tc>
                <w:tcPr>
                  <w:tcW w:w="1014" w:type="pct"/>
                  <w:tcBorders>
                    <w:top w:val="single" w:color="auto" w:sz="4" w:space="0"/>
                    <w:left w:val="single" w:color="auto" w:sz="4" w:space="0"/>
                    <w:bottom w:val="single" w:color="auto" w:sz="4" w:space="0"/>
                    <w:right w:val="single" w:color="auto" w:sz="4" w:space="0"/>
                  </w:tcBorders>
                  <w:vAlign w:val="center"/>
                </w:tcPr>
                <w:p w14:paraId="1333D588">
                  <w:pPr>
                    <w:pStyle w:val="72"/>
                    <w:rPr>
                      <w:rFonts w:cs="Times New Roman"/>
                      <w:b/>
                    </w:rPr>
                  </w:pPr>
                  <w:r>
                    <w:rPr>
                      <w:rFonts w:hint="eastAsia" w:cs="Times New Roman"/>
                      <w:b/>
                    </w:rPr>
                    <w:t>环境空气质量综合指数</w:t>
                  </w:r>
                </w:p>
              </w:tc>
              <w:tc>
                <w:tcPr>
                  <w:tcW w:w="541" w:type="pct"/>
                  <w:tcBorders>
                    <w:top w:val="single" w:color="auto" w:sz="4" w:space="0"/>
                    <w:left w:val="single" w:color="auto" w:sz="4" w:space="0"/>
                    <w:bottom w:val="single" w:color="auto" w:sz="4" w:space="0"/>
                    <w:right w:val="single" w:color="auto" w:sz="4" w:space="0"/>
                  </w:tcBorders>
                  <w:vAlign w:val="center"/>
                </w:tcPr>
                <w:p w14:paraId="46937CC6">
                  <w:pPr>
                    <w:pStyle w:val="72"/>
                    <w:rPr>
                      <w:rFonts w:cs="Times New Roman"/>
                      <w:b/>
                    </w:rPr>
                  </w:pPr>
                  <w:r>
                    <w:rPr>
                      <w:rFonts w:cs="Times New Roman"/>
                      <w:b/>
                    </w:rPr>
                    <w:t>PM</w:t>
                  </w:r>
                  <w:r>
                    <w:rPr>
                      <w:rFonts w:cs="Times New Roman"/>
                      <w:b/>
                      <w:vertAlign w:val="subscript"/>
                    </w:rPr>
                    <w:t>2.5</w:t>
                  </w:r>
                </w:p>
              </w:tc>
              <w:tc>
                <w:tcPr>
                  <w:tcW w:w="541" w:type="pct"/>
                  <w:tcBorders>
                    <w:top w:val="single" w:color="auto" w:sz="4" w:space="0"/>
                    <w:left w:val="single" w:color="auto" w:sz="4" w:space="0"/>
                    <w:bottom w:val="single" w:color="auto" w:sz="4" w:space="0"/>
                    <w:right w:val="single" w:color="auto" w:sz="4" w:space="0"/>
                  </w:tcBorders>
                  <w:vAlign w:val="center"/>
                </w:tcPr>
                <w:p w14:paraId="2326A4E1">
                  <w:pPr>
                    <w:pStyle w:val="72"/>
                    <w:rPr>
                      <w:rFonts w:cs="Times New Roman"/>
                      <w:b/>
                    </w:rPr>
                  </w:pPr>
                  <w:r>
                    <w:rPr>
                      <w:rFonts w:cs="Times New Roman"/>
                      <w:b/>
                    </w:rPr>
                    <w:t>PM</w:t>
                  </w:r>
                  <w:r>
                    <w:rPr>
                      <w:rFonts w:cs="Times New Roman"/>
                      <w:b/>
                      <w:vertAlign w:val="subscript"/>
                    </w:rPr>
                    <w:t>10</w:t>
                  </w:r>
                </w:p>
              </w:tc>
              <w:tc>
                <w:tcPr>
                  <w:tcW w:w="541" w:type="pct"/>
                  <w:tcBorders>
                    <w:top w:val="single" w:color="auto" w:sz="4" w:space="0"/>
                    <w:left w:val="single" w:color="auto" w:sz="4" w:space="0"/>
                    <w:bottom w:val="single" w:color="auto" w:sz="4" w:space="0"/>
                    <w:right w:val="single" w:color="auto" w:sz="4" w:space="0"/>
                  </w:tcBorders>
                  <w:vAlign w:val="center"/>
                </w:tcPr>
                <w:p w14:paraId="1C900343">
                  <w:pPr>
                    <w:pStyle w:val="72"/>
                    <w:rPr>
                      <w:rFonts w:cs="Times New Roman"/>
                      <w:b/>
                    </w:rPr>
                  </w:pPr>
                  <w:r>
                    <w:rPr>
                      <w:rFonts w:cs="Times New Roman"/>
                      <w:b/>
                    </w:rPr>
                    <w:t>SO</w:t>
                  </w:r>
                  <w:r>
                    <w:rPr>
                      <w:rFonts w:cs="Times New Roman"/>
                      <w:b/>
                      <w:vertAlign w:val="subscript"/>
                    </w:rPr>
                    <w:t>2</w:t>
                  </w:r>
                </w:p>
              </w:tc>
              <w:tc>
                <w:tcPr>
                  <w:tcW w:w="541" w:type="pct"/>
                  <w:tcBorders>
                    <w:top w:val="single" w:color="auto" w:sz="4" w:space="0"/>
                    <w:left w:val="single" w:color="auto" w:sz="4" w:space="0"/>
                    <w:bottom w:val="single" w:color="auto" w:sz="4" w:space="0"/>
                    <w:right w:val="single" w:color="auto" w:sz="4" w:space="0"/>
                  </w:tcBorders>
                  <w:vAlign w:val="center"/>
                </w:tcPr>
                <w:p w14:paraId="5BD9EBAB">
                  <w:pPr>
                    <w:pStyle w:val="72"/>
                    <w:rPr>
                      <w:rFonts w:cs="Times New Roman"/>
                      <w:b/>
                    </w:rPr>
                  </w:pPr>
                  <w:r>
                    <w:rPr>
                      <w:rFonts w:cs="Times New Roman"/>
                      <w:b/>
                    </w:rPr>
                    <w:t>CO</w:t>
                  </w:r>
                </w:p>
              </w:tc>
              <w:tc>
                <w:tcPr>
                  <w:tcW w:w="550" w:type="pct"/>
                  <w:tcBorders>
                    <w:top w:val="single" w:color="auto" w:sz="4" w:space="0"/>
                    <w:left w:val="single" w:color="auto" w:sz="4" w:space="0"/>
                    <w:bottom w:val="single" w:color="auto" w:sz="4" w:space="0"/>
                    <w:right w:val="single" w:color="auto" w:sz="4" w:space="0"/>
                  </w:tcBorders>
                  <w:vAlign w:val="center"/>
                </w:tcPr>
                <w:p w14:paraId="5232E027">
                  <w:pPr>
                    <w:pStyle w:val="72"/>
                    <w:rPr>
                      <w:rFonts w:cs="Times New Roman"/>
                      <w:b/>
                    </w:rPr>
                  </w:pPr>
                  <w:r>
                    <w:rPr>
                      <w:rFonts w:cs="Times New Roman"/>
                      <w:b/>
                    </w:rPr>
                    <w:t>O</w:t>
                  </w:r>
                  <w:r>
                    <w:rPr>
                      <w:rFonts w:cs="Times New Roman"/>
                      <w:b/>
                      <w:vertAlign w:val="subscript"/>
                    </w:rPr>
                    <w:t>3</w:t>
                  </w:r>
                </w:p>
              </w:tc>
              <w:tc>
                <w:tcPr>
                  <w:tcW w:w="541" w:type="pct"/>
                  <w:tcBorders>
                    <w:top w:val="single" w:color="auto" w:sz="4" w:space="0"/>
                    <w:left w:val="single" w:color="auto" w:sz="4" w:space="0"/>
                    <w:bottom w:val="single" w:color="auto" w:sz="4" w:space="0"/>
                    <w:right w:val="single" w:color="auto" w:sz="4" w:space="0"/>
                  </w:tcBorders>
                  <w:vAlign w:val="center"/>
                </w:tcPr>
                <w:p w14:paraId="04CE1AA1">
                  <w:pPr>
                    <w:pStyle w:val="72"/>
                    <w:rPr>
                      <w:rFonts w:cs="Times New Roman"/>
                      <w:b/>
                    </w:rPr>
                  </w:pPr>
                  <w:r>
                    <w:rPr>
                      <w:rFonts w:cs="Times New Roman"/>
                      <w:b/>
                    </w:rPr>
                    <w:t>NO</w:t>
                  </w:r>
                  <w:r>
                    <w:rPr>
                      <w:rFonts w:cs="Times New Roman"/>
                      <w:b/>
                      <w:vertAlign w:val="subscript"/>
                    </w:rPr>
                    <w:t>2</w:t>
                  </w:r>
                </w:p>
              </w:tc>
            </w:tr>
            <w:tr w14:paraId="2B818F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729" w:type="pct"/>
                  <w:vMerge w:val="restart"/>
                  <w:tcBorders>
                    <w:top w:val="single" w:color="auto" w:sz="4" w:space="0"/>
                    <w:left w:val="single" w:color="auto" w:sz="4" w:space="0"/>
                    <w:bottom w:val="single" w:color="auto" w:sz="4" w:space="0"/>
                    <w:right w:val="single" w:color="auto" w:sz="4" w:space="0"/>
                  </w:tcBorders>
                  <w:vAlign w:val="center"/>
                </w:tcPr>
                <w:p w14:paraId="420BBBDF">
                  <w:pPr>
                    <w:pStyle w:val="72"/>
                    <w:rPr>
                      <w:rFonts w:hint="eastAsia" w:eastAsia="宋体" w:cs="Times New Roman"/>
                      <w:lang w:val="en-US" w:eastAsia="zh-CN"/>
                    </w:rPr>
                  </w:pPr>
                  <w:r>
                    <w:rPr>
                      <w:rFonts w:cs="Times New Roman"/>
                    </w:rPr>
                    <w:t>202</w:t>
                  </w:r>
                  <w:r>
                    <w:rPr>
                      <w:rFonts w:hint="eastAsia" w:cs="Times New Roman"/>
                      <w:lang w:val="en-US" w:eastAsia="zh-CN"/>
                    </w:rPr>
                    <w:t>3</w:t>
                  </w:r>
                </w:p>
              </w:tc>
              <w:tc>
                <w:tcPr>
                  <w:tcW w:w="1014" w:type="pct"/>
                  <w:tcBorders>
                    <w:top w:val="single" w:color="auto" w:sz="4" w:space="0"/>
                    <w:left w:val="single" w:color="auto" w:sz="4" w:space="0"/>
                    <w:bottom w:val="single" w:color="auto" w:sz="4" w:space="0"/>
                    <w:right w:val="single" w:color="auto" w:sz="4" w:space="0"/>
                  </w:tcBorders>
                  <w:vAlign w:val="center"/>
                </w:tcPr>
                <w:p w14:paraId="57332CF5">
                  <w:pPr>
                    <w:pStyle w:val="72"/>
                    <w:rPr>
                      <w:rFonts w:cs="Times New Roman"/>
                    </w:rPr>
                  </w:pPr>
                  <w:r>
                    <w:rPr>
                      <w:rFonts w:hint="eastAsia" w:cs="Times New Roman"/>
                    </w:rPr>
                    <w:t>现状浓度</w:t>
                  </w:r>
                  <w:r>
                    <w:rPr>
                      <w:rFonts w:cs="Times New Roman"/>
                    </w:rPr>
                    <w:t>/</w:t>
                  </w:r>
                  <w:r>
                    <w:rPr>
                      <w:rFonts w:hint="eastAsia" w:cs="Times New Roman"/>
                    </w:rPr>
                    <w:t>（</w:t>
                  </w:r>
                  <w:r>
                    <w:rPr>
                      <w:rFonts w:cs="Times New Roman"/>
                    </w:rPr>
                    <w:t>µg/m</w:t>
                  </w:r>
                  <w:r>
                    <w:rPr>
                      <w:rFonts w:cs="Times New Roman"/>
                      <w:vertAlign w:val="superscript"/>
                    </w:rPr>
                    <w:t>3</w:t>
                  </w:r>
                  <w:r>
                    <w:rPr>
                      <w:rFonts w:hint="eastAsia" w:cs="Times New Roman"/>
                    </w:rPr>
                    <w:t>）</w:t>
                  </w:r>
                </w:p>
              </w:tc>
              <w:tc>
                <w:tcPr>
                  <w:tcW w:w="541" w:type="pct"/>
                  <w:tcBorders>
                    <w:top w:val="single" w:color="auto" w:sz="4" w:space="0"/>
                    <w:left w:val="single" w:color="auto" w:sz="4" w:space="0"/>
                    <w:bottom w:val="single" w:color="auto" w:sz="4" w:space="0"/>
                    <w:right w:val="single" w:color="auto" w:sz="4" w:space="0"/>
                  </w:tcBorders>
                  <w:shd w:val="clear" w:color="auto" w:fill="auto"/>
                  <w:vAlign w:val="center"/>
                </w:tcPr>
                <w:p w14:paraId="61508FC3">
                  <w:pPr>
                    <w:jc w:val="center"/>
                    <w:rPr>
                      <w:rFonts w:ascii="Times New Roman" w:hAnsi="Times New Roman" w:eastAsia="宋体" w:cs="Times New Roman"/>
                      <w:bCs/>
                      <w:color w:val="000000" w:themeColor="text1"/>
                      <w:kern w:val="2"/>
                      <w:sz w:val="21"/>
                      <w:szCs w:val="24"/>
                      <w:lang w:val="en-US" w:eastAsia="zh-CN" w:bidi="ar-SA"/>
                      <w14:textFill>
                        <w14:solidFill>
                          <w14:schemeClr w14:val="tx1"/>
                        </w14:solidFill>
                      </w14:textFill>
                    </w:rPr>
                  </w:pPr>
                  <w:r>
                    <w:rPr>
                      <w:szCs w:val="21"/>
                    </w:rPr>
                    <w:t>25</w:t>
                  </w:r>
                </w:p>
              </w:tc>
              <w:tc>
                <w:tcPr>
                  <w:tcW w:w="541" w:type="pct"/>
                  <w:tcBorders>
                    <w:top w:val="single" w:color="auto" w:sz="4" w:space="0"/>
                    <w:left w:val="single" w:color="auto" w:sz="4" w:space="0"/>
                    <w:bottom w:val="single" w:color="auto" w:sz="4" w:space="0"/>
                    <w:right w:val="single" w:color="auto" w:sz="4" w:space="0"/>
                  </w:tcBorders>
                  <w:shd w:val="clear" w:color="auto" w:fill="auto"/>
                  <w:vAlign w:val="center"/>
                </w:tcPr>
                <w:p w14:paraId="6AA82718">
                  <w:pPr>
                    <w:widowControl/>
                    <w:jc w:val="center"/>
                    <w:rPr>
                      <w:rFonts w:hint="default" w:ascii="Times New Roman" w:hAnsi="Times New Roman" w:eastAsia="宋体" w:cs="Times New Roman"/>
                      <w:bCs/>
                      <w:color w:val="000000" w:themeColor="text1"/>
                      <w:kern w:val="2"/>
                      <w:sz w:val="21"/>
                      <w:szCs w:val="24"/>
                      <w:lang w:val="en-US" w:eastAsia="zh-CN" w:bidi="ar-SA"/>
                      <w14:textFill>
                        <w14:solidFill>
                          <w14:schemeClr w14:val="tx1"/>
                        </w14:solidFill>
                      </w14:textFill>
                    </w:rPr>
                  </w:pPr>
                  <w:r>
                    <w:rPr>
                      <w:rFonts w:hint="eastAsia"/>
                      <w:szCs w:val="21"/>
                      <w:lang w:val="en-US" w:eastAsia="zh-CN"/>
                    </w:rPr>
                    <w:t>49</w:t>
                  </w:r>
                </w:p>
              </w:tc>
              <w:tc>
                <w:tcPr>
                  <w:tcW w:w="541" w:type="pct"/>
                  <w:tcBorders>
                    <w:top w:val="single" w:color="auto" w:sz="4" w:space="0"/>
                    <w:left w:val="single" w:color="auto" w:sz="4" w:space="0"/>
                    <w:bottom w:val="single" w:color="auto" w:sz="4" w:space="0"/>
                    <w:right w:val="single" w:color="auto" w:sz="4" w:space="0"/>
                  </w:tcBorders>
                  <w:shd w:val="clear" w:color="auto" w:fill="auto"/>
                  <w:vAlign w:val="center"/>
                </w:tcPr>
                <w:p w14:paraId="4FF0BC34">
                  <w:pPr>
                    <w:widowControl/>
                    <w:jc w:val="center"/>
                    <w:rPr>
                      <w:rFonts w:hint="eastAsia" w:ascii="Times New Roman" w:hAnsi="Times New Roman" w:eastAsia="宋体" w:cs="Times New Roman"/>
                      <w:bCs/>
                      <w:color w:val="000000" w:themeColor="text1"/>
                      <w:kern w:val="2"/>
                      <w:sz w:val="21"/>
                      <w:szCs w:val="24"/>
                      <w:lang w:val="en-US" w:eastAsia="zh-CN" w:bidi="ar-SA"/>
                      <w14:textFill>
                        <w14:solidFill>
                          <w14:schemeClr w14:val="tx1"/>
                        </w14:solidFill>
                      </w14:textFill>
                    </w:rPr>
                  </w:pPr>
                  <w:r>
                    <w:rPr>
                      <w:szCs w:val="21"/>
                    </w:rPr>
                    <w:t>1</w:t>
                  </w:r>
                  <w:r>
                    <w:rPr>
                      <w:rFonts w:hint="eastAsia"/>
                      <w:szCs w:val="21"/>
                      <w:lang w:val="en-US" w:eastAsia="zh-CN"/>
                    </w:rPr>
                    <w:t>2</w:t>
                  </w:r>
                </w:p>
              </w:tc>
              <w:tc>
                <w:tcPr>
                  <w:tcW w:w="541" w:type="pct"/>
                  <w:tcBorders>
                    <w:top w:val="single" w:color="auto" w:sz="4" w:space="0"/>
                    <w:left w:val="single" w:color="auto" w:sz="4" w:space="0"/>
                    <w:bottom w:val="single" w:color="auto" w:sz="4" w:space="0"/>
                    <w:right w:val="single" w:color="auto" w:sz="4" w:space="0"/>
                  </w:tcBorders>
                  <w:shd w:val="clear" w:color="auto" w:fill="auto"/>
                  <w:vAlign w:val="center"/>
                </w:tcPr>
                <w:p w14:paraId="6170F3BA">
                  <w:pPr>
                    <w:widowControl/>
                    <w:jc w:val="center"/>
                    <w:rPr>
                      <w:rFonts w:hint="eastAsia" w:ascii="Times New Roman" w:hAnsi="Times New Roman" w:eastAsia="宋体" w:cs="Times New Roman"/>
                      <w:bCs/>
                      <w:color w:val="000000" w:themeColor="text1"/>
                      <w:kern w:val="2"/>
                      <w:sz w:val="21"/>
                      <w:szCs w:val="24"/>
                      <w:lang w:val="en-US" w:eastAsia="zh-CN" w:bidi="ar-SA"/>
                      <w14:textFill>
                        <w14:solidFill>
                          <w14:schemeClr w14:val="tx1"/>
                        </w14:solidFill>
                      </w14:textFill>
                    </w:rPr>
                  </w:pPr>
                  <w:r>
                    <w:rPr>
                      <w:szCs w:val="21"/>
                    </w:rPr>
                    <w:t>1.</w:t>
                  </w:r>
                  <w:r>
                    <w:rPr>
                      <w:rFonts w:hint="eastAsia"/>
                      <w:szCs w:val="21"/>
                      <w:lang w:val="en-US" w:eastAsia="zh-CN"/>
                    </w:rPr>
                    <w:t>2</w:t>
                  </w:r>
                </w:p>
              </w:tc>
              <w:tc>
                <w:tcPr>
                  <w:tcW w:w="550" w:type="pct"/>
                  <w:tcBorders>
                    <w:top w:val="single" w:color="auto" w:sz="4" w:space="0"/>
                    <w:left w:val="single" w:color="auto" w:sz="4" w:space="0"/>
                    <w:bottom w:val="single" w:color="auto" w:sz="4" w:space="0"/>
                    <w:right w:val="single" w:color="auto" w:sz="4" w:space="0"/>
                  </w:tcBorders>
                  <w:shd w:val="clear" w:color="auto" w:fill="auto"/>
                  <w:vAlign w:val="center"/>
                </w:tcPr>
                <w:p w14:paraId="4543026F">
                  <w:pPr>
                    <w:widowControl/>
                    <w:jc w:val="center"/>
                    <w:rPr>
                      <w:rFonts w:hint="default" w:ascii="Times New Roman" w:hAnsi="Times New Roman" w:eastAsia="宋体" w:cs="Times New Roman"/>
                      <w:bCs/>
                      <w:color w:val="000000" w:themeColor="text1"/>
                      <w:kern w:val="2"/>
                      <w:sz w:val="21"/>
                      <w:szCs w:val="24"/>
                      <w:lang w:val="en-US" w:eastAsia="zh-CN" w:bidi="ar-SA"/>
                      <w14:textFill>
                        <w14:solidFill>
                          <w14:schemeClr w14:val="tx1"/>
                        </w14:solidFill>
                      </w14:textFill>
                    </w:rPr>
                  </w:pPr>
                  <w:r>
                    <w:rPr>
                      <w:szCs w:val="21"/>
                    </w:rPr>
                    <w:t>1</w:t>
                  </w:r>
                  <w:r>
                    <w:rPr>
                      <w:rFonts w:hint="eastAsia"/>
                      <w:szCs w:val="21"/>
                      <w:lang w:val="en-US" w:eastAsia="zh-CN"/>
                    </w:rPr>
                    <w:t>72</w:t>
                  </w:r>
                </w:p>
              </w:tc>
              <w:tc>
                <w:tcPr>
                  <w:tcW w:w="541" w:type="pct"/>
                  <w:tcBorders>
                    <w:top w:val="single" w:color="auto" w:sz="4" w:space="0"/>
                    <w:left w:val="single" w:color="auto" w:sz="4" w:space="0"/>
                    <w:bottom w:val="single" w:color="auto" w:sz="4" w:space="0"/>
                    <w:right w:val="single" w:color="auto" w:sz="4" w:space="0"/>
                  </w:tcBorders>
                  <w:shd w:val="clear" w:color="auto" w:fill="auto"/>
                  <w:vAlign w:val="center"/>
                </w:tcPr>
                <w:p w14:paraId="36C12A53">
                  <w:pPr>
                    <w:widowControl/>
                    <w:jc w:val="center"/>
                    <w:rPr>
                      <w:rFonts w:ascii="Times New Roman" w:hAnsi="Times New Roman" w:eastAsia="宋体" w:cs="Times New Roman"/>
                      <w:bCs/>
                      <w:kern w:val="2"/>
                      <w:sz w:val="21"/>
                      <w:szCs w:val="24"/>
                      <w:lang w:val="en-US" w:eastAsia="zh-CN" w:bidi="ar-SA"/>
                    </w:rPr>
                  </w:pPr>
                  <w:r>
                    <w:rPr>
                      <w:szCs w:val="21"/>
                    </w:rPr>
                    <w:t>24</w:t>
                  </w:r>
                </w:p>
              </w:tc>
            </w:tr>
            <w:tr w14:paraId="7DF1B3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729" w:type="pct"/>
                  <w:vMerge w:val="continue"/>
                  <w:tcBorders>
                    <w:top w:val="single" w:color="auto" w:sz="4" w:space="0"/>
                    <w:left w:val="single" w:color="auto" w:sz="4" w:space="0"/>
                    <w:bottom w:val="single" w:color="auto" w:sz="4" w:space="0"/>
                    <w:right w:val="single" w:color="auto" w:sz="4" w:space="0"/>
                  </w:tcBorders>
                  <w:vAlign w:val="center"/>
                </w:tcPr>
                <w:p w14:paraId="2465BB21">
                  <w:pPr>
                    <w:widowControl/>
                    <w:jc w:val="center"/>
                    <w:rPr>
                      <w:kern w:val="0"/>
                      <w:szCs w:val="21"/>
                    </w:rPr>
                  </w:pPr>
                </w:p>
              </w:tc>
              <w:tc>
                <w:tcPr>
                  <w:tcW w:w="1014" w:type="pct"/>
                  <w:tcBorders>
                    <w:top w:val="single" w:color="auto" w:sz="4" w:space="0"/>
                    <w:left w:val="single" w:color="auto" w:sz="4" w:space="0"/>
                    <w:bottom w:val="single" w:color="auto" w:sz="4" w:space="0"/>
                    <w:right w:val="single" w:color="auto" w:sz="4" w:space="0"/>
                  </w:tcBorders>
                  <w:vAlign w:val="center"/>
                </w:tcPr>
                <w:p w14:paraId="6DC89A62">
                  <w:pPr>
                    <w:pStyle w:val="72"/>
                    <w:rPr>
                      <w:rFonts w:cs="Times New Roman"/>
                    </w:rPr>
                  </w:pPr>
                  <w:r>
                    <w:rPr>
                      <w:rFonts w:hint="eastAsia" w:cs="Times New Roman"/>
                    </w:rPr>
                    <w:t>标准值</w:t>
                  </w:r>
                  <w:r>
                    <w:rPr>
                      <w:rFonts w:cs="Times New Roman"/>
                    </w:rPr>
                    <w:t>/</w:t>
                  </w:r>
                  <w:r>
                    <w:rPr>
                      <w:rFonts w:hint="eastAsia" w:cs="Times New Roman"/>
                    </w:rPr>
                    <w:t>（</w:t>
                  </w:r>
                  <w:r>
                    <w:rPr>
                      <w:rFonts w:cs="Times New Roman"/>
                    </w:rPr>
                    <w:t>µg/m</w:t>
                  </w:r>
                  <w:r>
                    <w:rPr>
                      <w:rFonts w:cs="Times New Roman"/>
                      <w:vertAlign w:val="superscript"/>
                    </w:rPr>
                    <w:t>3</w:t>
                  </w:r>
                  <w:r>
                    <w:rPr>
                      <w:rFonts w:hint="eastAsia" w:cs="Times New Roman"/>
                    </w:rPr>
                    <w:t>）</w:t>
                  </w:r>
                </w:p>
              </w:tc>
              <w:tc>
                <w:tcPr>
                  <w:tcW w:w="541" w:type="pct"/>
                  <w:tcBorders>
                    <w:top w:val="single" w:color="auto" w:sz="4" w:space="0"/>
                    <w:left w:val="single" w:color="auto" w:sz="4" w:space="0"/>
                    <w:bottom w:val="single" w:color="auto" w:sz="4" w:space="0"/>
                    <w:right w:val="single" w:color="auto" w:sz="4" w:space="0"/>
                  </w:tcBorders>
                  <w:vAlign w:val="center"/>
                </w:tcPr>
                <w:p w14:paraId="43D780B0">
                  <w:pPr>
                    <w:pStyle w:val="72"/>
                    <w:rPr>
                      <w:rFonts w:cs="Times New Roman"/>
                    </w:rPr>
                  </w:pPr>
                  <w:r>
                    <w:rPr>
                      <w:rFonts w:cs="Times New Roman"/>
                    </w:rPr>
                    <w:t>35</w:t>
                  </w:r>
                </w:p>
              </w:tc>
              <w:tc>
                <w:tcPr>
                  <w:tcW w:w="541" w:type="pct"/>
                  <w:tcBorders>
                    <w:top w:val="single" w:color="auto" w:sz="4" w:space="0"/>
                    <w:left w:val="single" w:color="auto" w:sz="4" w:space="0"/>
                    <w:bottom w:val="single" w:color="auto" w:sz="4" w:space="0"/>
                    <w:right w:val="single" w:color="auto" w:sz="4" w:space="0"/>
                  </w:tcBorders>
                  <w:vAlign w:val="center"/>
                </w:tcPr>
                <w:p w14:paraId="3D70A6BF">
                  <w:pPr>
                    <w:pStyle w:val="72"/>
                    <w:rPr>
                      <w:rFonts w:cs="Times New Roman"/>
                    </w:rPr>
                  </w:pPr>
                  <w:r>
                    <w:rPr>
                      <w:rFonts w:cs="Times New Roman"/>
                    </w:rPr>
                    <w:t>70</w:t>
                  </w:r>
                </w:p>
              </w:tc>
              <w:tc>
                <w:tcPr>
                  <w:tcW w:w="541" w:type="pct"/>
                  <w:tcBorders>
                    <w:top w:val="single" w:color="auto" w:sz="4" w:space="0"/>
                    <w:left w:val="single" w:color="auto" w:sz="4" w:space="0"/>
                    <w:bottom w:val="single" w:color="auto" w:sz="4" w:space="0"/>
                    <w:right w:val="single" w:color="auto" w:sz="4" w:space="0"/>
                  </w:tcBorders>
                  <w:vAlign w:val="center"/>
                </w:tcPr>
                <w:p w14:paraId="25B9B9D1">
                  <w:pPr>
                    <w:pStyle w:val="72"/>
                    <w:rPr>
                      <w:rFonts w:cs="Times New Roman"/>
                    </w:rPr>
                  </w:pPr>
                  <w:r>
                    <w:rPr>
                      <w:rFonts w:cs="Times New Roman"/>
                    </w:rPr>
                    <w:t>60</w:t>
                  </w:r>
                </w:p>
              </w:tc>
              <w:tc>
                <w:tcPr>
                  <w:tcW w:w="541" w:type="pct"/>
                  <w:tcBorders>
                    <w:top w:val="single" w:color="auto" w:sz="4" w:space="0"/>
                    <w:left w:val="single" w:color="auto" w:sz="4" w:space="0"/>
                    <w:bottom w:val="single" w:color="auto" w:sz="4" w:space="0"/>
                    <w:right w:val="single" w:color="auto" w:sz="4" w:space="0"/>
                  </w:tcBorders>
                  <w:vAlign w:val="center"/>
                </w:tcPr>
                <w:p w14:paraId="611A44E4">
                  <w:pPr>
                    <w:pStyle w:val="72"/>
                    <w:rPr>
                      <w:rFonts w:cs="Times New Roman"/>
                    </w:rPr>
                  </w:pPr>
                  <w:r>
                    <w:rPr>
                      <w:rFonts w:cs="Times New Roman"/>
                    </w:rPr>
                    <w:t>4</w:t>
                  </w:r>
                </w:p>
              </w:tc>
              <w:tc>
                <w:tcPr>
                  <w:tcW w:w="550" w:type="pct"/>
                  <w:tcBorders>
                    <w:top w:val="single" w:color="auto" w:sz="4" w:space="0"/>
                    <w:left w:val="single" w:color="auto" w:sz="4" w:space="0"/>
                    <w:bottom w:val="single" w:color="auto" w:sz="4" w:space="0"/>
                    <w:right w:val="single" w:color="auto" w:sz="4" w:space="0"/>
                  </w:tcBorders>
                  <w:vAlign w:val="center"/>
                </w:tcPr>
                <w:p w14:paraId="47D1C0FC">
                  <w:pPr>
                    <w:pStyle w:val="72"/>
                    <w:rPr>
                      <w:rFonts w:cs="Times New Roman"/>
                    </w:rPr>
                  </w:pPr>
                  <w:r>
                    <w:rPr>
                      <w:rFonts w:cs="Times New Roman"/>
                    </w:rPr>
                    <w:t>160</w:t>
                  </w:r>
                </w:p>
              </w:tc>
              <w:tc>
                <w:tcPr>
                  <w:tcW w:w="541" w:type="pct"/>
                  <w:tcBorders>
                    <w:top w:val="single" w:color="auto" w:sz="4" w:space="0"/>
                    <w:left w:val="single" w:color="auto" w:sz="4" w:space="0"/>
                    <w:bottom w:val="single" w:color="auto" w:sz="4" w:space="0"/>
                    <w:right w:val="single" w:color="auto" w:sz="4" w:space="0"/>
                  </w:tcBorders>
                  <w:vAlign w:val="center"/>
                </w:tcPr>
                <w:p w14:paraId="54E55B70">
                  <w:pPr>
                    <w:pStyle w:val="72"/>
                    <w:rPr>
                      <w:rFonts w:cs="Times New Roman"/>
                    </w:rPr>
                  </w:pPr>
                  <w:r>
                    <w:rPr>
                      <w:rFonts w:cs="Times New Roman"/>
                    </w:rPr>
                    <w:t>40</w:t>
                  </w:r>
                </w:p>
              </w:tc>
            </w:tr>
            <w:tr w14:paraId="7EC8B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729" w:type="pct"/>
                  <w:vMerge w:val="continue"/>
                  <w:tcBorders>
                    <w:top w:val="single" w:color="auto" w:sz="4" w:space="0"/>
                    <w:left w:val="single" w:color="auto" w:sz="4" w:space="0"/>
                    <w:bottom w:val="single" w:color="auto" w:sz="4" w:space="0"/>
                    <w:right w:val="single" w:color="auto" w:sz="4" w:space="0"/>
                  </w:tcBorders>
                  <w:vAlign w:val="center"/>
                </w:tcPr>
                <w:p w14:paraId="3C933573">
                  <w:pPr>
                    <w:widowControl/>
                    <w:jc w:val="center"/>
                    <w:rPr>
                      <w:kern w:val="0"/>
                      <w:szCs w:val="21"/>
                    </w:rPr>
                  </w:pPr>
                </w:p>
              </w:tc>
              <w:tc>
                <w:tcPr>
                  <w:tcW w:w="1014" w:type="pct"/>
                  <w:tcBorders>
                    <w:top w:val="single" w:color="auto" w:sz="4" w:space="0"/>
                    <w:left w:val="single" w:color="auto" w:sz="4" w:space="0"/>
                    <w:bottom w:val="single" w:color="auto" w:sz="4" w:space="0"/>
                    <w:right w:val="single" w:color="auto" w:sz="4" w:space="0"/>
                  </w:tcBorders>
                  <w:vAlign w:val="center"/>
                </w:tcPr>
                <w:p w14:paraId="76764155">
                  <w:pPr>
                    <w:pStyle w:val="72"/>
                    <w:rPr>
                      <w:rFonts w:cs="Times New Roman"/>
                    </w:rPr>
                  </w:pPr>
                  <w:r>
                    <w:rPr>
                      <w:rFonts w:hint="eastAsia" w:cs="Times New Roman"/>
                    </w:rPr>
                    <w:t>占标率</w:t>
                  </w:r>
                </w:p>
              </w:tc>
              <w:tc>
                <w:tcPr>
                  <w:tcW w:w="541" w:type="pct"/>
                  <w:tcBorders>
                    <w:top w:val="single" w:color="auto" w:sz="4" w:space="0"/>
                    <w:left w:val="single" w:color="auto" w:sz="4" w:space="0"/>
                    <w:bottom w:val="single" w:color="auto" w:sz="4" w:space="0"/>
                    <w:right w:val="single" w:color="auto" w:sz="4" w:space="0"/>
                  </w:tcBorders>
                  <w:vAlign w:val="center"/>
                </w:tcPr>
                <w:p w14:paraId="31B561CD">
                  <w:pPr>
                    <w:pStyle w:val="72"/>
                    <w:rPr>
                      <w:rFonts w:cs="Times New Roman"/>
                    </w:rPr>
                  </w:pPr>
                  <w:r>
                    <w:rPr>
                      <w:rFonts w:cs="Times New Roman"/>
                    </w:rPr>
                    <w:t>71.4%</w:t>
                  </w:r>
                </w:p>
              </w:tc>
              <w:tc>
                <w:tcPr>
                  <w:tcW w:w="541" w:type="pct"/>
                  <w:tcBorders>
                    <w:top w:val="single" w:color="auto" w:sz="4" w:space="0"/>
                    <w:left w:val="single" w:color="auto" w:sz="4" w:space="0"/>
                    <w:bottom w:val="single" w:color="auto" w:sz="4" w:space="0"/>
                    <w:right w:val="single" w:color="auto" w:sz="4" w:space="0"/>
                  </w:tcBorders>
                  <w:vAlign w:val="center"/>
                </w:tcPr>
                <w:p w14:paraId="1675BC22">
                  <w:pPr>
                    <w:pStyle w:val="72"/>
                    <w:rPr>
                      <w:rFonts w:cs="Times New Roman"/>
                    </w:rPr>
                  </w:pPr>
                  <w:r>
                    <w:rPr>
                      <w:rFonts w:cs="Times New Roman"/>
                    </w:rPr>
                    <w:t>72.9%</w:t>
                  </w:r>
                </w:p>
              </w:tc>
              <w:tc>
                <w:tcPr>
                  <w:tcW w:w="541" w:type="pct"/>
                  <w:tcBorders>
                    <w:top w:val="single" w:color="auto" w:sz="4" w:space="0"/>
                    <w:left w:val="single" w:color="auto" w:sz="4" w:space="0"/>
                    <w:bottom w:val="single" w:color="auto" w:sz="4" w:space="0"/>
                    <w:right w:val="single" w:color="auto" w:sz="4" w:space="0"/>
                  </w:tcBorders>
                  <w:vAlign w:val="center"/>
                </w:tcPr>
                <w:p w14:paraId="3DBF22D8">
                  <w:pPr>
                    <w:pStyle w:val="72"/>
                    <w:rPr>
                      <w:rFonts w:cs="Times New Roman"/>
                    </w:rPr>
                  </w:pPr>
                  <w:r>
                    <w:rPr>
                      <w:rFonts w:cs="Times New Roman"/>
                    </w:rPr>
                    <w:t>25%</w:t>
                  </w:r>
                </w:p>
              </w:tc>
              <w:tc>
                <w:tcPr>
                  <w:tcW w:w="541" w:type="pct"/>
                  <w:tcBorders>
                    <w:top w:val="single" w:color="auto" w:sz="4" w:space="0"/>
                    <w:left w:val="single" w:color="auto" w:sz="4" w:space="0"/>
                    <w:bottom w:val="single" w:color="auto" w:sz="4" w:space="0"/>
                    <w:right w:val="single" w:color="auto" w:sz="4" w:space="0"/>
                  </w:tcBorders>
                  <w:vAlign w:val="center"/>
                </w:tcPr>
                <w:p w14:paraId="68A87EAD">
                  <w:pPr>
                    <w:pStyle w:val="72"/>
                    <w:rPr>
                      <w:rFonts w:cs="Times New Roman"/>
                    </w:rPr>
                  </w:pPr>
                  <w:r>
                    <w:rPr>
                      <w:rFonts w:cs="Times New Roman"/>
                    </w:rPr>
                    <w:t>40%</w:t>
                  </w:r>
                </w:p>
              </w:tc>
              <w:tc>
                <w:tcPr>
                  <w:tcW w:w="550" w:type="pct"/>
                  <w:tcBorders>
                    <w:top w:val="single" w:color="auto" w:sz="4" w:space="0"/>
                    <w:left w:val="single" w:color="auto" w:sz="4" w:space="0"/>
                    <w:bottom w:val="single" w:color="auto" w:sz="4" w:space="0"/>
                    <w:right w:val="single" w:color="auto" w:sz="4" w:space="0"/>
                  </w:tcBorders>
                  <w:vAlign w:val="center"/>
                </w:tcPr>
                <w:p w14:paraId="23109442">
                  <w:pPr>
                    <w:pStyle w:val="72"/>
                    <w:rPr>
                      <w:rFonts w:cs="Times New Roman"/>
                    </w:rPr>
                  </w:pPr>
                  <w:r>
                    <w:rPr>
                      <w:rFonts w:cs="Times New Roman"/>
                    </w:rPr>
                    <w:t>99.4%</w:t>
                  </w:r>
                </w:p>
              </w:tc>
              <w:tc>
                <w:tcPr>
                  <w:tcW w:w="541" w:type="pct"/>
                  <w:tcBorders>
                    <w:top w:val="single" w:color="auto" w:sz="4" w:space="0"/>
                    <w:left w:val="single" w:color="auto" w:sz="4" w:space="0"/>
                    <w:bottom w:val="single" w:color="auto" w:sz="4" w:space="0"/>
                    <w:right w:val="single" w:color="auto" w:sz="4" w:space="0"/>
                  </w:tcBorders>
                  <w:vAlign w:val="center"/>
                </w:tcPr>
                <w:p w14:paraId="4E14608C">
                  <w:pPr>
                    <w:pStyle w:val="72"/>
                    <w:rPr>
                      <w:rFonts w:cs="Times New Roman"/>
                    </w:rPr>
                  </w:pPr>
                  <w:r>
                    <w:rPr>
                      <w:rFonts w:cs="Times New Roman"/>
                    </w:rPr>
                    <w:t>60%</w:t>
                  </w:r>
                </w:p>
              </w:tc>
            </w:tr>
            <w:tr w14:paraId="5520A7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729" w:type="pct"/>
                  <w:vMerge w:val="continue"/>
                  <w:tcBorders>
                    <w:top w:val="single" w:color="auto" w:sz="4" w:space="0"/>
                    <w:left w:val="single" w:color="auto" w:sz="4" w:space="0"/>
                    <w:bottom w:val="single" w:color="auto" w:sz="4" w:space="0"/>
                    <w:right w:val="single" w:color="auto" w:sz="4" w:space="0"/>
                  </w:tcBorders>
                  <w:vAlign w:val="center"/>
                </w:tcPr>
                <w:p w14:paraId="75951F84">
                  <w:pPr>
                    <w:widowControl/>
                    <w:jc w:val="center"/>
                    <w:rPr>
                      <w:kern w:val="0"/>
                      <w:szCs w:val="21"/>
                    </w:rPr>
                  </w:pPr>
                </w:p>
              </w:tc>
              <w:tc>
                <w:tcPr>
                  <w:tcW w:w="1014" w:type="pct"/>
                  <w:tcBorders>
                    <w:top w:val="single" w:color="auto" w:sz="4" w:space="0"/>
                    <w:left w:val="single" w:color="auto" w:sz="4" w:space="0"/>
                    <w:bottom w:val="single" w:color="auto" w:sz="4" w:space="0"/>
                    <w:right w:val="single" w:color="auto" w:sz="4" w:space="0"/>
                  </w:tcBorders>
                  <w:vAlign w:val="center"/>
                </w:tcPr>
                <w:p w14:paraId="74E6F2BA">
                  <w:pPr>
                    <w:pStyle w:val="72"/>
                    <w:rPr>
                      <w:rFonts w:cs="Times New Roman"/>
                    </w:rPr>
                  </w:pPr>
                  <w:r>
                    <w:rPr>
                      <w:rFonts w:hint="eastAsia" w:cs="Times New Roman"/>
                    </w:rPr>
                    <w:t>达标情况</w:t>
                  </w:r>
                </w:p>
              </w:tc>
              <w:tc>
                <w:tcPr>
                  <w:tcW w:w="541" w:type="pct"/>
                  <w:tcBorders>
                    <w:top w:val="single" w:color="auto" w:sz="4" w:space="0"/>
                    <w:left w:val="single" w:color="auto" w:sz="4" w:space="0"/>
                    <w:bottom w:val="single" w:color="auto" w:sz="4" w:space="0"/>
                    <w:right w:val="single" w:color="auto" w:sz="4" w:space="0"/>
                  </w:tcBorders>
                  <w:vAlign w:val="center"/>
                </w:tcPr>
                <w:p w14:paraId="5AFAB970">
                  <w:pPr>
                    <w:pStyle w:val="72"/>
                    <w:rPr>
                      <w:rFonts w:cs="Times New Roman"/>
                    </w:rPr>
                  </w:pPr>
                  <w:r>
                    <w:rPr>
                      <w:rFonts w:hint="eastAsia" w:cs="Times New Roman"/>
                    </w:rPr>
                    <w:t>达标</w:t>
                  </w:r>
                </w:p>
              </w:tc>
              <w:tc>
                <w:tcPr>
                  <w:tcW w:w="541" w:type="pct"/>
                  <w:tcBorders>
                    <w:top w:val="single" w:color="auto" w:sz="4" w:space="0"/>
                    <w:left w:val="single" w:color="auto" w:sz="4" w:space="0"/>
                    <w:bottom w:val="single" w:color="auto" w:sz="4" w:space="0"/>
                    <w:right w:val="single" w:color="auto" w:sz="4" w:space="0"/>
                  </w:tcBorders>
                  <w:vAlign w:val="center"/>
                </w:tcPr>
                <w:p w14:paraId="5FA8DEDE">
                  <w:pPr>
                    <w:pStyle w:val="72"/>
                    <w:rPr>
                      <w:rFonts w:cs="Times New Roman"/>
                    </w:rPr>
                  </w:pPr>
                  <w:r>
                    <w:rPr>
                      <w:rFonts w:hint="eastAsia" w:cs="Times New Roman"/>
                    </w:rPr>
                    <w:t>达标</w:t>
                  </w:r>
                </w:p>
              </w:tc>
              <w:tc>
                <w:tcPr>
                  <w:tcW w:w="541" w:type="pct"/>
                  <w:tcBorders>
                    <w:top w:val="single" w:color="auto" w:sz="4" w:space="0"/>
                    <w:left w:val="single" w:color="auto" w:sz="4" w:space="0"/>
                    <w:bottom w:val="single" w:color="auto" w:sz="4" w:space="0"/>
                    <w:right w:val="single" w:color="auto" w:sz="4" w:space="0"/>
                  </w:tcBorders>
                  <w:vAlign w:val="center"/>
                </w:tcPr>
                <w:p w14:paraId="6C7ADB0A">
                  <w:pPr>
                    <w:pStyle w:val="72"/>
                    <w:rPr>
                      <w:rFonts w:cs="Times New Roman"/>
                    </w:rPr>
                  </w:pPr>
                  <w:r>
                    <w:rPr>
                      <w:rFonts w:hint="eastAsia" w:cs="Times New Roman"/>
                    </w:rPr>
                    <w:t>达标</w:t>
                  </w:r>
                </w:p>
              </w:tc>
              <w:tc>
                <w:tcPr>
                  <w:tcW w:w="541" w:type="pct"/>
                  <w:tcBorders>
                    <w:top w:val="single" w:color="auto" w:sz="4" w:space="0"/>
                    <w:left w:val="single" w:color="auto" w:sz="4" w:space="0"/>
                    <w:bottom w:val="single" w:color="auto" w:sz="4" w:space="0"/>
                    <w:right w:val="single" w:color="auto" w:sz="4" w:space="0"/>
                  </w:tcBorders>
                  <w:vAlign w:val="center"/>
                </w:tcPr>
                <w:p w14:paraId="4031FA28">
                  <w:pPr>
                    <w:pStyle w:val="72"/>
                    <w:rPr>
                      <w:rFonts w:cs="Times New Roman"/>
                    </w:rPr>
                  </w:pPr>
                  <w:r>
                    <w:rPr>
                      <w:rFonts w:hint="eastAsia" w:cs="Times New Roman"/>
                    </w:rPr>
                    <w:t>达标</w:t>
                  </w:r>
                </w:p>
              </w:tc>
              <w:tc>
                <w:tcPr>
                  <w:tcW w:w="550" w:type="pct"/>
                  <w:tcBorders>
                    <w:top w:val="single" w:color="auto" w:sz="4" w:space="0"/>
                    <w:left w:val="single" w:color="auto" w:sz="4" w:space="0"/>
                    <w:bottom w:val="single" w:color="auto" w:sz="4" w:space="0"/>
                    <w:right w:val="single" w:color="auto" w:sz="4" w:space="0"/>
                  </w:tcBorders>
                  <w:vAlign w:val="center"/>
                </w:tcPr>
                <w:p w14:paraId="58569D2F">
                  <w:pPr>
                    <w:pStyle w:val="72"/>
                    <w:rPr>
                      <w:rFonts w:cs="Times New Roman"/>
                    </w:rPr>
                  </w:pPr>
                  <w:r>
                    <w:rPr>
                      <w:rFonts w:hint="eastAsia" w:cs="Times New Roman"/>
                    </w:rPr>
                    <w:t>达标</w:t>
                  </w:r>
                </w:p>
              </w:tc>
              <w:tc>
                <w:tcPr>
                  <w:tcW w:w="541" w:type="pct"/>
                  <w:tcBorders>
                    <w:top w:val="single" w:color="auto" w:sz="4" w:space="0"/>
                    <w:left w:val="single" w:color="auto" w:sz="4" w:space="0"/>
                    <w:bottom w:val="single" w:color="auto" w:sz="4" w:space="0"/>
                    <w:right w:val="single" w:color="auto" w:sz="4" w:space="0"/>
                  </w:tcBorders>
                  <w:vAlign w:val="center"/>
                </w:tcPr>
                <w:p w14:paraId="0DD8E6F3">
                  <w:pPr>
                    <w:pStyle w:val="72"/>
                    <w:rPr>
                      <w:rFonts w:cs="Times New Roman"/>
                    </w:rPr>
                  </w:pPr>
                  <w:r>
                    <w:rPr>
                      <w:rFonts w:hint="eastAsia" w:cs="Times New Roman"/>
                    </w:rPr>
                    <w:t>达标</w:t>
                  </w:r>
                </w:p>
              </w:tc>
            </w:tr>
          </w:tbl>
          <w:p w14:paraId="1A6CC01E">
            <w:pPr>
              <w:spacing w:before="120" w:beforeLines="50" w:line="360" w:lineRule="auto"/>
              <w:ind w:firstLine="480" w:firstLineChars="200"/>
              <w:rPr>
                <w:sz w:val="24"/>
              </w:rPr>
            </w:pPr>
            <w:r>
              <w:rPr>
                <w:rFonts w:hint="eastAsia"/>
                <w:sz w:val="24"/>
              </w:rPr>
              <w:t>由上表可知，</w:t>
            </w:r>
            <w:r>
              <w:rPr>
                <w:sz w:val="24"/>
              </w:rPr>
              <w:t>2023</w:t>
            </w:r>
            <w:r>
              <w:rPr>
                <w:rFonts w:hint="eastAsia"/>
                <w:sz w:val="24"/>
              </w:rPr>
              <w:t>年</w:t>
            </w:r>
            <w:r>
              <w:rPr>
                <w:rFonts w:hint="eastAsia"/>
                <w:sz w:val="24"/>
                <w:lang w:val="en-US" w:eastAsia="zh-CN"/>
              </w:rPr>
              <w:t>宽城满族自治县</w:t>
            </w:r>
            <w:r>
              <w:rPr>
                <w:rFonts w:hint="eastAsia"/>
                <w:sz w:val="24"/>
              </w:rPr>
              <w:t>环境空气质量中，</w:t>
            </w:r>
            <w:r>
              <w:rPr>
                <w:sz w:val="24"/>
              </w:rPr>
              <w:t>PM</w:t>
            </w:r>
            <w:r>
              <w:rPr>
                <w:sz w:val="24"/>
                <w:vertAlign w:val="subscript"/>
              </w:rPr>
              <w:t>2.5</w:t>
            </w:r>
            <w:r>
              <w:rPr>
                <w:rFonts w:hint="eastAsia"/>
                <w:sz w:val="24"/>
              </w:rPr>
              <w:t>年平均值、</w:t>
            </w:r>
            <w:r>
              <w:rPr>
                <w:sz w:val="24"/>
              </w:rPr>
              <w:t>PM</w:t>
            </w:r>
            <w:r>
              <w:rPr>
                <w:sz w:val="24"/>
                <w:vertAlign w:val="subscript"/>
              </w:rPr>
              <w:t>10</w:t>
            </w:r>
            <w:r>
              <w:rPr>
                <w:rFonts w:hint="eastAsia"/>
                <w:sz w:val="24"/>
              </w:rPr>
              <w:t>年平均值、</w:t>
            </w:r>
            <w:r>
              <w:rPr>
                <w:sz w:val="24"/>
              </w:rPr>
              <w:t>SO</w:t>
            </w:r>
            <w:r>
              <w:rPr>
                <w:sz w:val="24"/>
                <w:vertAlign w:val="subscript"/>
              </w:rPr>
              <w:t>2</w:t>
            </w:r>
            <w:r>
              <w:rPr>
                <w:rFonts w:hint="eastAsia"/>
                <w:sz w:val="24"/>
              </w:rPr>
              <w:t>年平均值、</w:t>
            </w:r>
            <w:r>
              <w:rPr>
                <w:sz w:val="24"/>
              </w:rPr>
              <w:t>CO24</w:t>
            </w:r>
            <w:r>
              <w:rPr>
                <w:rFonts w:hint="eastAsia"/>
                <w:sz w:val="24"/>
              </w:rPr>
              <w:t>小时平均浓度第</w:t>
            </w:r>
            <w:r>
              <w:rPr>
                <w:sz w:val="24"/>
              </w:rPr>
              <w:t>95</w:t>
            </w:r>
            <w:r>
              <w:rPr>
                <w:rFonts w:hint="eastAsia"/>
                <w:sz w:val="24"/>
              </w:rPr>
              <w:t>百分位数、</w:t>
            </w:r>
            <w:r>
              <w:rPr>
                <w:sz w:val="24"/>
              </w:rPr>
              <w:t>NO</w:t>
            </w:r>
            <w:r>
              <w:rPr>
                <w:sz w:val="24"/>
                <w:vertAlign w:val="subscript"/>
              </w:rPr>
              <w:t>2</w:t>
            </w:r>
            <w:r>
              <w:rPr>
                <w:rFonts w:hint="eastAsia"/>
                <w:sz w:val="24"/>
              </w:rPr>
              <w:t>年平均值均满足《环境空气质量标准》（</w:t>
            </w:r>
            <w:r>
              <w:rPr>
                <w:sz w:val="24"/>
              </w:rPr>
              <w:t>GB3095-2012</w:t>
            </w:r>
            <w:r>
              <w:rPr>
                <w:rFonts w:hint="eastAsia"/>
                <w:sz w:val="24"/>
              </w:rPr>
              <w:t>）及其修改单的二级标准要求</w:t>
            </w:r>
            <w:r>
              <w:rPr>
                <w:rFonts w:hint="eastAsia"/>
                <w:sz w:val="24"/>
                <w:lang w:eastAsia="zh-CN"/>
              </w:rPr>
              <w:t>，</w:t>
            </w:r>
            <w:r>
              <w:rPr>
                <w:sz w:val="24"/>
              </w:rPr>
              <w:t>O</w:t>
            </w:r>
            <w:r>
              <w:rPr>
                <w:sz w:val="24"/>
                <w:vertAlign w:val="subscript"/>
              </w:rPr>
              <w:t>3</w:t>
            </w:r>
            <w:r>
              <w:rPr>
                <w:rFonts w:hint="eastAsia"/>
                <w:sz w:val="24"/>
              </w:rPr>
              <w:t>日最大</w:t>
            </w:r>
            <w:r>
              <w:rPr>
                <w:sz w:val="24"/>
              </w:rPr>
              <w:t>8</w:t>
            </w:r>
            <w:r>
              <w:rPr>
                <w:rFonts w:hint="eastAsia"/>
                <w:sz w:val="24"/>
              </w:rPr>
              <w:t>小时平均浓度第</w:t>
            </w:r>
            <w:r>
              <w:rPr>
                <w:sz w:val="24"/>
              </w:rPr>
              <w:t>90</w:t>
            </w:r>
            <w:r>
              <w:rPr>
                <w:rFonts w:hint="eastAsia"/>
                <w:sz w:val="24"/>
              </w:rPr>
              <w:t>百分位数</w:t>
            </w:r>
            <w:r>
              <w:rPr>
                <w:rFonts w:hint="eastAsia"/>
                <w:sz w:val="24"/>
                <w:lang w:val="en-US" w:eastAsia="zh-CN"/>
              </w:rPr>
              <w:t>超标</w:t>
            </w:r>
            <w:r>
              <w:rPr>
                <w:rFonts w:hint="eastAsia"/>
                <w:sz w:val="24"/>
              </w:rPr>
              <w:t>。因此，项目所在区域为</w:t>
            </w:r>
            <w:r>
              <w:rPr>
                <w:rFonts w:hint="eastAsia"/>
                <w:sz w:val="24"/>
                <w:lang w:val="en-US" w:eastAsia="zh-CN"/>
              </w:rPr>
              <w:t>不</w:t>
            </w:r>
            <w:r>
              <w:rPr>
                <w:rFonts w:hint="eastAsia"/>
                <w:sz w:val="24"/>
              </w:rPr>
              <w:t>达标区。</w:t>
            </w:r>
          </w:p>
          <w:p w14:paraId="14E2E29D">
            <w:pPr>
              <w:pStyle w:val="52"/>
              <w:numPr>
                <w:ilvl w:val="0"/>
                <w:numId w:val="0"/>
              </w:numPr>
              <w:ind w:firstLine="480" w:firstLineChars="200"/>
              <w:rPr>
                <w:sz w:val="24"/>
                <w:szCs w:val="24"/>
              </w:rPr>
            </w:pPr>
            <w:r>
              <w:rPr>
                <w:rFonts w:hint="eastAsia"/>
                <w:sz w:val="24"/>
              </w:rPr>
              <w:t>②大气污染物其他项目的环境空气质量现状达标情况</w:t>
            </w:r>
          </w:p>
          <w:p w14:paraId="5F97B818">
            <w:pPr>
              <w:pStyle w:val="52"/>
              <w:numPr>
                <w:ilvl w:val="0"/>
                <w:numId w:val="0"/>
              </w:numPr>
              <w:ind w:firstLine="480" w:firstLineChars="200"/>
              <w:rPr>
                <w:sz w:val="24"/>
                <w:szCs w:val="24"/>
              </w:rPr>
            </w:pPr>
            <w:r>
              <w:rPr>
                <w:rFonts w:hint="eastAsia"/>
                <w:kern w:val="2"/>
                <w:sz w:val="24"/>
                <w:szCs w:val="24"/>
              </w:rPr>
              <w:t>根据现状监测，项目所在区域非甲烷总烃满足《环境空气质量非甲烷总烃限值》（DB13/1577-2012）二级标准要求</w:t>
            </w:r>
            <w:r>
              <w:rPr>
                <w:rFonts w:hint="eastAsia"/>
                <w:sz w:val="24"/>
                <w:szCs w:val="24"/>
              </w:rPr>
              <w:t>。</w:t>
            </w:r>
          </w:p>
          <w:p w14:paraId="5A7E4E61">
            <w:pPr>
              <w:spacing w:line="360" w:lineRule="auto"/>
              <w:ind w:firstLine="482"/>
              <w:rPr>
                <w:b/>
                <w:sz w:val="24"/>
              </w:rPr>
            </w:pPr>
            <w:r>
              <w:rPr>
                <w:b/>
                <w:sz w:val="24"/>
              </w:rPr>
              <w:t>2．</w:t>
            </w:r>
            <w:r>
              <w:rPr>
                <w:rFonts w:hint="eastAsia"/>
                <w:b/>
                <w:sz w:val="24"/>
              </w:rPr>
              <w:t>地表水环境质量现状</w:t>
            </w:r>
          </w:p>
          <w:p w14:paraId="6652E983">
            <w:pPr>
              <w:pStyle w:val="52"/>
              <w:numPr>
                <w:ilvl w:val="0"/>
                <w:numId w:val="0"/>
              </w:numPr>
              <w:ind w:firstLine="480" w:firstLineChars="200"/>
              <w:rPr>
                <w:sz w:val="24"/>
                <w:szCs w:val="24"/>
                <w:highlight w:val="none"/>
              </w:rPr>
            </w:pPr>
            <w:r>
              <w:rPr>
                <w:rFonts w:hint="eastAsia"/>
                <w:sz w:val="24"/>
                <w:szCs w:val="24"/>
              </w:rPr>
              <w:t>项目西侧</w:t>
            </w:r>
            <w:r>
              <w:rPr>
                <w:rFonts w:hint="eastAsia"/>
                <w:sz w:val="24"/>
                <w:szCs w:val="24"/>
                <w:lang w:val="en-US" w:eastAsia="zh-CN"/>
              </w:rPr>
              <w:t>109</w:t>
            </w:r>
            <w:r>
              <w:rPr>
                <w:rFonts w:hint="eastAsia"/>
                <w:sz w:val="24"/>
                <w:szCs w:val="24"/>
              </w:rPr>
              <w:t>m</w:t>
            </w:r>
            <w:r>
              <w:rPr>
                <w:rFonts w:hint="eastAsia"/>
                <w:sz w:val="24"/>
                <w:szCs w:val="24"/>
                <w:highlight w:val="none"/>
              </w:rPr>
              <w:t>处</w:t>
            </w:r>
            <w:r>
              <w:rPr>
                <w:rFonts w:hint="eastAsia"/>
                <w:sz w:val="24"/>
                <w:szCs w:val="24"/>
                <w:highlight w:val="none"/>
                <w:lang w:val="en-US" w:eastAsia="zh-CN"/>
              </w:rPr>
              <w:t>为瀑河季节性支流，现状调查期间，河流内无水干枯状态</w:t>
            </w:r>
            <w:r>
              <w:rPr>
                <w:rFonts w:hint="eastAsia"/>
                <w:sz w:val="24"/>
                <w:szCs w:val="24"/>
                <w:highlight w:val="none"/>
              </w:rPr>
              <w:t>。</w:t>
            </w:r>
          </w:p>
          <w:p w14:paraId="490B243D">
            <w:pPr>
              <w:pStyle w:val="52"/>
              <w:numPr>
                <w:ilvl w:val="0"/>
                <w:numId w:val="0"/>
              </w:numPr>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按照《河北省水功能区划》（冀水资〔2017〕127号）的要求，瀑河属于Ⅲ类水体，执行《地表水环境质量标准》（GB3838-2002）Ⅲ类标准。</w:t>
            </w:r>
          </w:p>
          <w:p w14:paraId="34C375D0">
            <w:pPr>
              <w:pStyle w:val="52"/>
              <w:numPr>
                <w:ilvl w:val="0"/>
                <w:numId w:val="0"/>
              </w:numPr>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本次评价引用《2023年承德市生态环境状况公报》，2023年瀑河水质总体为优，与2022年持平。监测的2个断面中，党坝水质为</w:t>
            </w:r>
            <w:r>
              <w:rPr>
                <w:rFonts w:hint="eastAsia" w:cs="Times New Roman"/>
                <w:sz w:val="24"/>
                <w:szCs w:val="24"/>
                <w:lang w:eastAsia="zh-CN"/>
              </w:rPr>
              <w:t>Ⅱ类</w:t>
            </w:r>
            <w:r>
              <w:rPr>
                <w:rFonts w:hint="default" w:ascii="Times New Roman" w:hAnsi="Times New Roman" w:cs="Times New Roman"/>
                <w:sz w:val="24"/>
                <w:szCs w:val="24"/>
              </w:rPr>
              <w:t>，大桑园水质为I类。</w:t>
            </w:r>
          </w:p>
          <w:p w14:paraId="256F31E7">
            <w:pPr>
              <w:pStyle w:val="52"/>
              <w:numPr>
                <w:ilvl w:val="0"/>
                <w:numId w:val="0"/>
              </w:numPr>
              <w:ind w:firstLine="480" w:firstLineChars="200"/>
              <w:rPr>
                <w:sz w:val="24"/>
                <w:szCs w:val="24"/>
                <w:highlight w:val="green"/>
              </w:rPr>
            </w:pPr>
            <w:r>
              <w:rPr>
                <w:rFonts w:hint="eastAsia"/>
                <w:sz w:val="24"/>
                <w:szCs w:val="24"/>
              </w:rPr>
              <w:t>监测结果见下表。</w:t>
            </w:r>
          </w:p>
          <w:p w14:paraId="7EA09870">
            <w:pPr>
              <w:pStyle w:val="47"/>
              <w:numPr>
                <w:ilvl w:val="0"/>
                <w:numId w:val="7"/>
              </w:numPr>
              <w:spacing w:before="120" w:beforeLines="50" w:line="360" w:lineRule="auto"/>
              <w:rPr>
                <w:rFonts w:eastAsia="宋体"/>
                <w:b/>
              </w:rPr>
            </w:pPr>
            <w:r>
              <w:rPr>
                <w:rFonts w:hint="eastAsia" w:eastAsia="宋体"/>
                <w:b/>
              </w:rPr>
              <w:t>20</w:t>
            </w:r>
            <w:r>
              <w:rPr>
                <w:rFonts w:eastAsia="宋体"/>
                <w:b/>
              </w:rPr>
              <w:t>23</w:t>
            </w:r>
            <w:r>
              <w:rPr>
                <w:rFonts w:hint="eastAsia" w:eastAsia="宋体"/>
                <w:b/>
              </w:rPr>
              <w:t>年瀑河河流水质及断面水质状况表</w:t>
            </w:r>
          </w:p>
          <w:tbl>
            <w:tblPr>
              <w:tblStyle w:val="22"/>
              <w:tblW w:w="79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7"/>
              <w:gridCol w:w="1424"/>
              <w:gridCol w:w="992"/>
              <w:gridCol w:w="1004"/>
              <w:gridCol w:w="1013"/>
              <w:gridCol w:w="1013"/>
              <w:gridCol w:w="886"/>
              <w:gridCol w:w="910"/>
            </w:tblGrid>
            <w:tr w14:paraId="5CDE14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757" w:type="dxa"/>
                  <w:vMerge w:val="restart"/>
                  <w:vAlign w:val="center"/>
                </w:tcPr>
                <w:p w14:paraId="5926DDB4">
                  <w:pPr>
                    <w:jc w:val="center"/>
                    <w:rPr>
                      <w:b/>
                      <w:szCs w:val="21"/>
                    </w:rPr>
                  </w:pPr>
                  <w:r>
                    <w:rPr>
                      <w:b/>
                      <w:szCs w:val="21"/>
                    </w:rPr>
                    <w:t>河流</w:t>
                  </w:r>
                </w:p>
                <w:p w14:paraId="431415DC">
                  <w:pPr>
                    <w:jc w:val="center"/>
                    <w:rPr>
                      <w:b/>
                      <w:szCs w:val="21"/>
                    </w:rPr>
                  </w:pPr>
                  <w:r>
                    <w:rPr>
                      <w:b/>
                      <w:szCs w:val="21"/>
                    </w:rPr>
                    <w:t>名称</w:t>
                  </w:r>
                </w:p>
              </w:tc>
              <w:tc>
                <w:tcPr>
                  <w:tcW w:w="1424" w:type="dxa"/>
                  <w:vMerge w:val="restart"/>
                  <w:vAlign w:val="center"/>
                </w:tcPr>
                <w:p w14:paraId="74978018">
                  <w:pPr>
                    <w:jc w:val="center"/>
                    <w:rPr>
                      <w:b/>
                      <w:szCs w:val="21"/>
                    </w:rPr>
                  </w:pPr>
                  <w:r>
                    <w:rPr>
                      <w:b/>
                      <w:szCs w:val="21"/>
                    </w:rPr>
                    <w:t>断面名称</w:t>
                  </w:r>
                </w:p>
              </w:tc>
              <w:tc>
                <w:tcPr>
                  <w:tcW w:w="4022" w:type="dxa"/>
                  <w:gridSpan w:val="4"/>
                  <w:vAlign w:val="center"/>
                </w:tcPr>
                <w:p w14:paraId="731A1D7D">
                  <w:pPr>
                    <w:jc w:val="center"/>
                    <w:rPr>
                      <w:b/>
                      <w:szCs w:val="21"/>
                    </w:rPr>
                  </w:pPr>
                  <w:r>
                    <w:rPr>
                      <w:b/>
                      <w:szCs w:val="21"/>
                    </w:rPr>
                    <w:t>各监测断面水质情况</w:t>
                  </w:r>
                </w:p>
              </w:tc>
              <w:tc>
                <w:tcPr>
                  <w:tcW w:w="886" w:type="dxa"/>
                  <w:vMerge w:val="restart"/>
                  <w:vAlign w:val="center"/>
                </w:tcPr>
                <w:p w14:paraId="4BEA3F84">
                  <w:pPr>
                    <w:rPr>
                      <w:b/>
                      <w:szCs w:val="21"/>
                    </w:rPr>
                  </w:pPr>
                  <w:r>
                    <w:rPr>
                      <w:b/>
                      <w:szCs w:val="21"/>
                    </w:rPr>
                    <w:t>2022年河流水质情况</w:t>
                  </w:r>
                </w:p>
              </w:tc>
              <w:tc>
                <w:tcPr>
                  <w:tcW w:w="910" w:type="dxa"/>
                  <w:vMerge w:val="restart"/>
                  <w:vAlign w:val="center"/>
                </w:tcPr>
                <w:p w14:paraId="74939593">
                  <w:pPr>
                    <w:rPr>
                      <w:b/>
                      <w:szCs w:val="21"/>
                    </w:rPr>
                  </w:pPr>
                  <w:r>
                    <w:rPr>
                      <w:b/>
                      <w:szCs w:val="21"/>
                    </w:rPr>
                    <w:t>2023年河流水质情况</w:t>
                  </w:r>
                </w:p>
              </w:tc>
            </w:tr>
            <w:tr w14:paraId="03EDF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757" w:type="dxa"/>
                  <w:vMerge w:val="continue"/>
                  <w:vAlign w:val="center"/>
                </w:tcPr>
                <w:p w14:paraId="4EC356EB">
                  <w:pPr>
                    <w:jc w:val="center"/>
                    <w:rPr>
                      <w:szCs w:val="21"/>
                    </w:rPr>
                  </w:pPr>
                </w:p>
              </w:tc>
              <w:tc>
                <w:tcPr>
                  <w:tcW w:w="1424" w:type="dxa"/>
                  <w:vMerge w:val="continue"/>
                  <w:vAlign w:val="center"/>
                </w:tcPr>
                <w:p w14:paraId="36EA58BA">
                  <w:pPr>
                    <w:jc w:val="center"/>
                    <w:rPr>
                      <w:szCs w:val="21"/>
                    </w:rPr>
                  </w:pPr>
                </w:p>
              </w:tc>
              <w:tc>
                <w:tcPr>
                  <w:tcW w:w="992" w:type="dxa"/>
                  <w:vAlign w:val="center"/>
                </w:tcPr>
                <w:p w14:paraId="575AABDD">
                  <w:pPr>
                    <w:jc w:val="center"/>
                    <w:rPr>
                      <w:b/>
                      <w:szCs w:val="21"/>
                    </w:rPr>
                  </w:pPr>
                  <w:r>
                    <w:rPr>
                      <w:b/>
                      <w:szCs w:val="21"/>
                    </w:rPr>
                    <w:t>2022年</w:t>
                  </w:r>
                </w:p>
              </w:tc>
              <w:tc>
                <w:tcPr>
                  <w:tcW w:w="1004" w:type="dxa"/>
                  <w:vAlign w:val="center"/>
                </w:tcPr>
                <w:p w14:paraId="4C802463">
                  <w:pPr>
                    <w:jc w:val="center"/>
                    <w:rPr>
                      <w:b/>
                      <w:szCs w:val="21"/>
                    </w:rPr>
                  </w:pPr>
                  <w:r>
                    <w:rPr>
                      <w:b/>
                      <w:szCs w:val="21"/>
                    </w:rPr>
                    <w:t>2023年</w:t>
                  </w:r>
                </w:p>
              </w:tc>
              <w:tc>
                <w:tcPr>
                  <w:tcW w:w="1013" w:type="dxa"/>
                  <w:vAlign w:val="center"/>
                </w:tcPr>
                <w:p w14:paraId="6B00C167">
                  <w:pPr>
                    <w:jc w:val="center"/>
                    <w:rPr>
                      <w:b/>
                      <w:szCs w:val="21"/>
                    </w:rPr>
                  </w:pPr>
                  <w:r>
                    <w:rPr>
                      <w:b/>
                      <w:szCs w:val="21"/>
                    </w:rPr>
                    <w:t>水质达标情况</w:t>
                  </w:r>
                </w:p>
              </w:tc>
              <w:tc>
                <w:tcPr>
                  <w:tcW w:w="1013" w:type="dxa"/>
                  <w:vAlign w:val="center"/>
                </w:tcPr>
                <w:p w14:paraId="17088BA6">
                  <w:pPr>
                    <w:jc w:val="center"/>
                    <w:rPr>
                      <w:b/>
                      <w:szCs w:val="21"/>
                    </w:rPr>
                  </w:pPr>
                  <w:r>
                    <w:rPr>
                      <w:b/>
                      <w:szCs w:val="21"/>
                    </w:rPr>
                    <w:t>主要污染物</w:t>
                  </w:r>
                </w:p>
              </w:tc>
              <w:tc>
                <w:tcPr>
                  <w:tcW w:w="886" w:type="dxa"/>
                  <w:vMerge w:val="continue"/>
                  <w:vAlign w:val="center"/>
                </w:tcPr>
                <w:p w14:paraId="3DE22344">
                  <w:pPr>
                    <w:jc w:val="center"/>
                    <w:rPr>
                      <w:szCs w:val="21"/>
                    </w:rPr>
                  </w:pPr>
                </w:p>
              </w:tc>
              <w:tc>
                <w:tcPr>
                  <w:tcW w:w="910" w:type="dxa"/>
                  <w:vMerge w:val="continue"/>
                  <w:vAlign w:val="center"/>
                </w:tcPr>
                <w:p w14:paraId="276FB7E1">
                  <w:pPr>
                    <w:jc w:val="center"/>
                    <w:rPr>
                      <w:szCs w:val="21"/>
                    </w:rPr>
                  </w:pPr>
                </w:p>
              </w:tc>
            </w:tr>
            <w:tr w14:paraId="2B799B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757" w:type="dxa"/>
                  <w:vMerge w:val="restart"/>
                  <w:vAlign w:val="center"/>
                </w:tcPr>
                <w:p w14:paraId="5AB0C61D">
                  <w:pPr>
                    <w:jc w:val="center"/>
                    <w:rPr>
                      <w:szCs w:val="21"/>
                    </w:rPr>
                  </w:pPr>
                  <w:r>
                    <w:rPr>
                      <w:rFonts w:hint="eastAsia"/>
                      <w:szCs w:val="21"/>
                    </w:rPr>
                    <w:t>瀑河</w:t>
                  </w:r>
                </w:p>
              </w:tc>
              <w:tc>
                <w:tcPr>
                  <w:tcW w:w="1424" w:type="dxa"/>
                  <w:vAlign w:val="center"/>
                </w:tcPr>
                <w:p w14:paraId="4AAD3128">
                  <w:pPr>
                    <w:jc w:val="center"/>
                    <w:rPr>
                      <w:szCs w:val="21"/>
                    </w:rPr>
                  </w:pPr>
                  <w:r>
                    <w:rPr>
                      <w:rFonts w:hint="eastAsia"/>
                      <w:kern w:val="0"/>
                    </w:rPr>
                    <w:t>党坝</w:t>
                  </w:r>
                </w:p>
              </w:tc>
              <w:tc>
                <w:tcPr>
                  <w:tcW w:w="992" w:type="dxa"/>
                  <w:vAlign w:val="center"/>
                </w:tcPr>
                <w:p w14:paraId="7143B793">
                  <w:pPr>
                    <w:jc w:val="center"/>
                    <w:rPr>
                      <w:szCs w:val="21"/>
                    </w:rPr>
                  </w:pPr>
                  <w:r>
                    <w:rPr>
                      <w:kern w:val="0"/>
                    </w:rPr>
                    <w:t>II</w:t>
                  </w:r>
                </w:p>
              </w:tc>
              <w:tc>
                <w:tcPr>
                  <w:tcW w:w="1004" w:type="dxa"/>
                  <w:vAlign w:val="center"/>
                </w:tcPr>
                <w:p w14:paraId="4DE67FC2">
                  <w:pPr>
                    <w:jc w:val="center"/>
                    <w:rPr>
                      <w:szCs w:val="21"/>
                    </w:rPr>
                  </w:pPr>
                  <w:r>
                    <w:rPr>
                      <w:kern w:val="0"/>
                    </w:rPr>
                    <w:t>II</w:t>
                  </w:r>
                </w:p>
              </w:tc>
              <w:tc>
                <w:tcPr>
                  <w:tcW w:w="1013" w:type="dxa"/>
                  <w:vAlign w:val="center"/>
                </w:tcPr>
                <w:p w14:paraId="1EC00AF9">
                  <w:pPr>
                    <w:jc w:val="center"/>
                    <w:rPr>
                      <w:szCs w:val="21"/>
                    </w:rPr>
                  </w:pPr>
                  <w:r>
                    <w:rPr>
                      <w:rFonts w:hint="eastAsia"/>
                      <w:kern w:val="0"/>
                    </w:rPr>
                    <w:t>达标</w:t>
                  </w:r>
                </w:p>
              </w:tc>
              <w:tc>
                <w:tcPr>
                  <w:tcW w:w="1013" w:type="dxa"/>
                  <w:vAlign w:val="center"/>
                </w:tcPr>
                <w:p w14:paraId="4871AF99">
                  <w:pPr>
                    <w:jc w:val="center"/>
                    <w:rPr>
                      <w:szCs w:val="21"/>
                    </w:rPr>
                  </w:pPr>
                  <w:r>
                    <w:rPr>
                      <w:kern w:val="0"/>
                    </w:rPr>
                    <w:t>/</w:t>
                  </w:r>
                </w:p>
              </w:tc>
              <w:tc>
                <w:tcPr>
                  <w:tcW w:w="886" w:type="dxa"/>
                  <w:vMerge w:val="restart"/>
                  <w:vAlign w:val="center"/>
                </w:tcPr>
                <w:p w14:paraId="4C6A62D0">
                  <w:pPr>
                    <w:jc w:val="center"/>
                    <w:rPr>
                      <w:szCs w:val="21"/>
                    </w:rPr>
                  </w:pPr>
                  <w:r>
                    <w:rPr>
                      <w:rFonts w:hint="eastAsia"/>
                      <w:szCs w:val="21"/>
                    </w:rPr>
                    <w:t>良好</w:t>
                  </w:r>
                </w:p>
              </w:tc>
              <w:tc>
                <w:tcPr>
                  <w:tcW w:w="910" w:type="dxa"/>
                  <w:vMerge w:val="restart"/>
                  <w:vAlign w:val="center"/>
                </w:tcPr>
                <w:p w14:paraId="285DA46C">
                  <w:pPr>
                    <w:jc w:val="center"/>
                    <w:rPr>
                      <w:szCs w:val="21"/>
                    </w:rPr>
                  </w:pPr>
                  <w:r>
                    <w:rPr>
                      <w:szCs w:val="21"/>
                    </w:rPr>
                    <w:t>优</w:t>
                  </w:r>
                </w:p>
              </w:tc>
            </w:tr>
            <w:tr w14:paraId="35CD8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757" w:type="dxa"/>
                  <w:vMerge w:val="continue"/>
                  <w:vAlign w:val="center"/>
                </w:tcPr>
                <w:p w14:paraId="2D652389">
                  <w:pPr>
                    <w:jc w:val="center"/>
                    <w:rPr>
                      <w:szCs w:val="21"/>
                    </w:rPr>
                  </w:pPr>
                </w:p>
              </w:tc>
              <w:tc>
                <w:tcPr>
                  <w:tcW w:w="1424" w:type="dxa"/>
                  <w:vAlign w:val="center"/>
                </w:tcPr>
                <w:p w14:paraId="1C110967">
                  <w:pPr>
                    <w:jc w:val="center"/>
                    <w:rPr>
                      <w:szCs w:val="21"/>
                    </w:rPr>
                  </w:pPr>
                  <w:r>
                    <w:rPr>
                      <w:rFonts w:hint="eastAsia"/>
                      <w:kern w:val="0"/>
                    </w:rPr>
                    <w:t>大桑园</w:t>
                  </w:r>
                </w:p>
              </w:tc>
              <w:tc>
                <w:tcPr>
                  <w:tcW w:w="992" w:type="dxa"/>
                  <w:vAlign w:val="center"/>
                </w:tcPr>
                <w:p w14:paraId="54A26499">
                  <w:pPr>
                    <w:jc w:val="center"/>
                    <w:rPr>
                      <w:szCs w:val="21"/>
                    </w:rPr>
                  </w:pPr>
                  <w:r>
                    <w:rPr>
                      <w:kern w:val="0"/>
                    </w:rPr>
                    <w:t>II</w:t>
                  </w:r>
                </w:p>
              </w:tc>
              <w:tc>
                <w:tcPr>
                  <w:tcW w:w="1004" w:type="dxa"/>
                  <w:vAlign w:val="center"/>
                </w:tcPr>
                <w:p w14:paraId="74FA138D">
                  <w:pPr>
                    <w:jc w:val="center"/>
                    <w:rPr>
                      <w:szCs w:val="21"/>
                    </w:rPr>
                  </w:pPr>
                  <w:r>
                    <w:rPr>
                      <w:kern w:val="0"/>
                    </w:rPr>
                    <w:t>I</w:t>
                  </w:r>
                </w:p>
              </w:tc>
              <w:tc>
                <w:tcPr>
                  <w:tcW w:w="1013" w:type="dxa"/>
                  <w:vAlign w:val="center"/>
                </w:tcPr>
                <w:p w14:paraId="38CCFD7C">
                  <w:pPr>
                    <w:jc w:val="center"/>
                    <w:rPr>
                      <w:szCs w:val="21"/>
                    </w:rPr>
                  </w:pPr>
                  <w:r>
                    <w:rPr>
                      <w:rFonts w:hint="eastAsia"/>
                      <w:kern w:val="0"/>
                    </w:rPr>
                    <w:t>达标</w:t>
                  </w:r>
                </w:p>
              </w:tc>
              <w:tc>
                <w:tcPr>
                  <w:tcW w:w="1013" w:type="dxa"/>
                  <w:vAlign w:val="center"/>
                </w:tcPr>
                <w:p w14:paraId="2B25623A">
                  <w:pPr>
                    <w:jc w:val="center"/>
                    <w:rPr>
                      <w:szCs w:val="21"/>
                    </w:rPr>
                  </w:pPr>
                  <w:r>
                    <w:rPr>
                      <w:kern w:val="0"/>
                    </w:rPr>
                    <w:t>/</w:t>
                  </w:r>
                </w:p>
              </w:tc>
              <w:tc>
                <w:tcPr>
                  <w:tcW w:w="886" w:type="dxa"/>
                  <w:vMerge w:val="continue"/>
                  <w:vAlign w:val="center"/>
                </w:tcPr>
                <w:p w14:paraId="54361F4A">
                  <w:pPr>
                    <w:jc w:val="center"/>
                    <w:rPr>
                      <w:szCs w:val="21"/>
                    </w:rPr>
                  </w:pPr>
                </w:p>
              </w:tc>
              <w:tc>
                <w:tcPr>
                  <w:tcW w:w="910" w:type="dxa"/>
                  <w:vMerge w:val="continue"/>
                  <w:vAlign w:val="center"/>
                </w:tcPr>
                <w:p w14:paraId="3B5B3A04">
                  <w:pPr>
                    <w:jc w:val="center"/>
                    <w:rPr>
                      <w:szCs w:val="21"/>
                    </w:rPr>
                  </w:pPr>
                </w:p>
              </w:tc>
            </w:tr>
            <w:bookmarkEnd w:id="2"/>
          </w:tbl>
          <w:p w14:paraId="14F562BD">
            <w:pPr>
              <w:spacing w:before="120" w:beforeLines="50" w:line="360" w:lineRule="auto"/>
              <w:ind w:firstLine="482"/>
              <w:rPr>
                <w:b/>
                <w:sz w:val="24"/>
              </w:rPr>
            </w:pPr>
            <w:r>
              <w:rPr>
                <w:b/>
                <w:sz w:val="24"/>
              </w:rPr>
              <w:t>3．</w:t>
            </w:r>
            <w:r>
              <w:rPr>
                <w:rFonts w:hint="eastAsia"/>
                <w:b/>
                <w:sz w:val="24"/>
              </w:rPr>
              <w:t>声环境质量现状</w:t>
            </w:r>
          </w:p>
          <w:p w14:paraId="774BC26E">
            <w:pPr>
              <w:adjustRightInd w:val="0"/>
              <w:snapToGrid w:val="0"/>
              <w:spacing w:line="360" w:lineRule="auto"/>
              <w:ind w:firstLine="480"/>
              <w:rPr>
                <w:snapToGrid w:val="0"/>
                <w:kern w:val="0"/>
                <w:sz w:val="24"/>
              </w:rPr>
            </w:pPr>
            <w:r>
              <w:rPr>
                <w:rFonts w:hint="eastAsia"/>
                <w:snapToGrid w:val="0"/>
                <w:kern w:val="0"/>
                <w:sz w:val="24"/>
              </w:rPr>
              <w:t>根据现状调查，项目厂界外周边</w:t>
            </w:r>
            <w:r>
              <w:rPr>
                <w:snapToGrid w:val="0"/>
                <w:kern w:val="0"/>
                <w:sz w:val="24"/>
              </w:rPr>
              <w:t>50</w:t>
            </w:r>
            <w:r>
              <w:rPr>
                <w:rFonts w:hint="eastAsia"/>
                <w:snapToGrid w:val="0"/>
                <w:kern w:val="0"/>
                <w:sz w:val="24"/>
              </w:rPr>
              <w:t>米范围内不存在声环境保护目标。本次评价不进行声环境质量现状调查与评价。</w:t>
            </w:r>
          </w:p>
          <w:p w14:paraId="08E0A439">
            <w:pPr>
              <w:spacing w:line="360" w:lineRule="auto"/>
              <w:ind w:firstLine="482"/>
              <w:rPr>
                <w:b/>
                <w:sz w:val="24"/>
              </w:rPr>
            </w:pPr>
            <w:r>
              <w:rPr>
                <w:b/>
                <w:sz w:val="24"/>
              </w:rPr>
              <w:t>4．</w:t>
            </w:r>
            <w:r>
              <w:rPr>
                <w:rFonts w:hint="eastAsia"/>
                <w:b/>
                <w:sz w:val="24"/>
              </w:rPr>
              <w:t>生态环境现状</w:t>
            </w:r>
          </w:p>
          <w:p w14:paraId="2CF46D33">
            <w:pPr>
              <w:spacing w:line="360" w:lineRule="auto"/>
              <w:ind w:firstLine="480"/>
              <w:rPr>
                <w:sz w:val="24"/>
                <w:szCs w:val="24"/>
              </w:rPr>
            </w:pPr>
            <w:r>
              <w:rPr>
                <w:rFonts w:hint="eastAsia"/>
                <w:sz w:val="24"/>
              </w:rPr>
              <w:t>项目选址位于</w:t>
            </w:r>
            <w:r>
              <w:rPr>
                <w:rFonts w:hint="eastAsia"/>
                <w:sz w:val="24"/>
                <w:lang w:val="en-US" w:eastAsia="zh-CN"/>
              </w:rPr>
              <w:t>宽城满族自</w:t>
            </w:r>
            <w:r>
              <w:rPr>
                <w:rFonts w:hint="eastAsia"/>
                <w:sz w:val="24"/>
                <w:highlight w:val="none"/>
                <w:lang w:val="en-US" w:eastAsia="zh-CN"/>
              </w:rPr>
              <w:t>治县经济开发区</w:t>
            </w:r>
            <w:r>
              <w:rPr>
                <w:rFonts w:hint="eastAsia"/>
                <w:sz w:val="24"/>
              </w:rPr>
              <w:t>。项目在</w:t>
            </w:r>
            <w:r>
              <w:rPr>
                <w:rFonts w:hint="eastAsia"/>
                <w:sz w:val="24"/>
                <w:lang w:val="en-US" w:eastAsia="zh-CN"/>
              </w:rPr>
              <w:t>承德坤元环保科技有限公司厂房和场地进行建设</w:t>
            </w:r>
            <w:r>
              <w:rPr>
                <w:rFonts w:hint="eastAsia"/>
                <w:sz w:val="24"/>
              </w:rPr>
              <w:t>，不新增用地项目。项目位置用地性质为工业用地。根据现状调查，项目占地范围内不涉及重要物种及</w:t>
            </w:r>
            <w:r>
              <w:rPr>
                <w:sz w:val="24"/>
              </w:rPr>
              <w:t>重要生境</w:t>
            </w:r>
            <w:r>
              <w:rPr>
                <w:rFonts w:hint="eastAsia"/>
                <w:sz w:val="24"/>
              </w:rPr>
              <w:t>；也不涉及</w:t>
            </w:r>
            <w:r>
              <w:rPr>
                <w:sz w:val="24"/>
              </w:rPr>
              <w:t>国家公园、自然保护区、自然公园等自然保护地、世界自然遗产、生态保护红线等区域</w:t>
            </w:r>
            <w:r>
              <w:rPr>
                <w:rFonts w:hint="eastAsia"/>
                <w:sz w:val="24"/>
              </w:rPr>
              <w:t>。项目用地范围内无生态环境保护目标。</w:t>
            </w:r>
            <w:r>
              <w:rPr>
                <w:rFonts w:hint="eastAsia"/>
                <w:sz w:val="24"/>
                <w:szCs w:val="24"/>
              </w:rPr>
              <w:t>本次评价不进行生态环境现状调查与评价。</w:t>
            </w:r>
          </w:p>
          <w:p w14:paraId="06B4B94D">
            <w:pPr>
              <w:spacing w:line="360" w:lineRule="auto"/>
              <w:ind w:firstLine="482"/>
              <w:rPr>
                <w:b/>
                <w:sz w:val="24"/>
              </w:rPr>
            </w:pPr>
            <w:r>
              <w:rPr>
                <w:b/>
                <w:sz w:val="24"/>
              </w:rPr>
              <w:t>5．</w:t>
            </w:r>
            <w:r>
              <w:rPr>
                <w:rFonts w:hint="eastAsia"/>
                <w:b/>
                <w:sz w:val="24"/>
              </w:rPr>
              <w:t>电磁辐射</w:t>
            </w:r>
          </w:p>
          <w:p w14:paraId="150518C9">
            <w:pPr>
              <w:pStyle w:val="52"/>
              <w:numPr>
                <w:ilvl w:val="0"/>
                <w:numId w:val="0"/>
              </w:numPr>
              <w:ind w:firstLine="480" w:firstLineChars="200"/>
              <w:rPr>
                <w:sz w:val="24"/>
                <w:szCs w:val="24"/>
              </w:rPr>
            </w:pPr>
            <w:r>
              <w:rPr>
                <w:rFonts w:hint="eastAsia"/>
                <w:sz w:val="24"/>
                <w:szCs w:val="24"/>
              </w:rPr>
              <w:t>项目不涉及电磁辐射。</w:t>
            </w:r>
          </w:p>
          <w:p w14:paraId="48EC4590">
            <w:pPr>
              <w:numPr>
                <w:ilvl w:val="0"/>
                <w:numId w:val="8"/>
              </w:numPr>
              <w:spacing w:line="360" w:lineRule="auto"/>
              <w:ind w:firstLine="482"/>
              <w:rPr>
                <w:rFonts w:hint="eastAsia"/>
                <w:b/>
                <w:sz w:val="24"/>
              </w:rPr>
            </w:pPr>
            <w:r>
              <w:rPr>
                <w:rFonts w:hint="eastAsia"/>
                <w:b/>
                <w:sz w:val="24"/>
              </w:rPr>
              <w:t>地下水</w:t>
            </w:r>
          </w:p>
          <w:p w14:paraId="7C440F77">
            <w:pPr>
              <w:pStyle w:val="52"/>
              <w:numPr>
                <w:ilvl w:val="0"/>
                <w:numId w:val="0"/>
              </w:numPr>
              <w:ind w:firstLine="480" w:firstLineChars="200"/>
              <w:rPr>
                <w:rFonts w:hint="eastAsia" w:ascii="Times New Roman" w:hAnsi="Times New Roman" w:eastAsia="宋体" w:cs="Times New Roman"/>
                <w:sz w:val="24"/>
                <w:szCs w:val="24"/>
              </w:rPr>
            </w:pPr>
            <w:r>
              <w:rPr>
                <w:rFonts w:hint="eastAsia" w:ascii="Times New Roman" w:hAnsi="Times New Roman" w:eastAsia="宋体" w:cs="Times New Roman"/>
                <w:sz w:val="24"/>
                <w:szCs w:val="24"/>
              </w:rPr>
              <w:t>为了解项目区地下水环境质量现状，</w:t>
            </w:r>
            <w:r>
              <w:rPr>
                <w:rFonts w:hint="eastAsia"/>
                <w:bCs/>
                <w:sz w:val="24"/>
                <w:highlight w:val="none"/>
                <w:lang w:val="en-US" w:eastAsia="zh-CN"/>
              </w:rPr>
              <w:t>企业委托</w:t>
            </w:r>
            <w:r>
              <w:rPr>
                <w:rFonts w:hint="default" w:ascii="Times New Roman" w:hAnsi="Times New Roman" w:eastAsia="宋体" w:cs="Times New Roman"/>
                <w:bCs/>
                <w:sz w:val="24"/>
                <w:highlight w:val="none"/>
              </w:rPr>
              <w:t>承</w:t>
            </w:r>
            <w:r>
              <w:rPr>
                <w:rFonts w:hint="default" w:ascii="Times New Roman" w:hAnsi="Times New Roman" w:eastAsia="宋体" w:cs="Times New Roman"/>
                <w:bCs/>
                <w:sz w:val="24"/>
              </w:rPr>
              <w:t>德安特环境检测技术服务有限公司</w:t>
            </w:r>
            <w:r>
              <w:rPr>
                <w:rFonts w:hint="eastAsia" w:ascii="Times New Roman" w:hAnsi="Times New Roman" w:eastAsia="宋体" w:cs="Times New Roman"/>
                <w:bCs/>
                <w:sz w:val="24"/>
                <w:lang w:val="en-US" w:eastAsia="zh-CN"/>
              </w:rPr>
              <w:t>对区域地下水进行检测并出具检测报告，报告编号为：安特（检）字WT2024-768。</w:t>
            </w:r>
          </w:p>
          <w:p w14:paraId="7A65593D">
            <w:pPr>
              <w:spacing w:line="360" w:lineRule="auto"/>
              <w:ind w:firstLine="480" w:firstLineChars="200"/>
              <w:rPr>
                <w:rFonts w:ascii="Times New Roman" w:hAnsi="Times New Roman"/>
                <w:sz w:val="24"/>
                <w:szCs w:val="22"/>
              </w:rPr>
            </w:pPr>
            <w:r>
              <w:rPr>
                <w:rFonts w:ascii="Times New Roman" w:hAnsi="Times New Roman"/>
                <w:sz w:val="24"/>
                <w:szCs w:val="22"/>
              </w:rPr>
              <w:t>（1）监测点位</w:t>
            </w:r>
          </w:p>
          <w:p w14:paraId="02F36913">
            <w:pPr>
              <w:spacing w:line="360" w:lineRule="auto"/>
              <w:ind w:firstLine="480" w:firstLineChars="200"/>
              <w:rPr>
                <w:rFonts w:ascii="Times New Roman" w:hAnsi="Times New Roman"/>
                <w:bCs/>
                <w:sz w:val="24"/>
                <w:szCs w:val="20"/>
              </w:rPr>
            </w:pPr>
            <w:r>
              <w:rPr>
                <w:rFonts w:ascii="Times New Roman" w:hAnsi="Times New Roman"/>
                <w:sz w:val="24"/>
                <w:szCs w:val="20"/>
              </w:rPr>
              <w:t>本项目设置</w:t>
            </w:r>
            <w:r>
              <w:rPr>
                <w:rFonts w:hint="eastAsia" w:ascii="Times New Roman" w:hAnsi="Times New Roman"/>
                <w:sz w:val="24"/>
                <w:szCs w:val="20"/>
                <w:lang w:val="en-US" w:eastAsia="zh-CN"/>
              </w:rPr>
              <w:t>1</w:t>
            </w:r>
            <w:r>
              <w:rPr>
                <w:rFonts w:ascii="Times New Roman" w:hAnsi="Times New Roman"/>
                <w:sz w:val="24"/>
                <w:szCs w:val="20"/>
              </w:rPr>
              <w:t>个地下水水质监测点位</w:t>
            </w:r>
            <w:r>
              <w:rPr>
                <w:rFonts w:ascii="Times New Roman" w:hAnsi="Times New Roman"/>
                <w:bCs/>
                <w:sz w:val="24"/>
                <w:szCs w:val="20"/>
              </w:rPr>
              <w:t>：</w:t>
            </w:r>
          </w:p>
          <w:p w14:paraId="283F1023">
            <w:pPr>
              <w:spacing w:line="520" w:lineRule="exact"/>
              <w:ind w:firstLine="480" w:firstLineChars="200"/>
              <w:rPr>
                <w:rFonts w:ascii="Times New Roman" w:hAnsi="Times New Roman"/>
                <w:sz w:val="24"/>
              </w:rPr>
            </w:pPr>
            <w:r>
              <w:rPr>
                <w:rFonts w:ascii="Times New Roman" w:hAnsi="Times New Roman"/>
                <w:sz w:val="24"/>
              </w:rPr>
              <w:t>D</w:t>
            </w:r>
            <w:r>
              <w:rPr>
                <w:rFonts w:hint="eastAsia" w:ascii="Times New Roman" w:hAnsi="Times New Roman"/>
                <w:sz w:val="24"/>
              </w:rPr>
              <w:t>XS</w:t>
            </w:r>
            <w:r>
              <w:rPr>
                <w:rFonts w:ascii="Times New Roman" w:hAnsi="Times New Roman"/>
                <w:sz w:val="24"/>
              </w:rPr>
              <w:t>1#——项目</w:t>
            </w:r>
            <w:r>
              <w:rPr>
                <w:rFonts w:hint="eastAsia" w:ascii="Times New Roman" w:hAnsi="Times New Roman"/>
                <w:sz w:val="24"/>
              </w:rPr>
              <w:t>选址</w:t>
            </w:r>
            <w:r>
              <w:rPr>
                <w:rFonts w:hint="eastAsia" w:ascii="Times New Roman" w:hAnsi="Times New Roman"/>
                <w:sz w:val="24"/>
                <w:lang w:val="en-US" w:eastAsia="zh-CN"/>
              </w:rPr>
              <w:t>下游</w:t>
            </w:r>
            <w:r>
              <w:rPr>
                <w:rFonts w:hint="eastAsia" w:ascii="Times New Roman" w:hAnsi="Times New Roman"/>
                <w:sz w:val="24"/>
              </w:rPr>
              <w:t>水井</w:t>
            </w:r>
            <w:r>
              <w:rPr>
                <w:rFonts w:ascii="Times New Roman" w:hAnsi="Times New Roman"/>
                <w:sz w:val="24"/>
              </w:rPr>
              <w:t>；</w:t>
            </w:r>
          </w:p>
          <w:p w14:paraId="2BC7C889">
            <w:pPr>
              <w:spacing w:before="156" w:beforeLines="50" w:line="360" w:lineRule="auto"/>
              <w:ind w:firstLine="240" w:firstLineChars="100"/>
              <w:rPr>
                <w:rFonts w:ascii="Times New Roman" w:hAnsi="Times New Roman"/>
                <w:sz w:val="24"/>
              </w:rPr>
            </w:pPr>
            <w:r>
              <w:rPr>
                <w:rFonts w:ascii="Times New Roman" w:hAnsi="Times New Roman"/>
                <w:sz w:val="24"/>
              </w:rPr>
              <w:t>（2）监测因子</w:t>
            </w:r>
          </w:p>
          <w:p w14:paraId="18BA4294">
            <w:pPr>
              <w:spacing w:line="360" w:lineRule="auto"/>
              <w:ind w:firstLine="480" w:firstLineChars="200"/>
              <w:jc w:val="left"/>
              <w:rPr>
                <w:rFonts w:ascii="Times New Roman" w:hAnsi="Times New Roman"/>
                <w:sz w:val="24"/>
                <w:szCs w:val="20"/>
              </w:rPr>
            </w:pPr>
            <w:r>
              <w:rPr>
                <w:rFonts w:ascii="Times New Roman" w:hAnsi="Times New Roman"/>
                <w:sz w:val="24"/>
                <w:szCs w:val="20"/>
              </w:rPr>
              <w:t>①K</w:t>
            </w:r>
            <w:r>
              <w:rPr>
                <w:rFonts w:ascii="Times New Roman" w:hAnsi="Times New Roman"/>
                <w:sz w:val="24"/>
                <w:szCs w:val="20"/>
                <w:vertAlign w:val="superscript"/>
              </w:rPr>
              <w:t>+</w:t>
            </w:r>
            <w:r>
              <w:rPr>
                <w:rFonts w:ascii="Times New Roman" w:hAnsi="Times New Roman"/>
                <w:sz w:val="24"/>
                <w:szCs w:val="20"/>
              </w:rPr>
              <w:t>、Na</w:t>
            </w:r>
            <w:r>
              <w:rPr>
                <w:rFonts w:ascii="Times New Roman" w:hAnsi="Times New Roman"/>
                <w:sz w:val="24"/>
                <w:szCs w:val="20"/>
                <w:vertAlign w:val="superscript"/>
              </w:rPr>
              <w:t>+</w:t>
            </w:r>
            <w:r>
              <w:rPr>
                <w:rFonts w:ascii="Times New Roman" w:hAnsi="Times New Roman"/>
                <w:sz w:val="24"/>
                <w:szCs w:val="20"/>
              </w:rPr>
              <w:t>、Ca</w:t>
            </w:r>
            <w:r>
              <w:rPr>
                <w:rFonts w:ascii="Times New Roman" w:hAnsi="Times New Roman"/>
                <w:sz w:val="24"/>
                <w:szCs w:val="20"/>
                <w:vertAlign w:val="superscript"/>
              </w:rPr>
              <w:t>2+</w:t>
            </w:r>
            <w:r>
              <w:rPr>
                <w:rFonts w:ascii="Times New Roman" w:hAnsi="Times New Roman"/>
                <w:sz w:val="24"/>
                <w:szCs w:val="20"/>
              </w:rPr>
              <w:t>、Mg</w:t>
            </w:r>
            <w:r>
              <w:rPr>
                <w:rFonts w:ascii="Times New Roman" w:hAnsi="Times New Roman"/>
                <w:sz w:val="24"/>
                <w:szCs w:val="20"/>
                <w:vertAlign w:val="superscript"/>
              </w:rPr>
              <w:t>2+</w:t>
            </w:r>
            <w:r>
              <w:rPr>
                <w:rFonts w:ascii="Times New Roman" w:hAnsi="Times New Roman"/>
                <w:sz w:val="24"/>
                <w:szCs w:val="20"/>
              </w:rPr>
              <w:t>、CO</w:t>
            </w:r>
            <w:r>
              <w:rPr>
                <w:rFonts w:ascii="Times New Roman" w:hAnsi="Times New Roman"/>
                <w:sz w:val="24"/>
                <w:szCs w:val="20"/>
                <w:vertAlign w:val="subscript"/>
              </w:rPr>
              <w:t>3</w:t>
            </w:r>
            <w:r>
              <w:rPr>
                <w:rFonts w:ascii="Times New Roman" w:hAnsi="Times New Roman"/>
                <w:sz w:val="24"/>
                <w:szCs w:val="20"/>
                <w:vertAlign w:val="superscript"/>
              </w:rPr>
              <w:t>2-</w:t>
            </w:r>
            <w:r>
              <w:rPr>
                <w:rFonts w:ascii="Times New Roman" w:hAnsi="Times New Roman"/>
                <w:sz w:val="24"/>
                <w:szCs w:val="20"/>
              </w:rPr>
              <w:t>、HCO</w:t>
            </w:r>
            <w:r>
              <w:rPr>
                <w:rFonts w:ascii="Times New Roman" w:hAnsi="Times New Roman"/>
                <w:sz w:val="24"/>
                <w:szCs w:val="20"/>
                <w:vertAlign w:val="subscript"/>
              </w:rPr>
              <w:t>3</w:t>
            </w:r>
            <w:r>
              <w:rPr>
                <w:rFonts w:ascii="Times New Roman" w:hAnsi="Times New Roman"/>
                <w:sz w:val="24"/>
                <w:szCs w:val="20"/>
                <w:vertAlign w:val="superscript"/>
              </w:rPr>
              <w:t>-</w:t>
            </w:r>
            <w:r>
              <w:rPr>
                <w:rFonts w:ascii="Times New Roman" w:hAnsi="Times New Roman"/>
                <w:sz w:val="24"/>
                <w:szCs w:val="20"/>
              </w:rPr>
              <w:t>、Cl</w:t>
            </w:r>
            <w:r>
              <w:rPr>
                <w:rFonts w:ascii="Times New Roman" w:hAnsi="Times New Roman"/>
                <w:sz w:val="24"/>
                <w:szCs w:val="20"/>
                <w:vertAlign w:val="superscript"/>
              </w:rPr>
              <w:t>-</w:t>
            </w:r>
            <w:r>
              <w:rPr>
                <w:rFonts w:ascii="Times New Roman" w:hAnsi="Times New Roman"/>
                <w:sz w:val="24"/>
                <w:szCs w:val="20"/>
              </w:rPr>
              <w:t>、SO</w:t>
            </w:r>
            <w:r>
              <w:rPr>
                <w:rFonts w:ascii="Times New Roman" w:hAnsi="Times New Roman"/>
                <w:sz w:val="24"/>
                <w:szCs w:val="20"/>
                <w:vertAlign w:val="subscript"/>
              </w:rPr>
              <w:t>4</w:t>
            </w:r>
            <w:r>
              <w:rPr>
                <w:rFonts w:ascii="Times New Roman" w:hAnsi="Times New Roman"/>
                <w:sz w:val="24"/>
                <w:szCs w:val="20"/>
                <w:vertAlign w:val="superscript"/>
              </w:rPr>
              <w:t>2-</w:t>
            </w:r>
            <w:r>
              <w:rPr>
                <w:rFonts w:ascii="Times New Roman" w:hAnsi="Times New Roman"/>
                <w:sz w:val="24"/>
                <w:szCs w:val="20"/>
              </w:rPr>
              <w:t>的浓度。</w:t>
            </w:r>
          </w:p>
          <w:p w14:paraId="2A404B81">
            <w:pPr>
              <w:spacing w:line="360" w:lineRule="auto"/>
              <w:ind w:firstLine="480" w:firstLineChars="200"/>
              <w:jc w:val="left"/>
              <w:rPr>
                <w:rFonts w:ascii="Times New Roman" w:hAnsi="Times New Roman"/>
                <w:szCs w:val="20"/>
              </w:rPr>
            </w:pPr>
            <w:r>
              <w:rPr>
                <w:rFonts w:ascii="Times New Roman" w:hAnsi="Times New Roman"/>
                <w:sz w:val="24"/>
                <w:szCs w:val="20"/>
              </w:rPr>
              <w:t>②</w:t>
            </w:r>
            <w:r>
              <w:rPr>
                <w:rFonts w:ascii="Times New Roman" w:hAnsi="Times New Roman"/>
                <w:bCs/>
                <w:sz w:val="24"/>
                <w:szCs w:val="20"/>
              </w:rPr>
              <w:t>色（铂钴色度单位）、嗅和味、浑浊度/NTU</w:t>
            </w:r>
            <w:r>
              <w:rPr>
                <w:rFonts w:ascii="Times New Roman" w:hAnsi="Times New Roman"/>
                <w:bCs/>
                <w:sz w:val="24"/>
                <w:szCs w:val="20"/>
                <w:vertAlign w:val="superscript"/>
              </w:rPr>
              <w:t>a</w:t>
            </w:r>
            <w:r>
              <w:rPr>
                <w:rFonts w:ascii="Times New Roman" w:hAnsi="Times New Roman"/>
                <w:bCs/>
                <w:sz w:val="24"/>
                <w:szCs w:val="20"/>
              </w:rPr>
              <w:t>、肉眼可见物、pH、总硬度（以CaCO</w:t>
            </w:r>
            <w:r>
              <w:rPr>
                <w:rFonts w:ascii="Times New Roman" w:hAnsi="Times New Roman"/>
                <w:bCs/>
                <w:sz w:val="24"/>
                <w:szCs w:val="20"/>
                <w:vertAlign w:val="subscript"/>
              </w:rPr>
              <w:t>3</w:t>
            </w:r>
            <w:r>
              <w:rPr>
                <w:rFonts w:ascii="Times New Roman" w:hAnsi="Times New Roman"/>
                <w:bCs/>
                <w:sz w:val="24"/>
                <w:szCs w:val="20"/>
              </w:rPr>
              <w:t>计）、溶解性总固体、</w:t>
            </w:r>
            <w:r>
              <w:rPr>
                <w:rFonts w:ascii="Times New Roman" w:hAnsi="Times New Roman"/>
                <w:bCs/>
                <w:snapToGrid w:val="0"/>
                <w:kern w:val="0"/>
                <w:sz w:val="24"/>
                <w:szCs w:val="20"/>
              </w:rPr>
              <w:t>硫酸盐、</w:t>
            </w:r>
            <w:r>
              <w:rPr>
                <w:rFonts w:ascii="Times New Roman" w:hAnsi="Times New Roman"/>
                <w:bCs/>
                <w:sz w:val="24"/>
                <w:szCs w:val="20"/>
              </w:rPr>
              <w:t>氯化物、</w:t>
            </w:r>
            <w:r>
              <w:rPr>
                <w:rFonts w:ascii="Times New Roman" w:hAnsi="Times New Roman"/>
                <w:bCs/>
                <w:spacing w:val="-8"/>
                <w:sz w:val="24"/>
                <w:szCs w:val="20"/>
              </w:rPr>
              <w:t>铁、锰、</w:t>
            </w:r>
            <w:r>
              <w:rPr>
                <w:rFonts w:ascii="Times New Roman" w:hAnsi="Times New Roman"/>
                <w:bCs/>
                <w:sz w:val="24"/>
                <w:szCs w:val="20"/>
              </w:rPr>
              <w:t>铜、锌、铝、</w:t>
            </w:r>
            <w:r>
              <w:rPr>
                <w:rFonts w:ascii="Times New Roman" w:hAnsi="Times New Roman"/>
                <w:bCs/>
                <w:spacing w:val="-8"/>
                <w:sz w:val="24"/>
                <w:szCs w:val="20"/>
              </w:rPr>
              <w:t>挥发性酚类（以苯酚计）、</w:t>
            </w:r>
            <w:r>
              <w:rPr>
                <w:rFonts w:ascii="Times New Roman" w:hAnsi="Times New Roman"/>
                <w:bCs/>
                <w:sz w:val="24"/>
                <w:szCs w:val="20"/>
              </w:rPr>
              <w:t>阴离子表面活性剂、耗氧量</w:t>
            </w:r>
            <w:r>
              <w:rPr>
                <w:rFonts w:ascii="Times New Roman" w:hAnsi="Times New Roman"/>
                <w:bCs/>
                <w:sz w:val="24"/>
              </w:rPr>
              <w:t>（COD</w:t>
            </w:r>
            <w:r>
              <w:rPr>
                <w:rFonts w:ascii="Times New Roman" w:hAnsi="Times New Roman"/>
                <w:bCs/>
                <w:sz w:val="24"/>
                <w:vertAlign w:val="subscript"/>
              </w:rPr>
              <w:t>Mn</w:t>
            </w:r>
            <w:r>
              <w:rPr>
                <w:rFonts w:ascii="Times New Roman" w:hAnsi="Times New Roman"/>
                <w:bCs/>
                <w:sz w:val="24"/>
              </w:rPr>
              <w:t>法，以O</w:t>
            </w:r>
            <w:r>
              <w:rPr>
                <w:rFonts w:ascii="Times New Roman" w:hAnsi="Times New Roman"/>
                <w:bCs/>
                <w:sz w:val="24"/>
                <w:vertAlign w:val="subscript"/>
              </w:rPr>
              <w:t>2</w:t>
            </w:r>
            <w:r>
              <w:rPr>
                <w:rFonts w:ascii="Times New Roman" w:hAnsi="Times New Roman"/>
                <w:bCs/>
                <w:sz w:val="24"/>
              </w:rPr>
              <w:t>计）</w:t>
            </w:r>
            <w:r>
              <w:rPr>
                <w:rFonts w:ascii="Times New Roman" w:hAnsi="Times New Roman"/>
                <w:bCs/>
                <w:sz w:val="24"/>
                <w:szCs w:val="20"/>
              </w:rPr>
              <w:t>、氨氮、硫化物、钠、</w:t>
            </w:r>
            <w:r>
              <w:rPr>
                <w:rFonts w:ascii="Times New Roman" w:hAnsi="Times New Roman"/>
                <w:bCs/>
                <w:snapToGrid w:val="0"/>
                <w:kern w:val="0"/>
                <w:sz w:val="24"/>
                <w:szCs w:val="20"/>
              </w:rPr>
              <w:t>总大肠菌群</w:t>
            </w:r>
            <w:r>
              <w:rPr>
                <w:rFonts w:ascii="Times New Roman" w:hAnsi="Times New Roman"/>
                <w:bCs/>
                <w:spacing w:val="-8"/>
                <w:sz w:val="24"/>
                <w:szCs w:val="20"/>
              </w:rPr>
              <w:t>数</w:t>
            </w:r>
            <w:r>
              <w:rPr>
                <w:rFonts w:ascii="Times New Roman" w:hAnsi="Times New Roman"/>
                <w:bCs/>
                <w:sz w:val="24"/>
                <w:szCs w:val="20"/>
              </w:rPr>
              <w:t>、菌落总数</w:t>
            </w:r>
            <w:r>
              <w:rPr>
                <w:rFonts w:ascii="Times New Roman" w:hAnsi="Times New Roman"/>
                <w:bCs/>
                <w:snapToGrid w:val="0"/>
                <w:kern w:val="0"/>
                <w:sz w:val="24"/>
                <w:szCs w:val="20"/>
              </w:rPr>
              <w:t>、</w:t>
            </w:r>
            <w:r>
              <w:rPr>
                <w:rFonts w:ascii="Times New Roman" w:hAnsi="Times New Roman"/>
                <w:bCs/>
                <w:sz w:val="24"/>
                <w:szCs w:val="20"/>
              </w:rPr>
              <w:t>亚硝酸盐</w:t>
            </w:r>
            <w:r>
              <w:rPr>
                <w:rFonts w:hint="eastAsia"/>
                <w:bCs/>
                <w:sz w:val="24"/>
                <w:szCs w:val="20"/>
                <w:lang w:eastAsia="zh-CN"/>
              </w:rPr>
              <w:t>（</w:t>
            </w:r>
            <w:r>
              <w:rPr>
                <w:rFonts w:ascii="Times New Roman" w:hAnsi="Times New Roman"/>
                <w:bCs/>
                <w:sz w:val="24"/>
                <w:szCs w:val="20"/>
              </w:rPr>
              <w:t>以N计</w:t>
            </w:r>
            <w:r>
              <w:rPr>
                <w:rFonts w:hint="eastAsia"/>
                <w:bCs/>
                <w:sz w:val="24"/>
                <w:szCs w:val="20"/>
                <w:lang w:eastAsia="zh-CN"/>
              </w:rPr>
              <w:t>）</w:t>
            </w:r>
            <w:r>
              <w:rPr>
                <w:rFonts w:ascii="Times New Roman" w:hAnsi="Times New Roman"/>
                <w:bCs/>
                <w:snapToGrid w:val="0"/>
                <w:kern w:val="0"/>
                <w:sz w:val="24"/>
                <w:szCs w:val="20"/>
              </w:rPr>
              <w:t>、</w:t>
            </w:r>
            <w:r>
              <w:rPr>
                <w:rFonts w:ascii="Times New Roman" w:hAnsi="Times New Roman"/>
                <w:bCs/>
                <w:sz w:val="24"/>
                <w:szCs w:val="20"/>
              </w:rPr>
              <w:t>硝酸盐</w:t>
            </w:r>
            <w:r>
              <w:rPr>
                <w:rFonts w:hint="eastAsia"/>
                <w:bCs/>
                <w:sz w:val="24"/>
                <w:szCs w:val="20"/>
                <w:lang w:eastAsia="zh-CN"/>
              </w:rPr>
              <w:t>（</w:t>
            </w:r>
            <w:r>
              <w:rPr>
                <w:rFonts w:ascii="Times New Roman" w:hAnsi="Times New Roman"/>
                <w:bCs/>
                <w:sz w:val="24"/>
                <w:szCs w:val="20"/>
              </w:rPr>
              <w:t>以N计</w:t>
            </w:r>
            <w:r>
              <w:rPr>
                <w:rFonts w:hint="eastAsia"/>
                <w:bCs/>
                <w:sz w:val="24"/>
                <w:szCs w:val="20"/>
                <w:lang w:eastAsia="zh-CN"/>
              </w:rPr>
              <w:t>）</w:t>
            </w:r>
            <w:r>
              <w:rPr>
                <w:rFonts w:ascii="Times New Roman" w:hAnsi="Times New Roman"/>
                <w:bCs/>
                <w:sz w:val="24"/>
                <w:szCs w:val="20"/>
              </w:rPr>
              <w:t>、</w:t>
            </w:r>
            <w:r>
              <w:rPr>
                <w:rFonts w:ascii="Times New Roman" w:hAnsi="Times New Roman"/>
                <w:bCs/>
                <w:spacing w:val="-8"/>
                <w:sz w:val="24"/>
                <w:szCs w:val="20"/>
              </w:rPr>
              <w:t>氰化物、</w:t>
            </w:r>
            <w:r>
              <w:rPr>
                <w:rFonts w:ascii="Times New Roman" w:hAnsi="Times New Roman"/>
                <w:bCs/>
                <w:sz w:val="24"/>
                <w:szCs w:val="20"/>
              </w:rPr>
              <w:t>氟化物</w:t>
            </w:r>
            <w:r>
              <w:rPr>
                <w:rFonts w:ascii="Times New Roman" w:hAnsi="Times New Roman"/>
                <w:bCs/>
                <w:spacing w:val="-8"/>
                <w:sz w:val="24"/>
                <w:szCs w:val="20"/>
              </w:rPr>
              <w:t>、</w:t>
            </w:r>
            <w:r>
              <w:rPr>
                <w:rFonts w:ascii="Times New Roman" w:hAnsi="Times New Roman"/>
                <w:bCs/>
                <w:sz w:val="24"/>
                <w:szCs w:val="20"/>
              </w:rPr>
              <w:t>碘化物、</w:t>
            </w:r>
            <w:r>
              <w:rPr>
                <w:rFonts w:ascii="Times New Roman" w:hAnsi="Times New Roman"/>
                <w:bCs/>
                <w:snapToGrid w:val="0"/>
                <w:kern w:val="0"/>
                <w:sz w:val="24"/>
                <w:szCs w:val="20"/>
              </w:rPr>
              <w:t>汞、砷、</w:t>
            </w:r>
            <w:r>
              <w:rPr>
                <w:rFonts w:ascii="Times New Roman" w:hAnsi="Times New Roman"/>
                <w:bCs/>
                <w:sz w:val="24"/>
                <w:szCs w:val="20"/>
              </w:rPr>
              <w:t>硒、</w:t>
            </w:r>
            <w:r>
              <w:rPr>
                <w:rFonts w:ascii="Times New Roman" w:hAnsi="Times New Roman"/>
                <w:bCs/>
                <w:snapToGrid w:val="0"/>
                <w:kern w:val="0"/>
                <w:sz w:val="24"/>
                <w:szCs w:val="20"/>
              </w:rPr>
              <w:t>镉、六价铬、铅、石油类</w:t>
            </w:r>
            <w:r>
              <w:rPr>
                <w:rFonts w:ascii="Times New Roman" w:hAnsi="Times New Roman"/>
                <w:sz w:val="24"/>
                <w:szCs w:val="20"/>
              </w:rPr>
              <w:t>。</w:t>
            </w:r>
          </w:p>
          <w:p w14:paraId="1B733962">
            <w:pPr>
              <w:spacing w:line="360" w:lineRule="auto"/>
              <w:ind w:firstLine="480" w:firstLineChars="200"/>
              <w:rPr>
                <w:rFonts w:ascii="Times New Roman" w:hAnsi="Times New Roman"/>
                <w:sz w:val="24"/>
              </w:rPr>
            </w:pPr>
            <w:r>
              <w:rPr>
                <w:rFonts w:ascii="Times New Roman" w:hAnsi="Times New Roman"/>
                <w:sz w:val="24"/>
              </w:rPr>
              <w:t>（3）监测时间和频次</w:t>
            </w:r>
          </w:p>
          <w:p w14:paraId="6F2E661A">
            <w:pPr>
              <w:spacing w:line="360" w:lineRule="auto"/>
              <w:ind w:firstLine="480" w:firstLineChars="200"/>
              <w:rPr>
                <w:rFonts w:ascii="Times New Roman" w:hAnsi="Times New Roman"/>
                <w:sz w:val="24"/>
                <w:szCs w:val="22"/>
              </w:rPr>
            </w:pPr>
            <w:r>
              <w:rPr>
                <w:rFonts w:ascii="Times New Roman" w:hAnsi="Times New Roman"/>
                <w:sz w:val="24"/>
                <w:szCs w:val="22"/>
              </w:rPr>
              <w:t>监测时间为202</w:t>
            </w:r>
            <w:r>
              <w:rPr>
                <w:rFonts w:hint="eastAsia"/>
                <w:sz w:val="24"/>
                <w:szCs w:val="22"/>
                <w:lang w:val="en-US" w:eastAsia="zh-CN"/>
              </w:rPr>
              <w:t>4</w:t>
            </w:r>
            <w:r>
              <w:rPr>
                <w:rFonts w:ascii="Times New Roman" w:hAnsi="Times New Roman"/>
                <w:sz w:val="24"/>
                <w:szCs w:val="22"/>
              </w:rPr>
              <w:t>年</w:t>
            </w:r>
            <w:r>
              <w:rPr>
                <w:rFonts w:hint="eastAsia"/>
                <w:sz w:val="24"/>
                <w:szCs w:val="22"/>
                <w:lang w:val="en-US" w:eastAsia="zh-CN"/>
              </w:rPr>
              <w:t>10</w:t>
            </w:r>
            <w:r>
              <w:rPr>
                <w:rFonts w:ascii="Times New Roman" w:hAnsi="Times New Roman"/>
                <w:sz w:val="24"/>
                <w:szCs w:val="22"/>
              </w:rPr>
              <w:t>月</w:t>
            </w:r>
            <w:r>
              <w:rPr>
                <w:rFonts w:hint="eastAsia"/>
                <w:sz w:val="24"/>
                <w:szCs w:val="22"/>
                <w:lang w:val="en-US" w:eastAsia="zh-CN"/>
              </w:rPr>
              <w:t>25</w:t>
            </w:r>
            <w:r>
              <w:rPr>
                <w:rFonts w:ascii="Times New Roman" w:hAnsi="Times New Roman"/>
                <w:sz w:val="24"/>
                <w:szCs w:val="22"/>
              </w:rPr>
              <w:t>日，监测1日，每日采样1次。</w:t>
            </w:r>
          </w:p>
          <w:p w14:paraId="0ECD1266">
            <w:pPr>
              <w:spacing w:line="360" w:lineRule="auto"/>
              <w:ind w:firstLine="480" w:firstLineChars="200"/>
              <w:rPr>
                <w:rFonts w:ascii="Times New Roman" w:hAnsi="Times New Roman"/>
                <w:sz w:val="24"/>
                <w:szCs w:val="22"/>
              </w:rPr>
            </w:pPr>
            <w:r>
              <w:rPr>
                <w:rFonts w:ascii="Times New Roman" w:hAnsi="Times New Roman"/>
                <w:sz w:val="24"/>
                <w:szCs w:val="22"/>
              </w:rPr>
              <w:t>（4）评价因子与评价标准</w:t>
            </w:r>
          </w:p>
          <w:p w14:paraId="36E99F4E">
            <w:pPr>
              <w:spacing w:line="360" w:lineRule="auto"/>
              <w:ind w:firstLine="480" w:firstLineChars="200"/>
              <w:rPr>
                <w:rFonts w:ascii="Times New Roman" w:hAnsi="Times New Roman"/>
                <w:sz w:val="24"/>
                <w:szCs w:val="22"/>
              </w:rPr>
            </w:pPr>
            <w:r>
              <w:rPr>
                <w:rFonts w:ascii="Times New Roman" w:hAnsi="Times New Roman"/>
                <w:sz w:val="24"/>
                <w:szCs w:val="22"/>
              </w:rPr>
              <w:t>本次评价因子同监测因子。评价标准采用《地下水质量标准》（GB/T14848-2017）Ⅲ类标准</w:t>
            </w:r>
            <w:r>
              <w:rPr>
                <w:rFonts w:hint="eastAsia"/>
                <w:sz w:val="24"/>
                <w:szCs w:val="22"/>
                <w:lang w:eastAsia="zh-CN"/>
              </w:rPr>
              <w:t>，</w:t>
            </w:r>
            <w:r>
              <w:rPr>
                <w:rFonts w:hint="eastAsia"/>
                <w:sz w:val="24"/>
                <w:szCs w:val="22"/>
                <w:lang w:val="en-US" w:eastAsia="zh-CN"/>
              </w:rPr>
              <w:t>其中石油类执行《地表水环境质量标准》（GB3838-2002）</w:t>
            </w:r>
            <w:r>
              <w:rPr>
                <w:rFonts w:hint="default" w:ascii="Times New Roman" w:hAnsi="Times New Roman" w:cs="Times New Roman"/>
                <w:sz w:val="24"/>
                <w:szCs w:val="22"/>
                <w:lang w:val="en-US" w:eastAsia="zh-CN"/>
              </w:rPr>
              <w:t>中Ⅲ类标准</w:t>
            </w:r>
            <w:r>
              <w:rPr>
                <w:rFonts w:ascii="Times New Roman" w:hAnsi="Times New Roman"/>
                <w:sz w:val="24"/>
                <w:szCs w:val="22"/>
              </w:rPr>
              <w:t>。</w:t>
            </w:r>
          </w:p>
          <w:p w14:paraId="12306655">
            <w:pPr>
              <w:spacing w:line="360" w:lineRule="auto"/>
              <w:ind w:firstLine="480" w:firstLineChars="200"/>
              <w:rPr>
                <w:rFonts w:ascii="Times New Roman" w:hAnsi="Times New Roman"/>
                <w:sz w:val="24"/>
                <w:szCs w:val="22"/>
              </w:rPr>
            </w:pPr>
            <w:r>
              <w:rPr>
                <w:rFonts w:ascii="Times New Roman" w:hAnsi="Times New Roman"/>
                <w:sz w:val="24"/>
                <w:szCs w:val="22"/>
              </w:rPr>
              <w:t>（5）评价方法</w:t>
            </w:r>
          </w:p>
          <w:p w14:paraId="13BA11D1">
            <w:pPr>
              <w:spacing w:line="360" w:lineRule="auto"/>
              <w:ind w:firstLine="480" w:firstLineChars="200"/>
              <w:rPr>
                <w:rFonts w:ascii="Times New Roman" w:hAnsi="Times New Roman"/>
                <w:sz w:val="24"/>
                <w:szCs w:val="22"/>
              </w:rPr>
            </w:pPr>
            <w:r>
              <w:rPr>
                <w:rFonts w:ascii="Times New Roman" w:hAnsi="Times New Roman"/>
                <w:sz w:val="24"/>
                <w:szCs w:val="22"/>
              </w:rPr>
              <w:t>评价方法采用标准指数法。</w:t>
            </w:r>
          </w:p>
          <w:p w14:paraId="6A96ABFA">
            <w:pPr>
              <w:spacing w:line="360" w:lineRule="auto"/>
              <w:ind w:firstLine="482" w:firstLineChars="200"/>
              <w:rPr>
                <w:rFonts w:ascii="Times New Roman" w:hAnsi="Times New Roman"/>
                <w:sz w:val="24"/>
              </w:rPr>
            </w:pPr>
            <w:r>
              <w:rPr>
                <w:rFonts w:ascii="Times New Roman" w:hAnsi="Times New Roman"/>
                <w:b/>
                <w:bCs/>
                <w:sz w:val="24"/>
              </w:rPr>
              <w:t>单项水质参数i在j点的污染指数，用下式：</w:t>
            </w:r>
          </w:p>
          <w:p w14:paraId="644707DA">
            <w:pPr>
              <w:spacing w:line="360" w:lineRule="auto"/>
              <w:ind w:firstLine="480" w:firstLineChars="200"/>
              <w:rPr>
                <w:rFonts w:ascii="Times New Roman" w:hAnsi="Times New Roman"/>
                <w:sz w:val="24"/>
              </w:rPr>
            </w:pPr>
            <w:r>
              <w:rPr>
                <w:rFonts w:ascii="Times New Roman" w:hAnsi="Times New Roman"/>
                <w:position w:val="-26"/>
                <w:sz w:val="24"/>
              </w:rPr>
              <w:object>
                <v:shape id="_x0000_i1025" o:spt="75" type="#_x0000_t75" style="height:30.65pt;width:63.2pt;" o:ole="t" filled="f" o:preferrelative="t" stroked="f" coordsize="21600,21600">
                  <v:path/>
                  <v:fill on="f" focussize="0,0"/>
                  <v:stroke on="f"/>
                  <v:imagedata r:id="rId19" o:title=""/>
                  <o:lock v:ext="edit" aspectratio="t"/>
                  <w10:wrap type="none"/>
                  <w10:anchorlock/>
                </v:shape>
                <o:OLEObject Type="Embed" ProgID="Equation.3" ShapeID="_x0000_i1025" DrawAspect="Content" ObjectID="_1468075725" r:id="rId18">
                  <o:LockedField>false</o:LockedField>
                </o:OLEObject>
              </w:object>
            </w:r>
          </w:p>
          <w:p w14:paraId="3AB86BB7">
            <w:pPr>
              <w:spacing w:line="360" w:lineRule="auto"/>
              <w:ind w:firstLine="480" w:firstLineChars="200"/>
              <w:rPr>
                <w:rFonts w:ascii="Times New Roman" w:hAnsi="Times New Roman"/>
                <w:sz w:val="24"/>
              </w:rPr>
            </w:pPr>
            <w:r>
              <w:rPr>
                <w:rFonts w:ascii="Times New Roman" w:hAnsi="Times New Roman"/>
                <w:sz w:val="24"/>
              </w:rPr>
              <w:t>式中：</w:t>
            </w:r>
          </w:p>
          <w:p w14:paraId="0B086EFA">
            <w:pPr>
              <w:spacing w:line="360" w:lineRule="auto"/>
              <w:ind w:firstLine="480" w:firstLineChars="200"/>
              <w:rPr>
                <w:rFonts w:ascii="Times New Roman" w:hAnsi="Times New Roman"/>
                <w:sz w:val="24"/>
              </w:rPr>
            </w:pPr>
            <w:r>
              <w:rPr>
                <w:rFonts w:ascii="Times New Roman" w:hAnsi="Times New Roman"/>
                <w:sz w:val="24"/>
              </w:rPr>
              <w:t>S</w:t>
            </w:r>
            <w:r>
              <w:rPr>
                <w:rFonts w:ascii="Times New Roman" w:hAnsi="Times New Roman"/>
                <w:sz w:val="24"/>
                <w:vertAlign w:val="subscript"/>
              </w:rPr>
              <w:t>i，j</w:t>
            </w:r>
            <w:r>
              <w:rPr>
                <w:rFonts w:ascii="Times New Roman" w:hAnsi="Times New Roman"/>
                <w:sz w:val="24"/>
              </w:rPr>
              <w:t>——单项水质参数i在第j点的污染指数；</w:t>
            </w:r>
          </w:p>
          <w:p w14:paraId="0FB71ADD">
            <w:pPr>
              <w:spacing w:line="360" w:lineRule="auto"/>
              <w:ind w:firstLine="480" w:firstLineChars="200"/>
              <w:rPr>
                <w:rFonts w:ascii="Times New Roman" w:hAnsi="Times New Roman"/>
                <w:sz w:val="24"/>
              </w:rPr>
            </w:pPr>
            <w:r>
              <w:rPr>
                <w:rFonts w:ascii="Times New Roman" w:hAnsi="Times New Roman"/>
                <w:sz w:val="24"/>
              </w:rPr>
              <w:t>C</w:t>
            </w:r>
            <w:r>
              <w:rPr>
                <w:rFonts w:ascii="Times New Roman" w:hAnsi="Times New Roman"/>
                <w:sz w:val="24"/>
                <w:vertAlign w:val="subscript"/>
              </w:rPr>
              <w:t>i，j</w:t>
            </w:r>
            <w:r>
              <w:rPr>
                <w:rFonts w:ascii="Times New Roman" w:hAnsi="Times New Roman"/>
                <w:sz w:val="24"/>
              </w:rPr>
              <w:t>——污染物i在监测点j的浓度，mg/l；</w:t>
            </w:r>
          </w:p>
          <w:p w14:paraId="45055B4F">
            <w:pPr>
              <w:spacing w:line="360" w:lineRule="auto"/>
              <w:ind w:firstLine="480" w:firstLineChars="200"/>
              <w:rPr>
                <w:rFonts w:ascii="Times New Roman" w:hAnsi="Times New Roman"/>
                <w:sz w:val="24"/>
              </w:rPr>
            </w:pPr>
            <w:r>
              <w:rPr>
                <w:rFonts w:ascii="Times New Roman" w:hAnsi="Times New Roman"/>
                <w:sz w:val="24"/>
              </w:rPr>
              <w:t>C</w:t>
            </w:r>
            <w:r>
              <w:rPr>
                <w:rFonts w:ascii="Times New Roman" w:hAnsi="Times New Roman"/>
                <w:sz w:val="24"/>
                <w:vertAlign w:val="subscript"/>
              </w:rPr>
              <w:t>si</w:t>
            </w:r>
            <w:r>
              <w:rPr>
                <w:rFonts w:ascii="Times New Roman" w:hAnsi="Times New Roman"/>
                <w:sz w:val="24"/>
              </w:rPr>
              <w:t>——水质参数Sij的地表水质标准，mg/l；</w:t>
            </w:r>
          </w:p>
          <w:p w14:paraId="7C990B7A">
            <w:pPr>
              <w:spacing w:line="360" w:lineRule="auto"/>
              <w:ind w:firstLine="482" w:firstLineChars="200"/>
              <w:rPr>
                <w:rFonts w:ascii="Times New Roman" w:hAnsi="Times New Roman"/>
                <w:sz w:val="24"/>
              </w:rPr>
            </w:pPr>
            <w:r>
              <w:rPr>
                <w:rFonts w:ascii="Times New Roman" w:hAnsi="Times New Roman"/>
                <w:b/>
                <w:bCs/>
                <w:sz w:val="24"/>
              </w:rPr>
              <w:t>pH值污染指数用下式：</w:t>
            </w:r>
          </w:p>
          <w:p w14:paraId="3391631A">
            <w:pPr>
              <w:spacing w:line="360" w:lineRule="auto"/>
              <w:ind w:firstLine="480" w:firstLineChars="200"/>
              <w:rPr>
                <w:rFonts w:ascii="Times New Roman" w:hAnsi="Times New Roman"/>
                <w:kern w:val="0"/>
                <w:sz w:val="24"/>
              </w:rPr>
            </w:pPr>
            <w:r>
              <w:rPr>
                <w:rFonts w:ascii="Times New Roman" w:hAnsi="Times New Roman"/>
                <w:bCs/>
                <w:sz w:val="24"/>
              </w:rPr>
              <w:t>当</w:t>
            </w:r>
            <w:r>
              <w:rPr>
                <w:rFonts w:ascii="Times New Roman" w:hAnsi="Times New Roman"/>
                <w:kern w:val="0"/>
                <w:position w:val="-14"/>
                <w:sz w:val="24"/>
              </w:rPr>
              <w:drawing>
                <wp:inline distT="0" distB="0" distL="114300" distR="114300">
                  <wp:extent cx="673100" cy="241300"/>
                  <wp:effectExtent l="0" t="0" r="12700" b="5080"/>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20"/>
                          <a:stretch>
                            <a:fillRect/>
                          </a:stretch>
                        </pic:blipFill>
                        <pic:spPr>
                          <a:xfrm>
                            <a:off x="0" y="0"/>
                            <a:ext cx="673100" cy="241300"/>
                          </a:xfrm>
                          <a:prstGeom prst="rect">
                            <a:avLst/>
                          </a:prstGeom>
                          <a:noFill/>
                          <a:ln>
                            <a:noFill/>
                          </a:ln>
                        </pic:spPr>
                      </pic:pic>
                    </a:graphicData>
                  </a:graphic>
                </wp:inline>
              </w:drawing>
            </w:r>
            <w:r>
              <w:rPr>
                <w:rFonts w:ascii="Times New Roman" w:hAnsi="Times New Roman"/>
                <w:bCs/>
                <w:spacing w:val="4"/>
                <w:sz w:val="24"/>
              </w:rPr>
              <w:t>时，</w:t>
            </w:r>
            <w:r>
              <w:rPr>
                <w:rFonts w:ascii="Times New Roman" w:hAnsi="Times New Roman"/>
                <w:kern w:val="0"/>
                <w:position w:val="-14"/>
                <w:sz w:val="24"/>
              </w:rPr>
              <w:drawing>
                <wp:inline distT="0" distB="0" distL="114300" distR="114300">
                  <wp:extent cx="2057400" cy="241300"/>
                  <wp:effectExtent l="0" t="0" r="0" b="5080"/>
                  <wp:docPr id="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pic:cNvPicPr>
                            <a:picLocks noChangeAspect="1"/>
                          </pic:cNvPicPr>
                        </pic:nvPicPr>
                        <pic:blipFill>
                          <a:blip r:embed="rId21"/>
                          <a:stretch>
                            <a:fillRect/>
                          </a:stretch>
                        </pic:blipFill>
                        <pic:spPr>
                          <a:xfrm>
                            <a:off x="0" y="0"/>
                            <a:ext cx="2057400" cy="241300"/>
                          </a:xfrm>
                          <a:prstGeom prst="rect">
                            <a:avLst/>
                          </a:prstGeom>
                          <a:noFill/>
                          <a:ln>
                            <a:noFill/>
                          </a:ln>
                        </pic:spPr>
                      </pic:pic>
                    </a:graphicData>
                  </a:graphic>
                </wp:inline>
              </w:drawing>
            </w:r>
          </w:p>
          <w:p w14:paraId="3D53A467">
            <w:pPr>
              <w:adjustRightInd w:val="0"/>
              <w:spacing w:line="360" w:lineRule="auto"/>
              <w:ind w:firstLine="480" w:firstLineChars="200"/>
              <w:textAlignment w:val="baseline"/>
              <w:rPr>
                <w:rFonts w:ascii="Times New Roman" w:hAnsi="Times New Roman"/>
                <w:bCs/>
                <w:spacing w:val="4"/>
                <w:kern w:val="0"/>
                <w:sz w:val="24"/>
              </w:rPr>
            </w:pPr>
            <w:r>
              <w:rPr>
                <w:rFonts w:ascii="Times New Roman" w:hAnsi="Times New Roman"/>
                <w:bCs/>
                <w:kern w:val="0"/>
                <w:sz w:val="24"/>
              </w:rPr>
              <w:t>当</w:t>
            </w:r>
            <w:r>
              <w:rPr>
                <w:rFonts w:ascii="Times New Roman" w:hAnsi="Times New Roman"/>
                <w:kern w:val="0"/>
                <w:position w:val="-14"/>
                <w:sz w:val="24"/>
              </w:rPr>
              <w:drawing>
                <wp:inline distT="0" distB="0" distL="114300" distR="114300">
                  <wp:extent cx="673100" cy="241300"/>
                  <wp:effectExtent l="0" t="0" r="12700" b="5080"/>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22"/>
                          <a:stretch>
                            <a:fillRect/>
                          </a:stretch>
                        </pic:blipFill>
                        <pic:spPr>
                          <a:xfrm>
                            <a:off x="0" y="0"/>
                            <a:ext cx="673100" cy="241300"/>
                          </a:xfrm>
                          <a:prstGeom prst="rect">
                            <a:avLst/>
                          </a:prstGeom>
                          <a:noFill/>
                          <a:ln>
                            <a:noFill/>
                          </a:ln>
                        </pic:spPr>
                      </pic:pic>
                    </a:graphicData>
                  </a:graphic>
                </wp:inline>
              </w:drawing>
            </w:r>
            <w:r>
              <w:rPr>
                <w:rFonts w:ascii="Times New Roman" w:hAnsi="Times New Roman"/>
                <w:bCs/>
                <w:spacing w:val="4"/>
                <w:kern w:val="0"/>
                <w:sz w:val="24"/>
              </w:rPr>
              <w:t>时，</w:t>
            </w:r>
            <w:r>
              <w:rPr>
                <w:rFonts w:ascii="Times New Roman" w:hAnsi="Times New Roman"/>
                <w:kern w:val="0"/>
                <w:position w:val="-14"/>
                <w:sz w:val="24"/>
              </w:rPr>
              <w:drawing>
                <wp:inline distT="0" distB="0" distL="114300" distR="114300">
                  <wp:extent cx="2057400" cy="241300"/>
                  <wp:effectExtent l="0" t="0" r="0" b="5080"/>
                  <wp:docPr id="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5"/>
                          <pic:cNvPicPr>
                            <a:picLocks noChangeAspect="1"/>
                          </pic:cNvPicPr>
                        </pic:nvPicPr>
                        <pic:blipFill>
                          <a:blip r:embed="rId23"/>
                          <a:stretch>
                            <a:fillRect/>
                          </a:stretch>
                        </pic:blipFill>
                        <pic:spPr>
                          <a:xfrm>
                            <a:off x="0" y="0"/>
                            <a:ext cx="2057400" cy="241300"/>
                          </a:xfrm>
                          <a:prstGeom prst="rect">
                            <a:avLst/>
                          </a:prstGeom>
                          <a:noFill/>
                          <a:ln>
                            <a:noFill/>
                          </a:ln>
                        </pic:spPr>
                      </pic:pic>
                    </a:graphicData>
                  </a:graphic>
                </wp:inline>
              </w:drawing>
            </w:r>
          </w:p>
          <w:p w14:paraId="5849862D">
            <w:pPr>
              <w:spacing w:line="360" w:lineRule="auto"/>
              <w:ind w:firstLine="480" w:firstLineChars="200"/>
              <w:rPr>
                <w:rFonts w:ascii="Times New Roman" w:hAnsi="Times New Roman"/>
                <w:sz w:val="24"/>
              </w:rPr>
            </w:pPr>
            <w:r>
              <w:rPr>
                <w:rFonts w:ascii="Times New Roman" w:hAnsi="Times New Roman"/>
                <w:sz w:val="24"/>
              </w:rPr>
              <w:t>式中：</w:t>
            </w:r>
          </w:p>
          <w:p w14:paraId="334BABBD">
            <w:pPr>
              <w:spacing w:line="360" w:lineRule="auto"/>
              <w:ind w:firstLine="480" w:firstLineChars="200"/>
              <w:rPr>
                <w:rFonts w:ascii="Times New Roman" w:hAnsi="Times New Roman"/>
                <w:sz w:val="24"/>
              </w:rPr>
            </w:pPr>
            <w:r>
              <w:rPr>
                <w:rFonts w:ascii="Times New Roman" w:hAnsi="Times New Roman"/>
                <w:sz w:val="24"/>
              </w:rPr>
              <w:t>S</w:t>
            </w:r>
            <w:r>
              <w:rPr>
                <w:rFonts w:ascii="Times New Roman" w:hAnsi="Times New Roman"/>
                <w:sz w:val="24"/>
                <w:vertAlign w:val="subscript"/>
              </w:rPr>
              <w:t>PHj</w:t>
            </w:r>
            <w:r>
              <w:rPr>
                <w:rFonts w:ascii="Times New Roman" w:hAnsi="Times New Roman"/>
                <w:sz w:val="24"/>
              </w:rPr>
              <w:t>——单项水质参数PH在第j点的污染指数；</w:t>
            </w:r>
          </w:p>
          <w:p w14:paraId="12B63D45">
            <w:pPr>
              <w:spacing w:line="360" w:lineRule="auto"/>
              <w:ind w:firstLine="480" w:firstLineChars="200"/>
              <w:rPr>
                <w:rFonts w:ascii="Times New Roman" w:hAnsi="Times New Roman"/>
                <w:sz w:val="24"/>
              </w:rPr>
            </w:pPr>
            <w:r>
              <w:rPr>
                <w:rFonts w:ascii="Times New Roman" w:hAnsi="Times New Roman"/>
                <w:sz w:val="24"/>
              </w:rPr>
              <w:t>pH</w:t>
            </w:r>
            <w:r>
              <w:rPr>
                <w:rFonts w:ascii="Times New Roman" w:hAnsi="Times New Roman"/>
                <w:sz w:val="24"/>
                <w:vertAlign w:val="subscript"/>
              </w:rPr>
              <w:t>j</w:t>
            </w:r>
            <w:r>
              <w:rPr>
                <w:rFonts w:ascii="Times New Roman" w:hAnsi="Times New Roman"/>
                <w:sz w:val="24"/>
              </w:rPr>
              <w:t>——j点的</w:t>
            </w:r>
            <w:r>
              <w:rPr>
                <w:rFonts w:hint="eastAsia"/>
                <w:sz w:val="24"/>
                <w:lang w:eastAsia="zh-CN"/>
              </w:rPr>
              <w:t>pH值</w:t>
            </w:r>
            <w:r>
              <w:rPr>
                <w:rFonts w:ascii="Times New Roman" w:hAnsi="Times New Roman"/>
                <w:sz w:val="24"/>
              </w:rPr>
              <w:t>；</w:t>
            </w:r>
          </w:p>
          <w:p w14:paraId="0A338B2F">
            <w:pPr>
              <w:spacing w:line="360" w:lineRule="auto"/>
              <w:ind w:firstLine="480" w:firstLineChars="200"/>
              <w:rPr>
                <w:rFonts w:ascii="Times New Roman" w:hAnsi="Times New Roman"/>
                <w:sz w:val="24"/>
              </w:rPr>
            </w:pPr>
            <w:r>
              <w:rPr>
                <w:rFonts w:ascii="Times New Roman" w:hAnsi="Times New Roman"/>
                <w:sz w:val="24"/>
              </w:rPr>
              <w:t>pH</w:t>
            </w:r>
            <w:r>
              <w:rPr>
                <w:rFonts w:ascii="Times New Roman" w:hAnsi="Times New Roman"/>
                <w:sz w:val="24"/>
                <w:vertAlign w:val="subscript"/>
              </w:rPr>
              <w:t>su</w:t>
            </w:r>
            <w:r>
              <w:rPr>
                <w:rFonts w:ascii="Times New Roman" w:hAnsi="Times New Roman"/>
                <w:sz w:val="24"/>
              </w:rPr>
              <w:t>——地表水水质标准中规定的pH值上限；</w:t>
            </w:r>
          </w:p>
          <w:p w14:paraId="750CFECC">
            <w:pPr>
              <w:snapToGrid w:val="0"/>
              <w:spacing w:line="360" w:lineRule="auto"/>
              <w:ind w:firstLine="480" w:firstLineChars="200"/>
              <w:rPr>
                <w:rFonts w:ascii="Times New Roman" w:hAnsi="Times New Roman"/>
                <w:sz w:val="24"/>
              </w:rPr>
            </w:pPr>
            <w:r>
              <w:rPr>
                <w:rFonts w:ascii="Times New Roman" w:hAnsi="Times New Roman"/>
                <w:sz w:val="24"/>
              </w:rPr>
              <w:t>pH</w:t>
            </w:r>
            <w:r>
              <w:rPr>
                <w:rFonts w:ascii="Times New Roman" w:hAnsi="Times New Roman"/>
                <w:sz w:val="24"/>
                <w:vertAlign w:val="subscript"/>
              </w:rPr>
              <w:t>sd</w:t>
            </w:r>
            <w:r>
              <w:rPr>
                <w:rFonts w:ascii="Times New Roman" w:hAnsi="Times New Roman"/>
                <w:sz w:val="24"/>
              </w:rPr>
              <w:t>——地表水水质标准中规定的pH值下限。</w:t>
            </w:r>
          </w:p>
          <w:p w14:paraId="2BE74B52">
            <w:pPr>
              <w:spacing w:line="360" w:lineRule="auto"/>
              <w:ind w:firstLine="480" w:firstLineChars="200"/>
              <w:rPr>
                <w:rFonts w:ascii="Times New Roman" w:hAnsi="Times New Roman"/>
                <w:snapToGrid w:val="0"/>
                <w:kern w:val="0"/>
                <w:sz w:val="24"/>
              </w:rPr>
            </w:pPr>
            <w:r>
              <w:rPr>
                <w:rFonts w:ascii="Times New Roman" w:hAnsi="Times New Roman"/>
                <w:snapToGrid w:val="0"/>
                <w:kern w:val="0"/>
                <w:sz w:val="24"/>
              </w:rPr>
              <w:t>（6）监测结果统计</w:t>
            </w:r>
          </w:p>
          <w:p w14:paraId="5140E6C1">
            <w:pPr>
              <w:spacing w:line="360" w:lineRule="auto"/>
              <w:ind w:firstLine="480"/>
              <w:rPr>
                <w:rFonts w:hint="eastAsia" w:ascii="Times New Roman" w:hAnsi="Times New Roman" w:eastAsia="宋体" w:cs="Times New Roman"/>
                <w:sz w:val="24"/>
                <w:lang w:eastAsia="zh-CN"/>
              </w:rPr>
            </w:pPr>
            <w:r>
              <w:rPr>
                <w:rFonts w:hint="eastAsia" w:ascii="Times New Roman" w:hAnsi="Times New Roman" w:eastAsia="宋体" w:cs="Times New Roman"/>
                <w:sz w:val="24"/>
              </w:rPr>
              <w:t>地下水环境质量现状监测与统计结果见下表</w:t>
            </w:r>
            <w:r>
              <w:rPr>
                <w:rFonts w:hint="eastAsia" w:ascii="Times New Roman" w:hAnsi="Times New Roman" w:eastAsia="宋体" w:cs="Times New Roman"/>
                <w:sz w:val="24"/>
                <w:lang w:eastAsia="zh-CN"/>
              </w:rPr>
              <w:t>。</w:t>
            </w:r>
          </w:p>
          <w:p w14:paraId="2DB7E353">
            <w:pPr>
              <w:pStyle w:val="47"/>
              <w:numPr>
                <w:ilvl w:val="0"/>
                <w:numId w:val="7"/>
              </w:numPr>
              <w:spacing w:before="120" w:beforeLines="50" w:line="360" w:lineRule="auto"/>
              <w:rPr>
                <w:rFonts w:eastAsia="宋体"/>
                <w:b/>
              </w:rPr>
            </w:pPr>
            <w:r>
              <w:rPr>
                <w:rFonts w:hint="eastAsia" w:eastAsia="宋体"/>
                <w:b/>
              </w:rPr>
              <w:t>地下水现状评价结果一览表（mg/l，pH值除外）</w:t>
            </w:r>
          </w:p>
          <w:tbl>
            <w:tblPr>
              <w:tblStyle w:val="2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84"/>
              <w:gridCol w:w="1543"/>
              <w:gridCol w:w="1771"/>
              <w:gridCol w:w="2028"/>
              <w:gridCol w:w="850"/>
            </w:tblGrid>
            <w:tr w14:paraId="7D306F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tblHeader/>
                <w:jc w:val="center"/>
              </w:trPr>
              <w:tc>
                <w:tcPr>
                  <w:tcW w:w="1303" w:type="pct"/>
                  <w:noWrap w:val="0"/>
                  <w:vAlign w:val="center"/>
                </w:tcPr>
                <w:p w14:paraId="3B79D025">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检测指标</w:t>
                  </w:r>
                </w:p>
              </w:tc>
              <w:tc>
                <w:tcPr>
                  <w:tcW w:w="921" w:type="pct"/>
                  <w:noWrap w:val="0"/>
                  <w:vAlign w:val="center"/>
                </w:tcPr>
                <w:p w14:paraId="30FBB474">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单位</w:t>
                  </w:r>
                </w:p>
              </w:tc>
              <w:tc>
                <w:tcPr>
                  <w:tcW w:w="1057" w:type="pct"/>
                  <w:noWrap w:val="0"/>
                  <w:vAlign w:val="center"/>
                </w:tcPr>
                <w:p w14:paraId="1E174B79">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检测结果</w:t>
                  </w:r>
                </w:p>
              </w:tc>
              <w:tc>
                <w:tcPr>
                  <w:tcW w:w="1210" w:type="pct"/>
                  <w:noWrap w:val="0"/>
                  <w:vAlign w:val="center"/>
                </w:tcPr>
                <w:p w14:paraId="52E43981">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标准限值</w:t>
                  </w:r>
                </w:p>
              </w:tc>
              <w:tc>
                <w:tcPr>
                  <w:tcW w:w="507" w:type="pct"/>
                  <w:noWrap w:val="0"/>
                  <w:vAlign w:val="center"/>
                </w:tcPr>
                <w:p w14:paraId="1AA2BE62">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是否达标</w:t>
                  </w:r>
                </w:p>
              </w:tc>
            </w:tr>
            <w:tr w14:paraId="321CA5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1303" w:type="pct"/>
                  <w:noWrap w:val="0"/>
                  <w:vAlign w:val="center"/>
                </w:tcPr>
                <w:p w14:paraId="459BCEB5">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色度（pH）</w:t>
                  </w:r>
                </w:p>
              </w:tc>
              <w:tc>
                <w:tcPr>
                  <w:tcW w:w="921" w:type="pct"/>
                  <w:noWrap w:val="0"/>
                  <w:vAlign w:val="center"/>
                </w:tcPr>
                <w:p w14:paraId="21E696EB">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度</w:t>
                  </w:r>
                </w:p>
              </w:tc>
              <w:tc>
                <w:tcPr>
                  <w:tcW w:w="1057" w:type="pct"/>
                  <w:noWrap w:val="0"/>
                  <w:vAlign w:val="center"/>
                </w:tcPr>
                <w:p w14:paraId="4D08D04D">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5</w:t>
                  </w:r>
                  <w:r>
                    <w:rPr>
                      <w:rFonts w:hint="eastAsia" w:cs="Times New Roman"/>
                      <w:sz w:val="21"/>
                      <w:szCs w:val="21"/>
                      <w:highlight w:val="none"/>
                      <w:lang w:val="en-US" w:eastAsia="zh-CN"/>
                    </w:rPr>
                    <w:t>(</w:t>
                  </w:r>
                  <w:r>
                    <w:rPr>
                      <w:rFonts w:hint="default" w:ascii="Times New Roman" w:hAnsi="Times New Roman" w:eastAsia="宋体" w:cs="Times New Roman"/>
                      <w:sz w:val="21"/>
                      <w:szCs w:val="21"/>
                      <w:highlight w:val="none"/>
                      <w:lang w:val="en-US" w:eastAsia="zh-CN"/>
                    </w:rPr>
                    <w:t>7.1</w:t>
                  </w:r>
                  <w:r>
                    <w:rPr>
                      <w:rFonts w:hint="eastAsia" w:cs="Times New Roman"/>
                      <w:sz w:val="21"/>
                      <w:szCs w:val="21"/>
                      <w:highlight w:val="none"/>
                      <w:lang w:val="en-US" w:eastAsia="zh-CN"/>
                    </w:rPr>
                    <w:t>)</w:t>
                  </w:r>
                </w:p>
              </w:tc>
              <w:tc>
                <w:tcPr>
                  <w:tcW w:w="1210" w:type="pct"/>
                  <w:noWrap w:val="0"/>
                  <w:vAlign w:val="center"/>
                </w:tcPr>
                <w:p w14:paraId="013A3B3A">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≤15</w:t>
                  </w:r>
                </w:p>
              </w:tc>
              <w:tc>
                <w:tcPr>
                  <w:tcW w:w="507" w:type="pct"/>
                  <w:noWrap w:val="0"/>
                  <w:vAlign w:val="center"/>
                </w:tcPr>
                <w:p w14:paraId="56F64A33">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达标</w:t>
                  </w:r>
                </w:p>
              </w:tc>
            </w:tr>
            <w:tr w14:paraId="6712A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1303" w:type="pct"/>
                  <w:noWrap w:val="0"/>
                  <w:vAlign w:val="center"/>
                </w:tcPr>
                <w:p w14:paraId="5DAD93E2">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嗅和味</w:t>
                  </w:r>
                </w:p>
              </w:tc>
              <w:tc>
                <w:tcPr>
                  <w:tcW w:w="921" w:type="pct"/>
                  <w:noWrap w:val="0"/>
                  <w:vAlign w:val="center"/>
                </w:tcPr>
                <w:p w14:paraId="17A94D2F">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c>
                <w:tcPr>
                  <w:tcW w:w="1057" w:type="pct"/>
                  <w:noWrap w:val="0"/>
                  <w:vAlign w:val="center"/>
                </w:tcPr>
                <w:p w14:paraId="1FEFD056">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无任何臭和味</w:t>
                  </w:r>
                </w:p>
              </w:tc>
              <w:tc>
                <w:tcPr>
                  <w:tcW w:w="1210" w:type="pct"/>
                  <w:noWrap w:val="0"/>
                  <w:vAlign w:val="center"/>
                </w:tcPr>
                <w:p w14:paraId="7CFC318B">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无</w:t>
                  </w:r>
                </w:p>
              </w:tc>
              <w:tc>
                <w:tcPr>
                  <w:tcW w:w="507" w:type="pct"/>
                  <w:noWrap w:val="0"/>
                  <w:vAlign w:val="center"/>
                </w:tcPr>
                <w:p w14:paraId="30AB4910">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达标</w:t>
                  </w:r>
                </w:p>
              </w:tc>
            </w:tr>
            <w:tr w14:paraId="416D2D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1303" w:type="pct"/>
                  <w:noWrap w:val="0"/>
                  <w:vAlign w:val="center"/>
                </w:tcPr>
                <w:p w14:paraId="4CFBE0FE">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浑浊度</w:t>
                  </w:r>
                </w:p>
              </w:tc>
              <w:tc>
                <w:tcPr>
                  <w:tcW w:w="921" w:type="pct"/>
                  <w:noWrap w:val="0"/>
                  <w:vAlign w:val="center"/>
                </w:tcPr>
                <w:p w14:paraId="16C846D1">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NTU</w:t>
                  </w:r>
                </w:p>
              </w:tc>
              <w:tc>
                <w:tcPr>
                  <w:tcW w:w="1057" w:type="pct"/>
                  <w:noWrap w:val="0"/>
                  <w:vAlign w:val="center"/>
                </w:tcPr>
                <w:p w14:paraId="5B97C7DB">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1L</w:t>
                  </w:r>
                </w:p>
              </w:tc>
              <w:tc>
                <w:tcPr>
                  <w:tcW w:w="1210" w:type="pct"/>
                  <w:noWrap w:val="0"/>
                  <w:vAlign w:val="center"/>
                </w:tcPr>
                <w:p w14:paraId="07AA31CD">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≤3</w:t>
                  </w:r>
                </w:p>
              </w:tc>
              <w:tc>
                <w:tcPr>
                  <w:tcW w:w="507" w:type="pct"/>
                  <w:noWrap w:val="0"/>
                  <w:vAlign w:val="center"/>
                </w:tcPr>
                <w:p w14:paraId="2A43CB3D">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达标</w:t>
                  </w:r>
                </w:p>
              </w:tc>
            </w:tr>
            <w:tr w14:paraId="7630CC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1303" w:type="pct"/>
                  <w:noWrap w:val="0"/>
                  <w:vAlign w:val="center"/>
                </w:tcPr>
                <w:p w14:paraId="39186E4C">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肉眼可见物</w:t>
                  </w:r>
                </w:p>
              </w:tc>
              <w:tc>
                <w:tcPr>
                  <w:tcW w:w="921" w:type="pct"/>
                  <w:noWrap w:val="0"/>
                  <w:vAlign w:val="center"/>
                </w:tcPr>
                <w:p w14:paraId="376EE214">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c>
                <w:tcPr>
                  <w:tcW w:w="1057" w:type="pct"/>
                  <w:noWrap w:val="0"/>
                  <w:vAlign w:val="center"/>
                </w:tcPr>
                <w:p w14:paraId="27F25A43">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无</w:t>
                  </w:r>
                </w:p>
              </w:tc>
              <w:tc>
                <w:tcPr>
                  <w:tcW w:w="1210" w:type="pct"/>
                  <w:noWrap w:val="0"/>
                  <w:vAlign w:val="center"/>
                </w:tcPr>
                <w:p w14:paraId="1057E0CE">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无</w:t>
                  </w:r>
                </w:p>
              </w:tc>
              <w:tc>
                <w:tcPr>
                  <w:tcW w:w="507" w:type="pct"/>
                  <w:noWrap w:val="0"/>
                  <w:vAlign w:val="center"/>
                </w:tcPr>
                <w:p w14:paraId="28BAADB8">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达标</w:t>
                  </w:r>
                </w:p>
              </w:tc>
            </w:tr>
            <w:tr w14:paraId="6EA931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1303" w:type="pct"/>
                  <w:noWrap w:val="0"/>
                  <w:vAlign w:val="center"/>
                </w:tcPr>
                <w:p w14:paraId="3210BC3B">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pH值（水温）</w:t>
                  </w:r>
                </w:p>
              </w:tc>
              <w:tc>
                <w:tcPr>
                  <w:tcW w:w="921" w:type="pct"/>
                  <w:noWrap w:val="0"/>
                  <w:vAlign w:val="center"/>
                </w:tcPr>
                <w:p w14:paraId="03C07237">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无量纲</w:t>
                  </w:r>
                </w:p>
              </w:tc>
              <w:tc>
                <w:tcPr>
                  <w:tcW w:w="1057" w:type="pct"/>
                  <w:noWrap w:val="0"/>
                  <w:vAlign w:val="center"/>
                </w:tcPr>
                <w:p w14:paraId="66CA89D4">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7.2</w:t>
                  </w:r>
                  <w:r>
                    <w:rPr>
                      <w:rFonts w:hint="eastAsia" w:cs="Times New Roman"/>
                      <w:sz w:val="21"/>
                      <w:szCs w:val="21"/>
                      <w:highlight w:val="none"/>
                      <w:lang w:val="en-US" w:eastAsia="zh-CN"/>
                    </w:rPr>
                    <w:t>(</w:t>
                  </w:r>
                  <w:r>
                    <w:rPr>
                      <w:rFonts w:hint="default" w:ascii="Times New Roman" w:hAnsi="Times New Roman" w:eastAsia="宋体" w:cs="Times New Roman"/>
                      <w:sz w:val="21"/>
                      <w:szCs w:val="21"/>
                      <w:highlight w:val="none"/>
                      <w:lang w:val="en-US" w:eastAsia="zh-CN"/>
                    </w:rPr>
                    <w:t>11.2℃</w:t>
                  </w:r>
                  <w:r>
                    <w:rPr>
                      <w:rFonts w:hint="eastAsia" w:cs="Times New Roman"/>
                      <w:sz w:val="21"/>
                      <w:szCs w:val="21"/>
                      <w:highlight w:val="none"/>
                      <w:lang w:val="en-US" w:eastAsia="zh-CN"/>
                    </w:rPr>
                    <w:t>)</w:t>
                  </w:r>
                </w:p>
              </w:tc>
              <w:tc>
                <w:tcPr>
                  <w:tcW w:w="1210" w:type="pct"/>
                  <w:noWrap w:val="0"/>
                  <w:vAlign w:val="center"/>
                </w:tcPr>
                <w:p w14:paraId="1010E67B">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6.5≤pH≤8.5</w:t>
                  </w:r>
                </w:p>
              </w:tc>
              <w:tc>
                <w:tcPr>
                  <w:tcW w:w="507" w:type="pct"/>
                  <w:noWrap w:val="0"/>
                  <w:vAlign w:val="center"/>
                </w:tcPr>
                <w:p w14:paraId="0209B1F6">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达标</w:t>
                  </w:r>
                </w:p>
              </w:tc>
            </w:tr>
            <w:tr w14:paraId="78A961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1303" w:type="pct"/>
                  <w:noWrap w:val="0"/>
                  <w:vAlign w:val="center"/>
                </w:tcPr>
                <w:p w14:paraId="3E82471B">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总硬度</w:t>
                  </w:r>
                </w:p>
              </w:tc>
              <w:tc>
                <w:tcPr>
                  <w:tcW w:w="921" w:type="pct"/>
                  <w:noWrap w:val="0"/>
                  <w:vAlign w:val="center"/>
                </w:tcPr>
                <w:p w14:paraId="2D4012D4">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mg/L</w:t>
                  </w:r>
                </w:p>
              </w:tc>
              <w:tc>
                <w:tcPr>
                  <w:tcW w:w="1057" w:type="pct"/>
                  <w:noWrap w:val="0"/>
                  <w:vAlign w:val="center"/>
                </w:tcPr>
                <w:p w14:paraId="070E0732">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386</w:t>
                  </w:r>
                </w:p>
              </w:tc>
              <w:tc>
                <w:tcPr>
                  <w:tcW w:w="1210" w:type="pct"/>
                  <w:noWrap w:val="0"/>
                  <w:vAlign w:val="center"/>
                </w:tcPr>
                <w:p w14:paraId="3A8C439C">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≤450</w:t>
                  </w:r>
                </w:p>
              </w:tc>
              <w:tc>
                <w:tcPr>
                  <w:tcW w:w="507" w:type="pct"/>
                  <w:noWrap w:val="0"/>
                  <w:vAlign w:val="center"/>
                </w:tcPr>
                <w:p w14:paraId="579513BA">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达标</w:t>
                  </w:r>
                </w:p>
              </w:tc>
            </w:tr>
            <w:tr w14:paraId="57AEDC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1303" w:type="pct"/>
                  <w:noWrap w:val="0"/>
                  <w:vAlign w:val="center"/>
                </w:tcPr>
                <w:p w14:paraId="79DEC9A6">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溶解性总固体</w:t>
                  </w:r>
                </w:p>
              </w:tc>
              <w:tc>
                <w:tcPr>
                  <w:tcW w:w="921" w:type="pct"/>
                  <w:noWrap w:val="0"/>
                  <w:vAlign w:val="center"/>
                </w:tcPr>
                <w:p w14:paraId="019EF121">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mg/L</w:t>
                  </w:r>
                </w:p>
              </w:tc>
              <w:tc>
                <w:tcPr>
                  <w:tcW w:w="1057" w:type="pct"/>
                  <w:noWrap w:val="0"/>
                  <w:vAlign w:val="center"/>
                </w:tcPr>
                <w:p w14:paraId="1369A457">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537</w:t>
                  </w:r>
                </w:p>
              </w:tc>
              <w:tc>
                <w:tcPr>
                  <w:tcW w:w="1210" w:type="pct"/>
                  <w:noWrap w:val="0"/>
                  <w:vAlign w:val="center"/>
                </w:tcPr>
                <w:p w14:paraId="056CA7CC">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≤1000</w:t>
                  </w:r>
                </w:p>
              </w:tc>
              <w:tc>
                <w:tcPr>
                  <w:tcW w:w="507" w:type="pct"/>
                  <w:noWrap w:val="0"/>
                  <w:vAlign w:val="center"/>
                </w:tcPr>
                <w:p w14:paraId="15AE31C1">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达标</w:t>
                  </w:r>
                </w:p>
              </w:tc>
            </w:tr>
            <w:tr w14:paraId="7E84CA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1303" w:type="pct"/>
                  <w:noWrap w:val="0"/>
                  <w:vAlign w:val="center"/>
                </w:tcPr>
                <w:p w14:paraId="6FAE7EF9">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硫酸盐</w:t>
                  </w:r>
                </w:p>
              </w:tc>
              <w:tc>
                <w:tcPr>
                  <w:tcW w:w="921" w:type="pct"/>
                  <w:noWrap w:val="0"/>
                  <w:vAlign w:val="center"/>
                </w:tcPr>
                <w:p w14:paraId="7F9F23AB">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mg/L</w:t>
                  </w:r>
                </w:p>
              </w:tc>
              <w:tc>
                <w:tcPr>
                  <w:tcW w:w="1057" w:type="pct"/>
                  <w:noWrap w:val="0"/>
                  <w:vAlign w:val="center"/>
                </w:tcPr>
                <w:p w14:paraId="3468E640">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107</w:t>
                  </w:r>
                </w:p>
              </w:tc>
              <w:tc>
                <w:tcPr>
                  <w:tcW w:w="1210" w:type="pct"/>
                  <w:noWrap w:val="0"/>
                  <w:vAlign w:val="center"/>
                </w:tcPr>
                <w:p w14:paraId="63ECF0FC">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≤250</w:t>
                  </w:r>
                </w:p>
              </w:tc>
              <w:tc>
                <w:tcPr>
                  <w:tcW w:w="507" w:type="pct"/>
                  <w:noWrap w:val="0"/>
                  <w:vAlign w:val="center"/>
                </w:tcPr>
                <w:p w14:paraId="475DEF5C">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达标</w:t>
                  </w:r>
                </w:p>
              </w:tc>
            </w:tr>
            <w:tr w14:paraId="134EB3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1303" w:type="pct"/>
                  <w:noWrap w:val="0"/>
                  <w:vAlign w:val="center"/>
                </w:tcPr>
                <w:p w14:paraId="2C1FA6F3">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氯化物</w:t>
                  </w:r>
                </w:p>
              </w:tc>
              <w:tc>
                <w:tcPr>
                  <w:tcW w:w="921" w:type="pct"/>
                  <w:noWrap w:val="0"/>
                  <w:vAlign w:val="center"/>
                </w:tcPr>
                <w:p w14:paraId="35D79E24">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mg/L</w:t>
                  </w:r>
                </w:p>
              </w:tc>
              <w:tc>
                <w:tcPr>
                  <w:tcW w:w="1057" w:type="pct"/>
                  <w:noWrap w:val="0"/>
                  <w:vAlign w:val="center"/>
                </w:tcPr>
                <w:p w14:paraId="1186A677">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76.4</w:t>
                  </w:r>
                </w:p>
              </w:tc>
              <w:tc>
                <w:tcPr>
                  <w:tcW w:w="1210" w:type="pct"/>
                  <w:noWrap w:val="0"/>
                  <w:vAlign w:val="center"/>
                </w:tcPr>
                <w:p w14:paraId="1B89E607">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≤250</w:t>
                  </w:r>
                </w:p>
              </w:tc>
              <w:tc>
                <w:tcPr>
                  <w:tcW w:w="507" w:type="pct"/>
                  <w:noWrap w:val="0"/>
                  <w:vAlign w:val="center"/>
                </w:tcPr>
                <w:p w14:paraId="4B8B4D4B">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达标</w:t>
                  </w:r>
                </w:p>
              </w:tc>
            </w:tr>
            <w:tr w14:paraId="1AF100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1303" w:type="pct"/>
                  <w:noWrap w:val="0"/>
                  <w:vAlign w:val="center"/>
                </w:tcPr>
                <w:p w14:paraId="06ACCB39">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铁</w:t>
                  </w:r>
                </w:p>
              </w:tc>
              <w:tc>
                <w:tcPr>
                  <w:tcW w:w="921" w:type="pct"/>
                  <w:noWrap w:val="0"/>
                  <w:vAlign w:val="center"/>
                </w:tcPr>
                <w:p w14:paraId="64F2F985">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mg/L</w:t>
                  </w:r>
                </w:p>
              </w:tc>
              <w:tc>
                <w:tcPr>
                  <w:tcW w:w="1057" w:type="pct"/>
                  <w:noWrap w:val="0"/>
                  <w:vAlign w:val="center"/>
                </w:tcPr>
                <w:p w14:paraId="114F2F91">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0.03L</w:t>
                  </w:r>
                </w:p>
              </w:tc>
              <w:tc>
                <w:tcPr>
                  <w:tcW w:w="1210" w:type="pct"/>
                  <w:noWrap w:val="0"/>
                  <w:vAlign w:val="center"/>
                </w:tcPr>
                <w:p w14:paraId="7720BCFC">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w:t>
                  </w:r>
                </w:p>
              </w:tc>
              <w:tc>
                <w:tcPr>
                  <w:tcW w:w="507" w:type="pct"/>
                  <w:noWrap w:val="0"/>
                  <w:vAlign w:val="center"/>
                </w:tcPr>
                <w:p w14:paraId="409FC06F">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达标</w:t>
                  </w:r>
                </w:p>
              </w:tc>
            </w:tr>
            <w:tr w14:paraId="465E64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1303" w:type="pct"/>
                  <w:noWrap w:val="0"/>
                  <w:vAlign w:val="center"/>
                </w:tcPr>
                <w:p w14:paraId="1ED8B2FA">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锰</w:t>
                  </w:r>
                </w:p>
              </w:tc>
              <w:tc>
                <w:tcPr>
                  <w:tcW w:w="921" w:type="pct"/>
                  <w:noWrap w:val="0"/>
                  <w:vAlign w:val="center"/>
                </w:tcPr>
                <w:p w14:paraId="3EC18CC1">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mg/L</w:t>
                  </w:r>
                </w:p>
              </w:tc>
              <w:tc>
                <w:tcPr>
                  <w:tcW w:w="1057" w:type="pct"/>
                  <w:noWrap w:val="0"/>
                  <w:vAlign w:val="center"/>
                </w:tcPr>
                <w:p w14:paraId="54BA76B1">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0.01L</w:t>
                  </w:r>
                </w:p>
              </w:tc>
              <w:tc>
                <w:tcPr>
                  <w:tcW w:w="1210" w:type="pct"/>
                  <w:noWrap w:val="0"/>
                  <w:vAlign w:val="center"/>
                </w:tcPr>
                <w:p w14:paraId="6BCA97CA">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≤0.10</w:t>
                  </w:r>
                </w:p>
              </w:tc>
              <w:tc>
                <w:tcPr>
                  <w:tcW w:w="507" w:type="pct"/>
                  <w:noWrap w:val="0"/>
                  <w:vAlign w:val="center"/>
                </w:tcPr>
                <w:p w14:paraId="322ED265">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达标</w:t>
                  </w:r>
                </w:p>
              </w:tc>
            </w:tr>
            <w:tr w14:paraId="5069C0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1303" w:type="pct"/>
                  <w:noWrap w:val="0"/>
                  <w:vAlign w:val="center"/>
                </w:tcPr>
                <w:p w14:paraId="7BED6D21">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铜</w:t>
                  </w:r>
                </w:p>
              </w:tc>
              <w:tc>
                <w:tcPr>
                  <w:tcW w:w="921" w:type="pct"/>
                  <w:noWrap w:val="0"/>
                  <w:vAlign w:val="center"/>
                </w:tcPr>
                <w:p w14:paraId="4AB6DAD9">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mg/L</w:t>
                  </w:r>
                </w:p>
              </w:tc>
              <w:tc>
                <w:tcPr>
                  <w:tcW w:w="1057" w:type="pct"/>
                  <w:noWrap w:val="0"/>
                  <w:vAlign w:val="center"/>
                </w:tcPr>
                <w:p w14:paraId="73CC1260">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0.05L</w:t>
                  </w:r>
                </w:p>
              </w:tc>
              <w:tc>
                <w:tcPr>
                  <w:tcW w:w="1210" w:type="pct"/>
                  <w:noWrap w:val="0"/>
                  <w:vAlign w:val="center"/>
                </w:tcPr>
                <w:p w14:paraId="7B077CEC">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≤1.00</w:t>
                  </w:r>
                </w:p>
              </w:tc>
              <w:tc>
                <w:tcPr>
                  <w:tcW w:w="507" w:type="pct"/>
                  <w:noWrap w:val="0"/>
                  <w:vAlign w:val="center"/>
                </w:tcPr>
                <w:p w14:paraId="47DA7EE9">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达标</w:t>
                  </w:r>
                </w:p>
              </w:tc>
            </w:tr>
            <w:tr w14:paraId="3231E8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1303" w:type="pct"/>
                  <w:noWrap w:val="0"/>
                  <w:vAlign w:val="center"/>
                </w:tcPr>
                <w:p w14:paraId="1D24DF9F">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锌</w:t>
                  </w:r>
                </w:p>
              </w:tc>
              <w:tc>
                <w:tcPr>
                  <w:tcW w:w="921" w:type="pct"/>
                  <w:noWrap w:val="0"/>
                  <w:vAlign w:val="center"/>
                </w:tcPr>
                <w:p w14:paraId="1ECD5B6E">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mg/L</w:t>
                  </w:r>
                </w:p>
              </w:tc>
              <w:tc>
                <w:tcPr>
                  <w:tcW w:w="1057" w:type="pct"/>
                  <w:noWrap w:val="0"/>
                  <w:vAlign w:val="center"/>
                </w:tcPr>
                <w:p w14:paraId="311C4FB8">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0.05L</w:t>
                  </w:r>
                </w:p>
              </w:tc>
              <w:tc>
                <w:tcPr>
                  <w:tcW w:w="1210" w:type="pct"/>
                  <w:noWrap w:val="0"/>
                  <w:vAlign w:val="center"/>
                </w:tcPr>
                <w:p w14:paraId="541CC40B">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≤1.00</w:t>
                  </w:r>
                </w:p>
              </w:tc>
              <w:tc>
                <w:tcPr>
                  <w:tcW w:w="507" w:type="pct"/>
                  <w:noWrap w:val="0"/>
                  <w:vAlign w:val="center"/>
                </w:tcPr>
                <w:p w14:paraId="7EC52BFE">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达标</w:t>
                  </w:r>
                </w:p>
              </w:tc>
            </w:tr>
            <w:tr w14:paraId="3E2B9F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1303" w:type="pct"/>
                  <w:noWrap w:val="0"/>
                  <w:vAlign w:val="center"/>
                </w:tcPr>
                <w:p w14:paraId="7D3235A0">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铝</w:t>
                  </w:r>
                </w:p>
              </w:tc>
              <w:tc>
                <w:tcPr>
                  <w:tcW w:w="921" w:type="pct"/>
                  <w:noWrap w:val="0"/>
                  <w:vAlign w:val="center"/>
                </w:tcPr>
                <w:p w14:paraId="09C30784">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mg/L</w:t>
                  </w:r>
                </w:p>
              </w:tc>
              <w:tc>
                <w:tcPr>
                  <w:tcW w:w="1057" w:type="pct"/>
                  <w:noWrap w:val="0"/>
                  <w:vAlign w:val="center"/>
                </w:tcPr>
                <w:p w14:paraId="3D82D43B">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0.1L</w:t>
                  </w:r>
                </w:p>
              </w:tc>
              <w:tc>
                <w:tcPr>
                  <w:tcW w:w="1210" w:type="pct"/>
                  <w:noWrap w:val="0"/>
                  <w:vAlign w:val="center"/>
                </w:tcPr>
                <w:p w14:paraId="0941436B">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≤0.20</w:t>
                  </w:r>
                </w:p>
              </w:tc>
              <w:tc>
                <w:tcPr>
                  <w:tcW w:w="507" w:type="pct"/>
                  <w:noWrap w:val="0"/>
                  <w:vAlign w:val="center"/>
                </w:tcPr>
                <w:p w14:paraId="5BE68E4D">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达标</w:t>
                  </w:r>
                </w:p>
              </w:tc>
            </w:tr>
            <w:tr w14:paraId="2F7A60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1303" w:type="pct"/>
                  <w:noWrap w:val="0"/>
                  <w:vAlign w:val="center"/>
                </w:tcPr>
                <w:p w14:paraId="4ED32A43">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挥发酚</w:t>
                  </w:r>
                </w:p>
              </w:tc>
              <w:tc>
                <w:tcPr>
                  <w:tcW w:w="921" w:type="pct"/>
                  <w:noWrap w:val="0"/>
                  <w:vAlign w:val="center"/>
                </w:tcPr>
                <w:p w14:paraId="7D203195">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mg/L</w:t>
                  </w:r>
                </w:p>
              </w:tc>
              <w:tc>
                <w:tcPr>
                  <w:tcW w:w="1057" w:type="pct"/>
                  <w:noWrap w:val="0"/>
                  <w:vAlign w:val="center"/>
                </w:tcPr>
                <w:p w14:paraId="2824CE30">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0.0003L</w:t>
                  </w:r>
                </w:p>
              </w:tc>
              <w:tc>
                <w:tcPr>
                  <w:tcW w:w="1210" w:type="pct"/>
                  <w:noWrap w:val="0"/>
                  <w:vAlign w:val="center"/>
                </w:tcPr>
                <w:p w14:paraId="7AEB7BB1">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≤0.002</w:t>
                  </w:r>
                </w:p>
              </w:tc>
              <w:tc>
                <w:tcPr>
                  <w:tcW w:w="507" w:type="pct"/>
                  <w:noWrap w:val="0"/>
                  <w:vAlign w:val="center"/>
                </w:tcPr>
                <w:p w14:paraId="27F65A82">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达标</w:t>
                  </w:r>
                </w:p>
              </w:tc>
            </w:tr>
            <w:tr w14:paraId="0D02CD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1303" w:type="pct"/>
                  <w:noWrap w:val="0"/>
                  <w:vAlign w:val="center"/>
                </w:tcPr>
                <w:p w14:paraId="1D23F5FF">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阴离子表面活性剂</w:t>
                  </w:r>
                </w:p>
              </w:tc>
              <w:tc>
                <w:tcPr>
                  <w:tcW w:w="921" w:type="pct"/>
                  <w:noWrap w:val="0"/>
                  <w:vAlign w:val="center"/>
                </w:tcPr>
                <w:p w14:paraId="511FDDA7">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mg/L</w:t>
                  </w:r>
                </w:p>
              </w:tc>
              <w:tc>
                <w:tcPr>
                  <w:tcW w:w="1057" w:type="pct"/>
                  <w:noWrap w:val="0"/>
                  <w:vAlign w:val="center"/>
                </w:tcPr>
                <w:p w14:paraId="4206C7E8">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0.05L</w:t>
                  </w:r>
                </w:p>
              </w:tc>
              <w:tc>
                <w:tcPr>
                  <w:tcW w:w="1210" w:type="pct"/>
                  <w:noWrap w:val="0"/>
                  <w:vAlign w:val="center"/>
                </w:tcPr>
                <w:p w14:paraId="155DA505">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≤0.3</w:t>
                  </w:r>
                </w:p>
              </w:tc>
              <w:tc>
                <w:tcPr>
                  <w:tcW w:w="507" w:type="pct"/>
                  <w:noWrap w:val="0"/>
                  <w:vAlign w:val="center"/>
                </w:tcPr>
                <w:p w14:paraId="547905A3">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达标</w:t>
                  </w:r>
                </w:p>
              </w:tc>
            </w:tr>
            <w:tr w14:paraId="6F341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1303" w:type="pct"/>
                  <w:noWrap w:val="0"/>
                  <w:vAlign w:val="center"/>
                </w:tcPr>
                <w:p w14:paraId="06BAF834">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高锰酸盐指数</w:t>
                  </w:r>
                </w:p>
              </w:tc>
              <w:tc>
                <w:tcPr>
                  <w:tcW w:w="921" w:type="pct"/>
                  <w:noWrap w:val="0"/>
                  <w:vAlign w:val="center"/>
                </w:tcPr>
                <w:p w14:paraId="1861F783">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mg/L</w:t>
                  </w:r>
                </w:p>
              </w:tc>
              <w:tc>
                <w:tcPr>
                  <w:tcW w:w="1057" w:type="pct"/>
                  <w:noWrap w:val="0"/>
                  <w:vAlign w:val="center"/>
                </w:tcPr>
                <w:p w14:paraId="06683231">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1.6</w:t>
                  </w:r>
                </w:p>
              </w:tc>
              <w:tc>
                <w:tcPr>
                  <w:tcW w:w="1210" w:type="pct"/>
                  <w:noWrap w:val="0"/>
                  <w:vAlign w:val="center"/>
                </w:tcPr>
                <w:p w14:paraId="0BA8F248">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≤3.0</w:t>
                  </w:r>
                </w:p>
              </w:tc>
              <w:tc>
                <w:tcPr>
                  <w:tcW w:w="507" w:type="pct"/>
                  <w:noWrap w:val="0"/>
                  <w:vAlign w:val="center"/>
                </w:tcPr>
                <w:p w14:paraId="02732188">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达标</w:t>
                  </w:r>
                </w:p>
              </w:tc>
            </w:tr>
            <w:tr w14:paraId="2DB4A8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1303" w:type="pct"/>
                  <w:noWrap w:val="0"/>
                  <w:vAlign w:val="center"/>
                </w:tcPr>
                <w:p w14:paraId="7D5148B3">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氨氮</w:t>
                  </w:r>
                </w:p>
              </w:tc>
              <w:tc>
                <w:tcPr>
                  <w:tcW w:w="921" w:type="pct"/>
                  <w:noWrap w:val="0"/>
                  <w:vAlign w:val="center"/>
                </w:tcPr>
                <w:p w14:paraId="4456993F">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mg/L</w:t>
                  </w:r>
                </w:p>
              </w:tc>
              <w:tc>
                <w:tcPr>
                  <w:tcW w:w="1057" w:type="pct"/>
                  <w:noWrap w:val="0"/>
                  <w:vAlign w:val="center"/>
                </w:tcPr>
                <w:p w14:paraId="6438DAB2">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0.182</w:t>
                  </w:r>
                </w:p>
              </w:tc>
              <w:tc>
                <w:tcPr>
                  <w:tcW w:w="1210" w:type="pct"/>
                  <w:noWrap w:val="0"/>
                  <w:vAlign w:val="center"/>
                </w:tcPr>
                <w:p w14:paraId="486B435C">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≤0.50</w:t>
                  </w:r>
                </w:p>
              </w:tc>
              <w:tc>
                <w:tcPr>
                  <w:tcW w:w="507" w:type="pct"/>
                  <w:noWrap w:val="0"/>
                  <w:vAlign w:val="center"/>
                </w:tcPr>
                <w:p w14:paraId="48F76819">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达标</w:t>
                  </w:r>
                </w:p>
              </w:tc>
            </w:tr>
            <w:tr w14:paraId="2D52A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1303" w:type="pct"/>
                  <w:noWrap w:val="0"/>
                  <w:vAlign w:val="center"/>
                </w:tcPr>
                <w:p w14:paraId="2257E359">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硫化物</w:t>
                  </w:r>
                </w:p>
              </w:tc>
              <w:tc>
                <w:tcPr>
                  <w:tcW w:w="921" w:type="pct"/>
                  <w:noWrap w:val="0"/>
                  <w:vAlign w:val="center"/>
                </w:tcPr>
                <w:p w14:paraId="1B115D13">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mg/L</w:t>
                  </w:r>
                </w:p>
              </w:tc>
              <w:tc>
                <w:tcPr>
                  <w:tcW w:w="1057" w:type="pct"/>
                  <w:noWrap w:val="0"/>
                  <w:vAlign w:val="center"/>
                </w:tcPr>
                <w:p w14:paraId="0FF41D7C">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0.003L</w:t>
                  </w:r>
                </w:p>
              </w:tc>
              <w:tc>
                <w:tcPr>
                  <w:tcW w:w="1210" w:type="pct"/>
                  <w:noWrap w:val="0"/>
                  <w:vAlign w:val="center"/>
                </w:tcPr>
                <w:p w14:paraId="48D726E4">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≤0.02</w:t>
                  </w:r>
                </w:p>
              </w:tc>
              <w:tc>
                <w:tcPr>
                  <w:tcW w:w="507" w:type="pct"/>
                  <w:noWrap w:val="0"/>
                  <w:vAlign w:val="center"/>
                </w:tcPr>
                <w:p w14:paraId="7C7915CC">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达标</w:t>
                  </w:r>
                </w:p>
              </w:tc>
            </w:tr>
            <w:tr w14:paraId="28CF63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1303" w:type="pct"/>
                  <w:noWrap w:val="0"/>
                  <w:vAlign w:val="center"/>
                </w:tcPr>
                <w:p w14:paraId="4BCB1550">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钠</w:t>
                  </w:r>
                </w:p>
              </w:tc>
              <w:tc>
                <w:tcPr>
                  <w:tcW w:w="921" w:type="pct"/>
                  <w:noWrap w:val="0"/>
                  <w:vAlign w:val="center"/>
                </w:tcPr>
                <w:p w14:paraId="729707A7">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mg/L</w:t>
                  </w:r>
                </w:p>
              </w:tc>
              <w:tc>
                <w:tcPr>
                  <w:tcW w:w="1057" w:type="pct"/>
                  <w:noWrap w:val="0"/>
                  <w:vAlign w:val="center"/>
                </w:tcPr>
                <w:p w14:paraId="3A0D0937">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8.42</w:t>
                  </w:r>
                </w:p>
              </w:tc>
              <w:tc>
                <w:tcPr>
                  <w:tcW w:w="1210" w:type="pct"/>
                  <w:noWrap w:val="0"/>
                  <w:vAlign w:val="center"/>
                </w:tcPr>
                <w:p w14:paraId="6834EBBD">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≤200</w:t>
                  </w:r>
                </w:p>
              </w:tc>
              <w:tc>
                <w:tcPr>
                  <w:tcW w:w="507" w:type="pct"/>
                  <w:noWrap w:val="0"/>
                  <w:vAlign w:val="center"/>
                </w:tcPr>
                <w:p w14:paraId="75811EF5">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达标</w:t>
                  </w:r>
                </w:p>
              </w:tc>
            </w:tr>
            <w:tr w14:paraId="1D813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1303" w:type="pct"/>
                  <w:noWrap w:val="0"/>
                  <w:vAlign w:val="center"/>
                </w:tcPr>
                <w:p w14:paraId="64E77EDE">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总大肠菌群</w:t>
                  </w:r>
                </w:p>
              </w:tc>
              <w:tc>
                <w:tcPr>
                  <w:tcW w:w="921" w:type="pct"/>
                  <w:noWrap w:val="0"/>
                  <w:vAlign w:val="center"/>
                </w:tcPr>
                <w:p w14:paraId="58DDCE3B">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MPN/100mL</w:t>
                  </w:r>
                </w:p>
              </w:tc>
              <w:tc>
                <w:tcPr>
                  <w:tcW w:w="1057" w:type="pct"/>
                  <w:noWrap w:val="0"/>
                  <w:vAlign w:val="center"/>
                </w:tcPr>
                <w:p w14:paraId="77C6FC41">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未检出</w:t>
                  </w:r>
                </w:p>
              </w:tc>
              <w:tc>
                <w:tcPr>
                  <w:tcW w:w="1210" w:type="pct"/>
                  <w:noWrap w:val="0"/>
                  <w:vAlign w:val="center"/>
                </w:tcPr>
                <w:p w14:paraId="71562D45">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≤3.0</w:t>
                  </w:r>
                </w:p>
              </w:tc>
              <w:tc>
                <w:tcPr>
                  <w:tcW w:w="507" w:type="pct"/>
                  <w:noWrap w:val="0"/>
                  <w:vAlign w:val="center"/>
                </w:tcPr>
                <w:p w14:paraId="1CFE5791">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达标</w:t>
                  </w:r>
                </w:p>
              </w:tc>
            </w:tr>
            <w:tr w14:paraId="629054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1303" w:type="pct"/>
                  <w:noWrap w:val="0"/>
                  <w:vAlign w:val="center"/>
                </w:tcPr>
                <w:p w14:paraId="14FEA90D">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细菌总数</w:t>
                  </w:r>
                </w:p>
              </w:tc>
              <w:tc>
                <w:tcPr>
                  <w:tcW w:w="921" w:type="pct"/>
                  <w:noWrap w:val="0"/>
                  <w:vAlign w:val="center"/>
                </w:tcPr>
                <w:p w14:paraId="582194ED">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CFU/mL</w:t>
                  </w:r>
                </w:p>
              </w:tc>
              <w:tc>
                <w:tcPr>
                  <w:tcW w:w="1057" w:type="pct"/>
                  <w:noWrap w:val="0"/>
                  <w:vAlign w:val="center"/>
                </w:tcPr>
                <w:p w14:paraId="3CC9D5B3">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43</w:t>
                  </w:r>
                </w:p>
              </w:tc>
              <w:tc>
                <w:tcPr>
                  <w:tcW w:w="1210" w:type="pct"/>
                  <w:noWrap w:val="0"/>
                  <w:vAlign w:val="center"/>
                </w:tcPr>
                <w:p w14:paraId="25FDC030">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≤100</w:t>
                  </w:r>
                </w:p>
              </w:tc>
              <w:tc>
                <w:tcPr>
                  <w:tcW w:w="507" w:type="pct"/>
                  <w:noWrap w:val="0"/>
                  <w:vAlign w:val="center"/>
                </w:tcPr>
                <w:p w14:paraId="3BD29589">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达标</w:t>
                  </w:r>
                </w:p>
              </w:tc>
            </w:tr>
            <w:tr w14:paraId="55AD3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1303" w:type="pct"/>
                  <w:noWrap w:val="0"/>
                  <w:vAlign w:val="center"/>
                </w:tcPr>
                <w:p w14:paraId="1C26A2E5">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亚硝酸盐（以N计）</w:t>
                  </w:r>
                </w:p>
              </w:tc>
              <w:tc>
                <w:tcPr>
                  <w:tcW w:w="921" w:type="pct"/>
                  <w:noWrap w:val="0"/>
                  <w:vAlign w:val="center"/>
                </w:tcPr>
                <w:p w14:paraId="0CA92F9F">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mg/L</w:t>
                  </w:r>
                </w:p>
              </w:tc>
              <w:tc>
                <w:tcPr>
                  <w:tcW w:w="1057" w:type="pct"/>
                  <w:noWrap w:val="0"/>
                  <w:vAlign w:val="center"/>
                </w:tcPr>
                <w:p w14:paraId="1B8BB6CE">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0.048</w:t>
                  </w:r>
                </w:p>
              </w:tc>
              <w:tc>
                <w:tcPr>
                  <w:tcW w:w="1210" w:type="pct"/>
                  <w:noWrap w:val="0"/>
                  <w:vAlign w:val="center"/>
                </w:tcPr>
                <w:p w14:paraId="3AE66174">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≤1.00</w:t>
                  </w:r>
                </w:p>
              </w:tc>
              <w:tc>
                <w:tcPr>
                  <w:tcW w:w="507" w:type="pct"/>
                  <w:noWrap w:val="0"/>
                  <w:vAlign w:val="center"/>
                </w:tcPr>
                <w:p w14:paraId="2C101E18">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达标</w:t>
                  </w:r>
                </w:p>
              </w:tc>
            </w:tr>
            <w:tr w14:paraId="535040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1303" w:type="pct"/>
                  <w:noWrap w:val="0"/>
                  <w:vAlign w:val="center"/>
                </w:tcPr>
                <w:p w14:paraId="004045B7">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硝酸盐（以N计）</w:t>
                  </w:r>
                </w:p>
              </w:tc>
              <w:tc>
                <w:tcPr>
                  <w:tcW w:w="921" w:type="pct"/>
                  <w:noWrap w:val="0"/>
                  <w:vAlign w:val="center"/>
                </w:tcPr>
                <w:p w14:paraId="757963D9">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mg/L</w:t>
                  </w:r>
                </w:p>
              </w:tc>
              <w:tc>
                <w:tcPr>
                  <w:tcW w:w="1057" w:type="pct"/>
                  <w:noWrap w:val="0"/>
                  <w:vAlign w:val="center"/>
                </w:tcPr>
                <w:p w14:paraId="56D7F61F">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4.17</w:t>
                  </w:r>
                </w:p>
              </w:tc>
              <w:tc>
                <w:tcPr>
                  <w:tcW w:w="1210" w:type="pct"/>
                  <w:noWrap w:val="0"/>
                  <w:vAlign w:val="center"/>
                </w:tcPr>
                <w:p w14:paraId="06BA9082">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≤20.0</w:t>
                  </w:r>
                </w:p>
              </w:tc>
              <w:tc>
                <w:tcPr>
                  <w:tcW w:w="507" w:type="pct"/>
                  <w:noWrap w:val="0"/>
                  <w:vAlign w:val="center"/>
                </w:tcPr>
                <w:p w14:paraId="1F3A4405">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达标</w:t>
                  </w:r>
                </w:p>
              </w:tc>
            </w:tr>
            <w:tr w14:paraId="2F3D97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1303" w:type="pct"/>
                  <w:noWrap w:val="0"/>
                  <w:vAlign w:val="center"/>
                </w:tcPr>
                <w:p w14:paraId="0E11DD47">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氰化物</w:t>
                  </w:r>
                </w:p>
              </w:tc>
              <w:tc>
                <w:tcPr>
                  <w:tcW w:w="921" w:type="pct"/>
                  <w:noWrap w:val="0"/>
                  <w:vAlign w:val="center"/>
                </w:tcPr>
                <w:p w14:paraId="4EE0D8E3">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mg/L</w:t>
                  </w:r>
                </w:p>
              </w:tc>
              <w:tc>
                <w:tcPr>
                  <w:tcW w:w="1057" w:type="pct"/>
                  <w:noWrap w:val="0"/>
                  <w:vAlign w:val="center"/>
                </w:tcPr>
                <w:p w14:paraId="7F977EB1">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0.001L</w:t>
                  </w:r>
                </w:p>
              </w:tc>
              <w:tc>
                <w:tcPr>
                  <w:tcW w:w="1210" w:type="pct"/>
                  <w:noWrap w:val="0"/>
                  <w:vAlign w:val="center"/>
                </w:tcPr>
                <w:p w14:paraId="7DA30CEF">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≤0.05</w:t>
                  </w:r>
                </w:p>
              </w:tc>
              <w:tc>
                <w:tcPr>
                  <w:tcW w:w="507" w:type="pct"/>
                  <w:noWrap w:val="0"/>
                  <w:vAlign w:val="center"/>
                </w:tcPr>
                <w:p w14:paraId="21952811">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达标</w:t>
                  </w:r>
                </w:p>
              </w:tc>
            </w:tr>
            <w:tr w14:paraId="76D413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1303" w:type="pct"/>
                  <w:noWrap w:val="0"/>
                  <w:vAlign w:val="center"/>
                </w:tcPr>
                <w:p w14:paraId="313C99A0">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氟化物</w:t>
                  </w:r>
                </w:p>
              </w:tc>
              <w:tc>
                <w:tcPr>
                  <w:tcW w:w="921" w:type="pct"/>
                  <w:noWrap w:val="0"/>
                  <w:vAlign w:val="center"/>
                </w:tcPr>
                <w:p w14:paraId="7713D89B">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mg/L</w:t>
                  </w:r>
                </w:p>
              </w:tc>
              <w:tc>
                <w:tcPr>
                  <w:tcW w:w="1057" w:type="pct"/>
                  <w:noWrap w:val="0"/>
                  <w:vAlign w:val="center"/>
                </w:tcPr>
                <w:p w14:paraId="06CE794A">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0.24</w:t>
                  </w:r>
                </w:p>
              </w:tc>
              <w:tc>
                <w:tcPr>
                  <w:tcW w:w="1210" w:type="pct"/>
                  <w:noWrap w:val="0"/>
                  <w:vAlign w:val="center"/>
                </w:tcPr>
                <w:p w14:paraId="14342586">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≤1.0</w:t>
                  </w:r>
                </w:p>
              </w:tc>
              <w:tc>
                <w:tcPr>
                  <w:tcW w:w="507" w:type="pct"/>
                  <w:noWrap w:val="0"/>
                  <w:vAlign w:val="center"/>
                </w:tcPr>
                <w:p w14:paraId="2446E65A">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达标</w:t>
                  </w:r>
                </w:p>
              </w:tc>
            </w:tr>
            <w:tr w14:paraId="3F22CC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1303" w:type="pct"/>
                  <w:noWrap w:val="0"/>
                  <w:vAlign w:val="center"/>
                </w:tcPr>
                <w:p w14:paraId="376CDF0E">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汞</w:t>
                  </w:r>
                </w:p>
              </w:tc>
              <w:tc>
                <w:tcPr>
                  <w:tcW w:w="921" w:type="pct"/>
                  <w:noWrap w:val="0"/>
                  <w:vAlign w:val="center"/>
                </w:tcPr>
                <w:p w14:paraId="5852AC53">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mg/L</w:t>
                  </w:r>
                </w:p>
              </w:tc>
              <w:tc>
                <w:tcPr>
                  <w:tcW w:w="1057" w:type="pct"/>
                  <w:noWrap w:val="0"/>
                  <w:vAlign w:val="center"/>
                </w:tcPr>
                <w:p w14:paraId="1D647716">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0.00004L</w:t>
                  </w:r>
                </w:p>
              </w:tc>
              <w:tc>
                <w:tcPr>
                  <w:tcW w:w="1210" w:type="pct"/>
                  <w:noWrap w:val="0"/>
                  <w:vAlign w:val="center"/>
                </w:tcPr>
                <w:p w14:paraId="48A3DA90">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≤0.001</w:t>
                  </w:r>
                </w:p>
              </w:tc>
              <w:tc>
                <w:tcPr>
                  <w:tcW w:w="507" w:type="pct"/>
                  <w:noWrap w:val="0"/>
                  <w:vAlign w:val="center"/>
                </w:tcPr>
                <w:p w14:paraId="19293B8A">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达标</w:t>
                  </w:r>
                </w:p>
              </w:tc>
            </w:tr>
            <w:tr w14:paraId="2067DF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1303" w:type="pct"/>
                  <w:noWrap w:val="0"/>
                  <w:vAlign w:val="center"/>
                </w:tcPr>
                <w:p w14:paraId="05C3EDDB">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砷</w:t>
                  </w:r>
                </w:p>
              </w:tc>
              <w:tc>
                <w:tcPr>
                  <w:tcW w:w="921" w:type="pct"/>
                  <w:noWrap w:val="0"/>
                  <w:vAlign w:val="center"/>
                </w:tcPr>
                <w:p w14:paraId="309F7F6D">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mg/L</w:t>
                  </w:r>
                </w:p>
              </w:tc>
              <w:tc>
                <w:tcPr>
                  <w:tcW w:w="1057" w:type="pct"/>
                  <w:noWrap w:val="0"/>
                  <w:vAlign w:val="center"/>
                </w:tcPr>
                <w:p w14:paraId="43448D0E">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0.0003L</w:t>
                  </w:r>
                </w:p>
              </w:tc>
              <w:tc>
                <w:tcPr>
                  <w:tcW w:w="1210" w:type="pct"/>
                  <w:noWrap w:val="0"/>
                  <w:vAlign w:val="center"/>
                </w:tcPr>
                <w:p w14:paraId="50378651">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≤0.01</w:t>
                  </w:r>
                </w:p>
              </w:tc>
              <w:tc>
                <w:tcPr>
                  <w:tcW w:w="507" w:type="pct"/>
                  <w:noWrap w:val="0"/>
                  <w:vAlign w:val="center"/>
                </w:tcPr>
                <w:p w14:paraId="5EEB011D">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达标</w:t>
                  </w:r>
                </w:p>
              </w:tc>
            </w:tr>
            <w:tr w14:paraId="428E59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1303" w:type="pct"/>
                  <w:noWrap w:val="0"/>
                  <w:vAlign w:val="center"/>
                </w:tcPr>
                <w:p w14:paraId="3822D522">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硒</w:t>
                  </w:r>
                </w:p>
              </w:tc>
              <w:tc>
                <w:tcPr>
                  <w:tcW w:w="921" w:type="pct"/>
                  <w:noWrap w:val="0"/>
                  <w:vAlign w:val="center"/>
                </w:tcPr>
                <w:p w14:paraId="0B97C4D1">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mg/L</w:t>
                  </w:r>
                </w:p>
              </w:tc>
              <w:tc>
                <w:tcPr>
                  <w:tcW w:w="1057" w:type="pct"/>
                  <w:noWrap w:val="0"/>
                  <w:vAlign w:val="center"/>
                </w:tcPr>
                <w:p w14:paraId="3E82C064">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0.0004L</w:t>
                  </w:r>
                </w:p>
              </w:tc>
              <w:tc>
                <w:tcPr>
                  <w:tcW w:w="1210" w:type="pct"/>
                  <w:noWrap w:val="0"/>
                  <w:vAlign w:val="center"/>
                </w:tcPr>
                <w:p w14:paraId="57BF4913">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≤0.01</w:t>
                  </w:r>
                </w:p>
              </w:tc>
              <w:tc>
                <w:tcPr>
                  <w:tcW w:w="507" w:type="pct"/>
                  <w:noWrap w:val="0"/>
                  <w:vAlign w:val="center"/>
                </w:tcPr>
                <w:p w14:paraId="6AD740CF">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达标</w:t>
                  </w:r>
                </w:p>
              </w:tc>
            </w:tr>
            <w:tr w14:paraId="293F60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1303" w:type="pct"/>
                  <w:noWrap w:val="0"/>
                  <w:vAlign w:val="center"/>
                </w:tcPr>
                <w:p w14:paraId="6AABE520">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镉</w:t>
                  </w:r>
                </w:p>
              </w:tc>
              <w:tc>
                <w:tcPr>
                  <w:tcW w:w="921" w:type="pct"/>
                  <w:noWrap w:val="0"/>
                  <w:vAlign w:val="center"/>
                </w:tcPr>
                <w:p w14:paraId="34D192E0">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mg/L</w:t>
                  </w:r>
                </w:p>
              </w:tc>
              <w:tc>
                <w:tcPr>
                  <w:tcW w:w="1057" w:type="pct"/>
                  <w:noWrap w:val="0"/>
                  <w:vAlign w:val="center"/>
                </w:tcPr>
                <w:p w14:paraId="5902AADD">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0.0007</w:t>
                  </w:r>
                </w:p>
              </w:tc>
              <w:tc>
                <w:tcPr>
                  <w:tcW w:w="1210" w:type="pct"/>
                  <w:noWrap w:val="0"/>
                  <w:vAlign w:val="center"/>
                </w:tcPr>
                <w:p w14:paraId="71DFD9FA">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≤0.005</w:t>
                  </w:r>
                </w:p>
              </w:tc>
              <w:tc>
                <w:tcPr>
                  <w:tcW w:w="507" w:type="pct"/>
                  <w:noWrap w:val="0"/>
                  <w:vAlign w:val="center"/>
                </w:tcPr>
                <w:p w14:paraId="69647FA9">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达标</w:t>
                  </w:r>
                </w:p>
              </w:tc>
            </w:tr>
            <w:tr w14:paraId="5FAEE0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1303" w:type="pct"/>
                  <w:noWrap w:val="0"/>
                  <w:vAlign w:val="center"/>
                </w:tcPr>
                <w:p w14:paraId="236DBB7B">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六价铬</w:t>
                  </w:r>
                </w:p>
              </w:tc>
              <w:tc>
                <w:tcPr>
                  <w:tcW w:w="921" w:type="pct"/>
                  <w:noWrap w:val="0"/>
                  <w:vAlign w:val="center"/>
                </w:tcPr>
                <w:p w14:paraId="5042CD71">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mg/L</w:t>
                  </w:r>
                </w:p>
              </w:tc>
              <w:tc>
                <w:tcPr>
                  <w:tcW w:w="1057" w:type="pct"/>
                  <w:noWrap w:val="0"/>
                  <w:vAlign w:val="center"/>
                </w:tcPr>
                <w:p w14:paraId="2AD54EFD">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0.004L</w:t>
                  </w:r>
                </w:p>
              </w:tc>
              <w:tc>
                <w:tcPr>
                  <w:tcW w:w="1210" w:type="pct"/>
                  <w:noWrap w:val="0"/>
                  <w:vAlign w:val="center"/>
                </w:tcPr>
                <w:p w14:paraId="0F32AE78">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≤0.05</w:t>
                  </w:r>
                </w:p>
              </w:tc>
              <w:tc>
                <w:tcPr>
                  <w:tcW w:w="507" w:type="pct"/>
                  <w:noWrap w:val="0"/>
                  <w:vAlign w:val="center"/>
                </w:tcPr>
                <w:p w14:paraId="3E33BF12">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达标</w:t>
                  </w:r>
                </w:p>
              </w:tc>
            </w:tr>
            <w:tr w14:paraId="6AFE3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1303" w:type="pct"/>
                  <w:noWrap w:val="0"/>
                  <w:vAlign w:val="center"/>
                </w:tcPr>
                <w:p w14:paraId="70D3C09F">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铅</w:t>
                  </w:r>
                </w:p>
              </w:tc>
              <w:tc>
                <w:tcPr>
                  <w:tcW w:w="921" w:type="pct"/>
                  <w:noWrap w:val="0"/>
                  <w:vAlign w:val="center"/>
                </w:tcPr>
                <w:p w14:paraId="07A5B31A">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mg/L</w:t>
                  </w:r>
                </w:p>
              </w:tc>
              <w:tc>
                <w:tcPr>
                  <w:tcW w:w="1057" w:type="pct"/>
                  <w:noWrap w:val="0"/>
                  <w:vAlign w:val="center"/>
                </w:tcPr>
                <w:p w14:paraId="55577197">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0.004</w:t>
                  </w:r>
                </w:p>
              </w:tc>
              <w:tc>
                <w:tcPr>
                  <w:tcW w:w="1210" w:type="pct"/>
                  <w:noWrap w:val="0"/>
                  <w:vAlign w:val="center"/>
                </w:tcPr>
                <w:p w14:paraId="4F319D4F">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≤0.01</w:t>
                  </w:r>
                </w:p>
              </w:tc>
              <w:tc>
                <w:tcPr>
                  <w:tcW w:w="507" w:type="pct"/>
                  <w:noWrap w:val="0"/>
                  <w:vAlign w:val="center"/>
                </w:tcPr>
                <w:p w14:paraId="197998D9">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达标</w:t>
                  </w:r>
                </w:p>
              </w:tc>
            </w:tr>
            <w:tr w14:paraId="5E2FE9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1303" w:type="pct"/>
                  <w:noWrap w:val="0"/>
                  <w:vAlign w:val="center"/>
                </w:tcPr>
                <w:p w14:paraId="6BE9E569">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钾</w:t>
                  </w:r>
                </w:p>
              </w:tc>
              <w:tc>
                <w:tcPr>
                  <w:tcW w:w="921" w:type="pct"/>
                  <w:noWrap w:val="0"/>
                  <w:vAlign w:val="center"/>
                </w:tcPr>
                <w:p w14:paraId="204FA228">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mg/L</w:t>
                  </w:r>
                </w:p>
              </w:tc>
              <w:tc>
                <w:tcPr>
                  <w:tcW w:w="1057" w:type="pct"/>
                  <w:noWrap w:val="0"/>
                  <w:vAlign w:val="center"/>
                </w:tcPr>
                <w:p w14:paraId="735C5ECC">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19.0</w:t>
                  </w:r>
                </w:p>
              </w:tc>
              <w:tc>
                <w:tcPr>
                  <w:tcW w:w="1210" w:type="pct"/>
                  <w:noWrap w:val="0"/>
                  <w:vAlign w:val="center"/>
                </w:tcPr>
                <w:p w14:paraId="5D6ADE67">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c>
                <w:tcPr>
                  <w:tcW w:w="507" w:type="pct"/>
                  <w:noWrap w:val="0"/>
                  <w:vAlign w:val="center"/>
                </w:tcPr>
                <w:p w14:paraId="32C8B167">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r>
            <w:tr w14:paraId="4B118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1303" w:type="pct"/>
                  <w:noWrap w:val="0"/>
                  <w:vAlign w:val="center"/>
                </w:tcPr>
                <w:p w14:paraId="79B6E2D8">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钙</w:t>
                  </w:r>
                </w:p>
              </w:tc>
              <w:tc>
                <w:tcPr>
                  <w:tcW w:w="921" w:type="pct"/>
                  <w:noWrap w:val="0"/>
                  <w:vAlign w:val="center"/>
                </w:tcPr>
                <w:p w14:paraId="269DF411">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mg/L</w:t>
                  </w:r>
                </w:p>
              </w:tc>
              <w:tc>
                <w:tcPr>
                  <w:tcW w:w="1057" w:type="pct"/>
                  <w:noWrap w:val="0"/>
                  <w:vAlign w:val="center"/>
                </w:tcPr>
                <w:p w14:paraId="02B9663C">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165</w:t>
                  </w:r>
                </w:p>
              </w:tc>
              <w:tc>
                <w:tcPr>
                  <w:tcW w:w="1210" w:type="pct"/>
                  <w:noWrap w:val="0"/>
                  <w:vAlign w:val="center"/>
                </w:tcPr>
                <w:p w14:paraId="084CBF2F">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c>
                <w:tcPr>
                  <w:tcW w:w="507" w:type="pct"/>
                  <w:noWrap w:val="0"/>
                  <w:vAlign w:val="center"/>
                </w:tcPr>
                <w:p w14:paraId="0277321C">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r>
            <w:tr w14:paraId="440A19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1303" w:type="pct"/>
                  <w:noWrap w:val="0"/>
                  <w:vAlign w:val="center"/>
                </w:tcPr>
                <w:p w14:paraId="593AFB1D">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镁</w:t>
                  </w:r>
                </w:p>
              </w:tc>
              <w:tc>
                <w:tcPr>
                  <w:tcW w:w="921" w:type="pct"/>
                  <w:noWrap w:val="0"/>
                  <w:vAlign w:val="center"/>
                </w:tcPr>
                <w:p w14:paraId="73EDA4B3">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mg/L</w:t>
                  </w:r>
                </w:p>
              </w:tc>
              <w:tc>
                <w:tcPr>
                  <w:tcW w:w="1057" w:type="pct"/>
                  <w:noWrap w:val="0"/>
                  <w:vAlign w:val="center"/>
                </w:tcPr>
                <w:p w14:paraId="25C223FC">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0.46</w:t>
                  </w:r>
                </w:p>
              </w:tc>
              <w:tc>
                <w:tcPr>
                  <w:tcW w:w="1210" w:type="pct"/>
                  <w:noWrap w:val="0"/>
                  <w:vAlign w:val="center"/>
                </w:tcPr>
                <w:p w14:paraId="07986595">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c>
                <w:tcPr>
                  <w:tcW w:w="507" w:type="pct"/>
                  <w:noWrap w:val="0"/>
                  <w:vAlign w:val="center"/>
                </w:tcPr>
                <w:p w14:paraId="0E8FF354">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r>
            <w:tr w14:paraId="6C5AE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1303" w:type="pct"/>
                  <w:noWrap w:val="0"/>
                  <w:vAlign w:val="center"/>
                </w:tcPr>
                <w:p w14:paraId="1B614CB0">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碳酸根</w:t>
                  </w:r>
                </w:p>
              </w:tc>
              <w:tc>
                <w:tcPr>
                  <w:tcW w:w="921" w:type="pct"/>
                  <w:noWrap w:val="0"/>
                  <w:vAlign w:val="center"/>
                </w:tcPr>
                <w:p w14:paraId="727AC25C">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mg/L</w:t>
                  </w:r>
                </w:p>
              </w:tc>
              <w:tc>
                <w:tcPr>
                  <w:tcW w:w="1057" w:type="pct"/>
                  <w:noWrap w:val="0"/>
                  <w:vAlign w:val="center"/>
                </w:tcPr>
                <w:p w14:paraId="67972FD4">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w:t>
                  </w:r>
                </w:p>
              </w:tc>
              <w:tc>
                <w:tcPr>
                  <w:tcW w:w="1210" w:type="pct"/>
                  <w:noWrap w:val="0"/>
                  <w:vAlign w:val="center"/>
                </w:tcPr>
                <w:p w14:paraId="3DD6D011">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c>
                <w:tcPr>
                  <w:tcW w:w="507" w:type="pct"/>
                  <w:noWrap w:val="0"/>
                  <w:vAlign w:val="center"/>
                </w:tcPr>
                <w:p w14:paraId="029BF170">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r>
            <w:tr w14:paraId="20CC72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1303" w:type="pct"/>
                  <w:noWrap w:val="0"/>
                  <w:vAlign w:val="center"/>
                </w:tcPr>
                <w:p w14:paraId="21953F56">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碳酸氢根</w:t>
                  </w:r>
                </w:p>
              </w:tc>
              <w:tc>
                <w:tcPr>
                  <w:tcW w:w="921" w:type="pct"/>
                  <w:noWrap w:val="0"/>
                  <w:vAlign w:val="center"/>
                </w:tcPr>
                <w:p w14:paraId="6B188CF4">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mg/L</w:t>
                  </w:r>
                </w:p>
              </w:tc>
              <w:tc>
                <w:tcPr>
                  <w:tcW w:w="1057" w:type="pct"/>
                  <w:noWrap w:val="0"/>
                  <w:vAlign w:val="center"/>
                </w:tcPr>
                <w:p w14:paraId="08B5957D">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196</w:t>
                  </w:r>
                </w:p>
              </w:tc>
              <w:tc>
                <w:tcPr>
                  <w:tcW w:w="1210" w:type="pct"/>
                  <w:noWrap w:val="0"/>
                  <w:vAlign w:val="center"/>
                </w:tcPr>
                <w:p w14:paraId="243A25A0">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c>
                <w:tcPr>
                  <w:tcW w:w="507" w:type="pct"/>
                  <w:noWrap w:val="0"/>
                  <w:vAlign w:val="center"/>
                </w:tcPr>
                <w:p w14:paraId="684839B5">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w:t>
                  </w:r>
                </w:p>
              </w:tc>
            </w:tr>
            <w:tr w14:paraId="4A01BA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1303" w:type="pct"/>
                  <w:noWrap w:val="0"/>
                  <w:vAlign w:val="center"/>
                </w:tcPr>
                <w:p w14:paraId="713CCE4A">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石油类</w:t>
                  </w:r>
                </w:p>
              </w:tc>
              <w:tc>
                <w:tcPr>
                  <w:tcW w:w="921" w:type="pct"/>
                  <w:noWrap w:val="0"/>
                  <w:vAlign w:val="center"/>
                </w:tcPr>
                <w:p w14:paraId="311CBA68">
                  <w:pPr>
                    <w:ind w:left="-99" w:leftChars="-47" w:right="-120" w:rightChars="-57" w:firstLine="0" w:firstLineChars="0"/>
                    <w:jc w:val="center"/>
                    <w:rPr>
                      <w:rFonts w:hint="default" w:ascii="Times New Roman" w:hAnsi="Times New Roman" w:eastAsia="宋体" w:cs="Times New Roman"/>
                      <w:color w:val="000000"/>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mg/L</w:t>
                  </w:r>
                </w:p>
              </w:tc>
              <w:tc>
                <w:tcPr>
                  <w:tcW w:w="1057" w:type="pct"/>
                  <w:noWrap w:val="0"/>
                  <w:vAlign w:val="center"/>
                </w:tcPr>
                <w:p w14:paraId="07F805C2">
                  <w:pPr>
                    <w:ind w:left="-99" w:leftChars="-47" w:right="-120" w:rightChars="-57" w:firstLine="0" w:firstLineChars="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0.03</w:t>
                  </w:r>
                </w:p>
              </w:tc>
              <w:tc>
                <w:tcPr>
                  <w:tcW w:w="1210" w:type="pct"/>
                  <w:noWrap w:val="0"/>
                  <w:vAlign w:val="center"/>
                </w:tcPr>
                <w:p w14:paraId="2E6C0972">
                  <w:pPr>
                    <w:ind w:left="-80" w:leftChars="-38" w:right="-101" w:rightChars="-48" w:firstLine="0" w:firstLineChars="0"/>
                    <w:jc w:val="center"/>
                    <w:rPr>
                      <w:rFonts w:hint="default" w:ascii="Times New Roman" w:hAnsi="Times New Roman" w:eastAsia="宋体" w:cs="Times New Roman"/>
                      <w:color w:val="000000"/>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≤0.05</w:t>
                  </w:r>
                </w:p>
              </w:tc>
              <w:tc>
                <w:tcPr>
                  <w:tcW w:w="507" w:type="pct"/>
                  <w:noWrap w:val="0"/>
                  <w:vAlign w:val="center"/>
                </w:tcPr>
                <w:p w14:paraId="22FAE4CD">
                  <w:pPr>
                    <w:ind w:left="-99" w:leftChars="-47" w:right="-120" w:rightChars="-57" w:firstLine="0" w:firstLineChars="0"/>
                    <w:jc w:val="center"/>
                    <w:rPr>
                      <w:rFonts w:hint="default" w:ascii="Times New Roman" w:hAnsi="Times New Roman" w:eastAsia="宋体" w:cs="Times New Roman"/>
                      <w:color w:val="000000"/>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达标</w:t>
                  </w:r>
                </w:p>
              </w:tc>
            </w:tr>
          </w:tbl>
          <w:p w14:paraId="33DC5A39">
            <w:pPr>
              <w:spacing w:line="360" w:lineRule="auto"/>
              <w:ind w:firstLine="480"/>
              <w:rPr>
                <w:rFonts w:hint="eastAsia" w:ascii="Times New Roman" w:hAnsi="Times New Roman" w:eastAsia="宋体" w:cs="Times New Roman"/>
                <w:sz w:val="24"/>
              </w:rPr>
            </w:pPr>
            <w:r>
              <w:rPr>
                <w:rFonts w:hint="eastAsia" w:ascii="Times New Roman" w:hAnsi="Times New Roman" w:eastAsia="宋体" w:cs="Times New Roman"/>
                <w:sz w:val="24"/>
              </w:rPr>
              <w:t>（7）监测结果分析</w:t>
            </w:r>
          </w:p>
          <w:p w14:paraId="4FC0DD3F">
            <w:pPr>
              <w:spacing w:line="360" w:lineRule="auto"/>
              <w:ind w:firstLine="480"/>
              <w:rPr>
                <w:rFonts w:hint="eastAsia" w:ascii="Times New Roman" w:hAnsi="Times New Roman" w:eastAsia="宋体" w:cs="Times New Roman"/>
                <w:sz w:val="24"/>
                <w:lang w:eastAsia="zh-CN"/>
              </w:rPr>
            </w:pPr>
            <w:r>
              <w:rPr>
                <w:rFonts w:hint="default" w:ascii="Times New Roman" w:hAnsi="Times New Roman" w:eastAsia="宋体" w:cs="Times New Roman"/>
                <w:sz w:val="24"/>
              </w:rPr>
              <w:t>通过对各监测点位的水质分析可知，各项监测因子均满足《地下水质量标准》（GB/T14848-2017）Ⅲ类标准要求</w:t>
            </w:r>
            <w:r>
              <w:rPr>
                <w:rFonts w:hint="eastAsia" w:cs="Times New Roman"/>
                <w:sz w:val="24"/>
                <w:lang w:eastAsia="zh-CN"/>
              </w:rPr>
              <w:t>，</w:t>
            </w:r>
            <w:r>
              <w:rPr>
                <w:rFonts w:hint="eastAsia" w:cs="Times New Roman"/>
                <w:sz w:val="24"/>
                <w:lang w:val="en-US" w:eastAsia="zh-CN"/>
              </w:rPr>
              <w:t>石油类满足</w:t>
            </w:r>
            <w:r>
              <w:rPr>
                <w:rFonts w:hint="eastAsia"/>
                <w:sz w:val="24"/>
                <w:szCs w:val="22"/>
                <w:lang w:val="en-US" w:eastAsia="zh-CN"/>
              </w:rPr>
              <w:t>《地表水环境质量标准》（GB3838-2002）</w:t>
            </w:r>
            <w:r>
              <w:rPr>
                <w:rFonts w:hint="default" w:ascii="Times New Roman" w:hAnsi="Times New Roman" w:cs="Times New Roman"/>
                <w:sz w:val="24"/>
                <w:szCs w:val="22"/>
                <w:lang w:val="en-US" w:eastAsia="zh-CN"/>
              </w:rPr>
              <w:t>中Ⅲ类标准</w:t>
            </w:r>
            <w:r>
              <w:rPr>
                <w:rFonts w:hint="default" w:ascii="Times New Roman" w:hAnsi="Times New Roman" w:eastAsia="宋体" w:cs="Times New Roman"/>
                <w:sz w:val="24"/>
              </w:rPr>
              <w:t>，区域地下水环境质量较好</w:t>
            </w:r>
            <w:r>
              <w:rPr>
                <w:rFonts w:hint="eastAsia" w:cs="Times New Roman"/>
                <w:sz w:val="24"/>
                <w:lang w:eastAsia="zh-CN"/>
              </w:rPr>
              <w:t>。</w:t>
            </w:r>
          </w:p>
          <w:p w14:paraId="2FECB7A3">
            <w:pPr>
              <w:numPr>
                <w:ilvl w:val="0"/>
                <w:numId w:val="8"/>
              </w:numPr>
              <w:spacing w:line="360" w:lineRule="auto"/>
              <w:ind w:firstLine="482"/>
              <w:rPr>
                <w:b/>
                <w:sz w:val="24"/>
              </w:rPr>
            </w:pPr>
            <w:r>
              <w:rPr>
                <w:rFonts w:hint="eastAsia"/>
                <w:b/>
                <w:sz w:val="24"/>
              </w:rPr>
              <w:t>土壤环境现状</w:t>
            </w:r>
          </w:p>
          <w:p w14:paraId="26A00963">
            <w:pPr>
              <w:adjustRightInd w:val="0"/>
              <w:snapToGrid w:val="0"/>
              <w:spacing w:line="360" w:lineRule="auto"/>
              <w:ind w:firstLine="480"/>
              <w:rPr>
                <w:rFonts w:hint="eastAsia"/>
                <w:kern w:val="0"/>
                <w:sz w:val="24"/>
                <w:highlight w:val="yellow"/>
              </w:rPr>
            </w:pPr>
            <w:r>
              <w:rPr>
                <w:rFonts w:hint="eastAsia" w:ascii="Times New Roman" w:hAnsi="Times New Roman" w:eastAsia="宋体" w:cs="Times New Roman"/>
                <w:sz w:val="24"/>
                <w:szCs w:val="24"/>
              </w:rPr>
              <w:t>为了解项目</w:t>
            </w:r>
            <w:r>
              <w:rPr>
                <w:rFonts w:hint="eastAsia" w:ascii="Times New Roman" w:hAnsi="Times New Roman" w:eastAsia="宋体" w:cs="Times New Roman"/>
                <w:sz w:val="24"/>
                <w:szCs w:val="24"/>
                <w:lang w:val="en-US" w:eastAsia="zh-CN"/>
              </w:rPr>
              <w:t>土壤</w:t>
            </w:r>
            <w:r>
              <w:rPr>
                <w:rFonts w:hint="eastAsia" w:ascii="Times New Roman" w:hAnsi="Times New Roman" w:eastAsia="宋体" w:cs="Times New Roman"/>
                <w:sz w:val="24"/>
                <w:szCs w:val="24"/>
              </w:rPr>
              <w:t>环境质量现状，</w:t>
            </w:r>
            <w:r>
              <w:rPr>
                <w:rFonts w:hint="eastAsia"/>
                <w:bCs/>
                <w:sz w:val="24"/>
                <w:highlight w:val="none"/>
                <w:lang w:val="en-US" w:eastAsia="zh-CN"/>
              </w:rPr>
              <w:t>企业委托</w:t>
            </w:r>
            <w:r>
              <w:rPr>
                <w:rFonts w:hint="default" w:ascii="Times New Roman" w:hAnsi="Times New Roman" w:eastAsia="宋体" w:cs="Times New Roman"/>
                <w:bCs/>
                <w:sz w:val="24"/>
                <w:highlight w:val="none"/>
              </w:rPr>
              <w:t>承</w:t>
            </w:r>
            <w:r>
              <w:rPr>
                <w:rFonts w:hint="default" w:ascii="Times New Roman" w:hAnsi="Times New Roman" w:eastAsia="宋体" w:cs="Times New Roman"/>
                <w:bCs/>
                <w:sz w:val="24"/>
              </w:rPr>
              <w:t>德安特环境检测技术服务有限公司</w:t>
            </w:r>
            <w:r>
              <w:rPr>
                <w:rFonts w:hint="eastAsia" w:ascii="Times New Roman" w:hAnsi="Times New Roman" w:eastAsia="宋体" w:cs="Times New Roman"/>
                <w:bCs/>
                <w:sz w:val="24"/>
                <w:lang w:val="en-US" w:eastAsia="zh-CN"/>
              </w:rPr>
              <w:t>对土壤环境进行检测并出具检测报告，报告编号为：安特（检）字WT2024-768。</w:t>
            </w:r>
          </w:p>
          <w:p w14:paraId="0FBAC0B8">
            <w:pPr>
              <w:spacing w:line="360" w:lineRule="auto"/>
              <w:ind w:firstLine="480" w:firstLineChars="200"/>
              <w:rPr>
                <w:rFonts w:ascii="Times New Roman" w:hAnsi="Times New Roman"/>
                <w:sz w:val="24"/>
                <w:szCs w:val="22"/>
              </w:rPr>
            </w:pPr>
            <w:r>
              <w:rPr>
                <w:rFonts w:ascii="Times New Roman" w:hAnsi="Times New Roman"/>
                <w:sz w:val="24"/>
                <w:szCs w:val="20"/>
              </w:rPr>
              <w:t>为了解项目区土壤环境质量现状，</w:t>
            </w:r>
            <w:r>
              <w:rPr>
                <w:rFonts w:ascii="Times New Roman" w:hAnsi="Times New Roman"/>
                <w:kern w:val="0"/>
                <w:sz w:val="24"/>
              </w:rPr>
              <w:t>辽宁鹏宇环境监测有限公司对土壤环境进行</w:t>
            </w:r>
            <w:r>
              <w:rPr>
                <w:rFonts w:hint="eastAsia" w:ascii="Times New Roman" w:hAnsi="Times New Roman"/>
                <w:kern w:val="0"/>
                <w:sz w:val="24"/>
              </w:rPr>
              <w:t>了</w:t>
            </w:r>
            <w:r>
              <w:rPr>
                <w:rFonts w:ascii="Times New Roman" w:hAnsi="Times New Roman"/>
                <w:kern w:val="0"/>
                <w:sz w:val="24"/>
              </w:rPr>
              <w:t>监测</w:t>
            </w:r>
            <w:r>
              <w:rPr>
                <w:rFonts w:ascii="Times New Roman" w:hAnsi="Times New Roman"/>
                <w:sz w:val="24"/>
                <w:szCs w:val="20"/>
              </w:rPr>
              <w:t>。</w:t>
            </w:r>
          </w:p>
          <w:p w14:paraId="0F8F257B">
            <w:pPr>
              <w:spacing w:line="360" w:lineRule="auto"/>
              <w:ind w:firstLine="480" w:firstLineChars="200"/>
              <w:rPr>
                <w:rFonts w:ascii="Times New Roman" w:hAnsi="Times New Roman"/>
                <w:sz w:val="24"/>
                <w:szCs w:val="22"/>
              </w:rPr>
            </w:pPr>
            <w:r>
              <w:rPr>
                <w:rFonts w:ascii="Times New Roman" w:hAnsi="Times New Roman"/>
                <w:sz w:val="24"/>
                <w:szCs w:val="22"/>
              </w:rPr>
              <w:t>（1）监测点位</w:t>
            </w:r>
          </w:p>
          <w:p w14:paraId="7DF1BACA">
            <w:pPr>
              <w:snapToGrid w:val="0"/>
              <w:spacing w:line="360" w:lineRule="auto"/>
              <w:ind w:firstLine="482"/>
              <w:rPr>
                <w:rFonts w:ascii="Times New Roman" w:hAnsi="Times New Roman"/>
                <w:b/>
                <w:sz w:val="24"/>
              </w:rPr>
            </w:pPr>
            <w:r>
              <w:rPr>
                <w:rFonts w:ascii="Times New Roman" w:hAnsi="Times New Roman"/>
                <w:bCs/>
                <w:sz w:val="24"/>
              </w:rPr>
              <w:t>本项目设置</w:t>
            </w:r>
            <w:r>
              <w:rPr>
                <w:rFonts w:hint="eastAsia" w:ascii="Times New Roman" w:hAnsi="Times New Roman"/>
                <w:bCs/>
                <w:sz w:val="24"/>
              </w:rPr>
              <w:t>1</w:t>
            </w:r>
            <w:r>
              <w:rPr>
                <w:rFonts w:ascii="Times New Roman" w:hAnsi="Times New Roman"/>
                <w:bCs/>
                <w:sz w:val="24"/>
              </w:rPr>
              <w:t>个土壤环境质量监测点位：</w:t>
            </w:r>
          </w:p>
          <w:p w14:paraId="1FD27C87">
            <w:pPr>
              <w:adjustRightInd w:val="0"/>
              <w:snapToGrid w:val="0"/>
              <w:spacing w:line="360" w:lineRule="auto"/>
              <w:ind w:firstLine="480" w:firstLineChars="200"/>
              <w:rPr>
                <w:rFonts w:ascii="Times New Roman" w:hAnsi="Times New Roman"/>
                <w:sz w:val="24"/>
              </w:rPr>
            </w:pPr>
            <w:r>
              <w:rPr>
                <w:rFonts w:hint="eastAsia" w:ascii="Times New Roman" w:hAnsi="Times New Roman"/>
                <w:sz w:val="24"/>
              </w:rPr>
              <w:t>T</w:t>
            </w:r>
            <w:r>
              <w:rPr>
                <w:rFonts w:hint="eastAsia" w:ascii="Times New Roman" w:hAnsi="Times New Roman"/>
                <w:sz w:val="24"/>
                <w:lang w:val="en-US" w:eastAsia="zh-CN"/>
              </w:rPr>
              <w:t>r</w:t>
            </w:r>
            <w:r>
              <w:rPr>
                <w:rFonts w:ascii="Times New Roman" w:hAnsi="Times New Roman"/>
                <w:sz w:val="24"/>
              </w:rPr>
              <w:t>1</w:t>
            </w:r>
            <w:r>
              <w:rPr>
                <w:rFonts w:hint="eastAsia" w:ascii="Times New Roman" w:hAnsi="Times New Roman"/>
                <w:sz w:val="24"/>
              </w:rPr>
              <w:t>柱状样</w:t>
            </w:r>
            <w:r>
              <w:rPr>
                <w:rFonts w:ascii="Times New Roman" w:hAnsi="Times New Roman"/>
                <w:sz w:val="24"/>
              </w:rPr>
              <w:t>#——</w:t>
            </w:r>
            <w:r>
              <w:rPr>
                <w:rFonts w:hint="eastAsia"/>
                <w:sz w:val="24"/>
                <w:lang w:eastAsia="zh-CN"/>
              </w:rPr>
              <w:t>危险废物收集贮存库</w:t>
            </w:r>
            <w:r>
              <w:rPr>
                <w:rFonts w:hint="eastAsia" w:ascii="Times New Roman" w:hAnsi="Times New Roman"/>
                <w:sz w:val="24"/>
              </w:rPr>
              <w:t>处</w:t>
            </w:r>
            <w:r>
              <w:rPr>
                <w:rFonts w:ascii="Times New Roman" w:hAnsi="Times New Roman"/>
                <w:sz w:val="24"/>
              </w:rPr>
              <w:t>；</w:t>
            </w:r>
          </w:p>
          <w:p w14:paraId="2B1079E4">
            <w:pPr>
              <w:spacing w:line="360" w:lineRule="auto"/>
              <w:ind w:firstLine="480" w:firstLineChars="200"/>
              <w:rPr>
                <w:rFonts w:ascii="Times New Roman" w:hAnsi="Times New Roman"/>
                <w:sz w:val="24"/>
              </w:rPr>
            </w:pPr>
            <w:r>
              <w:rPr>
                <w:rFonts w:hint="eastAsia" w:ascii="Times New Roman" w:hAnsi="Times New Roman"/>
                <w:sz w:val="24"/>
              </w:rPr>
              <w:t>（2）监测因子</w:t>
            </w:r>
          </w:p>
          <w:p w14:paraId="6882346C">
            <w:pPr>
              <w:spacing w:line="360" w:lineRule="auto"/>
              <w:ind w:firstLine="480" w:firstLineChars="200"/>
              <w:rPr>
                <w:rFonts w:hint="eastAsia" w:ascii="Times New Roman" w:hAnsi="Times New Roman"/>
                <w:sz w:val="24"/>
              </w:rPr>
            </w:pPr>
            <w:r>
              <w:rPr>
                <w:rFonts w:ascii="Times New Roman" w:hAnsi="Times New Roman"/>
                <w:sz w:val="24"/>
                <w:szCs w:val="32"/>
              </w:rPr>
              <w:t>《土壤环境质量标准建设用地土壤污染风险管控标准》（GB36600</w:t>
            </w:r>
            <w:r>
              <w:rPr>
                <w:rFonts w:hint="eastAsia" w:ascii="Times New Roman" w:hAnsi="Times New Roman"/>
                <w:sz w:val="24"/>
                <w:szCs w:val="32"/>
                <w:lang w:val="en-US" w:eastAsia="zh-CN"/>
              </w:rPr>
              <w:t>-2018</w:t>
            </w:r>
            <w:r>
              <w:rPr>
                <w:rFonts w:ascii="Times New Roman" w:hAnsi="Times New Roman"/>
                <w:sz w:val="24"/>
                <w:szCs w:val="32"/>
              </w:rPr>
              <w:t>）表1基本项目全项共计45项</w:t>
            </w:r>
            <w:r>
              <w:rPr>
                <w:rFonts w:hint="eastAsia" w:ascii="Times New Roman" w:hAnsi="Times New Roman"/>
                <w:sz w:val="24"/>
                <w:szCs w:val="32"/>
              </w:rPr>
              <w:t>及</w:t>
            </w:r>
            <w:r>
              <w:rPr>
                <w:rFonts w:hint="eastAsia" w:ascii="Times New Roman" w:hAnsi="Times New Roman"/>
                <w:sz w:val="24"/>
                <w:szCs w:val="32"/>
                <w:lang w:val="en-US" w:eastAsia="zh-CN"/>
              </w:rPr>
              <w:t>氨氮、</w:t>
            </w:r>
            <w:r>
              <w:rPr>
                <w:rFonts w:ascii="Times New Roman" w:hAnsi="Times New Roman"/>
                <w:sz w:val="24"/>
                <w:szCs w:val="32"/>
              </w:rPr>
              <w:t>石油烃因子</w:t>
            </w:r>
            <w:r>
              <w:rPr>
                <w:rFonts w:hint="eastAsia" w:ascii="Times New Roman" w:hAnsi="Times New Roman"/>
                <w:sz w:val="24"/>
                <w:szCs w:val="32"/>
              </w:rPr>
              <w:t>。</w:t>
            </w:r>
          </w:p>
          <w:p w14:paraId="6834E73D">
            <w:pPr>
              <w:spacing w:line="360" w:lineRule="auto"/>
              <w:ind w:firstLine="480" w:firstLineChars="200"/>
              <w:rPr>
                <w:rFonts w:ascii="Times New Roman" w:hAnsi="Times New Roman"/>
                <w:sz w:val="24"/>
              </w:rPr>
            </w:pPr>
            <w:r>
              <w:rPr>
                <w:rFonts w:ascii="Times New Roman" w:hAnsi="Times New Roman"/>
                <w:sz w:val="24"/>
              </w:rPr>
              <w:t>（3）监测时间和频次</w:t>
            </w:r>
          </w:p>
          <w:p w14:paraId="583614F7">
            <w:pPr>
              <w:snapToGrid w:val="0"/>
              <w:spacing w:line="360" w:lineRule="auto"/>
              <w:ind w:firstLine="482"/>
              <w:rPr>
                <w:rFonts w:ascii="Times New Roman" w:hAnsi="Times New Roman"/>
                <w:b/>
                <w:sz w:val="24"/>
              </w:rPr>
            </w:pPr>
            <w:r>
              <w:rPr>
                <w:rFonts w:ascii="Times New Roman" w:hAnsi="Times New Roman"/>
                <w:sz w:val="24"/>
              </w:rPr>
              <w:t>监测时间为202</w:t>
            </w:r>
            <w:r>
              <w:rPr>
                <w:rFonts w:hint="eastAsia"/>
                <w:sz w:val="24"/>
                <w:lang w:val="en-US" w:eastAsia="zh-CN"/>
              </w:rPr>
              <w:t>4</w:t>
            </w:r>
            <w:r>
              <w:rPr>
                <w:rFonts w:ascii="Times New Roman" w:hAnsi="Times New Roman"/>
                <w:sz w:val="24"/>
              </w:rPr>
              <w:t>年</w:t>
            </w:r>
            <w:r>
              <w:rPr>
                <w:rFonts w:hint="eastAsia" w:ascii="Times New Roman" w:hAnsi="Times New Roman"/>
                <w:sz w:val="24"/>
              </w:rPr>
              <w:t>1</w:t>
            </w:r>
            <w:r>
              <w:rPr>
                <w:rFonts w:hint="eastAsia"/>
                <w:sz w:val="24"/>
                <w:lang w:val="en-US" w:eastAsia="zh-CN"/>
              </w:rPr>
              <w:t>0</w:t>
            </w:r>
            <w:r>
              <w:rPr>
                <w:rFonts w:ascii="Times New Roman" w:hAnsi="Times New Roman"/>
                <w:sz w:val="24"/>
              </w:rPr>
              <w:t>月</w:t>
            </w:r>
            <w:r>
              <w:rPr>
                <w:rFonts w:hint="eastAsia"/>
                <w:sz w:val="24"/>
                <w:lang w:val="en-US" w:eastAsia="zh-CN"/>
              </w:rPr>
              <w:t>25</w:t>
            </w:r>
            <w:r>
              <w:rPr>
                <w:rFonts w:ascii="Times New Roman" w:hAnsi="Times New Roman"/>
                <w:sz w:val="24"/>
              </w:rPr>
              <w:t>日，监测1日，采样1次。</w:t>
            </w:r>
          </w:p>
          <w:p w14:paraId="524BCB3C">
            <w:pPr>
              <w:spacing w:line="360" w:lineRule="auto"/>
              <w:ind w:firstLine="480" w:firstLineChars="200"/>
              <w:rPr>
                <w:rFonts w:ascii="Times New Roman" w:hAnsi="Times New Roman"/>
                <w:sz w:val="24"/>
              </w:rPr>
            </w:pPr>
            <w:r>
              <w:rPr>
                <w:rFonts w:ascii="Times New Roman" w:hAnsi="Times New Roman"/>
                <w:sz w:val="24"/>
              </w:rPr>
              <w:t>（4）评价因子与评价标准</w:t>
            </w:r>
          </w:p>
          <w:p w14:paraId="63FE3610">
            <w:pPr>
              <w:spacing w:line="360" w:lineRule="auto"/>
              <w:ind w:firstLine="480" w:firstLineChars="200"/>
              <w:rPr>
                <w:rFonts w:hint="eastAsia" w:ascii="Times New Roman" w:hAnsi="Times New Roman"/>
                <w:sz w:val="24"/>
              </w:rPr>
            </w:pPr>
            <w:r>
              <w:rPr>
                <w:rFonts w:ascii="Times New Roman" w:hAnsi="Times New Roman"/>
                <w:sz w:val="24"/>
              </w:rPr>
              <w:t>本次评价因子同监测因子</w:t>
            </w:r>
            <w:r>
              <w:rPr>
                <w:rFonts w:hint="default" w:ascii="Times New Roman" w:hAnsi="Times New Roman" w:cs="Times New Roman"/>
                <w:b w:val="0"/>
                <w:bCs/>
                <w:sz w:val="24"/>
              </w:rPr>
              <w:t>执行《土壤环境质量建设用地土壤污染风险管控标准（试行）》（GB36600-2018）</w:t>
            </w:r>
            <w:r>
              <w:rPr>
                <w:rFonts w:hint="eastAsia" w:ascii="Times New Roman" w:hAnsi="Times New Roman" w:cs="Times New Roman"/>
                <w:b w:val="0"/>
                <w:bCs/>
                <w:sz w:val="24"/>
                <w:lang w:eastAsia="zh-CN"/>
              </w:rPr>
              <w:t>、</w:t>
            </w:r>
            <w:r>
              <w:rPr>
                <w:rFonts w:hint="default" w:ascii="Times New Roman" w:hAnsi="Times New Roman" w:cs="Times New Roman"/>
                <w:b w:val="0"/>
                <w:bCs/>
                <w:sz w:val="24"/>
              </w:rPr>
              <w:t>《建设用地土壤污染风险筛选值》（DB13∕T5216-2022）</w:t>
            </w:r>
            <w:r>
              <w:rPr>
                <w:rFonts w:hint="eastAsia" w:ascii="Times New Roman" w:hAnsi="Times New Roman" w:cs="Times New Roman"/>
                <w:color w:val="000000"/>
                <w:sz w:val="24"/>
                <w:lang w:eastAsia="zh-CN"/>
              </w:rPr>
              <w:t>的</w:t>
            </w:r>
            <w:r>
              <w:rPr>
                <w:rFonts w:hint="eastAsia" w:ascii="Times New Roman" w:hAnsi="Times New Roman" w:cs="Times New Roman"/>
                <w:color w:val="000000"/>
                <w:sz w:val="24"/>
                <w:lang w:val="en-US" w:eastAsia="zh-CN"/>
              </w:rPr>
              <w:t>要求</w:t>
            </w:r>
            <w:r>
              <w:rPr>
                <w:rFonts w:hint="eastAsia" w:ascii="Times New Roman" w:hAnsi="Times New Roman"/>
                <w:sz w:val="24"/>
              </w:rPr>
              <w:t>。</w:t>
            </w:r>
          </w:p>
          <w:p w14:paraId="57C74BA4">
            <w:pPr>
              <w:snapToGrid w:val="0"/>
              <w:spacing w:line="360" w:lineRule="auto"/>
              <w:ind w:firstLine="482"/>
              <w:rPr>
                <w:rFonts w:ascii="Times New Roman" w:hAnsi="Times New Roman"/>
                <w:bCs/>
                <w:sz w:val="24"/>
              </w:rPr>
            </w:pPr>
            <w:r>
              <w:rPr>
                <w:rFonts w:ascii="Times New Roman" w:hAnsi="Times New Roman"/>
                <w:bCs/>
                <w:sz w:val="24"/>
              </w:rPr>
              <w:t>（5）监测结果统计</w:t>
            </w:r>
          </w:p>
          <w:p w14:paraId="5031D709">
            <w:pPr>
              <w:adjustRightInd w:val="0"/>
              <w:snapToGrid w:val="0"/>
              <w:spacing w:line="360" w:lineRule="auto"/>
              <w:ind w:firstLine="480"/>
              <w:rPr>
                <w:rFonts w:hint="eastAsia" w:ascii="Times New Roman" w:hAnsi="Times New Roman"/>
                <w:sz w:val="24"/>
                <w:lang w:eastAsia="zh-CN"/>
              </w:rPr>
            </w:pPr>
            <w:r>
              <w:rPr>
                <w:rFonts w:ascii="Times New Roman" w:hAnsi="Times New Roman"/>
                <w:sz w:val="24"/>
              </w:rPr>
              <w:t>建设用地土壤环境质量现状监测与统计结果见下表</w:t>
            </w:r>
            <w:r>
              <w:rPr>
                <w:rFonts w:hint="eastAsia" w:ascii="Times New Roman" w:hAnsi="Times New Roman"/>
                <w:sz w:val="24"/>
                <w:lang w:eastAsia="zh-CN"/>
              </w:rPr>
              <w:t>。</w:t>
            </w:r>
          </w:p>
          <w:p w14:paraId="2D50E347">
            <w:pPr>
              <w:pStyle w:val="47"/>
              <w:numPr>
                <w:ilvl w:val="0"/>
                <w:numId w:val="7"/>
              </w:numPr>
              <w:spacing w:line="360" w:lineRule="auto"/>
              <w:rPr>
                <w:rFonts w:eastAsia="宋体"/>
                <w:b/>
              </w:rPr>
            </w:pPr>
            <w:r>
              <w:rPr>
                <w:rFonts w:hint="eastAsia" w:eastAsia="宋体"/>
                <w:b/>
              </w:rPr>
              <w:t>土壤环境质量现状评价结果一览表单位：mg/kg</w:t>
            </w:r>
          </w:p>
          <w:tbl>
            <w:tblPr>
              <w:tblStyle w:val="2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52"/>
              <w:gridCol w:w="762"/>
              <w:gridCol w:w="1453"/>
              <w:gridCol w:w="1453"/>
              <w:gridCol w:w="1460"/>
              <w:gridCol w:w="724"/>
              <w:gridCol w:w="672"/>
            </w:tblGrid>
            <w:tr w14:paraId="6F141B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blHeader/>
                <w:jc w:val="center"/>
              </w:trPr>
              <w:tc>
                <w:tcPr>
                  <w:tcW w:w="1105" w:type="pct"/>
                  <w:vMerge w:val="restart"/>
                  <w:tcBorders>
                    <w:tl2br w:val="nil"/>
                    <w:tr2bl w:val="nil"/>
                  </w:tcBorders>
                  <w:noWrap w:val="0"/>
                  <w:vAlign w:val="center"/>
                </w:tcPr>
                <w:p w14:paraId="3FF316FA">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检测项目</w:t>
                  </w:r>
                </w:p>
              </w:tc>
              <w:tc>
                <w:tcPr>
                  <w:tcW w:w="455" w:type="pct"/>
                  <w:vMerge w:val="restart"/>
                  <w:tcBorders>
                    <w:tl2br w:val="nil"/>
                    <w:tr2bl w:val="nil"/>
                  </w:tcBorders>
                  <w:noWrap w:val="0"/>
                  <w:vAlign w:val="center"/>
                </w:tcPr>
                <w:p w14:paraId="1FBD55C4">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单位</w:t>
                  </w:r>
                </w:p>
              </w:tc>
              <w:tc>
                <w:tcPr>
                  <w:tcW w:w="2605" w:type="pct"/>
                  <w:gridSpan w:val="3"/>
                  <w:tcBorders>
                    <w:tl2br w:val="nil"/>
                    <w:tr2bl w:val="nil"/>
                  </w:tcBorders>
                  <w:noWrap w:val="0"/>
                  <w:vAlign w:val="center"/>
                </w:tcPr>
                <w:p w14:paraId="12CE2A95">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检测结果</w:t>
                  </w:r>
                </w:p>
              </w:tc>
              <w:tc>
                <w:tcPr>
                  <w:tcW w:w="432" w:type="pct"/>
                  <w:vMerge w:val="restart"/>
                  <w:tcBorders>
                    <w:tl2br w:val="nil"/>
                    <w:tr2bl w:val="nil"/>
                  </w:tcBorders>
                  <w:noWrap w:val="0"/>
                  <w:vAlign w:val="center"/>
                </w:tcPr>
                <w:p w14:paraId="31ED5BAA">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限值</w:t>
                  </w:r>
                </w:p>
                <w:p w14:paraId="3F63E7E2">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要求</w:t>
                  </w:r>
                </w:p>
              </w:tc>
              <w:tc>
                <w:tcPr>
                  <w:tcW w:w="401" w:type="pct"/>
                  <w:vMerge w:val="restart"/>
                  <w:tcBorders>
                    <w:tl2br w:val="nil"/>
                    <w:tr2bl w:val="nil"/>
                  </w:tcBorders>
                  <w:noWrap w:val="0"/>
                  <w:vAlign w:val="center"/>
                </w:tcPr>
                <w:p w14:paraId="1C4F8D2C">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是否</w:t>
                  </w:r>
                </w:p>
                <w:p w14:paraId="4689F341">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452597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6" w:hRule="atLeast"/>
                <w:tblHeader/>
                <w:jc w:val="center"/>
              </w:trPr>
              <w:tc>
                <w:tcPr>
                  <w:tcW w:w="1105" w:type="pct"/>
                  <w:vMerge w:val="continue"/>
                  <w:tcBorders>
                    <w:tl2br w:val="nil"/>
                    <w:tr2bl w:val="nil"/>
                  </w:tcBorders>
                  <w:noWrap w:val="0"/>
                  <w:vAlign w:val="center"/>
                </w:tcPr>
                <w:p w14:paraId="0861C52D">
                  <w:pPr>
                    <w:keepNext w:val="0"/>
                    <w:keepLines w:val="0"/>
                    <w:pageBreakBefore w:val="0"/>
                    <w:widowControl w:val="0"/>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rPr>
                  </w:pPr>
                </w:p>
              </w:tc>
              <w:tc>
                <w:tcPr>
                  <w:tcW w:w="455" w:type="pct"/>
                  <w:vMerge w:val="continue"/>
                  <w:tcBorders>
                    <w:tl2br w:val="nil"/>
                    <w:tr2bl w:val="nil"/>
                  </w:tcBorders>
                  <w:noWrap w:val="0"/>
                  <w:vAlign w:val="center"/>
                </w:tcPr>
                <w:p w14:paraId="45E53364">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p>
              </w:tc>
              <w:tc>
                <w:tcPr>
                  <w:tcW w:w="867" w:type="pct"/>
                  <w:tcBorders>
                    <w:tl2br w:val="nil"/>
                    <w:tr2bl w:val="nil"/>
                  </w:tcBorders>
                  <w:noWrap w:val="0"/>
                  <w:vAlign w:val="center"/>
                </w:tcPr>
                <w:p w14:paraId="03626403">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Tr1#--</w:t>
                  </w:r>
                  <w:r>
                    <w:rPr>
                      <w:rFonts w:hint="eastAsia" w:cs="Times New Roman"/>
                      <w:sz w:val="21"/>
                      <w:szCs w:val="21"/>
                      <w:highlight w:val="none"/>
                      <w:vertAlign w:val="baseline"/>
                      <w:lang w:val="en-US" w:eastAsia="zh-CN"/>
                    </w:rPr>
                    <w:t>危险废物收集贮存库</w:t>
                  </w:r>
                  <w:r>
                    <w:rPr>
                      <w:rFonts w:hint="default" w:ascii="Times New Roman" w:hAnsi="Times New Roman" w:eastAsia="宋体" w:cs="Times New Roman"/>
                      <w:sz w:val="21"/>
                      <w:szCs w:val="21"/>
                      <w:highlight w:val="none"/>
                      <w:vertAlign w:val="baseline"/>
                      <w:lang w:val="en-US" w:eastAsia="zh-CN"/>
                    </w:rPr>
                    <w:t>处（0.25m）</w:t>
                  </w:r>
                </w:p>
              </w:tc>
              <w:tc>
                <w:tcPr>
                  <w:tcW w:w="867" w:type="pct"/>
                  <w:tcBorders>
                    <w:tl2br w:val="nil"/>
                    <w:tr2bl w:val="nil"/>
                  </w:tcBorders>
                  <w:noWrap w:val="0"/>
                  <w:vAlign w:val="center"/>
                </w:tcPr>
                <w:p w14:paraId="510B86B6">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Tr1#--</w:t>
                  </w:r>
                  <w:r>
                    <w:rPr>
                      <w:rFonts w:hint="eastAsia" w:cs="Times New Roman"/>
                      <w:sz w:val="21"/>
                      <w:szCs w:val="21"/>
                      <w:highlight w:val="none"/>
                      <w:vertAlign w:val="baseline"/>
                      <w:lang w:val="en-US" w:eastAsia="zh-CN"/>
                    </w:rPr>
                    <w:t>危险废物收集贮存库</w:t>
                  </w:r>
                  <w:r>
                    <w:rPr>
                      <w:rFonts w:hint="default" w:ascii="Times New Roman" w:hAnsi="Times New Roman" w:eastAsia="宋体" w:cs="Times New Roman"/>
                      <w:sz w:val="21"/>
                      <w:szCs w:val="21"/>
                      <w:highlight w:val="none"/>
                      <w:vertAlign w:val="baseline"/>
                      <w:lang w:val="en-US" w:eastAsia="zh-CN"/>
                    </w:rPr>
                    <w:t>处</w:t>
                  </w:r>
                </w:p>
                <w:p w14:paraId="2C0C9A39">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w:t>
                  </w:r>
                  <w:r>
                    <w:rPr>
                      <w:rFonts w:hint="default" w:ascii="Times New Roman" w:hAnsi="Times New Roman" w:eastAsia="宋体" w:cs="Times New Roman"/>
                      <w:sz w:val="21"/>
                      <w:szCs w:val="21"/>
                      <w:highlight w:val="none"/>
                      <w:vertAlign w:val="baseline"/>
                      <w:lang w:val="en-US" w:eastAsia="zh-CN"/>
                    </w:rPr>
                    <w:t>1.0m</w:t>
                  </w:r>
                  <w:r>
                    <w:rPr>
                      <w:rFonts w:hint="eastAsia" w:cs="Times New Roman"/>
                      <w:sz w:val="21"/>
                      <w:szCs w:val="21"/>
                      <w:highlight w:val="none"/>
                      <w:vertAlign w:val="baseline"/>
                      <w:lang w:val="en-US" w:eastAsia="zh-CN"/>
                    </w:rPr>
                    <w:t>)</w:t>
                  </w:r>
                </w:p>
              </w:tc>
              <w:tc>
                <w:tcPr>
                  <w:tcW w:w="869" w:type="pct"/>
                  <w:tcBorders>
                    <w:tl2br w:val="nil"/>
                    <w:tr2bl w:val="nil"/>
                  </w:tcBorders>
                  <w:noWrap w:val="0"/>
                  <w:vAlign w:val="center"/>
                </w:tcPr>
                <w:p w14:paraId="3D40E8DD">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Tr1#--</w:t>
                  </w:r>
                  <w:r>
                    <w:rPr>
                      <w:rFonts w:hint="eastAsia" w:cs="Times New Roman"/>
                      <w:sz w:val="21"/>
                      <w:szCs w:val="21"/>
                      <w:highlight w:val="none"/>
                      <w:vertAlign w:val="baseline"/>
                      <w:lang w:val="en-US" w:eastAsia="zh-CN"/>
                    </w:rPr>
                    <w:t>危险废物收集贮存库</w:t>
                  </w:r>
                  <w:r>
                    <w:rPr>
                      <w:rFonts w:hint="default" w:ascii="Times New Roman" w:hAnsi="Times New Roman" w:eastAsia="宋体" w:cs="Times New Roman"/>
                      <w:sz w:val="21"/>
                      <w:szCs w:val="21"/>
                      <w:highlight w:val="none"/>
                      <w:vertAlign w:val="baseline"/>
                      <w:lang w:val="en-US" w:eastAsia="zh-CN"/>
                    </w:rPr>
                    <w:t>处（2.25m）</w:t>
                  </w:r>
                </w:p>
              </w:tc>
              <w:tc>
                <w:tcPr>
                  <w:tcW w:w="432" w:type="pct"/>
                  <w:vMerge w:val="continue"/>
                  <w:tcBorders>
                    <w:tl2br w:val="nil"/>
                    <w:tr2bl w:val="nil"/>
                  </w:tcBorders>
                  <w:noWrap w:val="0"/>
                  <w:vAlign w:val="center"/>
                </w:tcPr>
                <w:p w14:paraId="321D90BD">
                  <w:pPr>
                    <w:keepNext w:val="0"/>
                    <w:keepLines w:val="0"/>
                    <w:pageBreakBefore w:val="0"/>
                    <w:widowControl w:val="0"/>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p>
              </w:tc>
              <w:tc>
                <w:tcPr>
                  <w:tcW w:w="401" w:type="pct"/>
                  <w:vMerge w:val="continue"/>
                  <w:tcBorders>
                    <w:tl2br w:val="nil"/>
                    <w:tr2bl w:val="nil"/>
                  </w:tcBorders>
                  <w:noWrap w:val="0"/>
                  <w:vAlign w:val="center"/>
                </w:tcPr>
                <w:p w14:paraId="4DB83199">
                  <w:pPr>
                    <w:keepNext w:val="0"/>
                    <w:keepLines w:val="0"/>
                    <w:pageBreakBefore w:val="0"/>
                    <w:widowControl w:val="0"/>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p>
              </w:tc>
            </w:tr>
            <w:tr w14:paraId="4C45AD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592F7779">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bookmarkStart w:id="3" w:name="OLE_LINK1" w:colFirst="7" w:colLast="7"/>
                  <w:r>
                    <w:rPr>
                      <w:rFonts w:hint="default" w:ascii="Times New Roman" w:hAnsi="Times New Roman" w:eastAsia="宋体" w:cs="Times New Roman"/>
                      <w:sz w:val="21"/>
                      <w:szCs w:val="21"/>
                      <w:highlight w:val="none"/>
                      <w:vertAlign w:val="baseline"/>
                      <w:lang w:val="en-US" w:eastAsia="zh-CN"/>
                    </w:rPr>
                    <w:t>砷*</w:t>
                  </w:r>
                </w:p>
              </w:tc>
              <w:tc>
                <w:tcPr>
                  <w:tcW w:w="455" w:type="pct"/>
                  <w:tcBorders>
                    <w:tl2br w:val="nil"/>
                    <w:tr2bl w:val="nil"/>
                  </w:tcBorders>
                  <w:noWrap w:val="0"/>
                  <w:vAlign w:val="center"/>
                </w:tcPr>
                <w:p w14:paraId="71112499">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0AD599E7">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6.55</w:t>
                  </w:r>
                </w:p>
              </w:tc>
              <w:tc>
                <w:tcPr>
                  <w:tcW w:w="867" w:type="pct"/>
                  <w:tcBorders>
                    <w:tl2br w:val="nil"/>
                    <w:tr2bl w:val="nil"/>
                  </w:tcBorders>
                  <w:noWrap w:val="0"/>
                  <w:vAlign w:val="center"/>
                </w:tcPr>
                <w:p w14:paraId="0D60CA19">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11.3</w:t>
                  </w:r>
                </w:p>
              </w:tc>
              <w:tc>
                <w:tcPr>
                  <w:tcW w:w="869" w:type="pct"/>
                  <w:tcBorders>
                    <w:tl2br w:val="nil"/>
                    <w:tr2bl w:val="nil"/>
                  </w:tcBorders>
                  <w:noWrap w:val="0"/>
                  <w:vAlign w:val="center"/>
                </w:tcPr>
                <w:p w14:paraId="6721DA6D">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8.88</w:t>
                  </w:r>
                </w:p>
              </w:tc>
              <w:tc>
                <w:tcPr>
                  <w:tcW w:w="432" w:type="pct"/>
                  <w:tcBorders>
                    <w:tl2br w:val="nil"/>
                    <w:tr2bl w:val="nil"/>
                  </w:tcBorders>
                  <w:noWrap w:val="0"/>
                  <w:vAlign w:val="center"/>
                </w:tcPr>
                <w:p w14:paraId="5AAC918C">
                  <w:pPr>
                    <w:ind w:left="-99" w:leftChars="-47" w:right="-105" w:rightChars="-5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≤60</w:t>
                  </w:r>
                </w:p>
              </w:tc>
              <w:tc>
                <w:tcPr>
                  <w:tcW w:w="401" w:type="pct"/>
                  <w:tcBorders>
                    <w:tl2br w:val="nil"/>
                    <w:tr2bl w:val="nil"/>
                  </w:tcBorders>
                  <w:noWrap w:val="0"/>
                  <w:vAlign w:val="center"/>
                </w:tcPr>
                <w:p w14:paraId="69EE0044">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4B92CD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5B975437">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镉*</w:t>
                  </w:r>
                </w:p>
              </w:tc>
              <w:tc>
                <w:tcPr>
                  <w:tcW w:w="455" w:type="pct"/>
                  <w:tcBorders>
                    <w:tl2br w:val="nil"/>
                    <w:tr2bl w:val="nil"/>
                  </w:tcBorders>
                  <w:noWrap w:val="0"/>
                  <w:vAlign w:val="center"/>
                </w:tcPr>
                <w:p w14:paraId="5C86CF16">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49D92CC5">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0.17</w:t>
                  </w:r>
                </w:p>
              </w:tc>
              <w:tc>
                <w:tcPr>
                  <w:tcW w:w="867" w:type="pct"/>
                  <w:tcBorders>
                    <w:tl2br w:val="nil"/>
                    <w:tr2bl w:val="nil"/>
                  </w:tcBorders>
                  <w:noWrap w:val="0"/>
                  <w:vAlign w:val="center"/>
                </w:tcPr>
                <w:p w14:paraId="7E1DC7B7">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0.22</w:t>
                  </w:r>
                </w:p>
              </w:tc>
              <w:tc>
                <w:tcPr>
                  <w:tcW w:w="869" w:type="pct"/>
                  <w:tcBorders>
                    <w:tl2br w:val="nil"/>
                    <w:tr2bl w:val="nil"/>
                  </w:tcBorders>
                  <w:noWrap w:val="0"/>
                  <w:vAlign w:val="center"/>
                </w:tcPr>
                <w:p w14:paraId="796F7614">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0.15</w:t>
                  </w:r>
                </w:p>
              </w:tc>
              <w:tc>
                <w:tcPr>
                  <w:tcW w:w="432" w:type="pct"/>
                  <w:tcBorders>
                    <w:tl2br w:val="nil"/>
                    <w:tr2bl w:val="nil"/>
                  </w:tcBorders>
                  <w:noWrap w:val="0"/>
                  <w:vAlign w:val="center"/>
                </w:tcPr>
                <w:p w14:paraId="4CB3515E">
                  <w:pPr>
                    <w:ind w:left="-99" w:leftChars="-47" w:right="-105" w:rightChars="-5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≤65</w:t>
                  </w:r>
                </w:p>
              </w:tc>
              <w:tc>
                <w:tcPr>
                  <w:tcW w:w="401" w:type="pct"/>
                  <w:tcBorders>
                    <w:tl2br w:val="nil"/>
                    <w:tr2bl w:val="nil"/>
                  </w:tcBorders>
                  <w:noWrap w:val="0"/>
                  <w:vAlign w:val="center"/>
                </w:tcPr>
                <w:p w14:paraId="380EFA9A">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21206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79C607CD">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六价铬*</w:t>
                  </w:r>
                </w:p>
              </w:tc>
              <w:tc>
                <w:tcPr>
                  <w:tcW w:w="455" w:type="pct"/>
                  <w:tcBorders>
                    <w:tl2br w:val="nil"/>
                    <w:tr2bl w:val="nil"/>
                  </w:tcBorders>
                  <w:noWrap w:val="0"/>
                  <w:vAlign w:val="center"/>
                </w:tcPr>
                <w:p w14:paraId="467D615F">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10CCA8DA">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0.5</w:t>
                  </w:r>
                </w:p>
              </w:tc>
              <w:tc>
                <w:tcPr>
                  <w:tcW w:w="867" w:type="pct"/>
                  <w:tcBorders>
                    <w:tl2br w:val="nil"/>
                    <w:tr2bl w:val="nil"/>
                  </w:tcBorders>
                  <w:noWrap w:val="0"/>
                  <w:vAlign w:val="center"/>
                </w:tcPr>
                <w:p w14:paraId="0EC1C51C">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0.5</w:t>
                  </w:r>
                </w:p>
              </w:tc>
              <w:tc>
                <w:tcPr>
                  <w:tcW w:w="869" w:type="pct"/>
                  <w:tcBorders>
                    <w:tl2br w:val="nil"/>
                    <w:tr2bl w:val="nil"/>
                  </w:tcBorders>
                  <w:noWrap w:val="0"/>
                  <w:vAlign w:val="center"/>
                </w:tcPr>
                <w:p w14:paraId="186B328F">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0.5</w:t>
                  </w:r>
                </w:p>
              </w:tc>
              <w:tc>
                <w:tcPr>
                  <w:tcW w:w="432" w:type="pct"/>
                  <w:tcBorders>
                    <w:tl2br w:val="nil"/>
                    <w:tr2bl w:val="nil"/>
                  </w:tcBorders>
                  <w:noWrap w:val="0"/>
                  <w:vAlign w:val="center"/>
                </w:tcPr>
                <w:p w14:paraId="2BA3C589">
                  <w:pPr>
                    <w:ind w:left="-99" w:leftChars="-47" w:right="-105" w:rightChars="-5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≤5.7</w:t>
                  </w:r>
                </w:p>
              </w:tc>
              <w:tc>
                <w:tcPr>
                  <w:tcW w:w="401" w:type="pct"/>
                  <w:tcBorders>
                    <w:tl2br w:val="nil"/>
                    <w:tr2bl w:val="nil"/>
                  </w:tcBorders>
                  <w:noWrap w:val="0"/>
                  <w:vAlign w:val="center"/>
                </w:tcPr>
                <w:p w14:paraId="7C53A866">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5A40B3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6F9DD48D">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铜*</w:t>
                  </w:r>
                </w:p>
              </w:tc>
              <w:tc>
                <w:tcPr>
                  <w:tcW w:w="455" w:type="pct"/>
                  <w:tcBorders>
                    <w:tl2br w:val="nil"/>
                    <w:tr2bl w:val="nil"/>
                  </w:tcBorders>
                  <w:noWrap w:val="0"/>
                  <w:vAlign w:val="center"/>
                </w:tcPr>
                <w:p w14:paraId="29DB7014">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4DB4417E">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51</w:t>
                  </w:r>
                </w:p>
              </w:tc>
              <w:tc>
                <w:tcPr>
                  <w:tcW w:w="867" w:type="pct"/>
                  <w:tcBorders>
                    <w:tl2br w:val="nil"/>
                    <w:tr2bl w:val="nil"/>
                  </w:tcBorders>
                  <w:noWrap w:val="0"/>
                  <w:vAlign w:val="center"/>
                </w:tcPr>
                <w:p w14:paraId="773794BF">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43</w:t>
                  </w:r>
                </w:p>
              </w:tc>
              <w:tc>
                <w:tcPr>
                  <w:tcW w:w="869" w:type="pct"/>
                  <w:tcBorders>
                    <w:tl2br w:val="nil"/>
                    <w:tr2bl w:val="nil"/>
                  </w:tcBorders>
                  <w:noWrap w:val="0"/>
                  <w:vAlign w:val="center"/>
                </w:tcPr>
                <w:p w14:paraId="4F81BA54">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22</w:t>
                  </w:r>
                </w:p>
              </w:tc>
              <w:tc>
                <w:tcPr>
                  <w:tcW w:w="432" w:type="pct"/>
                  <w:tcBorders>
                    <w:tl2br w:val="nil"/>
                    <w:tr2bl w:val="nil"/>
                  </w:tcBorders>
                  <w:noWrap w:val="0"/>
                  <w:vAlign w:val="center"/>
                </w:tcPr>
                <w:p w14:paraId="63E3386F">
                  <w:pPr>
                    <w:ind w:left="-99" w:leftChars="-47" w:right="-105" w:rightChars="-5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≤18000</w:t>
                  </w:r>
                </w:p>
              </w:tc>
              <w:tc>
                <w:tcPr>
                  <w:tcW w:w="401" w:type="pct"/>
                  <w:tcBorders>
                    <w:tl2br w:val="nil"/>
                    <w:tr2bl w:val="nil"/>
                  </w:tcBorders>
                  <w:noWrap w:val="0"/>
                  <w:vAlign w:val="center"/>
                </w:tcPr>
                <w:p w14:paraId="296AC524">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399681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3DD8EE6D">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铅*</w:t>
                  </w:r>
                </w:p>
              </w:tc>
              <w:tc>
                <w:tcPr>
                  <w:tcW w:w="455" w:type="pct"/>
                  <w:tcBorders>
                    <w:tl2br w:val="nil"/>
                    <w:tr2bl w:val="nil"/>
                  </w:tcBorders>
                  <w:noWrap w:val="0"/>
                  <w:vAlign w:val="center"/>
                </w:tcPr>
                <w:p w14:paraId="6EA2655D">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1E990241">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42</w:t>
                  </w:r>
                </w:p>
              </w:tc>
              <w:tc>
                <w:tcPr>
                  <w:tcW w:w="867" w:type="pct"/>
                  <w:tcBorders>
                    <w:tl2br w:val="nil"/>
                    <w:tr2bl w:val="nil"/>
                  </w:tcBorders>
                  <w:noWrap w:val="0"/>
                  <w:vAlign w:val="center"/>
                </w:tcPr>
                <w:p w14:paraId="0C4C4994">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38</w:t>
                  </w:r>
                </w:p>
              </w:tc>
              <w:tc>
                <w:tcPr>
                  <w:tcW w:w="869" w:type="pct"/>
                  <w:tcBorders>
                    <w:tl2br w:val="nil"/>
                    <w:tr2bl w:val="nil"/>
                  </w:tcBorders>
                  <w:noWrap w:val="0"/>
                  <w:vAlign w:val="center"/>
                </w:tcPr>
                <w:p w14:paraId="6E17EBC9">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48</w:t>
                  </w:r>
                </w:p>
              </w:tc>
              <w:tc>
                <w:tcPr>
                  <w:tcW w:w="432" w:type="pct"/>
                  <w:tcBorders>
                    <w:tl2br w:val="nil"/>
                    <w:tr2bl w:val="nil"/>
                  </w:tcBorders>
                  <w:noWrap w:val="0"/>
                  <w:vAlign w:val="center"/>
                </w:tcPr>
                <w:p w14:paraId="01B41EF9">
                  <w:pPr>
                    <w:ind w:left="-99" w:leftChars="-47" w:right="-105" w:rightChars="-5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≤800</w:t>
                  </w:r>
                </w:p>
              </w:tc>
              <w:tc>
                <w:tcPr>
                  <w:tcW w:w="401" w:type="pct"/>
                  <w:tcBorders>
                    <w:tl2br w:val="nil"/>
                    <w:tr2bl w:val="nil"/>
                  </w:tcBorders>
                  <w:noWrap w:val="0"/>
                  <w:vAlign w:val="center"/>
                </w:tcPr>
                <w:p w14:paraId="372DE859">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08E3B4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49870A57">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汞*</w:t>
                  </w:r>
                </w:p>
              </w:tc>
              <w:tc>
                <w:tcPr>
                  <w:tcW w:w="455" w:type="pct"/>
                  <w:tcBorders>
                    <w:tl2br w:val="nil"/>
                    <w:tr2bl w:val="nil"/>
                  </w:tcBorders>
                  <w:noWrap w:val="0"/>
                  <w:vAlign w:val="center"/>
                </w:tcPr>
                <w:p w14:paraId="5126F564">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4E90B32F">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0.046</w:t>
                  </w:r>
                </w:p>
              </w:tc>
              <w:tc>
                <w:tcPr>
                  <w:tcW w:w="867" w:type="pct"/>
                  <w:tcBorders>
                    <w:tl2br w:val="nil"/>
                    <w:tr2bl w:val="nil"/>
                  </w:tcBorders>
                  <w:noWrap w:val="0"/>
                  <w:vAlign w:val="center"/>
                </w:tcPr>
                <w:p w14:paraId="562F3ADC">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0.096</w:t>
                  </w:r>
                </w:p>
              </w:tc>
              <w:tc>
                <w:tcPr>
                  <w:tcW w:w="869" w:type="pct"/>
                  <w:tcBorders>
                    <w:tl2br w:val="nil"/>
                    <w:tr2bl w:val="nil"/>
                  </w:tcBorders>
                  <w:noWrap w:val="0"/>
                  <w:vAlign w:val="center"/>
                </w:tcPr>
                <w:p w14:paraId="53C0C750">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0.365</w:t>
                  </w:r>
                </w:p>
              </w:tc>
              <w:tc>
                <w:tcPr>
                  <w:tcW w:w="432" w:type="pct"/>
                  <w:tcBorders>
                    <w:tl2br w:val="nil"/>
                    <w:tr2bl w:val="nil"/>
                  </w:tcBorders>
                  <w:noWrap w:val="0"/>
                  <w:vAlign w:val="center"/>
                </w:tcPr>
                <w:p w14:paraId="673FDF27">
                  <w:pPr>
                    <w:ind w:left="-99" w:leftChars="-47" w:right="-105" w:rightChars="-5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≤38</w:t>
                  </w:r>
                </w:p>
              </w:tc>
              <w:tc>
                <w:tcPr>
                  <w:tcW w:w="401" w:type="pct"/>
                  <w:tcBorders>
                    <w:tl2br w:val="nil"/>
                    <w:tr2bl w:val="nil"/>
                  </w:tcBorders>
                  <w:noWrap w:val="0"/>
                  <w:vAlign w:val="center"/>
                </w:tcPr>
                <w:p w14:paraId="14E1B3E8">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64E4E1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544F9941">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镍*</w:t>
                  </w:r>
                </w:p>
              </w:tc>
              <w:tc>
                <w:tcPr>
                  <w:tcW w:w="455" w:type="pct"/>
                  <w:tcBorders>
                    <w:tl2br w:val="nil"/>
                    <w:tr2bl w:val="nil"/>
                  </w:tcBorders>
                  <w:noWrap w:val="0"/>
                  <w:vAlign w:val="center"/>
                </w:tcPr>
                <w:p w14:paraId="1D4BD08A">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51BB78CE">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44</w:t>
                  </w:r>
                </w:p>
              </w:tc>
              <w:tc>
                <w:tcPr>
                  <w:tcW w:w="867" w:type="pct"/>
                  <w:tcBorders>
                    <w:tl2br w:val="nil"/>
                    <w:tr2bl w:val="nil"/>
                  </w:tcBorders>
                  <w:noWrap w:val="0"/>
                  <w:vAlign w:val="center"/>
                </w:tcPr>
                <w:p w14:paraId="5733E990">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33</w:t>
                  </w:r>
                </w:p>
              </w:tc>
              <w:tc>
                <w:tcPr>
                  <w:tcW w:w="869" w:type="pct"/>
                  <w:tcBorders>
                    <w:tl2br w:val="nil"/>
                    <w:tr2bl w:val="nil"/>
                  </w:tcBorders>
                  <w:noWrap w:val="0"/>
                  <w:vAlign w:val="center"/>
                </w:tcPr>
                <w:p w14:paraId="52DD6542">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24</w:t>
                  </w:r>
                </w:p>
              </w:tc>
              <w:tc>
                <w:tcPr>
                  <w:tcW w:w="432" w:type="pct"/>
                  <w:tcBorders>
                    <w:tl2br w:val="nil"/>
                    <w:tr2bl w:val="nil"/>
                  </w:tcBorders>
                  <w:noWrap w:val="0"/>
                  <w:vAlign w:val="center"/>
                </w:tcPr>
                <w:p w14:paraId="2DAA0381">
                  <w:pPr>
                    <w:ind w:left="-99" w:leftChars="-47" w:right="-105" w:rightChars="-5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≤900</w:t>
                  </w:r>
                </w:p>
              </w:tc>
              <w:tc>
                <w:tcPr>
                  <w:tcW w:w="401" w:type="pct"/>
                  <w:tcBorders>
                    <w:tl2br w:val="nil"/>
                    <w:tr2bl w:val="nil"/>
                  </w:tcBorders>
                  <w:noWrap w:val="0"/>
                  <w:vAlign w:val="center"/>
                </w:tcPr>
                <w:p w14:paraId="210FF0B7">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3973B0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305271EA">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硝基苯*</w:t>
                  </w:r>
                </w:p>
              </w:tc>
              <w:tc>
                <w:tcPr>
                  <w:tcW w:w="455" w:type="pct"/>
                  <w:tcBorders>
                    <w:tl2br w:val="nil"/>
                    <w:tr2bl w:val="nil"/>
                  </w:tcBorders>
                  <w:noWrap w:val="0"/>
                  <w:vAlign w:val="center"/>
                </w:tcPr>
                <w:p w14:paraId="5A791968">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70036F32">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0.09</w:t>
                  </w:r>
                </w:p>
              </w:tc>
              <w:tc>
                <w:tcPr>
                  <w:tcW w:w="867" w:type="pct"/>
                  <w:tcBorders>
                    <w:tl2br w:val="nil"/>
                    <w:tr2bl w:val="nil"/>
                  </w:tcBorders>
                  <w:noWrap w:val="0"/>
                  <w:vAlign w:val="center"/>
                </w:tcPr>
                <w:p w14:paraId="77467509">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0.09</w:t>
                  </w:r>
                </w:p>
              </w:tc>
              <w:tc>
                <w:tcPr>
                  <w:tcW w:w="869" w:type="pct"/>
                  <w:tcBorders>
                    <w:tl2br w:val="nil"/>
                    <w:tr2bl w:val="nil"/>
                  </w:tcBorders>
                  <w:noWrap w:val="0"/>
                  <w:vAlign w:val="center"/>
                </w:tcPr>
                <w:p w14:paraId="44D8FBA9">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0.09</w:t>
                  </w:r>
                </w:p>
              </w:tc>
              <w:tc>
                <w:tcPr>
                  <w:tcW w:w="432" w:type="pct"/>
                  <w:tcBorders>
                    <w:tl2br w:val="nil"/>
                    <w:tr2bl w:val="nil"/>
                  </w:tcBorders>
                  <w:noWrap w:val="0"/>
                  <w:vAlign w:val="center"/>
                </w:tcPr>
                <w:p w14:paraId="23797DFF">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≤76</w:t>
                  </w:r>
                </w:p>
              </w:tc>
              <w:tc>
                <w:tcPr>
                  <w:tcW w:w="401" w:type="pct"/>
                  <w:tcBorders>
                    <w:tl2br w:val="nil"/>
                    <w:tr2bl w:val="nil"/>
                  </w:tcBorders>
                  <w:noWrap w:val="0"/>
                  <w:vAlign w:val="center"/>
                </w:tcPr>
                <w:p w14:paraId="3489603B">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1CB9C6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311C5EB4">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2-氯苯酚*</w:t>
                  </w:r>
                </w:p>
              </w:tc>
              <w:tc>
                <w:tcPr>
                  <w:tcW w:w="455" w:type="pct"/>
                  <w:tcBorders>
                    <w:tl2br w:val="nil"/>
                    <w:tr2bl w:val="nil"/>
                  </w:tcBorders>
                  <w:noWrap w:val="0"/>
                  <w:vAlign w:val="center"/>
                </w:tcPr>
                <w:p w14:paraId="5A0106BB">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341D440E">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0.06</w:t>
                  </w:r>
                </w:p>
              </w:tc>
              <w:tc>
                <w:tcPr>
                  <w:tcW w:w="867" w:type="pct"/>
                  <w:tcBorders>
                    <w:tl2br w:val="nil"/>
                    <w:tr2bl w:val="nil"/>
                  </w:tcBorders>
                  <w:noWrap w:val="0"/>
                  <w:vAlign w:val="center"/>
                </w:tcPr>
                <w:p w14:paraId="3A8C6959">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0.06</w:t>
                  </w:r>
                </w:p>
              </w:tc>
              <w:tc>
                <w:tcPr>
                  <w:tcW w:w="869" w:type="pct"/>
                  <w:tcBorders>
                    <w:tl2br w:val="nil"/>
                    <w:tr2bl w:val="nil"/>
                  </w:tcBorders>
                  <w:noWrap w:val="0"/>
                  <w:vAlign w:val="center"/>
                </w:tcPr>
                <w:p w14:paraId="3496C4B9">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0.06</w:t>
                  </w:r>
                </w:p>
              </w:tc>
              <w:tc>
                <w:tcPr>
                  <w:tcW w:w="432" w:type="pct"/>
                  <w:tcBorders>
                    <w:tl2br w:val="nil"/>
                    <w:tr2bl w:val="nil"/>
                  </w:tcBorders>
                  <w:noWrap w:val="0"/>
                  <w:vAlign w:val="center"/>
                </w:tcPr>
                <w:p w14:paraId="49E025B7">
                  <w:pPr>
                    <w:ind w:left="-99" w:leftChars="-47" w:right="-105" w:rightChars="-5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≤2256</w:t>
                  </w:r>
                </w:p>
              </w:tc>
              <w:tc>
                <w:tcPr>
                  <w:tcW w:w="401" w:type="pct"/>
                  <w:tcBorders>
                    <w:tl2br w:val="nil"/>
                    <w:tr2bl w:val="nil"/>
                  </w:tcBorders>
                  <w:noWrap w:val="0"/>
                  <w:vAlign w:val="center"/>
                </w:tcPr>
                <w:p w14:paraId="27E8F2CC">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362C3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2B55C06A">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苯并［a］蒽*</w:t>
                  </w:r>
                </w:p>
              </w:tc>
              <w:tc>
                <w:tcPr>
                  <w:tcW w:w="455" w:type="pct"/>
                  <w:tcBorders>
                    <w:tl2br w:val="nil"/>
                    <w:tr2bl w:val="nil"/>
                  </w:tcBorders>
                  <w:noWrap w:val="0"/>
                  <w:vAlign w:val="center"/>
                </w:tcPr>
                <w:p w14:paraId="63392EC7">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1D25CCEA">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0.1</w:t>
                  </w:r>
                </w:p>
              </w:tc>
              <w:tc>
                <w:tcPr>
                  <w:tcW w:w="867" w:type="pct"/>
                  <w:tcBorders>
                    <w:tl2br w:val="nil"/>
                    <w:tr2bl w:val="nil"/>
                  </w:tcBorders>
                  <w:noWrap w:val="0"/>
                  <w:vAlign w:val="center"/>
                </w:tcPr>
                <w:p w14:paraId="6A67CD47">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0.1</w:t>
                  </w:r>
                </w:p>
              </w:tc>
              <w:tc>
                <w:tcPr>
                  <w:tcW w:w="869" w:type="pct"/>
                  <w:tcBorders>
                    <w:tl2br w:val="nil"/>
                    <w:tr2bl w:val="nil"/>
                  </w:tcBorders>
                  <w:noWrap w:val="0"/>
                  <w:vAlign w:val="center"/>
                </w:tcPr>
                <w:p w14:paraId="146812A0">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0.1</w:t>
                  </w:r>
                </w:p>
              </w:tc>
              <w:tc>
                <w:tcPr>
                  <w:tcW w:w="432" w:type="pct"/>
                  <w:tcBorders>
                    <w:tl2br w:val="nil"/>
                    <w:tr2bl w:val="nil"/>
                  </w:tcBorders>
                  <w:noWrap w:val="0"/>
                  <w:vAlign w:val="center"/>
                </w:tcPr>
                <w:p w14:paraId="28FF3B76">
                  <w:pPr>
                    <w:ind w:left="-99" w:leftChars="-47" w:right="-105" w:rightChars="-5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≤15</w:t>
                  </w:r>
                </w:p>
              </w:tc>
              <w:tc>
                <w:tcPr>
                  <w:tcW w:w="401" w:type="pct"/>
                  <w:tcBorders>
                    <w:tl2br w:val="nil"/>
                    <w:tr2bl w:val="nil"/>
                  </w:tcBorders>
                  <w:noWrap w:val="0"/>
                  <w:vAlign w:val="center"/>
                </w:tcPr>
                <w:p w14:paraId="75F19502">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5BFAF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0CC1BBD6">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苯并［a］芘*</w:t>
                  </w:r>
                </w:p>
              </w:tc>
              <w:tc>
                <w:tcPr>
                  <w:tcW w:w="455" w:type="pct"/>
                  <w:tcBorders>
                    <w:tl2br w:val="nil"/>
                    <w:tr2bl w:val="nil"/>
                  </w:tcBorders>
                  <w:noWrap w:val="0"/>
                  <w:vAlign w:val="center"/>
                </w:tcPr>
                <w:p w14:paraId="420AC725">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660E6231">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0.1</w:t>
                  </w:r>
                </w:p>
              </w:tc>
              <w:tc>
                <w:tcPr>
                  <w:tcW w:w="867" w:type="pct"/>
                  <w:tcBorders>
                    <w:tl2br w:val="nil"/>
                    <w:tr2bl w:val="nil"/>
                  </w:tcBorders>
                  <w:noWrap w:val="0"/>
                  <w:vAlign w:val="center"/>
                </w:tcPr>
                <w:p w14:paraId="61C52382">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0.1</w:t>
                  </w:r>
                </w:p>
              </w:tc>
              <w:tc>
                <w:tcPr>
                  <w:tcW w:w="869" w:type="pct"/>
                  <w:tcBorders>
                    <w:tl2br w:val="nil"/>
                    <w:tr2bl w:val="nil"/>
                  </w:tcBorders>
                  <w:noWrap w:val="0"/>
                  <w:vAlign w:val="center"/>
                </w:tcPr>
                <w:p w14:paraId="7284B841">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0.1</w:t>
                  </w:r>
                </w:p>
              </w:tc>
              <w:tc>
                <w:tcPr>
                  <w:tcW w:w="432" w:type="pct"/>
                  <w:tcBorders>
                    <w:tl2br w:val="nil"/>
                    <w:tr2bl w:val="nil"/>
                  </w:tcBorders>
                  <w:noWrap w:val="0"/>
                  <w:vAlign w:val="center"/>
                </w:tcPr>
                <w:p w14:paraId="6E60D5FB">
                  <w:pPr>
                    <w:ind w:left="-99" w:leftChars="-47" w:right="-105" w:rightChars="-5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≤1.5</w:t>
                  </w:r>
                </w:p>
              </w:tc>
              <w:tc>
                <w:tcPr>
                  <w:tcW w:w="401" w:type="pct"/>
                  <w:tcBorders>
                    <w:tl2br w:val="nil"/>
                    <w:tr2bl w:val="nil"/>
                  </w:tcBorders>
                  <w:noWrap w:val="0"/>
                  <w:vAlign w:val="center"/>
                </w:tcPr>
                <w:p w14:paraId="2BFA016A">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73F570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214C8434">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苯并［b］荧蒽*</w:t>
                  </w:r>
                </w:p>
              </w:tc>
              <w:tc>
                <w:tcPr>
                  <w:tcW w:w="455" w:type="pct"/>
                  <w:tcBorders>
                    <w:tl2br w:val="nil"/>
                    <w:tr2bl w:val="nil"/>
                  </w:tcBorders>
                  <w:noWrap w:val="0"/>
                  <w:vAlign w:val="center"/>
                </w:tcPr>
                <w:p w14:paraId="49EA10B7">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5E3CB1F2">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0.2</w:t>
                  </w:r>
                </w:p>
              </w:tc>
              <w:tc>
                <w:tcPr>
                  <w:tcW w:w="867" w:type="pct"/>
                  <w:tcBorders>
                    <w:tl2br w:val="nil"/>
                    <w:tr2bl w:val="nil"/>
                  </w:tcBorders>
                  <w:noWrap w:val="0"/>
                  <w:vAlign w:val="center"/>
                </w:tcPr>
                <w:p w14:paraId="665DEEE9">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0.2</w:t>
                  </w:r>
                </w:p>
              </w:tc>
              <w:tc>
                <w:tcPr>
                  <w:tcW w:w="869" w:type="pct"/>
                  <w:tcBorders>
                    <w:tl2br w:val="nil"/>
                    <w:tr2bl w:val="nil"/>
                  </w:tcBorders>
                  <w:noWrap w:val="0"/>
                  <w:vAlign w:val="center"/>
                </w:tcPr>
                <w:p w14:paraId="0109F09D">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0.2</w:t>
                  </w:r>
                </w:p>
              </w:tc>
              <w:tc>
                <w:tcPr>
                  <w:tcW w:w="432" w:type="pct"/>
                  <w:tcBorders>
                    <w:tl2br w:val="nil"/>
                    <w:tr2bl w:val="nil"/>
                  </w:tcBorders>
                  <w:noWrap w:val="0"/>
                  <w:vAlign w:val="center"/>
                </w:tcPr>
                <w:p w14:paraId="0FB47A67">
                  <w:pPr>
                    <w:ind w:left="-99" w:leftChars="-47" w:right="-105" w:rightChars="-5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≤15</w:t>
                  </w:r>
                </w:p>
              </w:tc>
              <w:tc>
                <w:tcPr>
                  <w:tcW w:w="401" w:type="pct"/>
                  <w:tcBorders>
                    <w:tl2br w:val="nil"/>
                    <w:tr2bl w:val="nil"/>
                  </w:tcBorders>
                  <w:noWrap w:val="0"/>
                  <w:vAlign w:val="center"/>
                </w:tcPr>
                <w:p w14:paraId="2F5196A2">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18C7A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2138AD15">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苯并［k］荧蒽*</w:t>
                  </w:r>
                </w:p>
              </w:tc>
              <w:tc>
                <w:tcPr>
                  <w:tcW w:w="455" w:type="pct"/>
                  <w:tcBorders>
                    <w:tl2br w:val="nil"/>
                    <w:tr2bl w:val="nil"/>
                  </w:tcBorders>
                  <w:noWrap w:val="0"/>
                  <w:vAlign w:val="center"/>
                </w:tcPr>
                <w:p w14:paraId="2C14FDC1">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09D77A0F">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0.1</w:t>
                  </w:r>
                </w:p>
              </w:tc>
              <w:tc>
                <w:tcPr>
                  <w:tcW w:w="867" w:type="pct"/>
                  <w:tcBorders>
                    <w:tl2br w:val="nil"/>
                    <w:tr2bl w:val="nil"/>
                  </w:tcBorders>
                  <w:noWrap w:val="0"/>
                  <w:vAlign w:val="center"/>
                </w:tcPr>
                <w:p w14:paraId="3346069B">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0.1</w:t>
                  </w:r>
                </w:p>
              </w:tc>
              <w:tc>
                <w:tcPr>
                  <w:tcW w:w="869" w:type="pct"/>
                  <w:tcBorders>
                    <w:tl2br w:val="nil"/>
                    <w:tr2bl w:val="nil"/>
                  </w:tcBorders>
                  <w:noWrap w:val="0"/>
                  <w:vAlign w:val="center"/>
                </w:tcPr>
                <w:p w14:paraId="2E9AC945">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0.1</w:t>
                  </w:r>
                </w:p>
              </w:tc>
              <w:tc>
                <w:tcPr>
                  <w:tcW w:w="432" w:type="pct"/>
                  <w:tcBorders>
                    <w:tl2br w:val="nil"/>
                    <w:tr2bl w:val="nil"/>
                  </w:tcBorders>
                  <w:noWrap w:val="0"/>
                  <w:vAlign w:val="center"/>
                </w:tcPr>
                <w:p w14:paraId="35A1D1FC">
                  <w:pPr>
                    <w:ind w:left="-99" w:leftChars="-47" w:right="-105" w:rightChars="-5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≤151</w:t>
                  </w:r>
                </w:p>
              </w:tc>
              <w:tc>
                <w:tcPr>
                  <w:tcW w:w="401" w:type="pct"/>
                  <w:tcBorders>
                    <w:tl2br w:val="nil"/>
                    <w:tr2bl w:val="nil"/>
                  </w:tcBorders>
                  <w:noWrap w:val="0"/>
                  <w:vAlign w:val="center"/>
                </w:tcPr>
                <w:p w14:paraId="63375860">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14BDAF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0C380108">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䓛*</w:t>
                  </w:r>
                </w:p>
              </w:tc>
              <w:tc>
                <w:tcPr>
                  <w:tcW w:w="455" w:type="pct"/>
                  <w:tcBorders>
                    <w:tl2br w:val="nil"/>
                    <w:tr2bl w:val="nil"/>
                  </w:tcBorders>
                  <w:noWrap w:val="0"/>
                  <w:vAlign w:val="center"/>
                </w:tcPr>
                <w:p w14:paraId="0E12FC3A">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71249EE0">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0.1</w:t>
                  </w:r>
                </w:p>
              </w:tc>
              <w:tc>
                <w:tcPr>
                  <w:tcW w:w="867" w:type="pct"/>
                  <w:tcBorders>
                    <w:tl2br w:val="nil"/>
                    <w:tr2bl w:val="nil"/>
                  </w:tcBorders>
                  <w:noWrap w:val="0"/>
                  <w:vAlign w:val="center"/>
                </w:tcPr>
                <w:p w14:paraId="1B71A9A7">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0.1</w:t>
                  </w:r>
                </w:p>
              </w:tc>
              <w:tc>
                <w:tcPr>
                  <w:tcW w:w="869" w:type="pct"/>
                  <w:tcBorders>
                    <w:tl2br w:val="nil"/>
                    <w:tr2bl w:val="nil"/>
                  </w:tcBorders>
                  <w:noWrap w:val="0"/>
                  <w:vAlign w:val="center"/>
                </w:tcPr>
                <w:p w14:paraId="2BF6CB1A">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0.1</w:t>
                  </w:r>
                </w:p>
              </w:tc>
              <w:tc>
                <w:tcPr>
                  <w:tcW w:w="432" w:type="pct"/>
                  <w:tcBorders>
                    <w:tl2br w:val="nil"/>
                    <w:tr2bl w:val="nil"/>
                  </w:tcBorders>
                  <w:noWrap w:val="0"/>
                  <w:vAlign w:val="center"/>
                </w:tcPr>
                <w:p w14:paraId="447FCDF4">
                  <w:pPr>
                    <w:ind w:left="-99" w:leftChars="-47" w:right="-105" w:rightChars="-5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≤1293</w:t>
                  </w:r>
                </w:p>
              </w:tc>
              <w:tc>
                <w:tcPr>
                  <w:tcW w:w="401" w:type="pct"/>
                  <w:tcBorders>
                    <w:tl2br w:val="nil"/>
                    <w:tr2bl w:val="nil"/>
                  </w:tcBorders>
                  <w:noWrap w:val="0"/>
                  <w:vAlign w:val="center"/>
                </w:tcPr>
                <w:p w14:paraId="4B8E2F12">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3C05B8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37CAF241">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二苯并［a,h］蒽*</w:t>
                  </w:r>
                </w:p>
              </w:tc>
              <w:tc>
                <w:tcPr>
                  <w:tcW w:w="455" w:type="pct"/>
                  <w:tcBorders>
                    <w:tl2br w:val="nil"/>
                    <w:tr2bl w:val="nil"/>
                  </w:tcBorders>
                  <w:noWrap w:val="0"/>
                  <w:vAlign w:val="center"/>
                </w:tcPr>
                <w:p w14:paraId="1A1B6049">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191BC45F">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0.1</w:t>
                  </w:r>
                </w:p>
              </w:tc>
              <w:tc>
                <w:tcPr>
                  <w:tcW w:w="867" w:type="pct"/>
                  <w:tcBorders>
                    <w:tl2br w:val="nil"/>
                    <w:tr2bl w:val="nil"/>
                  </w:tcBorders>
                  <w:noWrap w:val="0"/>
                  <w:vAlign w:val="center"/>
                </w:tcPr>
                <w:p w14:paraId="79464447">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0.1</w:t>
                  </w:r>
                </w:p>
              </w:tc>
              <w:tc>
                <w:tcPr>
                  <w:tcW w:w="869" w:type="pct"/>
                  <w:tcBorders>
                    <w:tl2br w:val="nil"/>
                    <w:tr2bl w:val="nil"/>
                  </w:tcBorders>
                  <w:noWrap w:val="0"/>
                  <w:vAlign w:val="center"/>
                </w:tcPr>
                <w:p w14:paraId="7A3BE6F6">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0.1</w:t>
                  </w:r>
                </w:p>
              </w:tc>
              <w:tc>
                <w:tcPr>
                  <w:tcW w:w="432" w:type="pct"/>
                  <w:tcBorders>
                    <w:tl2br w:val="nil"/>
                    <w:tr2bl w:val="nil"/>
                  </w:tcBorders>
                  <w:noWrap w:val="0"/>
                  <w:vAlign w:val="center"/>
                </w:tcPr>
                <w:p w14:paraId="2DC33E82">
                  <w:pPr>
                    <w:ind w:left="-99" w:leftChars="-47" w:right="-105" w:rightChars="-5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≤1.5</w:t>
                  </w:r>
                </w:p>
              </w:tc>
              <w:tc>
                <w:tcPr>
                  <w:tcW w:w="401" w:type="pct"/>
                  <w:tcBorders>
                    <w:tl2br w:val="nil"/>
                    <w:tr2bl w:val="nil"/>
                  </w:tcBorders>
                  <w:noWrap w:val="0"/>
                  <w:vAlign w:val="center"/>
                </w:tcPr>
                <w:p w14:paraId="52964C6C">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5A9FC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496EF7AF">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茚并［1,2,3-cd］芘*</w:t>
                  </w:r>
                </w:p>
              </w:tc>
              <w:tc>
                <w:tcPr>
                  <w:tcW w:w="455" w:type="pct"/>
                  <w:tcBorders>
                    <w:tl2br w:val="nil"/>
                    <w:tr2bl w:val="nil"/>
                  </w:tcBorders>
                  <w:noWrap w:val="0"/>
                  <w:vAlign w:val="center"/>
                </w:tcPr>
                <w:p w14:paraId="33F8706D">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1DF35577">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0.1</w:t>
                  </w:r>
                </w:p>
              </w:tc>
              <w:tc>
                <w:tcPr>
                  <w:tcW w:w="867" w:type="pct"/>
                  <w:tcBorders>
                    <w:tl2br w:val="nil"/>
                    <w:tr2bl w:val="nil"/>
                  </w:tcBorders>
                  <w:noWrap w:val="0"/>
                  <w:vAlign w:val="center"/>
                </w:tcPr>
                <w:p w14:paraId="4922B283">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0.1</w:t>
                  </w:r>
                </w:p>
              </w:tc>
              <w:tc>
                <w:tcPr>
                  <w:tcW w:w="869" w:type="pct"/>
                  <w:tcBorders>
                    <w:tl2br w:val="nil"/>
                    <w:tr2bl w:val="nil"/>
                  </w:tcBorders>
                  <w:noWrap w:val="0"/>
                  <w:vAlign w:val="center"/>
                </w:tcPr>
                <w:p w14:paraId="1C1C0A47">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0.1</w:t>
                  </w:r>
                </w:p>
              </w:tc>
              <w:tc>
                <w:tcPr>
                  <w:tcW w:w="432" w:type="pct"/>
                  <w:tcBorders>
                    <w:tl2br w:val="nil"/>
                    <w:tr2bl w:val="nil"/>
                  </w:tcBorders>
                  <w:noWrap w:val="0"/>
                  <w:vAlign w:val="center"/>
                </w:tcPr>
                <w:p w14:paraId="09732574">
                  <w:pPr>
                    <w:ind w:left="-99" w:leftChars="-47" w:right="-105" w:rightChars="-5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≤15</w:t>
                  </w:r>
                </w:p>
              </w:tc>
              <w:tc>
                <w:tcPr>
                  <w:tcW w:w="401" w:type="pct"/>
                  <w:tcBorders>
                    <w:tl2br w:val="nil"/>
                    <w:tr2bl w:val="nil"/>
                  </w:tcBorders>
                  <w:noWrap w:val="0"/>
                  <w:vAlign w:val="center"/>
                </w:tcPr>
                <w:p w14:paraId="19A034A9">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0BBF8B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7BEF7BC4">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萘*</w:t>
                  </w:r>
                </w:p>
              </w:tc>
              <w:tc>
                <w:tcPr>
                  <w:tcW w:w="455" w:type="pct"/>
                  <w:tcBorders>
                    <w:tl2br w:val="nil"/>
                    <w:tr2bl w:val="nil"/>
                  </w:tcBorders>
                  <w:noWrap w:val="0"/>
                  <w:vAlign w:val="center"/>
                </w:tcPr>
                <w:p w14:paraId="38CD5C98">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2C378C30">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0.09</w:t>
                  </w:r>
                </w:p>
              </w:tc>
              <w:tc>
                <w:tcPr>
                  <w:tcW w:w="867" w:type="pct"/>
                  <w:tcBorders>
                    <w:tl2br w:val="nil"/>
                    <w:tr2bl w:val="nil"/>
                  </w:tcBorders>
                  <w:noWrap w:val="0"/>
                  <w:vAlign w:val="center"/>
                </w:tcPr>
                <w:p w14:paraId="51D64B47">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0.09</w:t>
                  </w:r>
                </w:p>
              </w:tc>
              <w:tc>
                <w:tcPr>
                  <w:tcW w:w="869" w:type="pct"/>
                  <w:tcBorders>
                    <w:tl2br w:val="nil"/>
                    <w:tr2bl w:val="nil"/>
                  </w:tcBorders>
                  <w:noWrap w:val="0"/>
                  <w:vAlign w:val="center"/>
                </w:tcPr>
                <w:p w14:paraId="1ACD3F58">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0.09</w:t>
                  </w:r>
                </w:p>
              </w:tc>
              <w:tc>
                <w:tcPr>
                  <w:tcW w:w="432" w:type="pct"/>
                  <w:tcBorders>
                    <w:tl2br w:val="nil"/>
                    <w:tr2bl w:val="nil"/>
                  </w:tcBorders>
                  <w:noWrap w:val="0"/>
                  <w:vAlign w:val="center"/>
                </w:tcPr>
                <w:p w14:paraId="20594B19">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≤70</w:t>
                  </w:r>
                </w:p>
              </w:tc>
              <w:tc>
                <w:tcPr>
                  <w:tcW w:w="401" w:type="pct"/>
                  <w:tcBorders>
                    <w:tl2br w:val="nil"/>
                    <w:tr2bl w:val="nil"/>
                  </w:tcBorders>
                  <w:noWrap w:val="0"/>
                  <w:vAlign w:val="center"/>
                </w:tcPr>
                <w:p w14:paraId="62796F8E">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51ED37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1AA77B09">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苯胺*</w:t>
                  </w:r>
                </w:p>
              </w:tc>
              <w:tc>
                <w:tcPr>
                  <w:tcW w:w="455" w:type="pct"/>
                  <w:tcBorders>
                    <w:tl2br w:val="nil"/>
                    <w:tr2bl w:val="nil"/>
                  </w:tcBorders>
                  <w:noWrap w:val="0"/>
                  <w:vAlign w:val="center"/>
                </w:tcPr>
                <w:p w14:paraId="34B5133A">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65E87ADC">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0.002</w:t>
                  </w:r>
                </w:p>
              </w:tc>
              <w:tc>
                <w:tcPr>
                  <w:tcW w:w="867" w:type="pct"/>
                  <w:tcBorders>
                    <w:tl2br w:val="nil"/>
                    <w:tr2bl w:val="nil"/>
                  </w:tcBorders>
                  <w:noWrap w:val="0"/>
                  <w:vAlign w:val="center"/>
                </w:tcPr>
                <w:p w14:paraId="2D9D7F44">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0.002</w:t>
                  </w:r>
                </w:p>
              </w:tc>
              <w:tc>
                <w:tcPr>
                  <w:tcW w:w="869" w:type="pct"/>
                  <w:tcBorders>
                    <w:tl2br w:val="nil"/>
                    <w:tr2bl w:val="nil"/>
                  </w:tcBorders>
                  <w:noWrap w:val="0"/>
                  <w:vAlign w:val="center"/>
                </w:tcPr>
                <w:p w14:paraId="6DFDC45A">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0.002</w:t>
                  </w:r>
                </w:p>
              </w:tc>
              <w:tc>
                <w:tcPr>
                  <w:tcW w:w="432" w:type="pct"/>
                  <w:tcBorders>
                    <w:tl2br w:val="nil"/>
                    <w:tr2bl w:val="nil"/>
                  </w:tcBorders>
                  <w:noWrap w:val="0"/>
                  <w:vAlign w:val="center"/>
                </w:tcPr>
                <w:p w14:paraId="353D8BEA">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≤260</w:t>
                  </w:r>
                </w:p>
              </w:tc>
              <w:tc>
                <w:tcPr>
                  <w:tcW w:w="401" w:type="pct"/>
                  <w:tcBorders>
                    <w:tl2br w:val="nil"/>
                    <w:tr2bl w:val="nil"/>
                  </w:tcBorders>
                  <w:noWrap w:val="0"/>
                  <w:vAlign w:val="center"/>
                </w:tcPr>
                <w:p w14:paraId="360BB0DB">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1C929E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7F36A6B3">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四氯化碳*</w:t>
                  </w:r>
                </w:p>
              </w:tc>
              <w:tc>
                <w:tcPr>
                  <w:tcW w:w="455" w:type="pct"/>
                  <w:tcBorders>
                    <w:tl2br w:val="nil"/>
                    <w:tr2bl w:val="nil"/>
                  </w:tcBorders>
                  <w:noWrap w:val="0"/>
                  <w:vAlign w:val="center"/>
                </w:tcPr>
                <w:p w14:paraId="1933D17A">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453D76DE">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0.0013</w:t>
                  </w:r>
                </w:p>
              </w:tc>
              <w:tc>
                <w:tcPr>
                  <w:tcW w:w="867" w:type="pct"/>
                  <w:tcBorders>
                    <w:tl2br w:val="nil"/>
                    <w:tr2bl w:val="nil"/>
                  </w:tcBorders>
                  <w:noWrap w:val="0"/>
                  <w:vAlign w:val="center"/>
                </w:tcPr>
                <w:p w14:paraId="36E25D2E">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0.0013</w:t>
                  </w:r>
                </w:p>
              </w:tc>
              <w:tc>
                <w:tcPr>
                  <w:tcW w:w="869" w:type="pct"/>
                  <w:tcBorders>
                    <w:tl2br w:val="nil"/>
                    <w:tr2bl w:val="nil"/>
                  </w:tcBorders>
                  <w:noWrap w:val="0"/>
                  <w:vAlign w:val="center"/>
                </w:tcPr>
                <w:p w14:paraId="7979AEAC">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0.0013</w:t>
                  </w:r>
                </w:p>
              </w:tc>
              <w:tc>
                <w:tcPr>
                  <w:tcW w:w="432" w:type="pct"/>
                  <w:tcBorders>
                    <w:tl2br w:val="nil"/>
                    <w:tr2bl w:val="nil"/>
                  </w:tcBorders>
                  <w:noWrap w:val="0"/>
                  <w:vAlign w:val="center"/>
                </w:tcPr>
                <w:p w14:paraId="5CA5D559">
                  <w:pPr>
                    <w:ind w:left="-99" w:leftChars="-47" w:right="-105" w:rightChars="-5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≤2.8</w:t>
                  </w:r>
                </w:p>
              </w:tc>
              <w:tc>
                <w:tcPr>
                  <w:tcW w:w="401" w:type="pct"/>
                  <w:tcBorders>
                    <w:tl2br w:val="nil"/>
                    <w:tr2bl w:val="nil"/>
                  </w:tcBorders>
                  <w:noWrap w:val="0"/>
                  <w:vAlign w:val="center"/>
                </w:tcPr>
                <w:p w14:paraId="04B5FC32">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40DCF5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28588A7B">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氯仿*</w:t>
                  </w:r>
                </w:p>
              </w:tc>
              <w:tc>
                <w:tcPr>
                  <w:tcW w:w="455" w:type="pct"/>
                  <w:tcBorders>
                    <w:tl2br w:val="nil"/>
                    <w:tr2bl w:val="nil"/>
                  </w:tcBorders>
                  <w:noWrap w:val="0"/>
                  <w:vAlign w:val="center"/>
                </w:tcPr>
                <w:p w14:paraId="7AEB6783">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6CC68521">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0.0011</w:t>
                  </w:r>
                </w:p>
              </w:tc>
              <w:tc>
                <w:tcPr>
                  <w:tcW w:w="867" w:type="pct"/>
                  <w:tcBorders>
                    <w:tl2br w:val="nil"/>
                    <w:tr2bl w:val="nil"/>
                  </w:tcBorders>
                  <w:noWrap w:val="0"/>
                  <w:vAlign w:val="center"/>
                </w:tcPr>
                <w:p w14:paraId="0261F894">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0.0011</w:t>
                  </w:r>
                </w:p>
              </w:tc>
              <w:tc>
                <w:tcPr>
                  <w:tcW w:w="869" w:type="pct"/>
                  <w:tcBorders>
                    <w:tl2br w:val="nil"/>
                    <w:tr2bl w:val="nil"/>
                  </w:tcBorders>
                  <w:noWrap w:val="0"/>
                  <w:vAlign w:val="center"/>
                </w:tcPr>
                <w:p w14:paraId="3CD7ED72">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0.0011</w:t>
                  </w:r>
                </w:p>
              </w:tc>
              <w:tc>
                <w:tcPr>
                  <w:tcW w:w="432" w:type="pct"/>
                  <w:tcBorders>
                    <w:tl2br w:val="nil"/>
                    <w:tr2bl w:val="nil"/>
                  </w:tcBorders>
                  <w:noWrap w:val="0"/>
                  <w:vAlign w:val="center"/>
                </w:tcPr>
                <w:p w14:paraId="300FAEDB">
                  <w:pPr>
                    <w:ind w:left="-99" w:leftChars="-47" w:right="-105" w:rightChars="-5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≤0.9</w:t>
                  </w:r>
                </w:p>
              </w:tc>
              <w:tc>
                <w:tcPr>
                  <w:tcW w:w="401" w:type="pct"/>
                  <w:tcBorders>
                    <w:tl2br w:val="nil"/>
                    <w:tr2bl w:val="nil"/>
                  </w:tcBorders>
                  <w:noWrap w:val="0"/>
                  <w:vAlign w:val="center"/>
                </w:tcPr>
                <w:p w14:paraId="1DB35DAE">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3E4417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617EFA59">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氯甲烷*</w:t>
                  </w:r>
                </w:p>
              </w:tc>
              <w:tc>
                <w:tcPr>
                  <w:tcW w:w="455" w:type="pct"/>
                  <w:tcBorders>
                    <w:tl2br w:val="nil"/>
                    <w:tr2bl w:val="nil"/>
                  </w:tcBorders>
                  <w:noWrap w:val="0"/>
                  <w:vAlign w:val="center"/>
                </w:tcPr>
                <w:p w14:paraId="43DB27F3">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2CFEA89B">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0.0010</w:t>
                  </w:r>
                </w:p>
              </w:tc>
              <w:tc>
                <w:tcPr>
                  <w:tcW w:w="867" w:type="pct"/>
                  <w:tcBorders>
                    <w:tl2br w:val="nil"/>
                    <w:tr2bl w:val="nil"/>
                  </w:tcBorders>
                  <w:noWrap w:val="0"/>
                  <w:vAlign w:val="center"/>
                </w:tcPr>
                <w:p w14:paraId="7CA31705">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0.0010</w:t>
                  </w:r>
                </w:p>
              </w:tc>
              <w:tc>
                <w:tcPr>
                  <w:tcW w:w="869" w:type="pct"/>
                  <w:tcBorders>
                    <w:tl2br w:val="nil"/>
                    <w:tr2bl w:val="nil"/>
                  </w:tcBorders>
                  <w:noWrap w:val="0"/>
                  <w:vAlign w:val="center"/>
                </w:tcPr>
                <w:p w14:paraId="4C42BBD3">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0.0010</w:t>
                  </w:r>
                </w:p>
              </w:tc>
              <w:tc>
                <w:tcPr>
                  <w:tcW w:w="432" w:type="pct"/>
                  <w:tcBorders>
                    <w:tl2br w:val="nil"/>
                    <w:tr2bl w:val="nil"/>
                  </w:tcBorders>
                  <w:noWrap w:val="0"/>
                  <w:vAlign w:val="center"/>
                </w:tcPr>
                <w:p w14:paraId="6CDB6A0B">
                  <w:pPr>
                    <w:ind w:left="-99" w:leftChars="-47" w:right="-105" w:rightChars="-5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≤37</w:t>
                  </w:r>
                </w:p>
              </w:tc>
              <w:tc>
                <w:tcPr>
                  <w:tcW w:w="401" w:type="pct"/>
                  <w:tcBorders>
                    <w:tl2br w:val="nil"/>
                    <w:tr2bl w:val="nil"/>
                  </w:tcBorders>
                  <w:noWrap w:val="0"/>
                  <w:vAlign w:val="center"/>
                </w:tcPr>
                <w:p w14:paraId="598BEC0B">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7D3A71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2B47B383">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1,1-二氯乙烷*</w:t>
                  </w:r>
                </w:p>
              </w:tc>
              <w:tc>
                <w:tcPr>
                  <w:tcW w:w="455" w:type="pct"/>
                  <w:tcBorders>
                    <w:tl2br w:val="nil"/>
                    <w:tr2bl w:val="nil"/>
                  </w:tcBorders>
                  <w:noWrap w:val="0"/>
                  <w:vAlign w:val="center"/>
                </w:tcPr>
                <w:p w14:paraId="6DE9C6D1">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3DD7FD20">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0.0012</w:t>
                  </w:r>
                </w:p>
              </w:tc>
              <w:tc>
                <w:tcPr>
                  <w:tcW w:w="867" w:type="pct"/>
                  <w:tcBorders>
                    <w:tl2br w:val="nil"/>
                    <w:tr2bl w:val="nil"/>
                  </w:tcBorders>
                  <w:noWrap w:val="0"/>
                  <w:vAlign w:val="center"/>
                </w:tcPr>
                <w:p w14:paraId="09F7E5F6">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0.0012</w:t>
                  </w:r>
                </w:p>
              </w:tc>
              <w:tc>
                <w:tcPr>
                  <w:tcW w:w="869" w:type="pct"/>
                  <w:tcBorders>
                    <w:tl2br w:val="nil"/>
                    <w:tr2bl w:val="nil"/>
                  </w:tcBorders>
                  <w:noWrap w:val="0"/>
                  <w:vAlign w:val="center"/>
                </w:tcPr>
                <w:p w14:paraId="6F511AC2">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0.0012</w:t>
                  </w:r>
                </w:p>
              </w:tc>
              <w:tc>
                <w:tcPr>
                  <w:tcW w:w="432" w:type="pct"/>
                  <w:tcBorders>
                    <w:tl2br w:val="nil"/>
                    <w:tr2bl w:val="nil"/>
                  </w:tcBorders>
                  <w:noWrap w:val="0"/>
                  <w:vAlign w:val="center"/>
                </w:tcPr>
                <w:p w14:paraId="29C2E4CA">
                  <w:pPr>
                    <w:ind w:left="-99" w:leftChars="-47" w:right="-105" w:rightChars="-5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≤9</w:t>
                  </w:r>
                </w:p>
              </w:tc>
              <w:tc>
                <w:tcPr>
                  <w:tcW w:w="401" w:type="pct"/>
                  <w:tcBorders>
                    <w:tl2br w:val="nil"/>
                    <w:tr2bl w:val="nil"/>
                  </w:tcBorders>
                  <w:noWrap w:val="0"/>
                  <w:vAlign w:val="center"/>
                </w:tcPr>
                <w:p w14:paraId="4E3A89BD">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2E967A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18AC50D8">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1,2-二氯乙烷*</w:t>
                  </w:r>
                </w:p>
              </w:tc>
              <w:tc>
                <w:tcPr>
                  <w:tcW w:w="455" w:type="pct"/>
                  <w:tcBorders>
                    <w:tl2br w:val="nil"/>
                    <w:tr2bl w:val="nil"/>
                  </w:tcBorders>
                  <w:noWrap w:val="0"/>
                  <w:vAlign w:val="center"/>
                </w:tcPr>
                <w:p w14:paraId="6D1A6D91">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7E89C041">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0.0013</w:t>
                  </w:r>
                </w:p>
              </w:tc>
              <w:tc>
                <w:tcPr>
                  <w:tcW w:w="867" w:type="pct"/>
                  <w:tcBorders>
                    <w:tl2br w:val="nil"/>
                    <w:tr2bl w:val="nil"/>
                  </w:tcBorders>
                  <w:noWrap w:val="0"/>
                  <w:vAlign w:val="center"/>
                </w:tcPr>
                <w:p w14:paraId="2A35CA7C">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0.0013</w:t>
                  </w:r>
                </w:p>
              </w:tc>
              <w:tc>
                <w:tcPr>
                  <w:tcW w:w="869" w:type="pct"/>
                  <w:tcBorders>
                    <w:tl2br w:val="nil"/>
                    <w:tr2bl w:val="nil"/>
                  </w:tcBorders>
                  <w:noWrap w:val="0"/>
                  <w:vAlign w:val="center"/>
                </w:tcPr>
                <w:p w14:paraId="2367EA73">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0.0013</w:t>
                  </w:r>
                </w:p>
              </w:tc>
              <w:tc>
                <w:tcPr>
                  <w:tcW w:w="432" w:type="pct"/>
                  <w:tcBorders>
                    <w:tl2br w:val="nil"/>
                    <w:tr2bl w:val="nil"/>
                  </w:tcBorders>
                  <w:noWrap w:val="0"/>
                  <w:vAlign w:val="center"/>
                </w:tcPr>
                <w:p w14:paraId="60319D62">
                  <w:pPr>
                    <w:ind w:left="-99" w:leftChars="-47" w:right="-105" w:rightChars="-5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w:t>
                  </w:r>
                </w:p>
              </w:tc>
              <w:tc>
                <w:tcPr>
                  <w:tcW w:w="401" w:type="pct"/>
                  <w:tcBorders>
                    <w:tl2br w:val="nil"/>
                    <w:tr2bl w:val="nil"/>
                  </w:tcBorders>
                  <w:noWrap w:val="0"/>
                  <w:vAlign w:val="center"/>
                </w:tcPr>
                <w:p w14:paraId="0A01FB61">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747A23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19FDAF88">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1,1-二氯乙烯*</w:t>
                  </w:r>
                </w:p>
              </w:tc>
              <w:tc>
                <w:tcPr>
                  <w:tcW w:w="455" w:type="pct"/>
                  <w:tcBorders>
                    <w:tl2br w:val="nil"/>
                    <w:tr2bl w:val="nil"/>
                  </w:tcBorders>
                  <w:noWrap w:val="0"/>
                  <w:vAlign w:val="center"/>
                </w:tcPr>
                <w:p w14:paraId="3721BF4B">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1B16EE08">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0.0010</w:t>
                  </w:r>
                </w:p>
              </w:tc>
              <w:tc>
                <w:tcPr>
                  <w:tcW w:w="867" w:type="pct"/>
                  <w:tcBorders>
                    <w:tl2br w:val="nil"/>
                    <w:tr2bl w:val="nil"/>
                  </w:tcBorders>
                  <w:noWrap w:val="0"/>
                  <w:vAlign w:val="center"/>
                </w:tcPr>
                <w:p w14:paraId="628BB870">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0.0010</w:t>
                  </w:r>
                </w:p>
              </w:tc>
              <w:tc>
                <w:tcPr>
                  <w:tcW w:w="869" w:type="pct"/>
                  <w:tcBorders>
                    <w:tl2br w:val="nil"/>
                    <w:tr2bl w:val="nil"/>
                  </w:tcBorders>
                  <w:noWrap w:val="0"/>
                  <w:vAlign w:val="center"/>
                </w:tcPr>
                <w:p w14:paraId="7CC43786">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0.0010</w:t>
                  </w:r>
                </w:p>
              </w:tc>
              <w:tc>
                <w:tcPr>
                  <w:tcW w:w="432" w:type="pct"/>
                  <w:tcBorders>
                    <w:tl2br w:val="nil"/>
                    <w:tr2bl w:val="nil"/>
                  </w:tcBorders>
                  <w:noWrap w:val="0"/>
                  <w:vAlign w:val="center"/>
                </w:tcPr>
                <w:p w14:paraId="622E4A21">
                  <w:pPr>
                    <w:ind w:left="-99" w:leftChars="-47" w:right="-105" w:rightChars="-5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≤66</w:t>
                  </w:r>
                </w:p>
              </w:tc>
              <w:tc>
                <w:tcPr>
                  <w:tcW w:w="401" w:type="pct"/>
                  <w:tcBorders>
                    <w:tl2br w:val="nil"/>
                    <w:tr2bl w:val="nil"/>
                  </w:tcBorders>
                  <w:noWrap w:val="0"/>
                  <w:vAlign w:val="center"/>
                </w:tcPr>
                <w:p w14:paraId="27459E76">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72B54C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454B729C">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顺-1,2-二氯乙烯*</w:t>
                  </w:r>
                </w:p>
              </w:tc>
              <w:tc>
                <w:tcPr>
                  <w:tcW w:w="455" w:type="pct"/>
                  <w:tcBorders>
                    <w:tl2br w:val="nil"/>
                    <w:tr2bl w:val="nil"/>
                  </w:tcBorders>
                  <w:noWrap w:val="0"/>
                  <w:vAlign w:val="center"/>
                </w:tcPr>
                <w:p w14:paraId="46063E35">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1C123FD7">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0.0013</w:t>
                  </w:r>
                </w:p>
              </w:tc>
              <w:tc>
                <w:tcPr>
                  <w:tcW w:w="867" w:type="pct"/>
                  <w:tcBorders>
                    <w:tl2br w:val="nil"/>
                    <w:tr2bl w:val="nil"/>
                  </w:tcBorders>
                  <w:noWrap w:val="0"/>
                  <w:vAlign w:val="center"/>
                </w:tcPr>
                <w:p w14:paraId="642327AB">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0.0013</w:t>
                  </w:r>
                </w:p>
              </w:tc>
              <w:tc>
                <w:tcPr>
                  <w:tcW w:w="869" w:type="pct"/>
                  <w:tcBorders>
                    <w:tl2br w:val="nil"/>
                    <w:tr2bl w:val="nil"/>
                  </w:tcBorders>
                  <w:noWrap w:val="0"/>
                  <w:vAlign w:val="center"/>
                </w:tcPr>
                <w:p w14:paraId="004FE8A0">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0.0013</w:t>
                  </w:r>
                </w:p>
              </w:tc>
              <w:tc>
                <w:tcPr>
                  <w:tcW w:w="432" w:type="pct"/>
                  <w:tcBorders>
                    <w:tl2br w:val="nil"/>
                    <w:tr2bl w:val="nil"/>
                  </w:tcBorders>
                  <w:noWrap w:val="0"/>
                  <w:vAlign w:val="center"/>
                </w:tcPr>
                <w:p w14:paraId="3574D526">
                  <w:pPr>
                    <w:ind w:left="-99" w:leftChars="-47" w:right="-105" w:rightChars="-5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≤596</w:t>
                  </w:r>
                </w:p>
              </w:tc>
              <w:tc>
                <w:tcPr>
                  <w:tcW w:w="401" w:type="pct"/>
                  <w:tcBorders>
                    <w:tl2br w:val="nil"/>
                    <w:tr2bl w:val="nil"/>
                  </w:tcBorders>
                  <w:noWrap w:val="0"/>
                  <w:vAlign w:val="center"/>
                </w:tcPr>
                <w:p w14:paraId="1B58A9A0">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72D2ED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4F75F3E7">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反-1,2-二氯乙烯*</w:t>
                  </w:r>
                </w:p>
              </w:tc>
              <w:tc>
                <w:tcPr>
                  <w:tcW w:w="455" w:type="pct"/>
                  <w:tcBorders>
                    <w:tl2br w:val="nil"/>
                    <w:tr2bl w:val="nil"/>
                  </w:tcBorders>
                  <w:noWrap w:val="0"/>
                  <w:vAlign w:val="center"/>
                </w:tcPr>
                <w:p w14:paraId="0256B759">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7D3C7346">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0.0014</w:t>
                  </w:r>
                </w:p>
              </w:tc>
              <w:tc>
                <w:tcPr>
                  <w:tcW w:w="867" w:type="pct"/>
                  <w:tcBorders>
                    <w:tl2br w:val="nil"/>
                    <w:tr2bl w:val="nil"/>
                  </w:tcBorders>
                  <w:noWrap w:val="0"/>
                  <w:vAlign w:val="center"/>
                </w:tcPr>
                <w:p w14:paraId="707870EB">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0.0014</w:t>
                  </w:r>
                </w:p>
              </w:tc>
              <w:tc>
                <w:tcPr>
                  <w:tcW w:w="869" w:type="pct"/>
                  <w:tcBorders>
                    <w:tl2br w:val="nil"/>
                    <w:tr2bl w:val="nil"/>
                  </w:tcBorders>
                  <w:noWrap w:val="0"/>
                  <w:vAlign w:val="center"/>
                </w:tcPr>
                <w:p w14:paraId="77AF9B1B">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0.0014</w:t>
                  </w:r>
                </w:p>
              </w:tc>
              <w:tc>
                <w:tcPr>
                  <w:tcW w:w="432" w:type="pct"/>
                  <w:tcBorders>
                    <w:tl2br w:val="nil"/>
                    <w:tr2bl w:val="nil"/>
                  </w:tcBorders>
                  <w:noWrap w:val="0"/>
                  <w:vAlign w:val="center"/>
                </w:tcPr>
                <w:p w14:paraId="6C79808F">
                  <w:pPr>
                    <w:ind w:left="-99" w:leftChars="-47" w:right="-105" w:rightChars="-5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≤54</w:t>
                  </w:r>
                </w:p>
              </w:tc>
              <w:tc>
                <w:tcPr>
                  <w:tcW w:w="401" w:type="pct"/>
                  <w:tcBorders>
                    <w:tl2br w:val="nil"/>
                    <w:tr2bl w:val="nil"/>
                  </w:tcBorders>
                  <w:noWrap w:val="0"/>
                  <w:vAlign w:val="center"/>
                </w:tcPr>
                <w:p w14:paraId="5E682485">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1E7E8F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276C5AD8">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二氯甲烷*</w:t>
                  </w:r>
                </w:p>
              </w:tc>
              <w:tc>
                <w:tcPr>
                  <w:tcW w:w="455" w:type="pct"/>
                  <w:tcBorders>
                    <w:tl2br w:val="nil"/>
                    <w:tr2bl w:val="nil"/>
                  </w:tcBorders>
                  <w:noWrap w:val="0"/>
                  <w:vAlign w:val="center"/>
                </w:tcPr>
                <w:p w14:paraId="54CAE149">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0A7DC6FE">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0.0015</w:t>
                  </w:r>
                </w:p>
              </w:tc>
              <w:tc>
                <w:tcPr>
                  <w:tcW w:w="867" w:type="pct"/>
                  <w:tcBorders>
                    <w:tl2br w:val="nil"/>
                    <w:tr2bl w:val="nil"/>
                  </w:tcBorders>
                  <w:noWrap w:val="0"/>
                  <w:vAlign w:val="center"/>
                </w:tcPr>
                <w:p w14:paraId="5BF39EA1">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0.0015</w:t>
                  </w:r>
                </w:p>
              </w:tc>
              <w:tc>
                <w:tcPr>
                  <w:tcW w:w="869" w:type="pct"/>
                  <w:tcBorders>
                    <w:tl2br w:val="nil"/>
                    <w:tr2bl w:val="nil"/>
                  </w:tcBorders>
                  <w:noWrap w:val="0"/>
                  <w:vAlign w:val="center"/>
                </w:tcPr>
                <w:p w14:paraId="05FA693B">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0.0015</w:t>
                  </w:r>
                </w:p>
              </w:tc>
              <w:tc>
                <w:tcPr>
                  <w:tcW w:w="432" w:type="pct"/>
                  <w:tcBorders>
                    <w:tl2br w:val="nil"/>
                    <w:tr2bl w:val="nil"/>
                  </w:tcBorders>
                  <w:noWrap w:val="0"/>
                  <w:vAlign w:val="center"/>
                </w:tcPr>
                <w:p w14:paraId="773E974B">
                  <w:pPr>
                    <w:ind w:left="-99" w:leftChars="-47" w:right="-105" w:rightChars="-5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≤616</w:t>
                  </w:r>
                </w:p>
              </w:tc>
              <w:tc>
                <w:tcPr>
                  <w:tcW w:w="401" w:type="pct"/>
                  <w:tcBorders>
                    <w:tl2br w:val="nil"/>
                    <w:tr2bl w:val="nil"/>
                  </w:tcBorders>
                  <w:noWrap w:val="0"/>
                  <w:vAlign w:val="center"/>
                </w:tcPr>
                <w:p w14:paraId="24D0BA15">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43BE8A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61BD5654">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1,2-二氯丙烷*</w:t>
                  </w:r>
                </w:p>
              </w:tc>
              <w:tc>
                <w:tcPr>
                  <w:tcW w:w="455" w:type="pct"/>
                  <w:tcBorders>
                    <w:tl2br w:val="nil"/>
                    <w:tr2bl w:val="nil"/>
                  </w:tcBorders>
                  <w:noWrap w:val="0"/>
                  <w:vAlign w:val="center"/>
                </w:tcPr>
                <w:p w14:paraId="6CAF6A03">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7E08B649">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0.0011</w:t>
                  </w:r>
                </w:p>
              </w:tc>
              <w:tc>
                <w:tcPr>
                  <w:tcW w:w="867" w:type="pct"/>
                  <w:tcBorders>
                    <w:tl2br w:val="nil"/>
                    <w:tr2bl w:val="nil"/>
                  </w:tcBorders>
                  <w:noWrap w:val="0"/>
                  <w:vAlign w:val="center"/>
                </w:tcPr>
                <w:p w14:paraId="30D33BF1">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0.0011</w:t>
                  </w:r>
                </w:p>
              </w:tc>
              <w:tc>
                <w:tcPr>
                  <w:tcW w:w="869" w:type="pct"/>
                  <w:tcBorders>
                    <w:tl2br w:val="nil"/>
                    <w:tr2bl w:val="nil"/>
                  </w:tcBorders>
                  <w:noWrap w:val="0"/>
                  <w:vAlign w:val="center"/>
                </w:tcPr>
                <w:p w14:paraId="2E2BDD07">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0.0011</w:t>
                  </w:r>
                </w:p>
              </w:tc>
              <w:tc>
                <w:tcPr>
                  <w:tcW w:w="432" w:type="pct"/>
                  <w:tcBorders>
                    <w:tl2br w:val="nil"/>
                    <w:tr2bl w:val="nil"/>
                  </w:tcBorders>
                  <w:noWrap w:val="0"/>
                  <w:vAlign w:val="center"/>
                </w:tcPr>
                <w:p w14:paraId="765DF641">
                  <w:pPr>
                    <w:ind w:left="-99" w:leftChars="-47" w:right="-105" w:rightChars="-5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w:t>
                  </w:r>
                </w:p>
              </w:tc>
              <w:tc>
                <w:tcPr>
                  <w:tcW w:w="401" w:type="pct"/>
                  <w:tcBorders>
                    <w:tl2br w:val="nil"/>
                    <w:tr2bl w:val="nil"/>
                  </w:tcBorders>
                  <w:noWrap w:val="0"/>
                  <w:vAlign w:val="center"/>
                </w:tcPr>
                <w:p w14:paraId="6D0F8E87">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5492D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1B8E0C29">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1,1,1,2-四氯乙烷*</w:t>
                  </w:r>
                </w:p>
              </w:tc>
              <w:tc>
                <w:tcPr>
                  <w:tcW w:w="455" w:type="pct"/>
                  <w:tcBorders>
                    <w:tl2br w:val="nil"/>
                    <w:tr2bl w:val="nil"/>
                  </w:tcBorders>
                  <w:noWrap w:val="0"/>
                  <w:vAlign w:val="center"/>
                </w:tcPr>
                <w:p w14:paraId="4C674BD8">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593469BD">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0.0012</w:t>
                  </w:r>
                </w:p>
              </w:tc>
              <w:tc>
                <w:tcPr>
                  <w:tcW w:w="867" w:type="pct"/>
                  <w:tcBorders>
                    <w:tl2br w:val="nil"/>
                    <w:tr2bl w:val="nil"/>
                  </w:tcBorders>
                  <w:noWrap w:val="0"/>
                  <w:vAlign w:val="center"/>
                </w:tcPr>
                <w:p w14:paraId="45474B46">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0.0012</w:t>
                  </w:r>
                </w:p>
              </w:tc>
              <w:tc>
                <w:tcPr>
                  <w:tcW w:w="869" w:type="pct"/>
                  <w:tcBorders>
                    <w:tl2br w:val="nil"/>
                    <w:tr2bl w:val="nil"/>
                  </w:tcBorders>
                  <w:noWrap w:val="0"/>
                  <w:vAlign w:val="center"/>
                </w:tcPr>
                <w:p w14:paraId="1D64EA51">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0.0012</w:t>
                  </w:r>
                </w:p>
              </w:tc>
              <w:tc>
                <w:tcPr>
                  <w:tcW w:w="432" w:type="pct"/>
                  <w:tcBorders>
                    <w:tl2br w:val="nil"/>
                    <w:tr2bl w:val="nil"/>
                  </w:tcBorders>
                  <w:noWrap w:val="0"/>
                  <w:vAlign w:val="center"/>
                </w:tcPr>
                <w:p w14:paraId="337D8056">
                  <w:pPr>
                    <w:ind w:left="-99" w:leftChars="-47" w:right="-105" w:rightChars="-5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≤10</w:t>
                  </w:r>
                </w:p>
              </w:tc>
              <w:tc>
                <w:tcPr>
                  <w:tcW w:w="401" w:type="pct"/>
                  <w:tcBorders>
                    <w:tl2br w:val="nil"/>
                    <w:tr2bl w:val="nil"/>
                  </w:tcBorders>
                  <w:noWrap w:val="0"/>
                  <w:vAlign w:val="center"/>
                </w:tcPr>
                <w:p w14:paraId="152B6D9C">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6223C1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00131D68">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1,1,2,2-四氯乙烷*</w:t>
                  </w:r>
                </w:p>
              </w:tc>
              <w:tc>
                <w:tcPr>
                  <w:tcW w:w="455" w:type="pct"/>
                  <w:tcBorders>
                    <w:tl2br w:val="nil"/>
                    <w:tr2bl w:val="nil"/>
                  </w:tcBorders>
                  <w:noWrap w:val="0"/>
                  <w:vAlign w:val="center"/>
                </w:tcPr>
                <w:p w14:paraId="2093FD4F">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5D037267">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0.0012</w:t>
                  </w:r>
                </w:p>
              </w:tc>
              <w:tc>
                <w:tcPr>
                  <w:tcW w:w="867" w:type="pct"/>
                  <w:tcBorders>
                    <w:tl2br w:val="nil"/>
                    <w:tr2bl w:val="nil"/>
                  </w:tcBorders>
                  <w:noWrap w:val="0"/>
                  <w:vAlign w:val="center"/>
                </w:tcPr>
                <w:p w14:paraId="6DF68577">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0.0012</w:t>
                  </w:r>
                </w:p>
              </w:tc>
              <w:tc>
                <w:tcPr>
                  <w:tcW w:w="869" w:type="pct"/>
                  <w:tcBorders>
                    <w:tl2br w:val="nil"/>
                    <w:tr2bl w:val="nil"/>
                  </w:tcBorders>
                  <w:noWrap w:val="0"/>
                  <w:vAlign w:val="center"/>
                </w:tcPr>
                <w:p w14:paraId="16B90A27">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0.0012</w:t>
                  </w:r>
                </w:p>
              </w:tc>
              <w:tc>
                <w:tcPr>
                  <w:tcW w:w="432" w:type="pct"/>
                  <w:tcBorders>
                    <w:tl2br w:val="nil"/>
                    <w:tr2bl w:val="nil"/>
                  </w:tcBorders>
                  <w:noWrap w:val="0"/>
                  <w:vAlign w:val="center"/>
                </w:tcPr>
                <w:p w14:paraId="5A5B7487">
                  <w:pPr>
                    <w:ind w:left="-99" w:leftChars="-47" w:right="-105" w:rightChars="-5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≤6.8</w:t>
                  </w:r>
                </w:p>
              </w:tc>
              <w:tc>
                <w:tcPr>
                  <w:tcW w:w="401" w:type="pct"/>
                  <w:tcBorders>
                    <w:tl2br w:val="nil"/>
                    <w:tr2bl w:val="nil"/>
                  </w:tcBorders>
                  <w:noWrap w:val="0"/>
                  <w:vAlign w:val="center"/>
                </w:tcPr>
                <w:p w14:paraId="4BCBA1CE">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7C19AC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418E3C6C">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四氯乙烯*</w:t>
                  </w:r>
                </w:p>
              </w:tc>
              <w:tc>
                <w:tcPr>
                  <w:tcW w:w="455" w:type="pct"/>
                  <w:tcBorders>
                    <w:tl2br w:val="nil"/>
                    <w:tr2bl w:val="nil"/>
                  </w:tcBorders>
                  <w:noWrap w:val="0"/>
                  <w:vAlign w:val="center"/>
                </w:tcPr>
                <w:p w14:paraId="41A8398A">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5E3908B2">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0.0014</w:t>
                  </w:r>
                </w:p>
              </w:tc>
              <w:tc>
                <w:tcPr>
                  <w:tcW w:w="867" w:type="pct"/>
                  <w:tcBorders>
                    <w:tl2br w:val="nil"/>
                    <w:tr2bl w:val="nil"/>
                  </w:tcBorders>
                  <w:noWrap w:val="0"/>
                  <w:vAlign w:val="center"/>
                </w:tcPr>
                <w:p w14:paraId="682C4412">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0.0014</w:t>
                  </w:r>
                </w:p>
              </w:tc>
              <w:tc>
                <w:tcPr>
                  <w:tcW w:w="869" w:type="pct"/>
                  <w:tcBorders>
                    <w:tl2br w:val="nil"/>
                    <w:tr2bl w:val="nil"/>
                  </w:tcBorders>
                  <w:noWrap w:val="0"/>
                  <w:vAlign w:val="center"/>
                </w:tcPr>
                <w:p w14:paraId="0B494153">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0.0014</w:t>
                  </w:r>
                </w:p>
              </w:tc>
              <w:tc>
                <w:tcPr>
                  <w:tcW w:w="432" w:type="pct"/>
                  <w:tcBorders>
                    <w:tl2br w:val="nil"/>
                    <w:tr2bl w:val="nil"/>
                  </w:tcBorders>
                  <w:noWrap w:val="0"/>
                  <w:vAlign w:val="center"/>
                </w:tcPr>
                <w:p w14:paraId="20648825">
                  <w:pPr>
                    <w:ind w:left="-99" w:leftChars="-47" w:right="-105" w:rightChars="-5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≤53</w:t>
                  </w:r>
                </w:p>
              </w:tc>
              <w:tc>
                <w:tcPr>
                  <w:tcW w:w="401" w:type="pct"/>
                  <w:tcBorders>
                    <w:tl2br w:val="nil"/>
                    <w:tr2bl w:val="nil"/>
                  </w:tcBorders>
                  <w:noWrap w:val="0"/>
                  <w:vAlign w:val="center"/>
                </w:tcPr>
                <w:p w14:paraId="04600BA0">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568248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00EDB9DF">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1,1,1-三氯乙烷*</w:t>
                  </w:r>
                </w:p>
              </w:tc>
              <w:tc>
                <w:tcPr>
                  <w:tcW w:w="455" w:type="pct"/>
                  <w:tcBorders>
                    <w:tl2br w:val="nil"/>
                    <w:tr2bl w:val="nil"/>
                  </w:tcBorders>
                  <w:noWrap w:val="0"/>
                  <w:vAlign w:val="center"/>
                </w:tcPr>
                <w:p w14:paraId="163D1EA9">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7CFF1138">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0.0013</w:t>
                  </w:r>
                </w:p>
              </w:tc>
              <w:tc>
                <w:tcPr>
                  <w:tcW w:w="867" w:type="pct"/>
                  <w:tcBorders>
                    <w:tl2br w:val="nil"/>
                    <w:tr2bl w:val="nil"/>
                  </w:tcBorders>
                  <w:noWrap w:val="0"/>
                  <w:vAlign w:val="center"/>
                </w:tcPr>
                <w:p w14:paraId="4A63F49B">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0.0013</w:t>
                  </w:r>
                </w:p>
              </w:tc>
              <w:tc>
                <w:tcPr>
                  <w:tcW w:w="869" w:type="pct"/>
                  <w:tcBorders>
                    <w:tl2br w:val="nil"/>
                    <w:tr2bl w:val="nil"/>
                  </w:tcBorders>
                  <w:noWrap w:val="0"/>
                  <w:vAlign w:val="center"/>
                </w:tcPr>
                <w:p w14:paraId="0FC11C0B">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0.0013</w:t>
                  </w:r>
                </w:p>
              </w:tc>
              <w:tc>
                <w:tcPr>
                  <w:tcW w:w="432" w:type="pct"/>
                  <w:tcBorders>
                    <w:tl2br w:val="nil"/>
                    <w:tr2bl w:val="nil"/>
                  </w:tcBorders>
                  <w:noWrap w:val="0"/>
                  <w:vAlign w:val="center"/>
                </w:tcPr>
                <w:p w14:paraId="58DAFF4C">
                  <w:pPr>
                    <w:ind w:left="-99" w:leftChars="-47" w:right="-105" w:rightChars="-5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≤840</w:t>
                  </w:r>
                </w:p>
              </w:tc>
              <w:tc>
                <w:tcPr>
                  <w:tcW w:w="401" w:type="pct"/>
                  <w:tcBorders>
                    <w:tl2br w:val="nil"/>
                    <w:tr2bl w:val="nil"/>
                  </w:tcBorders>
                  <w:noWrap w:val="0"/>
                  <w:vAlign w:val="center"/>
                </w:tcPr>
                <w:p w14:paraId="22574D28">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13442A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66F5AC22">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1,1,2-三氯乙烷*</w:t>
                  </w:r>
                </w:p>
              </w:tc>
              <w:tc>
                <w:tcPr>
                  <w:tcW w:w="455" w:type="pct"/>
                  <w:tcBorders>
                    <w:tl2br w:val="nil"/>
                    <w:tr2bl w:val="nil"/>
                  </w:tcBorders>
                  <w:noWrap w:val="0"/>
                  <w:vAlign w:val="center"/>
                </w:tcPr>
                <w:p w14:paraId="4C687221">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0985E166">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0.0012</w:t>
                  </w:r>
                </w:p>
              </w:tc>
              <w:tc>
                <w:tcPr>
                  <w:tcW w:w="867" w:type="pct"/>
                  <w:tcBorders>
                    <w:tl2br w:val="nil"/>
                    <w:tr2bl w:val="nil"/>
                  </w:tcBorders>
                  <w:noWrap w:val="0"/>
                  <w:vAlign w:val="center"/>
                </w:tcPr>
                <w:p w14:paraId="7C512720">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0.0012</w:t>
                  </w:r>
                </w:p>
              </w:tc>
              <w:tc>
                <w:tcPr>
                  <w:tcW w:w="869" w:type="pct"/>
                  <w:tcBorders>
                    <w:tl2br w:val="nil"/>
                    <w:tr2bl w:val="nil"/>
                  </w:tcBorders>
                  <w:noWrap w:val="0"/>
                  <w:vAlign w:val="center"/>
                </w:tcPr>
                <w:p w14:paraId="04693647">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0.0012</w:t>
                  </w:r>
                </w:p>
              </w:tc>
              <w:tc>
                <w:tcPr>
                  <w:tcW w:w="432" w:type="pct"/>
                  <w:tcBorders>
                    <w:tl2br w:val="nil"/>
                    <w:tr2bl w:val="nil"/>
                  </w:tcBorders>
                  <w:noWrap w:val="0"/>
                  <w:vAlign w:val="center"/>
                </w:tcPr>
                <w:p w14:paraId="3AFA8C79">
                  <w:pPr>
                    <w:ind w:left="-99" w:leftChars="-47" w:right="-105" w:rightChars="-5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≤2.8</w:t>
                  </w:r>
                </w:p>
              </w:tc>
              <w:tc>
                <w:tcPr>
                  <w:tcW w:w="401" w:type="pct"/>
                  <w:tcBorders>
                    <w:tl2br w:val="nil"/>
                    <w:tr2bl w:val="nil"/>
                  </w:tcBorders>
                  <w:noWrap w:val="0"/>
                  <w:vAlign w:val="center"/>
                </w:tcPr>
                <w:p w14:paraId="59773FCD">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75AB09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4C0645BF">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三氯乙烯*</w:t>
                  </w:r>
                </w:p>
              </w:tc>
              <w:tc>
                <w:tcPr>
                  <w:tcW w:w="455" w:type="pct"/>
                  <w:tcBorders>
                    <w:tl2br w:val="nil"/>
                    <w:tr2bl w:val="nil"/>
                  </w:tcBorders>
                  <w:noWrap w:val="0"/>
                  <w:vAlign w:val="center"/>
                </w:tcPr>
                <w:p w14:paraId="61B172D1">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71036BA2">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0.0012</w:t>
                  </w:r>
                </w:p>
              </w:tc>
              <w:tc>
                <w:tcPr>
                  <w:tcW w:w="867" w:type="pct"/>
                  <w:tcBorders>
                    <w:tl2br w:val="nil"/>
                    <w:tr2bl w:val="nil"/>
                  </w:tcBorders>
                  <w:noWrap w:val="0"/>
                  <w:vAlign w:val="center"/>
                </w:tcPr>
                <w:p w14:paraId="62FFD881">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0.0012</w:t>
                  </w:r>
                </w:p>
              </w:tc>
              <w:tc>
                <w:tcPr>
                  <w:tcW w:w="869" w:type="pct"/>
                  <w:tcBorders>
                    <w:tl2br w:val="nil"/>
                    <w:tr2bl w:val="nil"/>
                  </w:tcBorders>
                  <w:noWrap w:val="0"/>
                  <w:vAlign w:val="center"/>
                </w:tcPr>
                <w:p w14:paraId="54DD8548">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0.0012</w:t>
                  </w:r>
                </w:p>
              </w:tc>
              <w:tc>
                <w:tcPr>
                  <w:tcW w:w="432" w:type="pct"/>
                  <w:tcBorders>
                    <w:tl2br w:val="nil"/>
                    <w:tr2bl w:val="nil"/>
                  </w:tcBorders>
                  <w:noWrap w:val="0"/>
                  <w:vAlign w:val="center"/>
                </w:tcPr>
                <w:p w14:paraId="634293C0">
                  <w:pPr>
                    <w:ind w:left="-99" w:leftChars="-47" w:right="-105" w:rightChars="-5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≤2.8</w:t>
                  </w:r>
                </w:p>
              </w:tc>
              <w:tc>
                <w:tcPr>
                  <w:tcW w:w="401" w:type="pct"/>
                  <w:tcBorders>
                    <w:tl2br w:val="nil"/>
                    <w:tr2bl w:val="nil"/>
                  </w:tcBorders>
                  <w:noWrap w:val="0"/>
                  <w:vAlign w:val="center"/>
                </w:tcPr>
                <w:p w14:paraId="446E3316">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1A739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61D0E828">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1,2,3-三氯丙烷*</w:t>
                  </w:r>
                </w:p>
              </w:tc>
              <w:tc>
                <w:tcPr>
                  <w:tcW w:w="455" w:type="pct"/>
                  <w:tcBorders>
                    <w:tl2br w:val="nil"/>
                    <w:tr2bl w:val="nil"/>
                  </w:tcBorders>
                  <w:noWrap w:val="0"/>
                  <w:vAlign w:val="center"/>
                </w:tcPr>
                <w:p w14:paraId="6FD044C4">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0218A586">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0.0012</w:t>
                  </w:r>
                </w:p>
              </w:tc>
              <w:tc>
                <w:tcPr>
                  <w:tcW w:w="867" w:type="pct"/>
                  <w:tcBorders>
                    <w:tl2br w:val="nil"/>
                    <w:tr2bl w:val="nil"/>
                  </w:tcBorders>
                  <w:noWrap w:val="0"/>
                  <w:vAlign w:val="center"/>
                </w:tcPr>
                <w:p w14:paraId="7E70B20D">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0.0012</w:t>
                  </w:r>
                </w:p>
              </w:tc>
              <w:tc>
                <w:tcPr>
                  <w:tcW w:w="869" w:type="pct"/>
                  <w:tcBorders>
                    <w:tl2br w:val="nil"/>
                    <w:tr2bl w:val="nil"/>
                  </w:tcBorders>
                  <w:noWrap w:val="0"/>
                  <w:vAlign w:val="center"/>
                </w:tcPr>
                <w:p w14:paraId="651746E4">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0.0012</w:t>
                  </w:r>
                </w:p>
              </w:tc>
              <w:tc>
                <w:tcPr>
                  <w:tcW w:w="432" w:type="pct"/>
                  <w:tcBorders>
                    <w:tl2br w:val="nil"/>
                    <w:tr2bl w:val="nil"/>
                  </w:tcBorders>
                  <w:noWrap w:val="0"/>
                  <w:vAlign w:val="center"/>
                </w:tcPr>
                <w:p w14:paraId="169DFC34">
                  <w:pPr>
                    <w:ind w:left="-99" w:leftChars="-47" w:right="-105" w:rightChars="-5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≤0.5</w:t>
                  </w:r>
                </w:p>
              </w:tc>
              <w:tc>
                <w:tcPr>
                  <w:tcW w:w="401" w:type="pct"/>
                  <w:tcBorders>
                    <w:tl2br w:val="nil"/>
                    <w:tr2bl w:val="nil"/>
                  </w:tcBorders>
                  <w:noWrap w:val="0"/>
                  <w:vAlign w:val="center"/>
                </w:tcPr>
                <w:p w14:paraId="4972FC29">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734469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4632337C">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氯乙烯*</w:t>
                  </w:r>
                </w:p>
              </w:tc>
              <w:tc>
                <w:tcPr>
                  <w:tcW w:w="455" w:type="pct"/>
                  <w:tcBorders>
                    <w:tl2br w:val="nil"/>
                    <w:tr2bl w:val="nil"/>
                  </w:tcBorders>
                  <w:noWrap w:val="0"/>
                  <w:vAlign w:val="center"/>
                </w:tcPr>
                <w:p w14:paraId="7BE882DA">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2993ED2B">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0.0010</w:t>
                  </w:r>
                </w:p>
              </w:tc>
              <w:tc>
                <w:tcPr>
                  <w:tcW w:w="867" w:type="pct"/>
                  <w:tcBorders>
                    <w:tl2br w:val="nil"/>
                    <w:tr2bl w:val="nil"/>
                  </w:tcBorders>
                  <w:noWrap w:val="0"/>
                  <w:vAlign w:val="center"/>
                </w:tcPr>
                <w:p w14:paraId="1A6CFA5A">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0.0010</w:t>
                  </w:r>
                </w:p>
              </w:tc>
              <w:tc>
                <w:tcPr>
                  <w:tcW w:w="869" w:type="pct"/>
                  <w:tcBorders>
                    <w:tl2br w:val="nil"/>
                    <w:tr2bl w:val="nil"/>
                  </w:tcBorders>
                  <w:noWrap w:val="0"/>
                  <w:vAlign w:val="center"/>
                </w:tcPr>
                <w:p w14:paraId="5E96C913">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0.0010</w:t>
                  </w:r>
                </w:p>
              </w:tc>
              <w:tc>
                <w:tcPr>
                  <w:tcW w:w="432" w:type="pct"/>
                  <w:tcBorders>
                    <w:tl2br w:val="nil"/>
                    <w:tr2bl w:val="nil"/>
                  </w:tcBorders>
                  <w:noWrap w:val="0"/>
                  <w:vAlign w:val="center"/>
                </w:tcPr>
                <w:p w14:paraId="26D37D44">
                  <w:pPr>
                    <w:ind w:left="-99" w:leftChars="-47" w:right="-105" w:rightChars="-5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≤0.43</w:t>
                  </w:r>
                </w:p>
              </w:tc>
              <w:tc>
                <w:tcPr>
                  <w:tcW w:w="401" w:type="pct"/>
                  <w:tcBorders>
                    <w:tl2br w:val="nil"/>
                    <w:tr2bl w:val="nil"/>
                  </w:tcBorders>
                  <w:noWrap w:val="0"/>
                  <w:vAlign w:val="center"/>
                </w:tcPr>
                <w:p w14:paraId="5869A36D">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4928D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67E22C73">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苯*</w:t>
                  </w:r>
                </w:p>
              </w:tc>
              <w:tc>
                <w:tcPr>
                  <w:tcW w:w="455" w:type="pct"/>
                  <w:tcBorders>
                    <w:tl2br w:val="nil"/>
                    <w:tr2bl w:val="nil"/>
                  </w:tcBorders>
                  <w:noWrap w:val="0"/>
                  <w:vAlign w:val="center"/>
                </w:tcPr>
                <w:p w14:paraId="49315AB6">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715B0523">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0.0019</w:t>
                  </w:r>
                </w:p>
              </w:tc>
              <w:tc>
                <w:tcPr>
                  <w:tcW w:w="867" w:type="pct"/>
                  <w:tcBorders>
                    <w:tl2br w:val="nil"/>
                    <w:tr2bl w:val="nil"/>
                  </w:tcBorders>
                  <w:noWrap w:val="0"/>
                  <w:vAlign w:val="center"/>
                </w:tcPr>
                <w:p w14:paraId="3D0D7139">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0.0019</w:t>
                  </w:r>
                </w:p>
              </w:tc>
              <w:tc>
                <w:tcPr>
                  <w:tcW w:w="869" w:type="pct"/>
                  <w:tcBorders>
                    <w:tl2br w:val="nil"/>
                    <w:tr2bl w:val="nil"/>
                  </w:tcBorders>
                  <w:noWrap w:val="0"/>
                  <w:vAlign w:val="center"/>
                </w:tcPr>
                <w:p w14:paraId="24C772FE">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0.0019</w:t>
                  </w:r>
                </w:p>
              </w:tc>
              <w:tc>
                <w:tcPr>
                  <w:tcW w:w="432" w:type="pct"/>
                  <w:tcBorders>
                    <w:tl2br w:val="nil"/>
                    <w:tr2bl w:val="nil"/>
                  </w:tcBorders>
                  <w:noWrap w:val="0"/>
                  <w:vAlign w:val="center"/>
                </w:tcPr>
                <w:p w14:paraId="2D506FB7">
                  <w:pPr>
                    <w:ind w:left="-99" w:leftChars="-47" w:right="-105" w:rightChars="-5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≤4</w:t>
                  </w:r>
                </w:p>
              </w:tc>
              <w:tc>
                <w:tcPr>
                  <w:tcW w:w="401" w:type="pct"/>
                  <w:tcBorders>
                    <w:tl2br w:val="nil"/>
                    <w:tr2bl w:val="nil"/>
                  </w:tcBorders>
                  <w:noWrap w:val="0"/>
                  <w:vAlign w:val="center"/>
                </w:tcPr>
                <w:p w14:paraId="1C8228AB">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268148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1EF3F77A">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氯苯*</w:t>
                  </w:r>
                </w:p>
              </w:tc>
              <w:tc>
                <w:tcPr>
                  <w:tcW w:w="455" w:type="pct"/>
                  <w:tcBorders>
                    <w:tl2br w:val="nil"/>
                    <w:tr2bl w:val="nil"/>
                  </w:tcBorders>
                  <w:noWrap w:val="0"/>
                  <w:vAlign w:val="center"/>
                </w:tcPr>
                <w:p w14:paraId="295B26FA">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7E0E5F6A">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0.0012</w:t>
                  </w:r>
                </w:p>
              </w:tc>
              <w:tc>
                <w:tcPr>
                  <w:tcW w:w="867" w:type="pct"/>
                  <w:tcBorders>
                    <w:tl2br w:val="nil"/>
                    <w:tr2bl w:val="nil"/>
                  </w:tcBorders>
                  <w:noWrap w:val="0"/>
                  <w:vAlign w:val="center"/>
                </w:tcPr>
                <w:p w14:paraId="6BC9AFDB">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0.0012</w:t>
                  </w:r>
                </w:p>
              </w:tc>
              <w:tc>
                <w:tcPr>
                  <w:tcW w:w="869" w:type="pct"/>
                  <w:tcBorders>
                    <w:tl2br w:val="nil"/>
                    <w:tr2bl w:val="nil"/>
                  </w:tcBorders>
                  <w:noWrap w:val="0"/>
                  <w:vAlign w:val="center"/>
                </w:tcPr>
                <w:p w14:paraId="41117BB0">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0.0012</w:t>
                  </w:r>
                </w:p>
              </w:tc>
              <w:tc>
                <w:tcPr>
                  <w:tcW w:w="432" w:type="pct"/>
                  <w:tcBorders>
                    <w:tl2br w:val="nil"/>
                    <w:tr2bl w:val="nil"/>
                  </w:tcBorders>
                  <w:noWrap w:val="0"/>
                  <w:vAlign w:val="center"/>
                </w:tcPr>
                <w:p w14:paraId="07E81EB2">
                  <w:pPr>
                    <w:ind w:left="-99" w:leftChars="-47" w:right="-105" w:rightChars="-5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≤270</w:t>
                  </w:r>
                </w:p>
              </w:tc>
              <w:tc>
                <w:tcPr>
                  <w:tcW w:w="401" w:type="pct"/>
                  <w:tcBorders>
                    <w:tl2br w:val="nil"/>
                    <w:tr2bl w:val="nil"/>
                  </w:tcBorders>
                  <w:noWrap w:val="0"/>
                  <w:vAlign w:val="center"/>
                </w:tcPr>
                <w:p w14:paraId="2FA9E10F">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2E9D03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0319EEBA">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1,2-二氯苯*</w:t>
                  </w:r>
                </w:p>
              </w:tc>
              <w:tc>
                <w:tcPr>
                  <w:tcW w:w="455" w:type="pct"/>
                  <w:tcBorders>
                    <w:tl2br w:val="nil"/>
                    <w:tr2bl w:val="nil"/>
                  </w:tcBorders>
                  <w:noWrap w:val="0"/>
                  <w:vAlign w:val="center"/>
                </w:tcPr>
                <w:p w14:paraId="4259CDAF">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1BE67C11">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0.0015</w:t>
                  </w:r>
                </w:p>
              </w:tc>
              <w:tc>
                <w:tcPr>
                  <w:tcW w:w="867" w:type="pct"/>
                  <w:tcBorders>
                    <w:tl2br w:val="nil"/>
                    <w:tr2bl w:val="nil"/>
                  </w:tcBorders>
                  <w:noWrap w:val="0"/>
                  <w:vAlign w:val="center"/>
                </w:tcPr>
                <w:p w14:paraId="50F9D05A">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0.0015</w:t>
                  </w:r>
                </w:p>
              </w:tc>
              <w:tc>
                <w:tcPr>
                  <w:tcW w:w="869" w:type="pct"/>
                  <w:tcBorders>
                    <w:tl2br w:val="nil"/>
                    <w:tr2bl w:val="nil"/>
                  </w:tcBorders>
                  <w:noWrap w:val="0"/>
                  <w:vAlign w:val="center"/>
                </w:tcPr>
                <w:p w14:paraId="26B78A8E">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0.0015</w:t>
                  </w:r>
                </w:p>
              </w:tc>
              <w:tc>
                <w:tcPr>
                  <w:tcW w:w="432" w:type="pct"/>
                  <w:tcBorders>
                    <w:tl2br w:val="nil"/>
                    <w:tr2bl w:val="nil"/>
                  </w:tcBorders>
                  <w:noWrap w:val="0"/>
                  <w:vAlign w:val="center"/>
                </w:tcPr>
                <w:p w14:paraId="54D1A3D7">
                  <w:pPr>
                    <w:ind w:left="-99" w:leftChars="-47" w:right="-105" w:rightChars="-5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≤560</w:t>
                  </w:r>
                </w:p>
              </w:tc>
              <w:tc>
                <w:tcPr>
                  <w:tcW w:w="401" w:type="pct"/>
                  <w:tcBorders>
                    <w:tl2br w:val="nil"/>
                    <w:tr2bl w:val="nil"/>
                  </w:tcBorders>
                  <w:noWrap w:val="0"/>
                  <w:vAlign w:val="center"/>
                </w:tcPr>
                <w:p w14:paraId="41C277D1">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65D83C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3DD7AA09">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1,4-二氯苯*</w:t>
                  </w:r>
                </w:p>
              </w:tc>
              <w:tc>
                <w:tcPr>
                  <w:tcW w:w="455" w:type="pct"/>
                  <w:tcBorders>
                    <w:tl2br w:val="nil"/>
                    <w:tr2bl w:val="nil"/>
                  </w:tcBorders>
                  <w:noWrap w:val="0"/>
                  <w:vAlign w:val="center"/>
                </w:tcPr>
                <w:p w14:paraId="58443D96">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78AC7DBB">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0.0015</w:t>
                  </w:r>
                </w:p>
              </w:tc>
              <w:tc>
                <w:tcPr>
                  <w:tcW w:w="867" w:type="pct"/>
                  <w:tcBorders>
                    <w:tl2br w:val="nil"/>
                    <w:tr2bl w:val="nil"/>
                  </w:tcBorders>
                  <w:noWrap w:val="0"/>
                  <w:vAlign w:val="center"/>
                </w:tcPr>
                <w:p w14:paraId="45207187">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0.0015</w:t>
                  </w:r>
                </w:p>
              </w:tc>
              <w:tc>
                <w:tcPr>
                  <w:tcW w:w="869" w:type="pct"/>
                  <w:tcBorders>
                    <w:tl2br w:val="nil"/>
                    <w:tr2bl w:val="nil"/>
                  </w:tcBorders>
                  <w:noWrap w:val="0"/>
                  <w:vAlign w:val="center"/>
                </w:tcPr>
                <w:p w14:paraId="313F0B33">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0.0015</w:t>
                  </w:r>
                </w:p>
              </w:tc>
              <w:tc>
                <w:tcPr>
                  <w:tcW w:w="432" w:type="pct"/>
                  <w:tcBorders>
                    <w:tl2br w:val="nil"/>
                    <w:tr2bl w:val="nil"/>
                  </w:tcBorders>
                  <w:noWrap w:val="0"/>
                  <w:vAlign w:val="center"/>
                </w:tcPr>
                <w:p w14:paraId="1CECC044">
                  <w:pPr>
                    <w:ind w:left="-99" w:leftChars="-47" w:right="-105" w:rightChars="-5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≤20</w:t>
                  </w:r>
                </w:p>
              </w:tc>
              <w:tc>
                <w:tcPr>
                  <w:tcW w:w="401" w:type="pct"/>
                  <w:tcBorders>
                    <w:tl2br w:val="nil"/>
                    <w:tr2bl w:val="nil"/>
                  </w:tcBorders>
                  <w:noWrap w:val="0"/>
                  <w:vAlign w:val="center"/>
                </w:tcPr>
                <w:p w14:paraId="4E46D501">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69CD5A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52ED7C8D">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乙苯*</w:t>
                  </w:r>
                </w:p>
              </w:tc>
              <w:tc>
                <w:tcPr>
                  <w:tcW w:w="455" w:type="pct"/>
                  <w:tcBorders>
                    <w:tl2br w:val="nil"/>
                    <w:tr2bl w:val="nil"/>
                  </w:tcBorders>
                  <w:noWrap w:val="0"/>
                  <w:vAlign w:val="center"/>
                </w:tcPr>
                <w:p w14:paraId="192D8FED">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58AB50B4">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0.0012</w:t>
                  </w:r>
                </w:p>
              </w:tc>
              <w:tc>
                <w:tcPr>
                  <w:tcW w:w="867" w:type="pct"/>
                  <w:tcBorders>
                    <w:tl2br w:val="nil"/>
                    <w:tr2bl w:val="nil"/>
                  </w:tcBorders>
                  <w:noWrap w:val="0"/>
                  <w:vAlign w:val="center"/>
                </w:tcPr>
                <w:p w14:paraId="628DD8CF">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0.0012</w:t>
                  </w:r>
                </w:p>
              </w:tc>
              <w:tc>
                <w:tcPr>
                  <w:tcW w:w="869" w:type="pct"/>
                  <w:tcBorders>
                    <w:tl2br w:val="nil"/>
                    <w:tr2bl w:val="nil"/>
                  </w:tcBorders>
                  <w:noWrap w:val="0"/>
                  <w:vAlign w:val="center"/>
                </w:tcPr>
                <w:p w14:paraId="39CFAAC5">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0.0012</w:t>
                  </w:r>
                </w:p>
              </w:tc>
              <w:tc>
                <w:tcPr>
                  <w:tcW w:w="432" w:type="pct"/>
                  <w:tcBorders>
                    <w:tl2br w:val="nil"/>
                    <w:tr2bl w:val="nil"/>
                  </w:tcBorders>
                  <w:noWrap w:val="0"/>
                  <w:vAlign w:val="center"/>
                </w:tcPr>
                <w:p w14:paraId="3B1D0785">
                  <w:pPr>
                    <w:ind w:left="-99" w:leftChars="-47" w:right="-105" w:rightChars="-5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≤28</w:t>
                  </w:r>
                </w:p>
              </w:tc>
              <w:tc>
                <w:tcPr>
                  <w:tcW w:w="401" w:type="pct"/>
                  <w:tcBorders>
                    <w:tl2br w:val="nil"/>
                    <w:tr2bl w:val="nil"/>
                  </w:tcBorders>
                  <w:noWrap w:val="0"/>
                  <w:vAlign w:val="center"/>
                </w:tcPr>
                <w:p w14:paraId="4EA92805">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3C831B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01A0EDA2">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color w:val="000000"/>
                      <w:sz w:val="21"/>
                      <w:szCs w:val="21"/>
                      <w:highlight w:val="none"/>
                      <w:vertAlign w:val="baseline"/>
                      <w:lang w:val="en-US" w:eastAsia="zh-CN" w:bidi="ar-SA"/>
                    </w:rPr>
                  </w:pPr>
                  <w:r>
                    <w:rPr>
                      <w:rFonts w:hint="default" w:ascii="Times New Roman" w:hAnsi="Times New Roman" w:eastAsia="宋体" w:cs="Times New Roman"/>
                      <w:sz w:val="21"/>
                      <w:szCs w:val="21"/>
                      <w:highlight w:val="none"/>
                      <w:vertAlign w:val="baseline"/>
                      <w:lang w:val="en-US" w:eastAsia="zh-CN"/>
                    </w:rPr>
                    <w:t>苯乙烯*</w:t>
                  </w:r>
                </w:p>
              </w:tc>
              <w:tc>
                <w:tcPr>
                  <w:tcW w:w="455" w:type="pct"/>
                  <w:tcBorders>
                    <w:tl2br w:val="nil"/>
                    <w:tr2bl w:val="nil"/>
                  </w:tcBorders>
                  <w:noWrap w:val="0"/>
                  <w:vAlign w:val="center"/>
                </w:tcPr>
                <w:p w14:paraId="0C1CF44A">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i w:val="0"/>
                      <w:color w:val="000000"/>
                      <w:kern w:val="0"/>
                      <w:sz w:val="21"/>
                      <w:szCs w:val="21"/>
                      <w:highlight w:val="none"/>
                      <w:u w:val="none"/>
                      <w:lang w:val="en-US" w:eastAsia="zh-CN" w:bidi="ar"/>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13D53FC6">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0.0011</w:t>
                  </w:r>
                </w:p>
              </w:tc>
              <w:tc>
                <w:tcPr>
                  <w:tcW w:w="867" w:type="pct"/>
                  <w:tcBorders>
                    <w:tl2br w:val="nil"/>
                    <w:tr2bl w:val="nil"/>
                  </w:tcBorders>
                  <w:noWrap w:val="0"/>
                  <w:vAlign w:val="center"/>
                </w:tcPr>
                <w:p w14:paraId="5016F86E">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0.0011</w:t>
                  </w:r>
                </w:p>
              </w:tc>
              <w:tc>
                <w:tcPr>
                  <w:tcW w:w="869" w:type="pct"/>
                  <w:tcBorders>
                    <w:tl2br w:val="nil"/>
                    <w:tr2bl w:val="nil"/>
                  </w:tcBorders>
                  <w:noWrap w:val="0"/>
                  <w:vAlign w:val="center"/>
                </w:tcPr>
                <w:p w14:paraId="4A436AAC">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0.0011</w:t>
                  </w:r>
                </w:p>
              </w:tc>
              <w:tc>
                <w:tcPr>
                  <w:tcW w:w="432" w:type="pct"/>
                  <w:tcBorders>
                    <w:tl2br w:val="nil"/>
                    <w:tr2bl w:val="nil"/>
                  </w:tcBorders>
                  <w:noWrap w:val="0"/>
                  <w:vAlign w:val="center"/>
                </w:tcPr>
                <w:p w14:paraId="6B6C0C75">
                  <w:pPr>
                    <w:ind w:left="-99" w:leftChars="-47" w:right="-105" w:rightChars="-50" w:firstLine="0" w:firstLineChars="0"/>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≤1290</w:t>
                  </w:r>
                </w:p>
              </w:tc>
              <w:tc>
                <w:tcPr>
                  <w:tcW w:w="401" w:type="pct"/>
                  <w:tcBorders>
                    <w:tl2br w:val="nil"/>
                    <w:tr2bl w:val="nil"/>
                  </w:tcBorders>
                  <w:noWrap w:val="0"/>
                  <w:vAlign w:val="center"/>
                </w:tcPr>
                <w:p w14:paraId="1279E9DF">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7DF570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3EAE853A">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甲苯*</w:t>
                  </w:r>
                </w:p>
              </w:tc>
              <w:tc>
                <w:tcPr>
                  <w:tcW w:w="455" w:type="pct"/>
                  <w:tcBorders>
                    <w:tl2br w:val="nil"/>
                    <w:tr2bl w:val="nil"/>
                  </w:tcBorders>
                  <w:noWrap w:val="0"/>
                  <w:vAlign w:val="center"/>
                </w:tcPr>
                <w:p w14:paraId="4681A983">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527E5F1A">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0.0013</w:t>
                  </w:r>
                </w:p>
              </w:tc>
              <w:tc>
                <w:tcPr>
                  <w:tcW w:w="867" w:type="pct"/>
                  <w:tcBorders>
                    <w:tl2br w:val="nil"/>
                    <w:tr2bl w:val="nil"/>
                  </w:tcBorders>
                  <w:noWrap w:val="0"/>
                  <w:vAlign w:val="center"/>
                </w:tcPr>
                <w:p w14:paraId="20B1AA64">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0.0013</w:t>
                  </w:r>
                </w:p>
              </w:tc>
              <w:tc>
                <w:tcPr>
                  <w:tcW w:w="869" w:type="pct"/>
                  <w:tcBorders>
                    <w:tl2br w:val="nil"/>
                    <w:tr2bl w:val="nil"/>
                  </w:tcBorders>
                  <w:noWrap w:val="0"/>
                  <w:vAlign w:val="center"/>
                </w:tcPr>
                <w:p w14:paraId="2D300253">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0.0013</w:t>
                  </w:r>
                </w:p>
              </w:tc>
              <w:tc>
                <w:tcPr>
                  <w:tcW w:w="432" w:type="pct"/>
                  <w:tcBorders>
                    <w:tl2br w:val="nil"/>
                    <w:tr2bl w:val="nil"/>
                  </w:tcBorders>
                  <w:noWrap w:val="0"/>
                  <w:vAlign w:val="center"/>
                </w:tcPr>
                <w:p w14:paraId="36198EAA">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≤1200</w:t>
                  </w:r>
                </w:p>
              </w:tc>
              <w:tc>
                <w:tcPr>
                  <w:tcW w:w="401" w:type="pct"/>
                  <w:tcBorders>
                    <w:tl2br w:val="nil"/>
                    <w:tr2bl w:val="nil"/>
                  </w:tcBorders>
                  <w:noWrap w:val="0"/>
                  <w:vAlign w:val="center"/>
                </w:tcPr>
                <w:p w14:paraId="70B3C012">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3126C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2FC58D28">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间，对二甲苯*</w:t>
                  </w:r>
                </w:p>
              </w:tc>
              <w:tc>
                <w:tcPr>
                  <w:tcW w:w="455" w:type="pct"/>
                  <w:tcBorders>
                    <w:tl2br w:val="nil"/>
                    <w:tr2bl w:val="nil"/>
                  </w:tcBorders>
                  <w:noWrap w:val="0"/>
                  <w:vAlign w:val="center"/>
                </w:tcPr>
                <w:p w14:paraId="27E5FEEF">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4AAD4A42">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0.0012</w:t>
                  </w:r>
                </w:p>
              </w:tc>
              <w:tc>
                <w:tcPr>
                  <w:tcW w:w="867" w:type="pct"/>
                  <w:tcBorders>
                    <w:tl2br w:val="nil"/>
                    <w:tr2bl w:val="nil"/>
                  </w:tcBorders>
                  <w:noWrap w:val="0"/>
                  <w:vAlign w:val="center"/>
                </w:tcPr>
                <w:p w14:paraId="773F10CF">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0.0012</w:t>
                  </w:r>
                </w:p>
              </w:tc>
              <w:tc>
                <w:tcPr>
                  <w:tcW w:w="869" w:type="pct"/>
                  <w:tcBorders>
                    <w:tl2br w:val="nil"/>
                    <w:tr2bl w:val="nil"/>
                  </w:tcBorders>
                  <w:noWrap w:val="0"/>
                  <w:vAlign w:val="center"/>
                </w:tcPr>
                <w:p w14:paraId="53E9536D">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0.0012</w:t>
                  </w:r>
                </w:p>
              </w:tc>
              <w:tc>
                <w:tcPr>
                  <w:tcW w:w="432" w:type="pct"/>
                  <w:tcBorders>
                    <w:tl2br w:val="nil"/>
                    <w:tr2bl w:val="nil"/>
                  </w:tcBorders>
                  <w:noWrap w:val="0"/>
                  <w:vAlign w:val="center"/>
                </w:tcPr>
                <w:p w14:paraId="27988993">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≤570</w:t>
                  </w:r>
                </w:p>
              </w:tc>
              <w:tc>
                <w:tcPr>
                  <w:tcW w:w="401" w:type="pct"/>
                  <w:tcBorders>
                    <w:tl2br w:val="nil"/>
                    <w:tr2bl w:val="nil"/>
                  </w:tcBorders>
                  <w:noWrap w:val="0"/>
                  <w:vAlign w:val="center"/>
                </w:tcPr>
                <w:p w14:paraId="4E271165">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3D6D75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105" w:type="pct"/>
                  <w:tcBorders>
                    <w:tl2br w:val="nil"/>
                    <w:tr2bl w:val="nil"/>
                  </w:tcBorders>
                  <w:noWrap w:val="0"/>
                  <w:vAlign w:val="center"/>
                </w:tcPr>
                <w:p w14:paraId="3D224679">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邻二甲苯*</w:t>
                  </w:r>
                </w:p>
              </w:tc>
              <w:tc>
                <w:tcPr>
                  <w:tcW w:w="455" w:type="pct"/>
                  <w:tcBorders>
                    <w:tl2br w:val="nil"/>
                    <w:tr2bl w:val="nil"/>
                  </w:tcBorders>
                  <w:noWrap w:val="0"/>
                  <w:vAlign w:val="center"/>
                </w:tcPr>
                <w:p w14:paraId="21F88E03">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22E74504">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0.0012</w:t>
                  </w:r>
                </w:p>
              </w:tc>
              <w:tc>
                <w:tcPr>
                  <w:tcW w:w="867" w:type="pct"/>
                  <w:tcBorders>
                    <w:tl2br w:val="nil"/>
                    <w:tr2bl w:val="nil"/>
                  </w:tcBorders>
                  <w:noWrap w:val="0"/>
                  <w:vAlign w:val="center"/>
                </w:tcPr>
                <w:p w14:paraId="2B61616F">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0.0012</w:t>
                  </w:r>
                </w:p>
              </w:tc>
              <w:tc>
                <w:tcPr>
                  <w:tcW w:w="869" w:type="pct"/>
                  <w:tcBorders>
                    <w:tl2br w:val="nil"/>
                    <w:tr2bl w:val="nil"/>
                  </w:tcBorders>
                  <w:noWrap w:val="0"/>
                  <w:vAlign w:val="center"/>
                </w:tcPr>
                <w:p w14:paraId="370C5B8B">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&lt;</w:t>
                  </w:r>
                  <w:r>
                    <w:rPr>
                      <w:rFonts w:hint="default" w:ascii="Times New Roman" w:hAnsi="Times New Roman" w:eastAsia="宋体" w:cs="Times New Roman"/>
                      <w:sz w:val="21"/>
                      <w:szCs w:val="21"/>
                      <w:highlight w:val="none"/>
                      <w:vertAlign w:val="baseline"/>
                      <w:lang w:val="en-US" w:eastAsia="zh-CN"/>
                    </w:rPr>
                    <w:t>0.0012</w:t>
                  </w:r>
                </w:p>
              </w:tc>
              <w:tc>
                <w:tcPr>
                  <w:tcW w:w="432" w:type="pct"/>
                  <w:tcBorders>
                    <w:tl2br w:val="nil"/>
                    <w:tr2bl w:val="nil"/>
                  </w:tcBorders>
                  <w:noWrap w:val="0"/>
                  <w:vAlign w:val="center"/>
                </w:tcPr>
                <w:p w14:paraId="756ABAF3">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≤640</w:t>
                  </w:r>
                </w:p>
              </w:tc>
              <w:tc>
                <w:tcPr>
                  <w:tcW w:w="401" w:type="pct"/>
                  <w:tcBorders>
                    <w:tl2br w:val="nil"/>
                    <w:tr2bl w:val="nil"/>
                  </w:tcBorders>
                  <w:noWrap w:val="0"/>
                  <w:vAlign w:val="center"/>
                </w:tcPr>
                <w:p w14:paraId="46F7434B">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5B6CDC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1105" w:type="pct"/>
                  <w:tcBorders>
                    <w:tl2br w:val="nil"/>
                    <w:tr2bl w:val="nil"/>
                  </w:tcBorders>
                  <w:noWrap w:val="0"/>
                  <w:vAlign w:val="center"/>
                </w:tcPr>
                <w:p w14:paraId="2D40627E">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石油烃（C</w:t>
                  </w:r>
                  <w:r>
                    <w:rPr>
                      <w:rFonts w:hint="default" w:ascii="Times New Roman" w:hAnsi="Times New Roman" w:eastAsia="宋体" w:cs="Times New Roman"/>
                      <w:sz w:val="21"/>
                      <w:szCs w:val="21"/>
                      <w:highlight w:val="none"/>
                      <w:vertAlign w:val="subscript"/>
                      <w:lang w:val="en-US" w:eastAsia="zh-CN"/>
                    </w:rPr>
                    <w:t>10</w:t>
                  </w:r>
                  <w:r>
                    <w:rPr>
                      <w:rFonts w:hint="default" w:ascii="Times New Roman" w:hAnsi="Times New Roman" w:eastAsia="宋体" w:cs="Times New Roman"/>
                      <w:sz w:val="21"/>
                      <w:szCs w:val="21"/>
                      <w:highlight w:val="none"/>
                      <w:vertAlign w:val="baseline"/>
                      <w:lang w:val="en-US" w:eastAsia="zh-CN"/>
                    </w:rPr>
                    <w:t>-C</w:t>
                  </w:r>
                  <w:r>
                    <w:rPr>
                      <w:rFonts w:hint="default" w:ascii="Times New Roman" w:hAnsi="Times New Roman" w:eastAsia="宋体" w:cs="Times New Roman"/>
                      <w:sz w:val="21"/>
                      <w:szCs w:val="21"/>
                      <w:highlight w:val="none"/>
                      <w:vertAlign w:val="subscript"/>
                      <w:lang w:val="en-US" w:eastAsia="zh-CN"/>
                    </w:rPr>
                    <w:t>40</w:t>
                  </w:r>
                  <w:r>
                    <w:rPr>
                      <w:rFonts w:hint="default" w:ascii="Times New Roman" w:hAnsi="Times New Roman" w:eastAsia="宋体" w:cs="Times New Roman"/>
                      <w:sz w:val="21"/>
                      <w:szCs w:val="21"/>
                      <w:highlight w:val="none"/>
                      <w:vertAlign w:val="baseline"/>
                      <w:lang w:val="en-US" w:eastAsia="zh-CN"/>
                    </w:rPr>
                    <w:t>）*</w:t>
                  </w:r>
                </w:p>
              </w:tc>
              <w:tc>
                <w:tcPr>
                  <w:tcW w:w="455" w:type="pct"/>
                  <w:tcBorders>
                    <w:tl2br w:val="nil"/>
                    <w:tr2bl w:val="nil"/>
                  </w:tcBorders>
                  <w:noWrap w:val="0"/>
                  <w:vAlign w:val="center"/>
                </w:tcPr>
                <w:p w14:paraId="599268A8">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00390E59">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74</w:t>
                  </w:r>
                </w:p>
              </w:tc>
              <w:tc>
                <w:tcPr>
                  <w:tcW w:w="867" w:type="pct"/>
                  <w:tcBorders>
                    <w:tl2br w:val="nil"/>
                    <w:tr2bl w:val="nil"/>
                  </w:tcBorders>
                  <w:noWrap w:val="0"/>
                  <w:vAlign w:val="center"/>
                </w:tcPr>
                <w:p w14:paraId="6498B827">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53</w:t>
                  </w:r>
                </w:p>
              </w:tc>
              <w:tc>
                <w:tcPr>
                  <w:tcW w:w="869" w:type="pct"/>
                  <w:tcBorders>
                    <w:tl2br w:val="nil"/>
                    <w:tr2bl w:val="nil"/>
                  </w:tcBorders>
                  <w:noWrap w:val="0"/>
                  <w:vAlign w:val="center"/>
                </w:tcPr>
                <w:p w14:paraId="3C127968">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49</w:t>
                  </w:r>
                </w:p>
              </w:tc>
              <w:tc>
                <w:tcPr>
                  <w:tcW w:w="432" w:type="pct"/>
                  <w:tcBorders>
                    <w:tl2br w:val="nil"/>
                    <w:tr2bl w:val="nil"/>
                  </w:tcBorders>
                  <w:noWrap w:val="0"/>
                  <w:vAlign w:val="center"/>
                </w:tcPr>
                <w:p w14:paraId="6C22CA75">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≤4500</w:t>
                  </w:r>
                </w:p>
              </w:tc>
              <w:tc>
                <w:tcPr>
                  <w:tcW w:w="401" w:type="pct"/>
                  <w:tcBorders>
                    <w:tl2br w:val="nil"/>
                    <w:tr2bl w:val="nil"/>
                  </w:tcBorders>
                  <w:noWrap w:val="0"/>
                  <w:vAlign w:val="center"/>
                </w:tcPr>
                <w:p w14:paraId="2CE5AFC0">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7A181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1105" w:type="pct"/>
                  <w:tcBorders>
                    <w:tl2br w:val="nil"/>
                    <w:tr2bl w:val="nil"/>
                  </w:tcBorders>
                  <w:noWrap w:val="0"/>
                  <w:vAlign w:val="center"/>
                </w:tcPr>
                <w:p w14:paraId="6554B610">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锑*</w:t>
                  </w:r>
                </w:p>
              </w:tc>
              <w:tc>
                <w:tcPr>
                  <w:tcW w:w="455" w:type="pct"/>
                  <w:tcBorders>
                    <w:tl2br w:val="nil"/>
                    <w:tr2bl w:val="nil"/>
                  </w:tcBorders>
                  <w:noWrap w:val="0"/>
                  <w:vAlign w:val="center"/>
                </w:tcPr>
                <w:p w14:paraId="78DA7A95">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mg/kg</w:t>
                  </w:r>
                </w:p>
              </w:tc>
              <w:tc>
                <w:tcPr>
                  <w:tcW w:w="867" w:type="pct"/>
                  <w:tcBorders>
                    <w:tl2br w:val="nil"/>
                    <w:tr2bl w:val="nil"/>
                  </w:tcBorders>
                  <w:noWrap w:val="0"/>
                  <w:vAlign w:val="center"/>
                </w:tcPr>
                <w:p w14:paraId="738C5CCA">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0.76</w:t>
                  </w:r>
                </w:p>
              </w:tc>
              <w:tc>
                <w:tcPr>
                  <w:tcW w:w="867" w:type="pct"/>
                  <w:tcBorders>
                    <w:tl2br w:val="nil"/>
                    <w:tr2bl w:val="nil"/>
                  </w:tcBorders>
                  <w:noWrap w:val="0"/>
                  <w:vAlign w:val="center"/>
                </w:tcPr>
                <w:p w14:paraId="3A8B2590">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0.82</w:t>
                  </w:r>
                </w:p>
              </w:tc>
              <w:tc>
                <w:tcPr>
                  <w:tcW w:w="869" w:type="pct"/>
                  <w:tcBorders>
                    <w:tl2br w:val="nil"/>
                    <w:tr2bl w:val="nil"/>
                  </w:tcBorders>
                  <w:noWrap w:val="0"/>
                  <w:vAlign w:val="center"/>
                </w:tcPr>
                <w:p w14:paraId="0B256A86">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1.31</w:t>
                  </w:r>
                </w:p>
              </w:tc>
              <w:tc>
                <w:tcPr>
                  <w:tcW w:w="432" w:type="pct"/>
                  <w:tcBorders>
                    <w:tl2br w:val="nil"/>
                    <w:tr2bl w:val="nil"/>
                  </w:tcBorders>
                  <w:noWrap w:val="0"/>
                  <w:vAlign w:val="center"/>
                </w:tcPr>
                <w:p w14:paraId="23EB62AF">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≤180</w:t>
                  </w:r>
                </w:p>
              </w:tc>
              <w:tc>
                <w:tcPr>
                  <w:tcW w:w="401" w:type="pct"/>
                  <w:tcBorders>
                    <w:tl2br w:val="nil"/>
                    <w:tr2bl w:val="nil"/>
                  </w:tcBorders>
                  <w:noWrap w:val="0"/>
                  <w:vAlign w:val="center"/>
                </w:tcPr>
                <w:p w14:paraId="3ABE8E0C">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bookmarkEnd w:id="3"/>
            <w:tr w14:paraId="07493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1105" w:type="pct"/>
                  <w:noWrap w:val="0"/>
                  <w:vAlign w:val="center"/>
                </w:tcPr>
                <w:p w14:paraId="72A54853">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铍*</w:t>
                  </w:r>
                </w:p>
              </w:tc>
              <w:tc>
                <w:tcPr>
                  <w:tcW w:w="455" w:type="pct"/>
                  <w:noWrap w:val="0"/>
                  <w:vAlign w:val="center"/>
                </w:tcPr>
                <w:p w14:paraId="4393F651">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mg/kg</w:t>
                  </w:r>
                </w:p>
              </w:tc>
              <w:tc>
                <w:tcPr>
                  <w:tcW w:w="867" w:type="pct"/>
                  <w:noWrap w:val="0"/>
                  <w:vAlign w:val="center"/>
                </w:tcPr>
                <w:p w14:paraId="2B0A21AF">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0.68</w:t>
                  </w:r>
                </w:p>
              </w:tc>
              <w:tc>
                <w:tcPr>
                  <w:tcW w:w="867" w:type="pct"/>
                  <w:noWrap w:val="0"/>
                  <w:vAlign w:val="center"/>
                </w:tcPr>
                <w:p w14:paraId="7532CFAB">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0.82</w:t>
                  </w:r>
                </w:p>
              </w:tc>
              <w:tc>
                <w:tcPr>
                  <w:tcW w:w="869" w:type="pct"/>
                  <w:noWrap w:val="0"/>
                  <w:vAlign w:val="center"/>
                </w:tcPr>
                <w:p w14:paraId="721EB6AA">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0.56</w:t>
                  </w:r>
                </w:p>
              </w:tc>
              <w:tc>
                <w:tcPr>
                  <w:tcW w:w="432" w:type="pct"/>
                  <w:noWrap w:val="0"/>
                  <w:vAlign w:val="center"/>
                </w:tcPr>
                <w:p w14:paraId="347435FF">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≤29</w:t>
                  </w:r>
                </w:p>
              </w:tc>
              <w:tc>
                <w:tcPr>
                  <w:tcW w:w="401" w:type="pct"/>
                  <w:noWrap w:val="0"/>
                  <w:vAlign w:val="center"/>
                </w:tcPr>
                <w:p w14:paraId="13F1AC7E">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554857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1105" w:type="pct"/>
                  <w:noWrap w:val="0"/>
                  <w:vAlign w:val="center"/>
                </w:tcPr>
                <w:p w14:paraId="52C4D798">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钴*</w:t>
                  </w:r>
                </w:p>
              </w:tc>
              <w:tc>
                <w:tcPr>
                  <w:tcW w:w="455" w:type="pct"/>
                  <w:noWrap w:val="0"/>
                  <w:vAlign w:val="center"/>
                </w:tcPr>
                <w:p w14:paraId="33F018E6">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mg/kg</w:t>
                  </w:r>
                </w:p>
              </w:tc>
              <w:tc>
                <w:tcPr>
                  <w:tcW w:w="867" w:type="pct"/>
                  <w:noWrap w:val="0"/>
                  <w:vAlign w:val="center"/>
                </w:tcPr>
                <w:p w14:paraId="57023D45">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9.84</w:t>
                  </w:r>
                </w:p>
              </w:tc>
              <w:tc>
                <w:tcPr>
                  <w:tcW w:w="867" w:type="pct"/>
                  <w:noWrap w:val="0"/>
                  <w:vAlign w:val="center"/>
                </w:tcPr>
                <w:p w14:paraId="18696C9A">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9.60</w:t>
                  </w:r>
                </w:p>
              </w:tc>
              <w:tc>
                <w:tcPr>
                  <w:tcW w:w="869" w:type="pct"/>
                  <w:noWrap w:val="0"/>
                  <w:vAlign w:val="center"/>
                </w:tcPr>
                <w:p w14:paraId="2D28744C">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9.93</w:t>
                  </w:r>
                </w:p>
              </w:tc>
              <w:tc>
                <w:tcPr>
                  <w:tcW w:w="432" w:type="pct"/>
                  <w:noWrap w:val="0"/>
                  <w:vAlign w:val="center"/>
                </w:tcPr>
                <w:p w14:paraId="2EB5DDB1">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≤70</w:t>
                  </w:r>
                </w:p>
              </w:tc>
              <w:tc>
                <w:tcPr>
                  <w:tcW w:w="401" w:type="pct"/>
                  <w:noWrap w:val="0"/>
                  <w:vAlign w:val="center"/>
                </w:tcPr>
                <w:p w14:paraId="4BB80513">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7CBD0F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1105" w:type="pct"/>
                  <w:noWrap w:val="0"/>
                  <w:vAlign w:val="center"/>
                </w:tcPr>
                <w:p w14:paraId="1C7E0DBD">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钒*</w:t>
                  </w:r>
                </w:p>
              </w:tc>
              <w:tc>
                <w:tcPr>
                  <w:tcW w:w="455" w:type="pct"/>
                  <w:noWrap w:val="0"/>
                  <w:vAlign w:val="center"/>
                </w:tcPr>
                <w:p w14:paraId="344BEDB2">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mg/kg</w:t>
                  </w:r>
                </w:p>
              </w:tc>
              <w:tc>
                <w:tcPr>
                  <w:tcW w:w="867" w:type="pct"/>
                  <w:noWrap w:val="0"/>
                  <w:vAlign w:val="center"/>
                </w:tcPr>
                <w:p w14:paraId="24C43AAD">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0.12</w:t>
                  </w:r>
                </w:p>
              </w:tc>
              <w:tc>
                <w:tcPr>
                  <w:tcW w:w="867" w:type="pct"/>
                  <w:noWrap w:val="0"/>
                  <w:vAlign w:val="center"/>
                </w:tcPr>
                <w:p w14:paraId="58A91EB5">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0.14</w:t>
                  </w:r>
                </w:p>
              </w:tc>
              <w:tc>
                <w:tcPr>
                  <w:tcW w:w="869" w:type="pct"/>
                  <w:noWrap w:val="0"/>
                  <w:vAlign w:val="center"/>
                </w:tcPr>
                <w:p w14:paraId="78D9194D">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0.11</w:t>
                  </w:r>
                </w:p>
              </w:tc>
              <w:tc>
                <w:tcPr>
                  <w:tcW w:w="432" w:type="pct"/>
                  <w:noWrap w:val="0"/>
                  <w:vAlign w:val="center"/>
                </w:tcPr>
                <w:p w14:paraId="30E531D3">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≤752</w:t>
                  </w:r>
                </w:p>
              </w:tc>
              <w:tc>
                <w:tcPr>
                  <w:tcW w:w="401" w:type="pct"/>
                  <w:noWrap w:val="0"/>
                  <w:vAlign w:val="center"/>
                </w:tcPr>
                <w:p w14:paraId="046983F6">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r w14:paraId="4E6D01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1105" w:type="pct"/>
                  <w:noWrap w:val="0"/>
                  <w:vAlign w:val="center"/>
                </w:tcPr>
                <w:p w14:paraId="51B0909E">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氨氮*</w:t>
                  </w:r>
                </w:p>
              </w:tc>
              <w:tc>
                <w:tcPr>
                  <w:tcW w:w="455" w:type="pct"/>
                  <w:noWrap w:val="0"/>
                  <w:vAlign w:val="center"/>
                </w:tcPr>
                <w:p w14:paraId="7978A7F7">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mg/kg</w:t>
                  </w:r>
                </w:p>
              </w:tc>
              <w:tc>
                <w:tcPr>
                  <w:tcW w:w="867" w:type="pct"/>
                  <w:noWrap w:val="0"/>
                  <w:vAlign w:val="center"/>
                </w:tcPr>
                <w:p w14:paraId="024043C6">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16.4</w:t>
                  </w:r>
                </w:p>
              </w:tc>
              <w:tc>
                <w:tcPr>
                  <w:tcW w:w="867" w:type="pct"/>
                  <w:noWrap w:val="0"/>
                  <w:vAlign w:val="center"/>
                </w:tcPr>
                <w:p w14:paraId="38B4A67E">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15.9</w:t>
                  </w:r>
                </w:p>
              </w:tc>
              <w:tc>
                <w:tcPr>
                  <w:tcW w:w="869" w:type="pct"/>
                  <w:noWrap w:val="0"/>
                  <w:vAlign w:val="center"/>
                </w:tcPr>
                <w:p w14:paraId="7A9538E4">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15.3</w:t>
                  </w:r>
                </w:p>
              </w:tc>
              <w:tc>
                <w:tcPr>
                  <w:tcW w:w="432" w:type="pct"/>
                  <w:noWrap w:val="0"/>
                  <w:vAlign w:val="center"/>
                </w:tcPr>
                <w:p w14:paraId="753522C8">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≤1200</w:t>
                  </w:r>
                </w:p>
              </w:tc>
              <w:tc>
                <w:tcPr>
                  <w:tcW w:w="401" w:type="pct"/>
                  <w:noWrap w:val="0"/>
                  <w:vAlign w:val="center"/>
                </w:tcPr>
                <w:p w14:paraId="7389EB13">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达标</w:t>
                  </w:r>
                </w:p>
              </w:tc>
            </w:tr>
          </w:tbl>
          <w:p w14:paraId="69E67912">
            <w:pPr>
              <w:pStyle w:val="47"/>
              <w:numPr>
                <w:ilvl w:val="0"/>
                <w:numId w:val="7"/>
              </w:numPr>
              <w:spacing w:line="360" w:lineRule="auto"/>
              <w:rPr>
                <w:rFonts w:eastAsia="宋体"/>
                <w:b/>
              </w:rPr>
            </w:pPr>
            <w:r>
              <w:rPr>
                <w:rFonts w:hint="eastAsia" w:eastAsia="宋体"/>
                <w:b/>
              </w:rPr>
              <w:t>土壤理化特性调查表</w:t>
            </w:r>
          </w:p>
          <w:tbl>
            <w:tblPr>
              <w:tblStyle w:val="22"/>
              <w:tblW w:w="5002"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47"/>
              <w:gridCol w:w="1860"/>
              <w:gridCol w:w="1874"/>
              <w:gridCol w:w="1911"/>
            </w:tblGrid>
            <w:tr w14:paraId="23C21C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4" w:hRule="atLeast"/>
                <w:jc w:val="center"/>
              </w:trPr>
              <w:tc>
                <w:tcPr>
                  <w:tcW w:w="1636" w:type="pct"/>
                  <w:tcBorders>
                    <w:top w:val="single" w:color="auto" w:sz="8" w:space="0"/>
                    <w:left w:val="single" w:color="auto" w:sz="8" w:space="0"/>
                    <w:bottom w:val="single" w:color="auto" w:sz="8" w:space="0"/>
                    <w:right w:val="single" w:color="auto" w:sz="8" w:space="0"/>
                  </w:tcBorders>
                  <w:noWrap w:val="0"/>
                  <w:vAlign w:val="center"/>
                </w:tcPr>
                <w:p w14:paraId="51AC1793">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cs="Times New Roman"/>
                      <w:sz w:val="21"/>
                      <w:szCs w:val="21"/>
                      <w:highlight w:val="none"/>
                      <w:vertAlign w:val="baseline"/>
                      <w:lang w:val="en-US" w:eastAsia="zh-CN"/>
                    </w:rPr>
                    <w:t>监测点位</w:t>
                  </w:r>
                  <w:r>
                    <w:rPr>
                      <w:rFonts w:hint="default" w:ascii="Times New Roman" w:hAnsi="Times New Roman" w:eastAsia="宋体" w:cs="Times New Roman"/>
                      <w:sz w:val="21"/>
                      <w:szCs w:val="21"/>
                      <w:highlight w:val="none"/>
                      <w:vertAlign w:val="baseline"/>
                      <w:lang w:val="en-US" w:eastAsia="zh-CN"/>
                    </w:rPr>
                    <w:t>名称</w:t>
                  </w:r>
                </w:p>
              </w:tc>
              <w:tc>
                <w:tcPr>
                  <w:tcW w:w="1108" w:type="pct"/>
                  <w:tcBorders>
                    <w:top w:val="single" w:color="auto" w:sz="8" w:space="0"/>
                    <w:left w:val="single" w:color="auto" w:sz="8" w:space="0"/>
                    <w:bottom w:val="single" w:color="auto" w:sz="8" w:space="0"/>
                    <w:right w:val="single" w:color="auto" w:sz="8" w:space="0"/>
                  </w:tcBorders>
                  <w:noWrap w:val="0"/>
                  <w:vAlign w:val="center"/>
                </w:tcPr>
                <w:p w14:paraId="090C0FD1">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Tr1#--</w:t>
                  </w:r>
                  <w:r>
                    <w:rPr>
                      <w:rFonts w:hint="eastAsia" w:cs="Times New Roman"/>
                      <w:sz w:val="21"/>
                      <w:szCs w:val="21"/>
                      <w:highlight w:val="none"/>
                      <w:vertAlign w:val="baseline"/>
                      <w:lang w:val="en-US" w:eastAsia="zh-CN"/>
                    </w:rPr>
                    <w:t>危险废物收集贮存库</w:t>
                  </w:r>
                  <w:r>
                    <w:rPr>
                      <w:rFonts w:hint="default" w:ascii="Times New Roman" w:hAnsi="Times New Roman" w:eastAsia="宋体" w:cs="Times New Roman"/>
                      <w:sz w:val="21"/>
                      <w:szCs w:val="21"/>
                      <w:highlight w:val="none"/>
                      <w:vertAlign w:val="baseline"/>
                      <w:lang w:val="en-US" w:eastAsia="zh-CN"/>
                    </w:rPr>
                    <w:t>处（0.25m）</w:t>
                  </w:r>
                </w:p>
              </w:tc>
              <w:tc>
                <w:tcPr>
                  <w:tcW w:w="1116" w:type="pct"/>
                  <w:tcBorders>
                    <w:top w:val="single" w:color="auto" w:sz="8" w:space="0"/>
                    <w:left w:val="single" w:color="auto" w:sz="8" w:space="0"/>
                    <w:bottom w:val="single" w:color="auto" w:sz="8" w:space="0"/>
                    <w:right w:val="single" w:color="auto" w:sz="8" w:space="0"/>
                  </w:tcBorders>
                  <w:noWrap w:val="0"/>
                  <w:vAlign w:val="center"/>
                </w:tcPr>
                <w:p w14:paraId="58171F5E">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Tr1#--</w:t>
                  </w:r>
                  <w:r>
                    <w:rPr>
                      <w:rFonts w:hint="eastAsia" w:cs="Times New Roman"/>
                      <w:sz w:val="21"/>
                      <w:szCs w:val="21"/>
                      <w:highlight w:val="none"/>
                      <w:vertAlign w:val="baseline"/>
                      <w:lang w:val="en-US" w:eastAsia="zh-CN"/>
                    </w:rPr>
                    <w:t>危险废物收集贮存库</w:t>
                  </w:r>
                  <w:r>
                    <w:rPr>
                      <w:rFonts w:hint="default" w:ascii="Times New Roman" w:hAnsi="Times New Roman" w:eastAsia="宋体" w:cs="Times New Roman"/>
                      <w:sz w:val="21"/>
                      <w:szCs w:val="21"/>
                      <w:highlight w:val="none"/>
                      <w:vertAlign w:val="baseline"/>
                      <w:lang w:val="en-US" w:eastAsia="zh-CN"/>
                    </w:rPr>
                    <w:t>处（1.0m）</w:t>
                  </w:r>
                </w:p>
              </w:tc>
              <w:tc>
                <w:tcPr>
                  <w:tcW w:w="1138" w:type="pct"/>
                  <w:tcBorders>
                    <w:top w:val="single" w:color="auto" w:sz="8" w:space="0"/>
                    <w:left w:val="single" w:color="auto" w:sz="8" w:space="0"/>
                    <w:bottom w:val="single" w:color="auto" w:sz="8" w:space="0"/>
                    <w:right w:val="single" w:color="auto" w:sz="8" w:space="0"/>
                  </w:tcBorders>
                  <w:noWrap w:val="0"/>
                  <w:vAlign w:val="center"/>
                </w:tcPr>
                <w:p w14:paraId="6F3A115E">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Tr1#--</w:t>
                  </w:r>
                  <w:r>
                    <w:rPr>
                      <w:rFonts w:hint="eastAsia" w:cs="Times New Roman"/>
                      <w:sz w:val="21"/>
                      <w:szCs w:val="21"/>
                      <w:highlight w:val="none"/>
                      <w:vertAlign w:val="baseline"/>
                      <w:lang w:val="en-US" w:eastAsia="zh-CN"/>
                    </w:rPr>
                    <w:t>危险废物收集贮存库</w:t>
                  </w:r>
                  <w:r>
                    <w:rPr>
                      <w:rFonts w:hint="default" w:ascii="Times New Roman" w:hAnsi="Times New Roman" w:eastAsia="宋体" w:cs="Times New Roman"/>
                      <w:sz w:val="21"/>
                      <w:szCs w:val="21"/>
                      <w:highlight w:val="none"/>
                      <w:vertAlign w:val="baseline"/>
                      <w:lang w:val="en-US" w:eastAsia="zh-CN"/>
                    </w:rPr>
                    <w:t>处（2.25m）</w:t>
                  </w:r>
                </w:p>
              </w:tc>
            </w:tr>
            <w:tr w14:paraId="7BBE58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1636" w:type="pct"/>
                  <w:tcBorders>
                    <w:top w:val="single" w:color="auto" w:sz="8" w:space="0"/>
                    <w:left w:val="single" w:color="auto" w:sz="8" w:space="0"/>
                    <w:bottom w:val="single" w:color="auto" w:sz="8" w:space="0"/>
                    <w:right w:val="single" w:color="auto" w:sz="8" w:space="0"/>
                  </w:tcBorders>
                  <w:noWrap w:val="0"/>
                  <w:vAlign w:val="center"/>
                </w:tcPr>
                <w:p w14:paraId="1C14047C">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pH</w:t>
                  </w:r>
                </w:p>
              </w:tc>
              <w:tc>
                <w:tcPr>
                  <w:tcW w:w="1108" w:type="pct"/>
                  <w:tcBorders>
                    <w:top w:val="single" w:color="auto" w:sz="8" w:space="0"/>
                    <w:left w:val="single" w:color="auto" w:sz="8" w:space="0"/>
                    <w:bottom w:val="single" w:color="auto" w:sz="8" w:space="0"/>
                    <w:right w:val="single" w:color="auto" w:sz="8" w:space="0"/>
                  </w:tcBorders>
                  <w:noWrap w:val="0"/>
                  <w:vAlign w:val="center"/>
                </w:tcPr>
                <w:p w14:paraId="517DF2EE">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7.39</w:t>
                  </w:r>
                </w:p>
              </w:tc>
              <w:tc>
                <w:tcPr>
                  <w:tcW w:w="1116" w:type="pct"/>
                  <w:tcBorders>
                    <w:top w:val="single" w:color="auto" w:sz="8" w:space="0"/>
                    <w:left w:val="single" w:color="auto" w:sz="8" w:space="0"/>
                    <w:bottom w:val="single" w:color="auto" w:sz="8" w:space="0"/>
                    <w:right w:val="single" w:color="auto" w:sz="8" w:space="0"/>
                  </w:tcBorders>
                  <w:noWrap w:val="0"/>
                  <w:vAlign w:val="center"/>
                </w:tcPr>
                <w:p w14:paraId="4BB11059">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7.24</w:t>
                  </w:r>
                </w:p>
              </w:tc>
              <w:tc>
                <w:tcPr>
                  <w:tcW w:w="1138" w:type="pct"/>
                  <w:tcBorders>
                    <w:top w:val="single" w:color="auto" w:sz="8" w:space="0"/>
                    <w:left w:val="single" w:color="auto" w:sz="8" w:space="0"/>
                    <w:bottom w:val="single" w:color="auto" w:sz="8" w:space="0"/>
                    <w:right w:val="single" w:color="auto" w:sz="8" w:space="0"/>
                  </w:tcBorders>
                  <w:noWrap w:val="0"/>
                  <w:vAlign w:val="center"/>
                </w:tcPr>
                <w:p w14:paraId="675B76DC">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7.41</w:t>
                  </w:r>
                </w:p>
              </w:tc>
            </w:tr>
            <w:tr w14:paraId="430364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1636" w:type="pct"/>
                  <w:tcBorders>
                    <w:top w:val="single" w:color="auto" w:sz="8" w:space="0"/>
                    <w:left w:val="single" w:color="auto" w:sz="8" w:space="0"/>
                    <w:bottom w:val="single" w:color="auto" w:sz="8" w:space="0"/>
                    <w:right w:val="single" w:color="auto" w:sz="8" w:space="0"/>
                  </w:tcBorders>
                  <w:noWrap w:val="0"/>
                  <w:vAlign w:val="center"/>
                </w:tcPr>
                <w:p w14:paraId="59B95B32">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阳离子交换量（cmol</w:t>
                  </w:r>
                  <w:r>
                    <w:rPr>
                      <w:rFonts w:hint="default" w:ascii="Times New Roman" w:hAnsi="Times New Roman" w:eastAsia="宋体" w:cs="Times New Roman"/>
                      <w:sz w:val="21"/>
                      <w:szCs w:val="21"/>
                      <w:highlight w:val="none"/>
                      <w:vertAlign w:val="superscript"/>
                      <w:lang w:val="en-US" w:eastAsia="zh-CN"/>
                    </w:rPr>
                    <w:t>+</w:t>
                  </w:r>
                  <w:r>
                    <w:rPr>
                      <w:rFonts w:hint="default" w:ascii="Times New Roman" w:hAnsi="Times New Roman" w:eastAsia="宋体" w:cs="Times New Roman"/>
                      <w:sz w:val="21"/>
                      <w:szCs w:val="21"/>
                      <w:highlight w:val="none"/>
                      <w:vertAlign w:val="baseline"/>
                      <w:lang w:val="en-US" w:eastAsia="zh-CN"/>
                    </w:rPr>
                    <w:t>/kg）</w:t>
                  </w:r>
                </w:p>
              </w:tc>
              <w:tc>
                <w:tcPr>
                  <w:tcW w:w="1108" w:type="pct"/>
                  <w:tcBorders>
                    <w:top w:val="single" w:color="auto" w:sz="8" w:space="0"/>
                    <w:left w:val="single" w:color="auto" w:sz="8" w:space="0"/>
                    <w:bottom w:val="single" w:color="auto" w:sz="8" w:space="0"/>
                    <w:right w:val="single" w:color="auto" w:sz="8" w:space="0"/>
                  </w:tcBorders>
                  <w:noWrap w:val="0"/>
                  <w:vAlign w:val="center"/>
                </w:tcPr>
                <w:p w14:paraId="28F0C11C">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28.8</w:t>
                  </w:r>
                </w:p>
              </w:tc>
              <w:tc>
                <w:tcPr>
                  <w:tcW w:w="1116" w:type="pct"/>
                  <w:tcBorders>
                    <w:top w:val="single" w:color="auto" w:sz="8" w:space="0"/>
                    <w:left w:val="single" w:color="auto" w:sz="8" w:space="0"/>
                    <w:bottom w:val="single" w:color="auto" w:sz="8" w:space="0"/>
                    <w:right w:val="single" w:color="auto" w:sz="8" w:space="0"/>
                  </w:tcBorders>
                  <w:noWrap w:val="0"/>
                  <w:vAlign w:val="center"/>
                </w:tcPr>
                <w:p w14:paraId="1F65D346">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24.6</w:t>
                  </w:r>
                </w:p>
              </w:tc>
              <w:tc>
                <w:tcPr>
                  <w:tcW w:w="1138" w:type="pct"/>
                  <w:tcBorders>
                    <w:top w:val="single" w:color="auto" w:sz="8" w:space="0"/>
                    <w:left w:val="single" w:color="auto" w:sz="8" w:space="0"/>
                    <w:bottom w:val="single" w:color="auto" w:sz="8" w:space="0"/>
                    <w:right w:val="single" w:color="auto" w:sz="8" w:space="0"/>
                  </w:tcBorders>
                  <w:noWrap w:val="0"/>
                  <w:vAlign w:val="center"/>
                </w:tcPr>
                <w:p w14:paraId="7FAC8FF0">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26.2</w:t>
                  </w:r>
                </w:p>
              </w:tc>
            </w:tr>
            <w:tr w14:paraId="428D4A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1636" w:type="pct"/>
                  <w:tcBorders>
                    <w:top w:val="single" w:color="auto" w:sz="8" w:space="0"/>
                    <w:left w:val="single" w:color="auto" w:sz="8" w:space="0"/>
                    <w:bottom w:val="single" w:color="auto" w:sz="8" w:space="0"/>
                    <w:right w:val="single" w:color="auto" w:sz="8" w:space="0"/>
                  </w:tcBorders>
                  <w:noWrap w:val="0"/>
                  <w:vAlign w:val="center"/>
                </w:tcPr>
                <w:p w14:paraId="4701ACE9">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氧化还原电位（mv）</w:t>
                  </w:r>
                </w:p>
              </w:tc>
              <w:tc>
                <w:tcPr>
                  <w:tcW w:w="1108" w:type="pct"/>
                  <w:tcBorders>
                    <w:top w:val="single" w:color="auto" w:sz="8" w:space="0"/>
                    <w:left w:val="single" w:color="auto" w:sz="8" w:space="0"/>
                    <w:bottom w:val="single" w:color="auto" w:sz="8" w:space="0"/>
                    <w:right w:val="single" w:color="auto" w:sz="8" w:space="0"/>
                  </w:tcBorders>
                  <w:noWrap w:val="0"/>
                  <w:vAlign w:val="center"/>
                </w:tcPr>
                <w:p w14:paraId="61CD0A58">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305</w:t>
                  </w:r>
                </w:p>
              </w:tc>
              <w:tc>
                <w:tcPr>
                  <w:tcW w:w="1116" w:type="pct"/>
                  <w:tcBorders>
                    <w:top w:val="single" w:color="auto" w:sz="8" w:space="0"/>
                    <w:left w:val="single" w:color="auto" w:sz="8" w:space="0"/>
                    <w:bottom w:val="single" w:color="auto" w:sz="8" w:space="0"/>
                    <w:right w:val="single" w:color="auto" w:sz="8" w:space="0"/>
                  </w:tcBorders>
                  <w:noWrap w:val="0"/>
                  <w:vAlign w:val="center"/>
                </w:tcPr>
                <w:p w14:paraId="26819114">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308</w:t>
                  </w:r>
                </w:p>
              </w:tc>
              <w:tc>
                <w:tcPr>
                  <w:tcW w:w="1138" w:type="pct"/>
                  <w:tcBorders>
                    <w:top w:val="single" w:color="auto" w:sz="8" w:space="0"/>
                    <w:left w:val="single" w:color="auto" w:sz="8" w:space="0"/>
                    <w:bottom w:val="single" w:color="auto" w:sz="8" w:space="0"/>
                    <w:right w:val="single" w:color="auto" w:sz="8" w:space="0"/>
                  </w:tcBorders>
                  <w:noWrap w:val="0"/>
                  <w:vAlign w:val="center"/>
                </w:tcPr>
                <w:p w14:paraId="7343A488">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328</w:t>
                  </w:r>
                </w:p>
              </w:tc>
            </w:tr>
            <w:tr w14:paraId="12A8C2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1636" w:type="pct"/>
                  <w:tcBorders>
                    <w:top w:val="single" w:color="auto" w:sz="8" w:space="0"/>
                    <w:left w:val="single" w:color="auto" w:sz="8" w:space="0"/>
                    <w:bottom w:val="single" w:color="auto" w:sz="8" w:space="0"/>
                    <w:right w:val="single" w:color="auto" w:sz="8" w:space="0"/>
                  </w:tcBorders>
                  <w:noWrap w:val="0"/>
                  <w:vAlign w:val="center"/>
                </w:tcPr>
                <w:p w14:paraId="72977980">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渗透率（饱和导水率）（cm/s）</w:t>
                  </w:r>
                </w:p>
              </w:tc>
              <w:tc>
                <w:tcPr>
                  <w:tcW w:w="1108" w:type="pct"/>
                  <w:tcBorders>
                    <w:top w:val="single" w:color="auto" w:sz="8" w:space="0"/>
                    <w:left w:val="single" w:color="auto" w:sz="8" w:space="0"/>
                    <w:bottom w:val="single" w:color="auto" w:sz="8" w:space="0"/>
                    <w:right w:val="single" w:color="auto" w:sz="8" w:space="0"/>
                  </w:tcBorders>
                  <w:noWrap w:val="0"/>
                  <w:vAlign w:val="center"/>
                </w:tcPr>
                <w:p w14:paraId="00667128">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5.52×10</w:t>
                  </w:r>
                  <w:r>
                    <w:rPr>
                      <w:rFonts w:hint="default" w:ascii="Times New Roman" w:hAnsi="Times New Roman" w:eastAsia="宋体" w:cs="Times New Roman"/>
                      <w:sz w:val="21"/>
                      <w:szCs w:val="21"/>
                      <w:highlight w:val="none"/>
                      <w:vertAlign w:val="superscript"/>
                      <w:lang w:val="en-US" w:eastAsia="zh-CN"/>
                    </w:rPr>
                    <w:t>-4</w:t>
                  </w:r>
                </w:p>
              </w:tc>
              <w:tc>
                <w:tcPr>
                  <w:tcW w:w="1116" w:type="pct"/>
                  <w:tcBorders>
                    <w:top w:val="single" w:color="auto" w:sz="8" w:space="0"/>
                    <w:left w:val="single" w:color="auto" w:sz="8" w:space="0"/>
                    <w:bottom w:val="single" w:color="auto" w:sz="8" w:space="0"/>
                    <w:right w:val="single" w:color="auto" w:sz="8" w:space="0"/>
                  </w:tcBorders>
                  <w:noWrap w:val="0"/>
                  <w:vAlign w:val="center"/>
                </w:tcPr>
                <w:p w14:paraId="65659EFA">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6.14×10</w:t>
                  </w:r>
                  <w:r>
                    <w:rPr>
                      <w:rFonts w:hint="default" w:ascii="Times New Roman" w:hAnsi="Times New Roman" w:eastAsia="宋体" w:cs="Times New Roman"/>
                      <w:sz w:val="21"/>
                      <w:szCs w:val="21"/>
                      <w:highlight w:val="none"/>
                      <w:vertAlign w:val="superscript"/>
                      <w:lang w:val="en-US" w:eastAsia="zh-CN"/>
                    </w:rPr>
                    <w:t>-4</w:t>
                  </w:r>
                </w:p>
              </w:tc>
              <w:tc>
                <w:tcPr>
                  <w:tcW w:w="1138" w:type="pct"/>
                  <w:tcBorders>
                    <w:top w:val="single" w:color="auto" w:sz="8" w:space="0"/>
                    <w:left w:val="single" w:color="auto" w:sz="8" w:space="0"/>
                    <w:bottom w:val="single" w:color="auto" w:sz="8" w:space="0"/>
                    <w:right w:val="single" w:color="auto" w:sz="8" w:space="0"/>
                  </w:tcBorders>
                  <w:noWrap w:val="0"/>
                  <w:vAlign w:val="center"/>
                </w:tcPr>
                <w:p w14:paraId="1E81B0A9">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5.74×10</w:t>
                  </w:r>
                  <w:r>
                    <w:rPr>
                      <w:rFonts w:hint="default" w:ascii="Times New Roman" w:hAnsi="Times New Roman" w:eastAsia="宋体" w:cs="Times New Roman"/>
                      <w:sz w:val="21"/>
                      <w:szCs w:val="21"/>
                      <w:highlight w:val="none"/>
                      <w:vertAlign w:val="superscript"/>
                      <w:lang w:val="en-US" w:eastAsia="zh-CN"/>
                    </w:rPr>
                    <w:t>-4</w:t>
                  </w:r>
                </w:p>
              </w:tc>
            </w:tr>
            <w:tr w14:paraId="29C9D5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1636" w:type="pct"/>
                  <w:tcBorders>
                    <w:top w:val="single" w:color="auto" w:sz="8" w:space="0"/>
                    <w:left w:val="single" w:color="auto" w:sz="8" w:space="0"/>
                    <w:bottom w:val="single" w:color="auto" w:sz="8" w:space="0"/>
                    <w:right w:val="single" w:color="auto" w:sz="8" w:space="0"/>
                  </w:tcBorders>
                  <w:noWrap w:val="0"/>
                  <w:vAlign w:val="center"/>
                </w:tcPr>
                <w:p w14:paraId="2AEB02B0">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容重（g/cm</w:t>
                  </w:r>
                  <w:r>
                    <w:rPr>
                      <w:rFonts w:hint="default" w:ascii="Times New Roman" w:hAnsi="Times New Roman" w:eastAsia="宋体" w:cs="Times New Roman"/>
                      <w:sz w:val="21"/>
                      <w:szCs w:val="21"/>
                      <w:highlight w:val="none"/>
                      <w:vertAlign w:val="superscript"/>
                      <w:lang w:val="en-US" w:eastAsia="zh-CN"/>
                    </w:rPr>
                    <w:t>3</w:t>
                  </w:r>
                  <w:r>
                    <w:rPr>
                      <w:rFonts w:hint="default" w:ascii="Times New Roman" w:hAnsi="Times New Roman" w:eastAsia="宋体" w:cs="Times New Roman"/>
                      <w:sz w:val="21"/>
                      <w:szCs w:val="21"/>
                      <w:highlight w:val="none"/>
                      <w:vertAlign w:val="baseline"/>
                      <w:lang w:val="en-US" w:eastAsia="zh-CN"/>
                    </w:rPr>
                    <w:t>）</w:t>
                  </w:r>
                </w:p>
              </w:tc>
              <w:tc>
                <w:tcPr>
                  <w:tcW w:w="1108" w:type="pct"/>
                  <w:tcBorders>
                    <w:top w:val="single" w:color="auto" w:sz="8" w:space="0"/>
                    <w:left w:val="single" w:color="auto" w:sz="8" w:space="0"/>
                    <w:bottom w:val="single" w:color="auto" w:sz="8" w:space="0"/>
                    <w:right w:val="single" w:color="auto" w:sz="8" w:space="0"/>
                  </w:tcBorders>
                  <w:noWrap w:val="0"/>
                  <w:vAlign w:val="center"/>
                </w:tcPr>
                <w:p w14:paraId="79D46C8B">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1.25</w:t>
                  </w:r>
                </w:p>
              </w:tc>
              <w:tc>
                <w:tcPr>
                  <w:tcW w:w="1116" w:type="pct"/>
                  <w:tcBorders>
                    <w:top w:val="single" w:color="auto" w:sz="8" w:space="0"/>
                    <w:left w:val="single" w:color="auto" w:sz="8" w:space="0"/>
                    <w:bottom w:val="single" w:color="auto" w:sz="8" w:space="0"/>
                    <w:right w:val="single" w:color="auto" w:sz="8" w:space="0"/>
                  </w:tcBorders>
                  <w:noWrap w:val="0"/>
                  <w:vAlign w:val="center"/>
                </w:tcPr>
                <w:p w14:paraId="3B64E172">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1.16</w:t>
                  </w:r>
                </w:p>
              </w:tc>
              <w:tc>
                <w:tcPr>
                  <w:tcW w:w="1138" w:type="pct"/>
                  <w:tcBorders>
                    <w:top w:val="single" w:color="auto" w:sz="8" w:space="0"/>
                    <w:left w:val="single" w:color="auto" w:sz="8" w:space="0"/>
                    <w:bottom w:val="single" w:color="auto" w:sz="8" w:space="0"/>
                    <w:right w:val="single" w:color="auto" w:sz="8" w:space="0"/>
                  </w:tcBorders>
                  <w:noWrap w:val="0"/>
                  <w:vAlign w:val="center"/>
                </w:tcPr>
                <w:p w14:paraId="7588A5B0">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1.24</w:t>
                  </w:r>
                </w:p>
              </w:tc>
            </w:tr>
            <w:tr w14:paraId="568431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636" w:type="pct"/>
                  <w:tcBorders>
                    <w:top w:val="single" w:color="auto" w:sz="8" w:space="0"/>
                    <w:left w:val="single" w:color="auto" w:sz="8" w:space="0"/>
                    <w:bottom w:val="single" w:color="auto" w:sz="8" w:space="0"/>
                    <w:right w:val="single" w:color="auto" w:sz="8" w:space="0"/>
                  </w:tcBorders>
                  <w:noWrap w:val="0"/>
                  <w:vAlign w:val="center"/>
                </w:tcPr>
                <w:p w14:paraId="6FC077EF">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孔隙度（%）</w:t>
                  </w:r>
                </w:p>
              </w:tc>
              <w:tc>
                <w:tcPr>
                  <w:tcW w:w="1108" w:type="pct"/>
                  <w:tcBorders>
                    <w:top w:val="single" w:color="auto" w:sz="8" w:space="0"/>
                    <w:left w:val="single" w:color="auto" w:sz="8" w:space="0"/>
                    <w:bottom w:val="single" w:color="auto" w:sz="8" w:space="0"/>
                    <w:right w:val="single" w:color="auto" w:sz="8" w:space="0"/>
                  </w:tcBorders>
                  <w:noWrap w:val="0"/>
                  <w:vAlign w:val="center"/>
                </w:tcPr>
                <w:p w14:paraId="592C2C92">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39</w:t>
                  </w:r>
                </w:p>
              </w:tc>
              <w:tc>
                <w:tcPr>
                  <w:tcW w:w="1116" w:type="pct"/>
                  <w:tcBorders>
                    <w:top w:val="single" w:color="auto" w:sz="8" w:space="0"/>
                    <w:left w:val="single" w:color="auto" w:sz="8" w:space="0"/>
                    <w:bottom w:val="single" w:color="auto" w:sz="8" w:space="0"/>
                    <w:right w:val="single" w:color="auto" w:sz="8" w:space="0"/>
                  </w:tcBorders>
                  <w:noWrap w:val="0"/>
                  <w:vAlign w:val="center"/>
                </w:tcPr>
                <w:p w14:paraId="049BE34C">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41</w:t>
                  </w:r>
                </w:p>
              </w:tc>
              <w:tc>
                <w:tcPr>
                  <w:tcW w:w="1138" w:type="pct"/>
                  <w:tcBorders>
                    <w:top w:val="single" w:color="auto" w:sz="8" w:space="0"/>
                    <w:left w:val="single" w:color="auto" w:sz="8" w:space="0"/>
                    <w:bottom w:val="single" w:color="auto" w:sz="8" w:space="0"/>
                    <w:right w:val="single" w:color="auto" w:sz="8" w:space="0"/>
                  </w:tcBorders>
                  <w:noWrap w:val="0"/>
                  <w:vAlign w:val="center"/>
                </w:tcPr>
                <w:p w14:paraId="7A586E4C">
                  <w:pPr>
                    <w:keepNext w:val="0"/>
                    <w:keepLines w:val="0"/>
                    <w:pageBreakBefore w:val="0"/>
                    <w:widowControl w:val="0"/>
                    <w:numPr>
                      <w:ilvl w:val="0"/>
                      <w:numId w:val="0"/>
                    </w:numPr>
                    <w:kinsoku/>
                    <w:wordWrap/>
                    <w:overflowPunct/>
                    <w:topLinePunct w:val="0"/>
                    <w:autoSpaceDE/>
                    <w:autoSpaceDN/>
                    <w:bidi w:val="0"/>
                    <w:adjustRightInd/>
                    <w:ind w:left="-99" w:leftChars="-47" w:right="-105" w:rightChars="-50" w:firstLine="0" w:firstLineChars="0"/>
                    <w:jc w:val="center"/>
                    <w:textAlignment w:val="auto"/>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51</w:t>
                  </w:r>
                </w:p>
              </w:tc>
            </w:tr>
          </w:tbl>
          <w:p w14:paraId="2E472A27">
            <w:pPr>
              <w:spacing w:line="360" w:lineRule="auto"/>
              <w:ind w:firstLine="480"/>
              <w:rPr>
                <w:rFonts w:hint="eastAsia" w:ascii="Times New Roman" w:hAnsi="Times New Roman" w:eastAsia="宋体" w:cs="Times New Roman"/>
                <w:sz w:val="24"/>
              </w:rPr>
            </w:pPr>
            <w:r>
              <w:rPr>
                <w:rFonts w:hint="eastAsia" w:ascii="Times New Roman" w:hAnsi="Times New Roman" w:eastAsia="宋体" w:cs="Times New Roman"/>
                <w:sz w:val="24"/>
              </w:rPr>
              <w:t>（6）监测结果分析</w:t>
            </w:r>
          </w:p>
          <w:p w14:paraId="544790DE">
            <w:pPr>
              <w:spacing w:line="360" w:lineRule="auto"/>
              <w:ind w:firstLine="480"/>
              <w:rPr>
                <w:highlight w:val="green"/>
              </w:rPr>
            </w:pPr>
            <w:r>
              <w:rPr>
                <w:rFonts w:hint="eastAsia" w:ascii="Times New Roman" w:hAnsi="Times New Roman" w:eastAsia="宋体" w:cs="Times New Roman"/>
                <w:sz w:val="24"/>
              </w:rPr>
              <w:t>通过对各监测点位的土壤质量分析可知，各监测点监测因子均满足《土壤环境质量建设用地土壤污染风险管控标准（试行）》（GB36600-2018）</w:t>
            </w:r>
            <w:r>
              <w:rPr>
                <w:rFonts w:hint="eastAsia" w:ascii="Times New Roman" w:hAnsi="Times New Roman" w:eastAsia="宋体" w:cs="Times New Roman"/>
                <w:sz w:val="24"/>
                <w:lang w:val="en-US" w:eastAsia="zh-CN"/>
              </w:rPr>
              <w:t>和</w:t>
            </w:r>
            <w:r>
              <w:rPr>
                <w:rFonts w:hint="default" w:ascii="Times New Roman" w:hAnsi="Times New Roman" w:cs="Times New Roman"/>
                <w:b w:val="0"/>
                <w:bCs/>
                <w:sz w:val="24"/>
              </w:rPr>
              <w:t>《建设用地土壤污染风险筛选值》（DB13∕T5216-2022）</w:t>
            </w:r>
            <w:r>
              <w:rPr>
                <w:rFonts w:hint="eastAsia" w:ascii="Times New Roman" w:hAnsi="Times New Roman" w:eastAsia="宋体" w:cs="Times New Roman"/>
                <w:sz w:val="24"/>
              </w:rPr>
              <w:t>相关标准，项目区域土壤环境质量较好</w:t>
            </w:r>
            <w:r>
              <w:rPr>
                <w:rFonts w:hint="eastAsia" w:ascii="Times New Roman" w:hAnsi="Times New Roman" w:eastAsia="宋体" w:cs="Times New Roman"/>
                <w:sz w:val="24"/>
                <w:lang w:eastAsia="zh-CN"/>
              </w:rPr>
              <w:t>。</w:t>
            </w:r>
          </w:p>
        </w:tc>
      </w:tr>
      <w:tr w14:paraId="498AF4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2" w:type="pct"/>
            <w:vAlign w:val="center"/>
          </w:tcPr>
          <w:p w14:paraId="44A0C569">
            <w:pPr>
              <w:adjustRightInd w:val="0"/>
              <w:snapToGrid w:val="0"/>
              <w:jc w:val="center"/>
              <w:rPr>
                <w:rFonts w:ascii="宋体" w:hAnsi="宋体" w:cs="宋体"/>
                <w:kern w:val="0"/>
                <w:sz w:val="24"/>
              </w:rPr>
            </w:pPr>
            <w:r>
              <w:rPr>
                <w:rFonts w:hint="eastAsia" w:ascii="宋体" w:hAnsi="宋体" w:cs="宋体"/>
                <w:kern w:val="0"/>
                <w:sz w:val="24"/>
              </w:rPr>
              <w:t>环境</w:t>
            </w:r>
          </w:p>
          <w:p w14:paraId="66C223FC">
            <w:pPr>
              <w:adjustRightInd w:val="0"/>
              <w:snapToGrid w:val="0"/>
              <w:jc w:val="center"/>
              <w:rPr>
                <w:rFonts w:ascii="宋体" w:hAnsi="宋体" w:cs="宋体"/>
                <w:kern w:val="0"/>
                <w:sz w:val="24"/>
              </w:rPr>
            </w:pPr>
            <w:r>
              <w:rPr>
                <w:rFonts w:hint="eastAsia" w:ascii="宋体" w:hAnsi="宋体" w:cs="宋体"/>
                <w:kern w:val="0"/>
                <w:sz w:val="24"/>
              </w:rPr>
              <w:t>保护</w:t>
            </w:r>
          </w:p>
          <w:p w14:paraId="40EB6864">
            <w:pPr>
              <w:adjustRightInd w:val="0"/>
              <w:snapToGrid w:val="0"/>
              <w:jc w:val="center"/>
              <w:rPr>
                <w:rFonts w:ascii="宋体" w:hAnsi="宋体" w:cs="宋体"/>
                <w:kern w:val="0"/>
                <w:sz w:val="24"/>
              </w:rPr>
            </w:pPr>
            <w:r>
              <w:rPr>
                <w:rFonts w:hint="eastAsia" w:ascii="宋体" w:hAnsi="宋体" w:cs="宋体"/>
                <w:kern w:val="0"/>
                <w:sz w:val="24"/>
              </w:rPr>
              <w:t>目标</w:t>
            </w:r>
          </w:p>
        </w:tc>
        <w:tc>
          <w:tcPr>
            <w:tcW w:w="4767" w:type="pct"/>
            <w:vAlign w:val="center"/>
          </w:tcPr>
          <w:p w14:paraId="2210A91C">
            <w:pPr>
              <w:spacing w:before="120" w:beforeLines="50" w:line="360" w:lineRule="auto"/>
              <w:ind w:firstLine="482"/>
              <w:rPr>
                <w:b/>
                <w:sz w:val="24"/>
              </w:rPr>
            </w:pPr>
            <w:r>
              <w:rPr>
                <w:rFonts w:hint="eastAsia"/>
                <w:b/>
                <w:sz w:val="24"/>
              </w:rPr>
              <w:t>1</w:t>
            </w:r>
            <w:r>
              <w:rPr>
                <w:b/>
                <w:sz w:val="24"/>
              </w:rPr>
              <w:t>．</w:t>
            </w:r>
            <w:r>
              <w:rPr>
                <w:rFonts w:hint="eastAsia"/>
                <w:b/>
                <w:sz w:val="24"/>
              </w:rPr>
              <w:t>环境空气保护目标</w:t>
            </w:r>
          </w:p>
          <w:p w14:paraId="18B64DF4">
            <w:pPr>
              <w:spacing w:line="360" w:lineRule="auto"/>
              <w:ind w:firstLine="480"/>
              <w:rPr>
                <w:sz w:val="24"/>
              </w:rPr>
            </w:pPr>
            <w:r>
              <w:rPr>
                <w:rFonts w:hint="eastAsia"/>
                <w:sz w:val="24"/>
              </w:rPr>
              <w:t>项目厂界外5</w:t>
            </w:r>
            <w:r>
              <w:rPr>
                <w:sz w:val="24"/>
              </w:rPr>
              <w:t>00m</w:t>
            </w:r>
            <w:r>
              <w:rPr>
                <w:rFonts w:hint="eastAsia"/>
                <w:sz w:val="24"/>
              </w:rPr>
              <w:t>范围内的环境空气保护目标情况列表如下：</w:t>
            </w:r>
          </w:p>
          <w:p w14:paraId="29441C99">
            <w:pPr>
              <w:pStyle w:val="47"/>
              <w:numPr>
                <w:ilvl w:val="0"/>
                <w:numId w:val="7"/>
              </w:numPr>
              <w:spacing w:line="360" w:lineRule="auto"/>
              <w:rPr>
                <w:rFonts w:eastAsia="宋体"/>
                <w:b/>
              </w:rPr>
            </w:pPr>
            <w:r>
              <w:rPr>
                <w:rFonts w:hint="eastAsia" w:eastAsia="宋体"/>
                <w:b/>
              </w:rPr>
              <w:t>项目厂界外500m范围内的环境空气保护目标一览表</w:t>
            </w:r>
          </w:p>
          <w:tbl>
            <w:tblPr>
              <w:tblStyle w:val="2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9"/>
              <w:gridCol w:w="1378"/>
              <w:gridCol w:w="1267"/>
              <w:gridCol w:w="843"/>
              <w:gridCol w:w="697"/>
              <w:gridCol w:w="1063"/>
              <w:gridCol w:w="780"/>
              <w:gridCol w:w="785"/>
              <w:gridCol w:w="952"/>
            </w:tblGrid>
            <w:tr w14:paraId="2AA29E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jc w:val="center"/>
              </w:trPr>
              <w:tc>
                <w:tcPr>
                  <w:tcW w:w="363" w:type="pct"/>
                  <w:vMerge w:val="restart"/>
                  <w:vAlign w:val="center"/>
                </w:tcPr>
                <w:p w14:paraId="23C7B3E9">
                  <w:pPr>
                    <w:jc w:val="center"/>
                    <w:rPr>
                      <w:b/>
                      <w:szCs w:val="21"/>
                    </w:rPr>
                  </w:pPr>
                  <w:r>
                    <w:rPr>
                      <w:rFonts w:hint="eastAsia"/>
                      <w:b/>
                      <w:szCs w:val="21"/>
                    </w:rPr>
                    <w:t>类别</w:t>
                  </w:r>
                </w:p>
              </w:tc>
              <w:tc>
                <w:tcPr>
                  <w:tcW w:w="1578" w:type="pct"/>
                  <w:gridSpan w:val="2"/>
                  <w:vAlign w:val="center"/>
                </w:tcPr>
                <w:p w14:paraId="3F4DC74A">
                  <w:pPr>
                    <w:jc w:val="center"/>
                    <w:rPr>
                      <w:b/>
                      <w:szCs w:val="21"/>
                    </w:rPr>
                  </w:pPr>
                  <w:r>
                    <w:rPr>
                      <w:rFonts w:hint="eastAsia"/>
                      <w:b/>
                      <w:szCs w:val="21"/>
                    </w:rPr>
                    <w:t>坐标</w:t>
                  </w:r>
                </w:p>
              </w:tc>
              <w:tc>
                <w:tcPr>
                  <w:tcW w:w="503" w:type="pct"/>
                  <w:vMerge w:val="restart"/>
                  <w:vAlign w:val="center"/>
                </w:tcPr>
                <w:p w14:paraId="25E32CF6">
                  <w:pPr>
                    <w:jc w:val="center"/>
                    <w:rPr>
                      <w:b/>
                      <w:szCs w:val="21"/>
                    </w:rPr>
                  </w:pPr>
                  <w:r>
                    <w:rPr>
                      <w:rFonts w:hint="eastAsia"/>
                      <w:b/>
                      <w:szCs w:val="21"/>
                    </w:rPr>
                    <w:t>保护对象名称</w:t>
                  </w:r>
                </w:p>
              </w:tc>
              <w:tc>
                <w:tcPr>
                  <w:tcW w:w="416" w:type="pct"/>
                  <w:vMerge w:val="restart"/>
                  <w:vAlign w:val="center"/>
                </w:tcPr>
                <w:p w14:paraId="1740B35C">
                  <w:pPr>
                    <w:jc w:val="center"/>
                    <w:rPr>
                      <w:b/>
                      <w:szCs w:val="21"/>
                    </w:rPr>
                  </w:pPr>
                  <w:r>
                    <w:rPr>
                      <w:rFonts w:hint="eastAsia"/>
                      <w:b/>
                      <w:szCs w:val="21"/>
                    </w:rPr>
                    <w:t>保护内容</w:t>
                  </w:r>
                </w:p>
              </w:tc>
              <w:tc>
                <w:tcPr>
                  <w:tcW w:w="634" w:type="pct"/>
                  <w:vMerge w:val="restart"/>
                  <w:vAlign w:val="center"/>
                </w:tcPr>
                <w:p w14:paraId="282D89AB">
                  <w:pPr>
                    <w:jc w:val="center"/>
                    <w:rPr>
                      <w:b/>
                      <w:szCs w:val="21"/>
                    </w:rPr>
                  </w:pPr>
                  <w:r>
                    <w:rPr>
                      <w:rFonts w:hint="eastAsia"/>
                      <w:b/>
                      <w:szCs w:val="21"/>
                    </w:rPr>
                    <w:t>环境功能区</w:t>
                  </w:r>
                </w:p>
              </w:tc>
              <w:tc>
                <w:tcPr>
                  <w:tcW w:w="465" w:type="pct"/>
                  <w:vMerge w:val="restart"/>
                  <w:vAlign w:val="center"/>
                </w:tcPr>
                <w:p w14:paraId="06FF45EC">
                  <w:pPr>
                    <w:jc w:val="center"/>
                    <w:rPr>
                      <w:b/>
                      <w:szCs w:val="21"/>
                    </w:rPr>
                  </w:pPr>
                  <w:r>
                    <w:rPr>
                      <w:rFonts w:hint="eastAsia"/>
                      <w:b/>
                      <w:szCs w:val="21"/>
                    </w:rPr>
                    <w:t>最近厂界</w:t>
                  </w:r>
                </w:p>
              </w:tc>
              <w:tc>
                <w:tcPr>
                  <w:tcW w:w="468" w:type="pct"/>
                  <w:vMerge w:val="restart"/>
                  <w:vAlign w:val="center"/>
                </w:tcPr>
                <w:p w14:paraId="0A2A1733">
                  <w:pPr>
                    <w:jc w:val="center"/>
                    <w:rPr>
                      <w:b/>
                      <w:szCs w:val="21"/>
                    </w:rPr>
                  </w:pPr>
                  <w:r>
                    <w:rPr>
                      <w:rFonts w:hint="eastAsia"/>
                      <w:b/>
                      <w:szCs w:val="21"/>
                    </w:rPr>
                    <w:t>相对厂界方位</w:t>
                  </w:r>
                </w:p>
              </w:tc>
              <w:tc>
                <w:tcPr>
                  <w:tcW w:w="568" w:type="pct"/>
                  <w:vMerge w:val="restart"/>
                  <w:vAlign w:val="center"/>
                </w:tcPr>
                <w:p w14:paraId="76073644">
                  <w:pPr>
                    <w:jc w:val="center"/>
                    <w:rPr>
                      <w:b/>
                      <w:szCs w:val="21"/>
                    </w:rPr>
                  </w:pPr>
                  <w:r>
                    <w:rPr>
                      <w:rFonts w:hint="eastAsia"/>
                      <w:b/>
                      <w:szCs w:val="21"/>
                    </w:rPr>
                    <w:t>相对厂界距离（m）</w:t>
                  </w:r>
                </w:p>
              </w:tc>
            </w:tr>
            <w:tr w14:paraId="5D9B9B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363" w:type="pct"/>
                  <w:vMerge w:val="continue"/>
                  <w:vAlign w:val="center"/>
                </w:tcPr>
                <w:p w14:paraId="3BB50EA0">
                  <w:pPr>
                    <w:jc w:val="center"/>
                    <w:rPr>
                      <w:b/>
                      <w:szCs w:val="21"/>
                    </w:rPr>
                  </w:pPr>
                </w:p>
              </w:tc>
              <w:tc>
                <w:tcPr>
                  <w:tcW w:w="822" w:type="pct"/>
                  <w:vAlign w:val="center"/>
                </w:tcPr>
                <w:p w14:paraId="2BFEEC83">
                  <w:pPr>
                    <w:jc w:val="center"/>
                    <w:rPr>
                      <w:b/>
                      <w:szCs w:val="21"/>
                    </w:rPr>
                  </w:pPr>
                  <w:r>
                    <w:rPr>
                      <w:rFonts w:hint="eastAsia"/>
                      <w:b/>
                      <w:szCs w:val="21"/>
                    </w:rPr>
                    <w:t>E</w:t>
                  </w:r>
                </w:p>
              </w:tc>
              <w:tc>
                <w:tcPr>
                  <w:tcW w:w="755" w:type="pct"/>
                  <w:vAlign w:val="center"/>
                </w:tcPr>
                <w:p w14:paraId="6DC43601">
                  <w:pPr>
                    <w:jc w:val="center"/>
                    <w:rPr>
                      <w:b/>
                      <w:szCs w:val="21"/>
                    </w:rPr>
                  </w:pPr>
                  <w:r>
                    <w:rPr>
                      <w:rFonts w:hint="eastAsia"/>
                      <w:b/>
                      <w:szCs w:val="21"/>
                    </w:rPr>
                    <w:t>N</w:t>
                  </w:r>
                </w:p>
              </w:tc>
              <w:tc>
                <w:tcPr>
                  <w:tcW w:w="503" w:type="pct"/>
                  <w:vMerge w:val="continue"/>
                  <w:vAlign w:val="center"/>
                </w:tcPr>
                <w:p w14:paraId="1B58AB18">
                  <w:pPr>
                    <w:jc w:val="center"/>
                    <w:rPr>
                      <w:b/>
                      <w:szCs w:val="21"/>
                    </w:rPr>
                  </w:pPr>
                </w:p>
              </w:tc>
              <w:tc>
                <w:tcPr>
                  <w:tcW w:w="416" w:type="pct"/>
                  <w:vMerge w:val="continue"/>
                  <w:vAlign w:val="center"/>
                </w:tcPr>
                <w:p w14:paraId="33A86C65">
                  <w:pPr>
                    <w:jc w:val="center"/>
                    <w:rPr>
                      <w:b/>
                      <w:szCs w:val="21"/>
                    </w:rPr>
                  </w:pPr>
                </w:p>
              </w:tc>
              <w:tc>
                <w:tcPr>
                  <w:tcW w:w="634" w:type="pct"/>
                  <w:vMerge w:val="continue"/>
                  <w:vAlign w:val="center"/>
                </w:tcPr>
                <w:p w14:paraId="5F532CC4">
                  <w:pPr>
                    <w:jc w:val="center"/>
                    <w:rPr>
                      <w:b/>
                      <w:szCs w:val="21"/>
                    </w:rPr>
                  </w:pPr>
                </w:p>
              </w:tc>
              <w:tc>
                <w:tcPr>
                  <w:tcW w:w="465" w:type="pct"/>
                  <w:vMerge w:val="continue"/>
                  <w:vAlign w:val="center"/>
                </w:tcPr>
                <w:p w14:paraId="14E93F63">
                  <w:pPr>
                    <w:jc w:val="center"/>
                    <w:rPr>
                      <w:b/>
                      <w:szCs w:val="21"/>
                    </w:rPr>
                  </w:pPr>
                </w:p>
              </w:tc>
              <w:tc>
                <w:tcPr>
                  <w:tcW w:w="468" w:type="pct"/>
                  <w:vMerge w:val="continue"/>
                  <w:vAlign w:val="center"/>
                </w:tcPr>
                <w:p w14:paraId="533166D2">
                  <w:pPr>
                    <w:jc w:val="center"/>
                    <w:rPr>
                      <w:b/>
                      <w:szCs w:val="21"/>
                    </w:rPr>
                  </w:pPr>
                </w:p>
              </w:tc>
              <w:tc>
                <w:tcPr>
                  <w:tcW w:w="568" w:type="pct"/>
                  <w:vMerge w:val="continue"/>
                  <w:vAlign w:val="center"/>
                </w:tcPr>
                <w:p w14:paraId="2942666C">
                  <w:pPr>
                    <w:jc w:val="center"/>
                    <w:rPr>
                      <w:b/>
                      <w:szCs w:val="21"/>
                    </w:rPr>
                  </w:pPr>
                </w:p>
              </w:tc>
            </w:tr>
            <w:tr w14:paraId="5271D6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4" w:hRule="atLeast"/>
                <w:jc w:val="center"/>
              </w:trPr>
              <w:tc>
                <w:tcPr>
                  <w:tcW w:w="363" w:type="pct"/>
                  <w:vMerge w:val="restart"/>
                  <w:vAlign w:val="center"/>
                </w:tcPr>
                <w:p w14:paraId="35A98D97">
                  <w:pPr>
                    <w:jc w:val="center"/>
                    <w:rPr>
                      <w:szCs w:val="21"/>
                    </w:rPr>
                  </w:pPr>
                  <w:r>
                    <w:rPr>
                      <w:rFonts w:hint="eastAsia"/>
                      <w:szCs w:val="21"/>
                    </w:rPr>
                    <w:t>环境空气</w:t>
                  </w:r>
                </w:p>
              </w:tc>
              <w:tc>
                <w:tcPr>
                  <w:tcW w:w="822" w:type="pct"/>
                  <w:vAlign w:val="center"/>
                </w:tcPr>
                <w:p w14:paraId="44A998A5">
                  <w:pPr>
                    <w:jc w:val="center"/>
                    <w:rPr>
                      <w:szCs w:val="21"/>
                    </w:rPr>
                  </w:pPr>
                  <w:r>
                    <w:rPr>
                      <w:rFonts w:hint="eastAsia"/>
                      <w:bCs/>
                      <w:kern w:val="0"/>
                      <w:szCs w:val="21"/>
                      <w:lang w:bidi="ar"/>
                    </w:rPr>
                    <w:t>118.567693</w:t>
                  </w:r>
                  <w:r>
                    <w:rPr>
                      <w:bCs/>
                      <w:kern w:val="0"/>
                      <w:szCs w:val="21"/>
                      <w:lang w:bidi="ar"/>
                    </w:rPr>
                    <w:t>°</w:t>
                  </w:r>
                </w:p>
              </w:tc>
              <w:tc>
                <w:tcPr>
                  <w:tcW w:w="755" w:type="pct"/>
                  <w:vAlign w:val="center"/>
                </w:tcPr>
                <w:p w14:paraId="3951D406">
                  <w:pPr>
                    <w:jc w:val="center"/>
                    <w:rPr>
                      <w:szCs w:val="21"/>
                    </w:rPr>
                  </w:pPr>
                  <w:r>
                    <w:rPr>
                      <w:rFonts w:hint="eastAsia"/>
                      <w:bCs/>
                      <w:kern w:val="0"/>
                      <w:szCs w:val="21"/>
                      <w:lang w:bidi="ar"/>
                    </w:rPr>
                    <w:t>40.673499</w:t>
                  </w:r>
                  <w:r>
                    <w:rPr>
                      <w:bCs/>
                      <w:kern w:val="0"/>
                      <w:szCs w:val="21"/>
                      <w:lang w:bidi="ar"/>
                    </w:rPr>
                    <w:t>°</w:t>
                  </w:r>
                </w:p>
              </w:tc>
              <w:tc>
                <w:tcPr>
                  <w:tcW w:w="503" w:type="pct"/>
                  <w:vAlign w:val="center"/>
                </w:tcPr>
                <w:p w14:paraId="133FBB1B">
                  <w:pPr>
                    <w:jc w:val="center"/>
                    <w:rPr>
                      <w:rFonts w:hint="default" w:eastAsia="宋体"/>
                      <w:szCs w:val="21"/>
                      <w:lang w:val="en-US" w:eastAsia="zh-CN"/>
                    </w:rPr>
                  </w:pPr>
                  <w:r>
                    <w:rPr>
                      <w:rFonts w:hint="eastAsia"/>
                      <w:bCs/>
                      <w:szCs w:val="21"/>
                      <w:lang w:val="en-US" w:eastAsia="zh-CN"/>
                    </w:rPr>
                    <w:t>上店</w:t>
                  </w:r>
                </w:p>
              </w:tc>
              <w:tc>
                <w:tcPr>
                  <w:tcW w:w="416" w:type="pct"/>
                  <w:vAlign w:val="center"/>
                </w:tcPr>
                <w:p w14:paraId="0EF9B4E2">
                  <w:pPr>
                    <w:jc w:val="center"/>
                    <w:rPr>
                      <w:szCs w:val="21"/>
                    </w:rPr>
                  </w:pPr>
                  <w:r>
                    <w:rPr>
                      <w:rFonts w:hint="eastAsia"/>
                      <w:szCs w:val="21"/>
                    </w:rPr>
                    <w:t>居住</w:t>
                  </w:r>
                </w:p>
              </w:tc>
              <w:tc>
                <w:tcPr>
                  <w:tcW w:w="634" w:type="pct"/>
                  <w:vAlign w:val="center"/>
                </w:tcPr>
                <w:p w14:paraId="1C9CECD0">
                  <w:pPr>
                    <w:jc w:val="center"/>
                    <w:rPr>
                      <w:szCs w:val="21"/>
                    </w:rPr>
                  </w:pPr>
                  <w:r>
                    <w:rPr>
                      <w:rFonts w:hint="eastAsia"/>
                      <w:szCs w:val="21"/>
                    </w:rPr>
                    <w:t>空气环境质量二类功能区</w:t>
                  </w:r>
                </w:p>
              </w:tc>
              <w:tc>
                <w:tcPr>
                  <w:tcW w:w="465" w:type="pct"/>
                  <w:vAlign w:val="center"/>
                </w:tcPr>
                <w:p w14:paraId="4B35AF91">
                  <w:pPr>
                    <w:jc w:val="center"/>
                    <w:rPr>
                      <w:rFonts w:hint="eastAsia" w:eastAsia="宋体"/>
                      <w:szCs w:val="21"/>
                      <w:lang w:val="en-US" w:eastAsia="zh-CN"/>
                    </w:rPr>
                  </w:pPr>
                  <w:r>
                    <w:rPr>
                      <w:rFonts w:hint="eastAsia"/>
                      <w:szCs w:val="21"/>
                      <w:lang w:val="en-US" w:eastAsia="zh-CN"/>
                    </w:rPr>
                    <w:t>西</w:t>
                  </w:r>
                </w:p>
              </w:tc>
              <w:tc>
                <w:tcPr>
                  <w:tcW w:w="468" w:type="pct"/>
                  <w:vAlign w:val="center"/>
                </w:tcPr>
                <w:p w14:paraId="659D3CDE">
                  <w:pPr>
                    <w:jc w:val="center"/>
                    <w:rPr>
                      <w:rFonts w:hint="eastAsia" w:eastAsia="宋体"/>
                      <w:szCs w:val="21"/>
                      <w:lang w:val="en-US" w:eastAsia="zh-CN"/>
                    </w:rPr>
                  </w:pPr>
                  <w:r>
                    <w:rPr>
                      <w:rFonts w:hint="eastAsia"/>
                      <w:szCs w:val="21"/>
                      <w:lang w:val="en-US" w:eastAsia="zh-CN"/>
                    </w:rPr>
                    <w:t>西</w:t>
                  </w:r>
                </w:p>
              </w:tc>
              <w:tc>
                <w:tcPr>
                  <w:tcW w:w="568" w:type="pct"/>
                  <w:vAlign w:val="center"/>
                </w:tcPr>
                <w:p w14:paraId="5C34FFC4">
                  <w:pPr>
                    <w:jc w:val="center"/>
                    <w:rPr>
                      <w:rFonts w:hint="default" w:eastAsia="宋体"/>
                      <w:szCs w:val="21"/>
                      <w:lang w:val="en-US" w:eastAsia="zh-CN"/>
                    </w:rPr>
                  </w:pPr>
                  <w:r>
                    <w:rPr>
                      <w:rFonts w:hint="eastAsia"/>
                      <w:bCs/>
                      <w:szCs w:val="21"/>
                      <w:lang w:val="en-US" w:eastAsia="zh-CN"/>
                    </w:rPr>
                    <w:t>67</w:t>
                  </w:r>
                </w:p>
              </w:tc>
            </w:tr>
            <w:tr w14:paraId="07DA02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0" w:hRule="atLeast"/>
                <w:jc w:val="center"/>
              </w:trPr>
              <w:tc>
                <w:tcPr>
                  <w:tcW w:w="363" w:type="pct"/>
                  <w:vMerge w:val="continue"/>
                  <w:vAlign w:val="center"/>
                </w:tcPr>
                <w:p w14:paraId="08759C09">
                  <w:pPr>
                    <w:jc w:val="center"/>
                    <w:rPr>
                      <w:rFonts w:hint="eastAsia"/>
                      <w:szCs w:val="21"/>
                    </w:rPr>
                  </w:pPr>
                </w:p>
              </w:tc>
              <w:tc>
                <w:tcPr>
                  <w:tcW w:w="822" w:type="pct"/>
                  <w:shd w:val="clear" w:color="auto" w:fill="auto"/>
                  <w:vAlign w:val="center"/>
                </w:tcPr>
                <w:p w14:paraId="76EBEDAF">
                  <w:pPr>
                    <w:jc w:val="center"/>
                    <w:rPr>
                      <w:rFonts w:hint="eastAsia" w:ascii="Times New Roman" w:hAnsi="Times New Roman" w:eastAsia="宋体" w:cs="Times New Roman"/>
                      <w:kern w:val="2"/>
                      <w:sz w:val="21"/>
                      <w:szCs w:val="21"/>
                      <w:lang w:val="en-US" w:eastAsia="zh-CN" w:bidi="ar-SA"/>
                    </w:rPr>
                  </w:pPr>
                  <w:r>
                    <w:rPr>
                      <w:rFonts w:hint="eastAsia"/>
                      <w:bCs/>
                      <w:kern w:val="0"/>
                      <w:szCs w:val="21"/>
                      <w:lang w:bidi="ar"/>
                    </w:rPr>
                    <w:t>118.570724</w:t>
                  </w:r>
                  <w:r>
                    <w:rPr>
                      <w:bCs/>
                      <w:kern w:val="0"/>
                      <w:szCs w:val="21"/>
                      <w:lang w:bidi="ar"/>
                    </w:rPr>
                    <w:t>°</w:t>
                  </w:r>
                </w:p>
              </w:tc>
              <w:tc>
                <w:tcPr>
                  <w:tcW w:w="755" w:type="pct"/>
                  <w:shd w:val="clear" w:color="auto" w:fill="auto"/>
                  <w:vAlign w:val="center"/>
                </w:tcPr>
                <w:p w14:paraId="3E66743A">
                  <w:pPr>
                    <w:jc w:val="center"/>
                    <w:rPr>
                      <w:rFonts w:hint="eastAsia" w:ascii="Times New Roman" w:hAnsi="Times New Roman" w:eastAsia="宋体" w:cs="Times New Roman"/>
                      <w:kern w:val="2"/>
                      <w:sz w:val="21"/>
                      <w:szCs w:val="21"/>
                      <w:lang w:val="en-US" w:eastAsia="zh-CN" w:bidi="ar-SA"/>
                    </w:rPr>
                  </w:pPr>
                  <w:r>
                    <w:rPr>
                      <w:rFonts w:hint="eastAsia"/>
                      <w:bCs/>
                      <w:kern w:val="0"/>
                      <w:szCs w:val="21"/>
                      <w:lang w:bidi="ar"/>
                    </w:rPr>
                    <w:t>40.674047</w:t>
                  </w:r>
                  <w:r>
                    <w:rPr>
                      <w:bCs/>
                      <w:kern w:val="0"/>
                      <w:szCs w:val="21"/>
                      <w:lang w:bidi="ar"/>
                    </w:rPr>
                    <w:t>°</w:t>
                  </w:r>
                </w:p>
              </w:tc>
              <w:tc>
                <w:tcPr>
                  <w:tcW w:w="503" w:type="pct"/>
                  <w:vAlign w:val="center"/>
                </w:tcPr>
                <w:p w14:paraId="51542AF2">
                  <w:pPr>
                    <w:jc w:val="center"/>
                    <w:rPr>
                      <w:rFonts w:hint="default"/>
                      <w:bCs/>
                      <w:szCs w:val="21"/>
                      <w:lang w:val="en-US" w:eastAsia="zh-CN"/>
                    </w:rPr>
                  </w:pPr>
                  <w:r>
                    <w:rPr>
                      <w:rFonts w:hint="eastAsia"/>
                      <w:bCs/>
                      <w:szCs w:val="21"/>
                      <w:lang w:val="en-US" w:eastAsia="zh-CN"/>
                    </w:rPr>
                    <w:t>东沟</w:t>
                  </w:r>
                </w:p>
              </w:tc>
              <w:tc>
                <w:tcPr>
                  <w:tcW w:w="416" w:type="pct"/>
                  <w:vAlign w:val="center"/>
                </w:tcPr>
                <w:p w14:paraId="1B16E160">
                  <w:pPr>
                    <w:jc w:val="center"/>
                    <w:rPr>
                      <w:rFonts w:hint="eastAsia"/>
                      <w:szCs w:val="21"/>
                    </w:rPr>
                  </w:pPr>
                  <w:r>
                    <w:rPr>
                      <w:rFonts w:hint="eastAsia"/>
                      <w:szCs w:val="21"/>
                    </w:rPr>
                    <w:t>居住</w:t>
                  </w:r>
                </w:p>
              </w:tc>
              <w:tc>
                <w:tcPr>
                  <w:tcW w:w="634" w:type="pct"/>
                  <w:vAlign w:val="center"/>
                </w:tcPr>
                <w:p w14:paraId="09825214">
                  <w:pPr>
                    <w:jc w:val="center"/>
                    <w:rPr>
                      <w:rFonts w:hint="eastAsia"/>
                      <w:szCs w:val="21"/>
                    </w:rPr>
                  </w:pPr>
                  <w:r>
                    <w:rPr>
                      <w:rFonts w:hint="eastAsia"/>
                      <w:szCs w:val="21"/>
                    </w:rPr>
                    <w:t>空气环境质量二类功能区</w:t>
                  </w:r>
                </w:p>
              </w:tc>
              <w:tc>
                <w:tcPr>
                  <w:tcW w:w="465" w:type="pct"/>
                  <w:vAlign w:val="center"/>
                </w:tcPr>
                <w:p w14:paraId="21748E03">
                  <w:pPr>
                    <w:jc w:val="center"/>
                    <w:rPr>
                      <w:rFonts w:hint="default"/>
                      <w:szCs w:val="21"/>
                      <w:lang w:val="en-US" w:eastAsia="zh-CN"/>
                    </w:rPr>
                  </w:pPr>
                  <w:r>
                    <w:rPr>
                      <w:rFonts w:hint="eastAsia"/>
                      <w:szCs w:val="21"/>
                      <w:lang w:val="en-US" w:eastAsia="zh-CN"/>
                    </w:rPr>
                    <w:t>北</w:t>
                  </w:r>
                </w:p>
              </w:tc>
              <w:tc>
                <w:tcPr>
                  <w:tcW w:w="468" w:type="pct"/>
                  <w:vAlign w:val="center"/>
                </w:tcPr>
                <w:p w14:paraId="0F2163C7">
                  <w:pPr>
                    <w:jc w:val="center"/>
                    <w:rPr>
                      <w:rFonts w:hint="default"/>
                      <w:szCs w:val="21"/>
                      <w:lang w:val="en-US" w:eastAsia="zh-CN"/>
                    </w:rPr>
                  </w:pPr>
                  <w:r>
                    <w:rPr>
                      <w:rFonts w:hint="eastAsia"/>
                      <w:szCs w:val="21"/>
                      <w:lang w:val="en-US" w:eastAsia="zh-CN"/>
                    </w:rPr>
                    <w:t>北</w:t>
                  </w:r>
                </w:p>
              </w:tc>
              <w:tc>
                <w:tcPr>
                  <w:tcW w:w="568" w:type="pct"/>
                  <w:vAlign w:val="center"/>
                </w:tcPr>
                <w:p w14:paraId="0AE58809">
                  <w:pPr>
                    <w:jc w:val="center"/>
                    <w:rPr>
                      <w:rFonts w:hint="default"/>
                      <w:bCs/>
                      <w:szCs w:val="21"/>
                      <w:lang w:val="en-US" w:eastAsia="zh-CN"/>
                    </w:rPr>
                  </w:pPr>
                  <w:r>
                    <w:rPr>
                      <w:rFonts w:hint="eastAsia"/>
                      <w:bCs/>
                      <w:szCs w:val="21"/>
                      <w:lang w:val="en-US" w:eastAsia="zh-CN"/>
                    </w:rPr>
                    <w:t>150</w:t>
                  </w:r>
                </w:p>
              </w:tc>
            </w:tr>
          </w:tbl>
          <w:p w14:paraId="6EF178DC">
            <w:pPr>
              <w:spacing w:before="120" w:beforeLines="50" w:line="360" w:lineRule="auto"/>
              <w:ind w:firstLine="482"/>
              <w:rPr>
                <w:b/>
                <w:sz w:val="24"/>
              </w:rPr>
            </w:pPr>
            <w:r>
              <w:rPr>
                <w:b/>
                <w:sz w:val="24"/>
              </w:rPr>
              <w:t>2．</w:t>
            </w:r>
            <w:r>
              <w:rPr>
                <w:rFonts w:hint="eastAsia"/>
                <w:b/>
                <w:sz w:val="24"/>
              </w:rPr>
              <w:t>声环境保护目标</w:t>
            </w:r>
          </w:p>
          <w:p w14:paraId="40B69046">
            <w:pPr>
              <w:spacing w:line="360" w:lineRule="auto"/>
              <w:ind w:firstLine="480"/>
              <w:rPr>
                <w:sz w:val="24"/>
              </w:rPr>
            </w:pPr>
            <w:r>
              <w:rPr>
                <w:rFonts w:hint="eastAsia"/>
                <w:sz w:val="24"/>
              </w:rPr>
              <w:t>项目厂界外5</w:t>
            </w:r>
            <w:r>
              <w:rPr>
                <w:sz w:val="24"/>
              </w:rPr>
              <w:t>0m</w:t>
            </w:r>
            <w:r>
              <w:rPr>
                <w:rFonts w:hint="eastAsia"/>
                <w:sz w:val="24"/>
              </w:rPr>
              <w:t>范围内无声环境保护目标。</w:t>
            </w:r>
          </w:p>
          <w:p w14:paraId="13A14802">
            <w:pPr>
              <w:spacing w:line="360" w:lineRule="auto"/>
              <w:ind w:firstLine="482"/>
              <w:rPr>
                <w:b/>
                <w:sz w:val="24"/>
              </w:rPr>
            </w:pPr>
            <w:r>
              <w:rPr>
                <w:b/>
                <w:sz w:val="24"/>
              </w:rPr>
              <w:t>3．</w:t>
            </w:r>
            <w:r>
              <w:rPr>
                <w:rFonts w:hint="eastAsia"/>
                <w:b/>
                <w:sz w:val="24"/>
              </w:rPr>
              <w:t>地下水环境保护目标</w:t>
            </w:r>
          </w:p>
          <w:p w14:paraId="2D54376A">
            <w:pPr>
              <w:spacing w:line="360" w:lineRule="auto"/>
              <w:ind w:firstLine="480"/>
              <w:rPr>
                <w:sz w:val="24"/>
              </w:rPr>
            </w:pPr>
            <w:r>
              <w:rPr>
                <w:rFonts w:hint="eastAsia"/>
                <w:sz w:val="24"/>
              </w:rPr>
              <w:t>项目厂界外5</w:t>
            </w:r>
            <w:r>
              <w:rPr>
                <w:sz w:val="24"/>
              </w:rPr>
              <w:t>00m</w:t>
            </w:r>
            <w:r>
              <w:rPr>
                <w:rFonts w:hint="eastAsia"/>
                <w:sz w:val="24"/>
              </w:rPr>
              <w:t>范围内没有地下水集中式饮用水水源和热水、矿泉水、温泉等特殊地下水资源。</w:t>
            </w:r>
          </w:p>
          <w:p w14:paraId="12DEAA50">
            <w:pPr>
              <w:spacing w:line="360" w:lineRule="auto"/>
              <w:ind w:firstLine="482"/>
              <w:rPr>
                <w:b/>
                <w:sz w:val="24"/>
              </w:rPr>
            </w:pPr>
            <w:r>
              <w:rPr>
                <w:b/>
                <w:sz w:val="24"/>
              </w:rPr>
              <w:t>4．</w:t>
            </w:r>
            <w:r>
              <w:rPr>
                <w:rFonts w:hint="eastAsia"/>
                <w:b/>
                <w:sz w:val="24"/>
              </w:rPr>
              <w:t>生态环境保护目标</w:t>
            </w:r>
          </w:p>
          <w:p w14:paraId="5C5FA16D">
            <w:pPr>
              <w:widowControl/>
              <w:adjustRightInd w:val="0"/>
              <w:snapToGrid w:val="0"/>
              <w:spacing w:line="360" w:lineRule="auto"/>
              <w:ind w:firstLine="480" w:firstLineChars="200"/>
              <w:rPr>
                <w:highlight w:val="green"/>
              </w:rPr>
            </w:pPr>
            <w:r>
              <w:rPr>
                <w:rFonts w:hint="eastAsia"/>
                <w:sz w:val="24"/>
              </w:rPr>
              <w:t>项目</w:t>
            </w:r>
            <w:r>
              <w:rPr>
                <w:rFonts w:hint="eastAsia"/>
                <w:sz w:val="24"/>
                <w:lang w:val="en-US" w:eastAsia="zh-CN"/>
              </w:rPr>
              <w:t>租用承德坤元环保科技有限公司厂房和场地进行建设</w:t>
            </w:r>
            <w:r>
              <w:rPr>
                <w:rFonts w:hint="eastAsia"/>
                <w:kern w:val="0"/>
                <w:sz w:val="24"/>
              </w:rPr>
              <w:t>，不新增用地，</w:t>
            </w:r>
            <w:r>
              <w:rPr>
                <w:rFonts w:hint="eastAsia"/>
                <w:sz w:val="24"/>
              </w:rPr>
              <w:t>用地范围内不含</w:t>
            </w:r>
            <w:r>
              <w:rPr>
                <w:rFonts w:hint="eastAsia"/>
                <w:kern w:val="0"/>
                <w:sz w:val="24"/>
              </w:rPr>
              <w:t>生态环境保护目标</w:t>
            </w:r>
            <w:r>
              <w:rPr>
                <w:rFonts w:hint="eastAsia"/>
                <w:sz w:val="24"/>
              </w:rPr>
              <w:t>。</w:t>
            </w:r>
          </w:p>
          <w:p w14:paraId="32F2FEE6">
            <w:pPr>
              <w:pStyle w:val="2"/>
              <w:ind w:left="0" w:leftChars="0" w:firstLine="0" w:firstLineChars="0"/>
              <w:jc w:val="both"/>
              <w:rPr>
                <w:highlight w:val="green"/>
              </w:rPr>
            </w:pPr>
          </w:p>
        </w:tc>
      </w:tr>
      <w:tr w14:paraId="2434A9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93" w:hRule="atLeast"/>
          <w:jc w:val="center"/>
        </w:trPr>
        <w:tc>
          <w:tcPr>
            <w:tcW w:w="232" w:type="pct"/>
            <w:tcMar>
              <w:left w:w="28" w:type="dxa"/>
              <w:right w:w="28" w:type="dxa"/>
            </w:tcMar>
            <w:vAlign w:val="center"/>
          </w:tcPr>
          <w:p w14:paraId="72D9E9B0">
            <w:pPr>
              <w:adjustRightInd w:val="0"/>
              <w:snapToGrid w:val="0"/>
              <w:jc w:val="center"/>
              <w:rPr>
                <w:rFonts w:ascii="宋体" w:hAnsi="宋体" w:cs="宋体"/>
                <w:kern w:val="0"/>
                <w:sz w:val="24"/>
              </w:rPr>
            </w:pPr>
            <w:r>
              <w:rPr>
                <w:rFonts w:hint="eastAsia" w:ascii="宋体" w:hAnsi="宋体" w:cs="宋体"/>
                <w:kern w:val="0"/>
                <w:sz w:val="24"/>
              </w:rPr>
              <w:t>污染</w:t>
            </w:r>
          </w:p>
          <w:p w14:paraId="2CE6F867">
            <w:pPr>
              <w:adjustRightInd w:val="0"/>
              <w:snapToGrid w:val="0"/>
              <w:jc w:val="center"/>
              <w:rPr>
                <w:rFonts w:ascii="宋体" w:hAnsi="宋体" w:cs="宋体"/>
                <w:kern w:val="0"/>
                <w:sz w:val="24"/>
              </w:rPr>
            </w:pPr>
            <w:r>
              <w:rPr>
                <w:rFonts w:hint="eastAsia" w:ascii="宋体" w:hAnsi="宋体" w:cs="宋体"/>
                <w:kern w:val="0"/>
                <w:sz w:val="24"/>
              </w:rPr>
              <w:t>物排</w:t>
            </w:r>
          </w:p>
          <w:p w14:paraId="33D45DD0">
            <w:pPr>
              <w:adjustRightInd w:val="0"/>
              <w:snapToGrid w:val="0"/>
              <w:jc w:val="center"/>
              <w:rPr>
                <w:rFonts w:ascii="宋体" w:hAnsi="宋体" w:cs="宋体"/>
                <w:kern w:val="0"/>
                <w:sz w:val="24"/>
              </w:rPr>
            </w:pPr>
            <w:r>
              <w:rPr>
                <w:rFonts w:hint="eastAsia" w:ascii="宋体" w:hAnsi="宋体" w:cs="宋体"/>
                <w:kern w:val="0"/>
                <w:sz w:val="24"/>
              </w:rPr>
              <w:t>放控</w:t>
            </w:r>
          </w:p>
          <w:p w14:paraId="751FB898">
            <w:pPr>
              <w:adjustRightInd w:val="0"/>
              <w:snapToGrid w:val="0"/>
              <w:jc w:val="center"/>
              <w:rPr>
                <w:rFonts w:ascii="宋体" w:hAnsi="宋体" w:cs="宋体"/>
                <w:kern w:val="0"/>
                <w:sz w:val="24"/>
              </w:rPr>
            </w:pPr>
            <w:r>
              <w:rPr>
                <w:rFonts w:hint="eastAsia" w:ascii="宋体" w:hAnsi="宋体" w:cs="宋体"/>
                <w:kern w:val="0"/>
                <w:sz w:val="24"/>
              </w:rPr>
              <w:t>制标</w:t>
            </w:r>
          </w:p>
          <w:p w14:paraId="5CF99CB9">
            <w:pPr>
              <w:adjustRightInd w:val="0"/>
              <w:snapToGrid w:val="0"/>
              <w:jc w:val="center"/>
              <w:rPr>
                <w:rFonts w:ascii="宋体" w:hAnsi="宋体" w:cs="宋体"/>
                <w:kern w:val="0"/>
                <w:sz w:val="24"/>
              </w:rPr>
            </w:pPr>
            <w:r>
              <w:rPr>
                <w:rFonts w:hint="eastAsia" w:ascii="宋体" w:hAnsi="宋体" w:cs="宋体"/>
                <w:kern w:val="0"/>
                <w:sz w:val="24"/>
              </w:rPr>
              <w:t>准</w:t>
            </w:r>
          </w:p>
        </w:tc>
        <w:tc>
          <w:tcPr>
            <w:tcW w:w="4767" w:type="pct"/>
            <w:vAlign w:val="center"/>
          </w:tcPr>
          <w:p w14:paraId="6EFE48A2">
            <w:pPr>
              <w:spacing w:before="120" w:beforeLines="50" w:line="360" w:lineRule="auto"/>
              <w:ind w:firstLine="482"/>
              <w:rPr>
                <w:b/>
                <w:sz w:val="24"/>
              </w:rPr>
            </w:pPr>
            <w:r>
              <w:rPr>
                <w:rFonts w:hint="eastAsia"/>
                <w:b/>
                <w:sz w:val="24"/>
              </w:rPr>
              <w:t>1</w:t>
            </w:r>
            <w:r>
              <w:rPr>
                <w:b/>
                <w:sz w:val="24"/>
              </w:rPr>
              <w:t>．</w:t>
            </w:r>
            <w:r>
              <w:rPr>
                <w:rFonts w:hint="eastAsia"/>
                <w:b/>
                <w:sz w:val="24"/>
              </w:rPr>
              <w:t>大气污染物排放标准</w:t>
            </w:r>
          </w:p>
          <w:p w14:paraId="27910B43">
            <w:pPr>
              <w:spacing w:line="360" w:lineRule="auto"/>
              <w:ind w:firstLine="480"/>
              <w:rPr>
                <w:sz w:val="24"/>
              </w:rPr>
            </w:pPr>
            <w:r>
              <w:rPr>
                <w:rFonts w:hint="eastAsia"/>
                <w:sz w:val="24"/>
              </w:rPr>
              <w:t>（1）施工期</w:t>
            </w:r>
          </w:p>
          <w:p w14:paraId="2C35707B">
            <w:pPr>
              <w:spacing w:line="360" w:lineRule="auto"/>
              <w:ind w:firstLine="480"/>
              <w:rPr>
                <w:sz w:val="24"/>
              </w:rPr>
            </w:pPr>
            <w:r>
              <w:rPr>
                <w:rFonts w:hint="eastAsia"/>
                <w:sz w:val="24"/>
              </w:rPr>
              <w:t>施工期大气污染物执行</w:t>
            </w:r>
            <w:r>
              <w:rPr>
                <w:sz w:val="24"/>
              </w:rPr>
              <w:t>《</w:t>
            </w:r>
            <w:r>
              <w:rPr>
                <w:rFonts w:hint="eastAsia"/>
                <w:sz w:val="24"/>
              </w:rPr>
              <w:t>施工场地扬尘排放标准</w:t>
            </w:r>
            <w:r>
              <w:rPr>
                <w:sz w:val="24"/>
              </w:rPr>
              <w:t>》（DB13/2934-2019）中表1</w:t>
            </w:r>
            <w:r>
              <w:rPr>
                <w:rFonts w:hint="eastAsia"/>
                <w:sz w:val="24"/>
              </w:rPr>
              <w:t>施工场地扬尘排放浓度限值</w:t>
            </w:r>
            <w:r>
              <w:rPr>
                <w:sz w:val="24"/>
              </w:rPr>
              <w:t>的要求</w:t>
            </w:r>
            <w:r>
              <w:rPr>
                <w:rFonts w:hint="eastAsia"/>
                <w:sz w:val="24"/>
              </w:rPr>
              <w:t>；</w:t>
            </w:r>
          </w:p>
          <w:p w14:paraId="213A43BC">
            <w:pPr>
              <w:spacing w:line="360" w:lineRule="auto"/>
              <w:ind w:firstLine="480"/>
              <w:rPr>
                <w:sz w:val="24"/>
              </w:rPr>
            </w:pPr>
            <w:r>
              <w:rPr>
                <w:rFonts w:hint="eastAsia"/>
                <w:sz w:val="24"/>
              </w:rPr>
              <w:t>相关标准限值列表如下：</w:t>
            </w:r>
          </w:p>
          <w:p w14:paraId="5345593D">
            <w:pPr>
              <w:pStyle w:val="47"/>
              <w:numPr>
                <w:ilvl w:val="0"/>
                <w:numId w:val="7"/>
              </w:numPr>
              <w:spacing w:line="360" w:lineRule="auto"/>
              <w:ind w:left="0" w:firstLine="0"/>
              <w:rPr>
                <w:rFonts w:eastAsia="宋体"/>
                <w:b/>
              </w:rPr>
            </w:pPr>
            <w:r>
              <w:rPr>
                <w:rFonts w:hint="eastAsia" w:eastAsia="宋体"/>
                <w:b/>
              </w:rPr>
              <w:t>施工期</w:t>
            </w:r>
            <w:r>
              <w:rPr>
                <w:rFonts w:eastAsia="宋体"/>
                <w:b/>
              </w:rPr>
              <w:t>大气污染物排放标准</w:t>
            </w:r>
            <w:r>
              <w:rPr>
                <w:rFonts w:hint="eastAsia" w:eastAsia="宋体"/>
                <w:b/>
              </w:rPr>
              <w:t>及限值一览表</w:t>
            </w:r>
          </w:p>
          <w:tbl>
            <w:tblPr>
              <w:tblStyle w:val="2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9"/>
              <w:gridCol w:w="947"/>
              <w:gridCol w:w="869"/>
              <w:gridCol w:w="492"/>
              <w:gridCol w:w="3458"/>
              <w:gridCol w:w="2164"/>
            </w:tblGrid>
            <w:tr w14:paraId="39F3C4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dxa"/>
                  <w:tcBorders>
                    <w:top w:val="single" w:color="auto" w:sz="4" w:space="0"/>
                    <w:left w:val="single" w:color="auto" w:sz="4" w:space="0"/>
                    <w:bottom w:val="single" w:color="auto" w:sz="4" w:space="0"/>
                    <w:right w:val="single" w:color="auto" w:sz="4" w:space="0"/>
                  </w:tcBorders>
                  <w:vAlign w:val="center"/>
                </w:tcPr>
                <w:p w14:paraId="01A3AA36">
                  <w:pPr>
                    <w:topLinePunct/>
                    <w:adjustRightInd w:val="0"/>
                    <w:snapToGrid w:val="0"/>
                    <w:jc w:val="center"/>
                    <w:textAlignment w:val="center"/>
                    <w:rPr>
                      <w:b/>
                      <w:szCs w:val="21"/>
                    </w:rPr>
                  </w:pPr>
                  <w:r>
                    <w:rPr>
                      <w:rFonts w:hint="eastAsia"/>
                      <w:b/>
                      <w:szCs w:val="21"/>
                    </w:rPr>
                    <w:t>类别</w:t>
                  </w:r>
                </w:p>
              </w:tc>
              <w:tc>
                <w:tcPr>
                  <w:tcW w:w="947" w:type="dxa"/>
                  <w:tcBorders>
                    <w:top w:val="single" w:color="auto" w:sz="4" w:space="0"/>
                    <w:left w:val="single" w:color="auto" w:sz="4" w:space="0"/>
                    <w:bottom w:val="single" w:color="auto" w:sz="4" w:space="0"/>
                    <w:right w:val="single" w:color="auto" w:sz="4" w:space="0"/>
                  </w:tcBorders>
                  <w:vAlign w:val="center"/>
                </w:tcPr>
                <w:p w14:paraId="7EC57B2E">
                  <w:pPr>
                    <w:topLinePunct/>
                    <w:adjustRightInd w:val="0"/>
                    <w:snapToGrid w:val="0"/>
                    <w:jc w:val="center"/>
                    <w:textAlignment w:val="center"/>
                    <w:rPr>
                      <w:b/>
                      <w:szCs w:val="21"/>
                    </w:rPr>
                  </w:pPr>
                  <w:r>
                    <w:rPr>
                      <w:rFonts w:hint="eastAsia"/>
                      <w:b/>
                      <w:szCs w:val="21"/>
                    </w:rPr>
                    <w:t>排放</w:t>
                  </w:r>
                </w:p>
                <w:p w14:paraId="7913A24C">
                  <w:pPr>
                    <w:topLinePunct/>
                    <w:adjustRightInd w:val="0"/>
                    <w:snapToGrid w:val="0"/>
                    <w:jc w:val="center"/>
                    <w:textAlignment w:val="center"/>
                    <w:rPr>
                      <w:b/>
                      <w:szCs w:val="21"/>
                    </w:rPr>
                  </w:pPr>
                  <w:r>
                    <w:rPr>
                      <w:rFonts w:hint="eastAsia"/>
                      <w:b/>
                      <w:szCs w:val="21"/>
                    </w:rPr>
                    <w:t>类型</w:t>
                  </w:r>
                </w:p>
              </w:tc>
              <w:tc>
                <w:tcPr>
                  <w:tcW w:w="869" w:type="dxa"/>
                  <w:tcBorders>
                    <w:top w:val="single" w:color="auto" w:sz="4" w:space="0"/>
                    <w:left w:val="single" w:color="auto" w:sz="4" w:space="0"/>
                    <w:bottom w:val="single" w:color="auto" w:sz="4" w:space="0"/>
                    <w:right w:val="single" w:color="auto" w:sz="4" w:space="0"/>
                  </w:tcBorders>
                  <w:vAlign w:val="center"/>
                </w:tcPr>
                <w:p w14:paraId="01463C78">
                  <w:pPr>
                    <w:topLinePunct/>
                    <w:adjustRightInd w:val="0"/>
                    <w:snapToGrid w:val="0"/>
                    <w:jc w:val="center"/>
                    <w:textAlignment w:val="center"/>
                    <w:rPr>
                      <w:b/>
                      <w:szCs w:val="21"/>
                    </w:rPr>
                  </w:pPr>
                  <w:r>
                    <w:rPr>
                      <w:rFonts w:hint="eastAsia"/>
                      <w:b/>
                      <w:szCs w:val="21"/>
                    </w:rPr>
                    <w:t>污染</w:t>
                  </w:r>
                </w:p>
                <w:p w14:paraId="7E8A68A2">
                  <w:pPr>
                    <w:topLinePunct/>
                    <w:adjustRightInd w:val="0"/>
                    <w:snapToGrid w:val="0"/>
                    <w:jc w:val="center"/>
                    <w:textAlignment w:val="center"/>
                    <w:rPr>
                      <w:b/>
                      <w:szCs w:val="21"/>
                    </w:rPr>
                  </w:pPr>
                  <w:r>
                    <w:rPr>
                      <w:rFonts w:hint="eastAsia"/>
                      <w:b/>
                      <w:szCs w:val="21"/>
                    </w:rPr>
                    <w:t>因子</w:t>
                  </w:r>
                </w:p>
              </w:tc>
              <w:tc>
                <w:tcPr>
                  <w:tcW w:w="492" w:type="dxa"/>
                  <w:tcBorders>
                    <w:top w:val="single" w:color="auto" w:sz="4" w:space="0"/>
                    <w:left w:val="single" w:color="auto" w:sz="4" w:space="0"/>
                    <w:bottom w:val="single" w:color="auto" w:sz="4" w:space="0"/>
                    <w:right w:val="single" w:color="auto" w:sz="4" w:space="0"/>
                  </w:tcBorders>
                  <w:vAlign w:val="center"/>
                </w:tcPr>
                <w:p w14:paraId="1EDD1307">
                  <w:pPr>
                    <w:topLinePunct/>
                    <w:adjustRightInd w:val="0"/>
                    <w:snapToGrid w:val="0"/>
                    <w:jc w:val="center"/>
                    <w:textAlignment w:val="center"/>
                    <w:rPr>
                      <w:b/>
                      <w:szCs w:val="21"/>
                    </w:rPr>
                  </w:pPr>
                  <w:r>
                    <w:rPr>
                      <w:rFonts w:hint="eastAsia"/>
                      <w:b/>
                      <w:szCs w:val="21"/>
                    </w:rPr>
                    <w:t>时期</w:t>
                  </w:r>
                </w:p>
              </w:tc>
              <w:tc>
                <w:tcPr>
                  <w:tcW w:w="3458" w:type="dxa"/>
                  <w:tcBorders>
                    <w:top w:val="single" w:color="auto" w:sz="4" w:space="0"/>
                    <w:left w:val="single" w:color="auto" w:sz="4" w:space="0"/>
                    <w:bottom w:val="single" w:color="auto" w:sz="4" w:space="0"/>
                    <w:right w:val="single" w:color="auto" w:sz="4" w:space="0"/>
                  </w:tcBorders>
                  <w:vAlign w:val="center"/>
                </w:tcPr>
                <w:p w14:paraId="222FC272">
                  <w:pPr>
                    <w:topLinePunct/>
                    <w:adjustRightInd w:val="0"/>
                    <w:snapToGrid w:val="0"/>
                    <w:jc w:val="center"/>
                    <w:textAlignment w:val="center"/>
                    <w:rPr>
                      <w:b/>
                      <w:szCs w:val="21"/>
                    </w:rPr>
                  </w:pPr>
                  <w:r>
                    <w:rPr>
                      <w:rFonts w:hint="eastAsia"/>
                      <w:b/>
                      <w:szCs w:val="21"/>
                    </w:rPr>
                    <w:t>标准</w:t>
                  </w:r>
                </w:p>
              </w:tc>
              <w:tc>
                <w:tcPr>
                  <w:tcW w:w="2164" w:type="dxa"/>
                  <w:tcBorders>
                    <w:top w:val="single" w:color="auto" w:sz="4" w:space="0"/>
                    <w:left w:val="single" w:color="auto" w:sz="4" w:space="0"/>
                    <w:bottom w:val="single" w:color="auto" w:sz="4" w:space="0"/>
                    <w:right w:val="single" w:color="auto" w:sz="4" w:space="0"/>
                  </w:tcBorders>
                  <w:vAlign w:val="center"/>
                </w:tcPr>
                <w:p w14:paraId="1D434D28">
                  <w:pPr>
                    <w:topLinePunct/>
                    <w:adjustRightInd w:val="0"/>
                    <w:snapToGrid w:val="0"/>
                    <w:jc w:val="center"/>
                    <w:textAlignment w:val="center"/>
                    <w:rPr>
                      <w:b/>
                      <w:szCs w:val="21"/>
                    </w:rPr>
                  </w:pPr>
                  <w:r>
                    <w:rPr>
                      <w:rFonts w:hint="eastAsia"/>
                      <w:b/>
                      <w:szCs w:val="21"/>
                    </w:rPr>
                    <w:t>标准来源</w:t>
                  </w:r>
                </w:p>
              </w:tc>
            </w:tr>
            <w:tr w14:paraId="7CC8EF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49" w:type="dxa"/>
                  <w:tcBorders>
                    <w:top w:val="single" w:color="auto" w:sz="4" w:space="0"/>
                    <w:left w:val="single" w:color="auto" w:sz="4" w:space="0"/>
                    <w:bottom w:val="single" w:color="auto" w:sz="4" w:space="0"/>
                    <w:right w:val="single" w:color="auto" w:sz="4" w:space="0"/>
                  </w:tcBorders>
                  <w:vAlign w:val="center"/>
                </w:tcPr>
                <w:p w14:paraId="57D110E9">
                  <w:pPr>
                    <w:topLinePunct/>
                    <w:adjustRightInd w:val="0"/>
                    <w:snapToGrid w:val="0"/>
                    <w:jc w:val="center"/>
                    <w:textAlignment w:val="center"/>
                    <w:rPr>
                      <w:szCs w:val="21"/>
                    </w:rPr>
                  </w:pPr>
                  <w:r>
                    <w:rPr>
                      <w:rFonts w:hint="eastAsia"/>
                      <w:szCs w:val="21"/>
                    </w:rPr>
                    <w:t>废气</w:t>
                  </w:r>
                </w:p>
              </w:tc>
              <w:tc>
                <w:tcPr>
                  <w:tcW w:w="947" w:type="dxa"/>
                  <w:tcBorders>
                    <w:top w:val="single" w:color="auto" w:sz="4" w:space="0"/>
                    <w:left w:val="single" w:color="auto" w:sz="4" w:space="0"/>
                    <w:bottom w:val="single" w:color="auto" w:sz="4" w:space="0"/>
                    <w:right w:val="single" w:color="auto" w:sz="4" w:space="0"/>
                  </w:tcBorders>
                  <w:vAlign w:val="center"/>
                </w:tcPr>
                <w:p w14:paraId="0A8295D6">
                  <w:pPr>
                    <w:topLinePunct/>
                    <w:adjustRightInd w:val="0"/>
                    <w:snapToGrid w:val="0"/>
                    <w:jc w:val="center"/>
                    <w:textAlignment w:val="center"/>
                    <w:rPr>
                      <w:szCs w:val="21"/>
                    </w:rPr>
                  </w:pPr>
                  <w:r>
                    <w:rPr>
                      <w:rFonts w:hint="eastAsia"/>
                      <w:szCs w:val="21"/>
                    </w:rPr>
                    <w:t>无组织排放</w:t>
                  </w:r>
                </w:p>
              </w:tc>
              <w:tc>
                <w:tcPr>
                  <w:tcW w:w="869" w:type="dxa"/>
                  <w:tcBorders>
                    <w:top w:val="single" w:color="auto" w:sz="4" w:space="0"/>
                    <w:left w:val="single" w:color="auto" w:sz="4" w:space="0"/>
                    <w:bottom w:val="single" w:color="auto" w:sz="4" w:space="0"/>
                    <w:right w:val="single" w:color="auto" w:sz="4" w:space="0"/>
                  </w:tcBorders>
                  <w:vAlign w:val="center"/>
                </w:tcPr>
                <w:p w14:paraId="4EBAE864">
                  <w:pPr>
                    <w:topLinePunct/>
                    <w:adjustRightInd w:val="0"/>
                    <w:snapToGrid w:val="0"/>
                    <w:jc w:val="center"/>
                    <w:textAlignment w:val="center"/>
                    <w:rPr>
                      <w:szCs w:val="21"/>
                    </w:rPr>
                  </w:pPr>
                  <w:r>
                    <w:rPr>
                      <w:rFonts w:hint="eastAsia"/>
                      <w:szCs w:val="21"/>
                    </w:rPr>
                    <w:t>颗粒物</w:t>
                  </w:r>
                </w:p>
              </w:tc>
              <w:tc>
                <w:tcPr>
                  <w:tcW w:w="492" w:type="dxa"/>
                  <w:tcBorders>
                    <w:top w:val="single" w:color="auto" w:sz="4" w:space="0"/>
                    <w:left w:val="single" w:color="auto" w:sz="4" w:space="0"/>
                    <w:bottom w:val="single" w:color="auto" w:sz="4" w:space="0"/>
                    <w:right w:val="single" w:color="auto" w:sz="4" w:space="0"/>
                  </w:tcBorders>
                  <w:vAlign w:val="center"/>
                </w:tcPr>
                <w:p w14:paraId="73722043">
                  <w:pPr>
                    <w:topLinePunct/>
                    <w:adjustRightInd w:val="0"/>
                    <w:snapToGrid w:val="0"/>
                    <w:jc w:val="center"/>
                    <w:textAlignment w:val="center"/>
                    <w:rPr>
                      <w:szCs w:val="21"/>
                    </w:rPr>
                  </w:pPr>
                  <w:r>
                    <w:rPr>
                      <w:rFonts w:hint="eastAsia"/>
                      <w:szCs w:val="21"/>
                    </w:rPr>
                    <w:t>施工期</w:t>
                  </w:r>
                </w:p>
              </w:tc>
              <w:tc>
                <w:tcPr>
                  <w:tcW w:w="3458" w:type="dxa"/>
                  <w:tcBorders>
                    <w:top w:val="single" w:color="auto" w:sz="4" w:space="0"/>
                    <w:left w:val="single" w:color="auto" w:sz="4" w:space="0"/>
                    <w:bottom w:val="single" w:color="auto" w:sz="4" w:space="0"/>
                    <w:right w:val="single" w:color="auto" w:sz="4" w:space="0"/>
                  </w:tcBorders>
                  <w:vAlign w:val="center"/>
                </w:tcPr>
                <w:p w14:paraId="7C4CA5AB">
                  <w:pPr>
                    <w:topLinePunct/>
                    <w:adjustRightInd w:val="0"/>
                    <w:snapToGrid w:val="0"/>
                    <w:jc w:val="center"/>
                    <w:textAlignment w:val="center"/>
                    <w:rPr>
                      <w:szCs w:val="21"/>
                    </w:rPr>
                  </w:pPr>
                  <w:r>
                    <w:rPr>
                      <w:rFonts w:hint="eastAsia"/>
                      <w:szCs w:val="21"/>
                    </w:rPr>
                    <w:t>监测点浓度限值，指监测点</w:t>
                  </w:r>
                  <w:r>
                    <w:rPr>
                      <w:szCs w:val="21"/>
                    </w:rPr>
                    <w:t>PM</w:t>
                  </w:r>
                  <w:r>
                    <w:rPr>
                      <w:szCs w:val="21"/>
                      <w:vertAlign w:val="subscript"/>
                    </w:rPr>
                    <w:t>10</w:t>
                  </w:r>
                  <w:r>
                    <w:rPr>
                      <w:rFonts w:hint="eastAsia"/>
                      <w:szCs w:val="21"/>
                    </w:rPr>
                    <w:t>小时平均浓度实测值与同时段所属县（市、区）</w:t>
                  </w:r>
                  <w:r>
                    <w:rPr>
                      <w:szCs w:val="21"/>
                    </w:rPr>
                    <w:t>PM</w:t>
                  </w:r>
                  <w:r>
                    <w:rPr>
                      <w:szCs w:val="21"/>
                      <w:vertAlign w:val="subscript"/>
                    </w:rPr>
                    <w:t>10</w:t>
                  </w:r>
                  <w:r>
                    <w:rPr>
                      <w:rFonts w:hint="eastAsia"/>
                      <w:szCs w:val="21"/>
                    </w:rPr>
                    <w:t>小时平均浓度的差值。当县（市、区）</w:t>
                  </w:r>
                  <w:r>
                    <w:rPr>
                      <w:szCs w:val="21"/>
                    </w:rPr>
                    <w:t>PM</w:t>
                  </w:r>
                  <w:r>
                    <w:rPr>
                      <w:szCs w:val="21"/>
                      <w:vertAlign w:val="subscript"/>
                    </w:rPr>
                    <w:t>10</w:t>
                  </w:r>
                  <w:r>
                    <w:rPr>
                      <w:rFonts w:hint="eastAsia"/>
                      <w:szCs w:val="21"/>
                    </w:rPr>
                    <w:t>小时平均浓度值大于</w:t>
                  </w:r>
                  <w:r>
                    <w:rPr>
                      <w:szCs w:val="21"/>
                    </w:rPr>
                    <w:t>80μg/m</w:t>
                  </w:r>
                  <w:r>
                    <w:rPr>
                      <w:szCs w:val="21"/>
                      <w:vertAlign w:val="superscript"/>
                    </w:rPr>
                    <w:t>3</w:t>
                  </w:r>
                  <w:r>
                    <w:rPr>
                      <w:rFonts w:hint="eastAsia"/>
                      <w:szCs w:val="21"/>
                    </w:rPr>
                    <w:t>时，以</w:t>
                  </w:r>
                  <w:r>
                    <w:rPr>
                      <w:szCs w:val="21"/>
                    </w:rPr>
                    <w:t>80μg/m</w:t>
                  </w:r>
                  <w:r>
                    <w:rPr>
                      <w:szCs w:val="21"/>
                      <w:vertAlign w:val="superscript"/>
                    </w:rPr>
                    <w:t>3</w:t>
                  </w:r>
                  <w:r>
                    <w:rPr>
                      <w:rFonts w:hint="eastAsia"/>
                      <w:szCs w:val="21"/>
                    </w:rPr>
                    <w:t>计，达标判定依据</w:t>
                  </w:r>
                  <w:r>
                    <w:rPr>
                      <w:szCs w:val="21"/>
                    </w:rPr>
                    <w:t>≤2</w:t>
                  </w:r>
                  <w:r>
                    <w:rPr>
                      <w:rFonts w:hint="eastAsia"/>
                      <w:szCs w:val="21"/>
                    </w:rPr>
                    <w:t>次</w:t>
                  </w:r>
                  <w:r>
                    <w:rPr>
                      <w:szCs w:val="21"/>
                    </w:rPr>
                    <w:t>/</w:t>
                  </w:r>
                  <w:r>
                    <w:rPr>
                      <w:rFonts w:hint="eastAsia"/>
                      <w:szCs w:val="21"/>
                    </w:rPr>
                    <w:t>天</w:t>
                  </w:r>
                </w:p>
              </w:tc>
              <w:tc>
                <w:tcPr>
                  <w:tcW w:w="2164" w:type="dxa"/>
                  <w:tcBorders>
                    <w:top w:val="single" w:color="auto" w:sz="4" w:space="0"/>
                    <w:left w:val="single" w:color="auto" w:sz="4" w:space="0"/>
                    <w:bottom w:val="single" w:color="auto" w:sz="4" w:space="0"/>
                    <w:right w:val="single" w:color="auto" w:sz="4" w:space="0"/>
                  </w:tcBorders>
                  <w:vAlign w:val="center"/>
                </w:tcPr>
                <w:p w14:paraId="237C90BA">
                  <w:pPr>
                    <w:topLinePunct/>
                    <w:adjustRightInd w:val="0"/>
                    <w:snapToGrid w:val="0"/>
                    <w:jc w:val="center"/>
                    <w:textAlignment w:val="center"/>
                    <w:rPr>
                      <w:szCs w:val="21"/>
                    </w:rPr>
                  </w:pPr>
                  <w:r>
                    <w:rPr>
                      <w:rFonts w:hint="eastAsia"/>
                      <w:szCs w:val="21"/>
                    </w:rPr>
                    <w:t>《施工场地扬尘排放标准》（</w:t>
                  </w:r>
                  <w:r>
                    <w:rPr>
                      <w:szCs w:val="21"/>
                    </w:rPr>
                    <w:t>DB13/2934—2019</w:t>
                  </w:r>
                  <w:r>
                    <w:rPr>
                      <w:rFonts w:hint="eastAsia"/>
                      <w:szCs w:val="21"/>
                    </w:rPr>
                    <w:t>）表</w:t>
                  </w:r>
                  <w:r>
                    <w:rPr>
                      <w:szCs w:val="21"/>
                    </w:rPr>
                    <w:t>1</w:t>
                  </w:r>
                  <w:r>
                    <w:rPr>
                      <w:rFonts w:hint="eastAsia"/>
                      <w:szCs w:val="21"/>
                    </w:rPr>
                    <w:t>中扬尘排放浓度限值</w:t>
                  </w:r>
                </w:p>
              </w:tc>
            </w:tr>
          </w:tbl>
          <w:p w14:paraId="25EE214D">
            <w:pPr>
              <w:spacing w:before="120" w:beforeLines="50" w:line="360" w:lineRule="auto"/>
              <w:ind w:firstLine="482"/>
              <w:rPr>
                <w:sz w:val="24"/>
              </w:rPr>
            </w:pPr>
            <w:r>
              <w:rPr>
                <w:rFonts w:hint="eastAsia"/>
                <w:sz w:val="24"/>
              </w:rPr>
              <w:t>（2）运营期</w:t>
            </w:r>
          </w:p>
          <w:p w14:paraId="2BDF9C90">
            <w:pPr>
              <w:spacing w:line="360" w:lineRule="auto"/>
              <w:ind w:firstLine="480"/>
              <w:rPr>
                <w:sz w:val="24"/>
              </w:rPr>
            </w:pPr>
            <w:r>
              <w:rPr>
                <w:rFonts w:hint="eastAsia" w:ascii="Times New Roman" w:hAnsi="Times New Roman"/>
                <w:sz w:val="24"/>
              </w:rPr>
              <w:t>项目</w:t>
            </w:r>
            <w:r>
              <w:rPr>
                <w:rFonts w:ascii="Times New Roman" w:hAnsi="Times New Roman"/>
                <w:sz w:val="24"/>
              </w:rPr>
              <w:t>运营期危险废物贮存产生的非甲烷总烃</w:t>
            </w:r>
            <w:r>
              <w:rPr>
                <w:rFonts w:hint="eastAsia" w:ascii="Times New Roman" w:hAnsi="Times New Roman"/>
                <w:sz w:val="24"/>
              </w:rPr>
              <w:t>有组织</w:t>
            </w:r>
            <w:r>
              <w:rPr>
                <w:rFonts w:ascii="Times New Roman" w:hAnsi="Times New Roman"/>
                <w:sz w:val="24"/>
              </w:rPr>
              <w:t>排放执行</w:t>
            </w:r>
            <w:r>
              <w:rPr>
                <w:rFonts w:ascii="Times New Roman" w:hAnsi="Times New Roman"/>
                <w:sz w:val="24"/>
                <w:highlight w:val="none"/>
              </w:rPr>
              <w:t>《工业企业挥发性有机物排放控制标准》（DB13/2322-2016）表1</w:t>
            </w:r>
            <w:r>
              <w:rPr>
                <w:rFonts w:hint="eastAsia" w:ascii="Times New Roman" w:hAnsi="Times New Roman"/>
                <w:sz w:val="24"/>
                <w:highlight w:val="none"/>
                <w:lang w:val="en-US" w:eastAsia="zh-CN"/>
              </w:rPr>
              <w:t>大气污染物排放限值</w:t>
            </w:r>
            <w:r>
              <w:rPr>
                <w:rFonts w:ascii="Times New Roman" w:hAnsi="Times New Roman"/>
                <w:sz w:val="24"/>
                <w:highlight w:val="none"/>
              </w:rPr>
              <w:t>中</w:t>
            </w:r>
            <w:r>
              <w:rPr>
                <w:rFonts w:hint="eastAsia" w:ascii="Times New Roman" w:hAnsi="Times New Roman"/>
                <w:sz w:val="24"/>
                <w:highlight w:val="none"/>
                <w:lang w:eastAsia="zh-CN"/>
              </w:rPr>
              <w:t>“</w:t>
            </w:r>
            <w:r>
              <w:rPr>
                <w:rFonts w:ascii="Times New Roman" w:hAnsi="Times New Roman"/>
                <w:sz w:val="24"/>
                <w:highlight w:val="none"/>
              </w:rPr>
              <w:t>其他行业</w:t>
            </w:r>
            <w:r>
              <w:rPr>
                <w:rFonts w:hint="eastAsia" w:ascii="Times New Roman" w:hAnsi="Times New Roman"/>
                <w:sz w:val="24"/>
                <w:highlight w:val="none"/>
                <w:lang w:eastAsia="zh-CN"/>
              </w:rPr>
              <w:t>”</w:t>
            </w:r>
            <w:r>
              <w:rPr>
                <w:rFonts w:ascii="Times New Roman" w:hAnsi="Times New Roman"/>
                <w:sz w:val="24"/>
                <w:highlight w:val="none"/>
              </w:rPr>
              <w:t>相关排放限值</w:t>
            </w:r>
            <w:r>
              <w:rPr>
                <w:rFonts w:hint="eastAsia" w:ascii="Times New Roman" w:hAnsi="Times New Roman"/>
                <w:sz w:val="24"/>
                <w:highlight w:val="none"/>
              </w:rPr>
              <w:t>，无组织排放执行</w:t>
            </w:r>
            <w:r>
              <w:rPr>
                <w:rFonts w:ascii="Times New Roman" w:hAnsi="Times New Roman"/>
                <w:sz w:val="24"/>
                <w:highlight w:val="none"/>
              </w:rPr>
              <w:t>《工业企业挥发性有机物排放控制标准》（DB13/2322-2016）</w:t>
            </w:r>
            <w:r>
              <w:rPr>
                <w:rFonts w:hint="eastAsia" w:ascii="Times New Roman" w:hAnsi="Times New Roman"/>
                <w:sz w:val="24"/>
                <w:highlight w:val="none"/>
              </w:rPr>
              <w:t>表2</w:t>
            </w:r>
            <w:r>
              <w:rPr>
                <w:rFonts w:hint="eastAsia" w:ascii="Times New Roman" w:hAnsi="Times New Roman"/>
                <w:sz w:val="24"/>
                <w:highlight w:val="none"/>
                <w:lang w:val="en-US" w:eastAsia="zh-CN"/>
              </w:rPr>
              <w:t>企业边界大气污染物浓度限值</w:t>
            </w:r>
            <w:r>
              <w:rPr>
                <w:rFonts w:hint="eastAsia" w:ascii="Times New Roman" w:hAnsi="Times New Roman"/>
                <w:sz w:val="24"/>
                <w:highlight w:val="none"/>
              </w:rPr>
              <w:t>标准</w:t>
            </w:r>
            <w:r>
              <w:rPr>
                <w:rFonts w:hint="eastAsia"/>
                <w:sz w:val="24"/>
                <w:highlight w:val="none"/>
                <w:lang w:val="en-US" w:eastAsia="zh-CN"/>
              </w:rPr>
              <w:t>和《挥发性有机物无组织排放控制标准》（GB37822-2019）表A.1厂区内VOCs无组织排放限值</w:t>
            </w:r>
            <w:r>
              <w:rPr>
                <w:rFonts w:ascii="Times New Roman" w:hAnsi="Times New Roman"/>
                <w:sz w:val="24"/>
                <w:highlight w:val="none"/>
              </w:rPr>
              <w:t>。</w:t>
            </w:r>
            <w:r>
              <w:rPr>
                <w:rFonts w:hint="eastAsia"/>
                <w:sz w:val="24"/>
                <w:lang w:val="en-US" w:eastAsia="zh-CN"/>
              </w:rPr>
              <w:t>硫</w:t>
            </w:r>
            <w:r>
              <w:rPr>
                <w:rFonts w:hint="eastAsia"/>
                <w:sz w:val="24"/>
                <w:lang w:eastAsia="zh-CN"/>
              </w:rPr>
              <w:t>化氢</w:t>
            </w:r>
            <w:r>
              <w:rPr>
                <w:rFonts w:hint="eastAsia" w:ascii="Times New Roman" w:hAnsi="Times New Roman"/>
                <w:sz w:val="24"/>
              </w:rPr>
              <w:t>、氨、</w:t>
            </w:r>
            <w:r>
              <w:rPr>
                <w:rFonts w:ascii="Times New Roman" w:hAnsi="Times New Roman"/>
                <w:sz w:val="24"/>
              </w:rPr>
              <w:t>臭气浓度</w:t>
            </w:r>
            <w:r>
              <w:rPr>
                <w:rFonts w:hint="eastAsia" w:ascii="Times New Roman" w:hAnsi="Times New Roman"/>
                <w:sz w:val="24"/>
              </w:rPr>
              <w:t>有组织</w:t>
            </w:r>
            <w:r>
              <w:rPr>
                <w:rFonts w:ascii="Times New Roman" w:hAnsi="Times New Roman"/>
                <w:sz w:val="24"/>
              </w:rPr>
              <w:t>排放执行《恶臭污染物排放标准》（GB14554-93）</w:t>
            </w:r>
            <w:r>
              <w:rPr>
                <w:rFonts w:hint="eastAsia" w:ascii="Times New Roman" w:hAnsi="Times New Roman"/>
                <w:sz w:val="24"/>
              </w:rPr>
              <w:t>表2标准，无组织排放执行</w:t>
            </w:r>
            <w:r>
              <w:rPr>
                <w:rFonts w:ascii="Times New Roman" w:hAnsi="Times New Roman"/>
                <w:sz w:val="24"/>
              </w:rPr>
              <w:t>《恶臭污染物排放标准》（GB14554-93）表</w:t>
            </w:r>
            <w:r>
              <w:rPr>
                <w:rFonts w:hint="eastAsia" w:ascii="Times New Roman" w:hAnsi="Times New Roman"/>
                <w:sz w:val="24"/>
              </w:rPr>
              <w:t>1</w:t>
            </w:r>
            <w:r>
              <w:rPr>
                <w:rFonts w:ascii="Times New Roman" w:hAnsi="Times New Roman"/>
                <w:sz w:val="24"/>
              </w:rPr>
              <w:t>中二级标准。</w:t>
            </w:r>
            <w:r>
              <w:rPr>
                <w:rFonts w:hint="eastAsia" w:ascii="Times New Roman" w:hAnsi="Times New Roman"/>
                <w:sz w:val="24"/>
              </w:rPr>
              <w:t>氯化氢有组织</w:t>
            </w:r>
            <w:r>
              <w:rPr>
                <w:rFonts w:ascii="Times New Roman" w:hAnsi="Times New Roman"/>
                <w:sz w:val="24"/>
              </w:rPr>
              <w:t>排放执行《大气污染物综合排放标准》（GB16297-1996）表2二级标准限值</w:t>
            </w:r>
            <w:r>
              <w:rPr>
                <w:rFonts w:hint="eastAsia" w:ascii="Times New Roman" w:hAnsi="Times New Roman"/>
                <w:sz w:val="24"/>
              </w:rPr>
              <w:t>，无组织排放执行</w:t>
            </w:r>
            <w:r>
              <w:rPr>
                <w:rFonts w:ascii="Times New Roman" w:hAnsi="Times New Roman"/>
                <w:sz w:val="24"/>
              </w:rPr>
              <w:t>《大气污染物综合排放标准》（GB16297-1996）</w:t>
            </w:r>
            <w:r>
              <w:rPr>
                <w:rFonts w:hint="eastAsia" w:ascii="Times New Roman" w:hAnsi="Times New Roman"/>
                <w:sz w:val="24"/>
              </w:rPr>
              <w:t>表2无组织排放监控浓度限值</w:t>
            </w:r>
            <w:r>
              <w:rPr>
                <w:rFonts w:hint="eastAsia"/>
                <w:sz w:val="24"/>
              </w:rPr>
              <w:t>。</w:t>
            </w:r>
          </w:p>
          <w:p w14:paraId="1F20D3D6">
            <w:pPr>
              <w:spacing w:line="360" w:lineRule="auto"/>
              <w:ind w:firstLine="480"/>
              <w:rPr>
                <w:sz w:val="24"/>
              </w:rPr>
            </w:pPr>
            <w:r>
              <w:rPr>
                <w:rFonts w:hint="eastAsia"/>
                <w:sz w:val="24"/>
              </w:rPr>
              <w:t>相关标准限值列表如下：</w:t>
            </w:r>
          </w:p>
          <w:p w14:paraId="74EB378B">
            <w:pPr>
              <w:pStyle w:val="47"/>
              <w:numPr>
                <w:ilvl w:val="0"/>
                <w:numId w:val="7"/>
              </w:numPr>
              <w:spacing w:line="360" w:lineRule="auto"/>
              <w:ind w:left="0" w:firstLine="0"/>
              <w:rPr>
                <w:rFonts w:eastAsia="宋体"/>
                <w:b/>
              </w:rPr>
            </w:pPr>
            <w:r>
              <w:rPr>
                <w:rFonts w:eastAsia="宋体"/>
                <w:b/>
              </w:rPr>
              <w:t>大气污染物排放标准</w:t>
            </w:r>
            <w:r>
              <w:rPr>
                <w:rFonts w:hint="eastAsia" w:eastAsia="宋体"/>
                <w:b/>
              </w:rPr>
              <w:t>及限值一览表</w:t>
            </w:r>
          </w:p>
          <w:tbl>
            <w:tblPr>
              <w:tblStyle w:val="21"/>
              <w:tblW w:w="4946"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711"/>
              <w:gridCol w:w="1379"/>
              <w:gridCol w:w="1432"/>
              <w:gridCol w:w="1384"/>
              <w:gridCol w:w="3378"/>
            </w:tblGrid>
            <w:tr w14:paraId="6311DC8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73" w:hRule="atLeast"/>
                <w:jc w:val="center"/>
              </w:trPr>
              <w:tc>
                <w:tcPr>
                  <w:tcW w:w="429" w:type="pct"/>
                  <w:vMerge w:val="restart"/>
                  <w:noWrap w:val="0"/>
                  <w:vAlign w:val="center"/>
                </w:tcPr>
                <w:p w14:paraId="461BD8DB">
                  <w:pPr>
                    <w:adjustRightInd w:val="0"/>
                    <w:snapToGrid w:val="0"/>
                    <w:jc w:val="center"/>
                    <w:rPr>
                      <w:rStyle w:val="25"/>
                      <w:rFonts w:ascii="Times New Roman" w:hAnsi="Times New Roman"/>
                    </w:rPr>
                  </w:pPr>
                  <w:r>
                    <w:rPr>
                      <w:rStyle w:val="25"/>
                      <w:rFonts w:ascii="Times New Roman" w:hAnsi="Times New Roman"/>
                    </w:rPr>
                    <w:t>类别</w:t>
                  </w:r>
                </w:p>
              </w:tc>
              <w:tc>
                <w:tcPr>
                  <w:tcW w:w="832" w:type="pct"/>
                  <w:vMerge w:val="restart"/>
                  <w:noWrap w:val="0"/>
                  <w:vAlign w:val="center"/>
                </w:tcPr>
                <w:p w14:paraId="091041CC">
                  <w:pPr>
                    <w:adjustRightInd w:val="0"/>
                    <w:snapToGrid w:val="0"/>
                    <w:jc w:val="center"/>
                    <w:rPr>
                      <w:rStyle w:val="25"/>
                      <w:rFonts w:ascii="Times New Roman" w:hAnsi="Times New Roman"/>
                    </w:rPr>
                  </w:pPr>
                  <w:r>
                    <w:rPr>
                      <w:rStyle w:val="25"/>
                      <w:rFonts w:ascii="Times New Roman" w:hAnsi="Times New Roman"/>
                    </w:rPr>
                    <w:t>污染物名称</w:t>
                  </w:r>
                </w:p>
              </w:tc>
              <w:tc>
                <w:tcPr>
                  <w:tcW w:w="1699" w:type="pct"/>
                  <w:gridSpan w:val="2"/>
                  <w:noWrap w:val="0"/>
                  <w:vAlign w:val="center"/>
                </w:tcPr>
                <w:p w14:paraId="39361F8D">
                  <w:pPr>
                    <w:adjustRightInd w:val="0"/>
                    <w:snapToGrid w:val="0"/>
                    <w:jc w:val="center"/>
                    <w:rPr>
                      <w:rStyle w:val="25"/>
                      <w:rFonts w:ascii="Times New Roman" w:hAnsi="Times New Roman"/>
                    </w:rPr>
                  </w:pPr>
                  <w:r>
                    <w:rPr>
                      <w:rStyle w:val="25"/>
                      <w:rFonts w:ascii="Times New Roman" w:hAnsi="Times New Roman"/>
                    </w:rPr>
                    <w:t>标准值</w:t>
                  </w:r>
                </w:p>
              </w:tc>
              <w:tc>
                <w:tcPr>
                  <w:tcW w:w="2038" w:type="pct"/>
                  <w:vMerge w:val="restart"/>
                  <w:noWrap w:val="0"/>
                  <w:vAlign w:val="center"/>
                </w:tcPr>
                <w:p w14:paraId="15229C27">
                  <w:pPr>
                    <w:adjustRightInd w:val="0"/>
                    <w:snapToGrid w:val="0"/>
                    <w:jc w:val="center"/>
                    <w:rPr>
                      <w:rStyle w:val="25"/>
                      <w:rFonts w:ascii="Times New Roman" w:hAnsi="Times New Roman"/>
                    </w:rPr>
                  </w:pPr>
                  <w:r>
                    <w:rPr>
                      <w:rStyle w:val="25"/>
                      <w:rFonts w:ascii="Times New Roman" w:hAnsi="Times New Roman"/>
                    </w:rPr>
                    <w:t>备注</w:t>
                  </w:r>
                </w:p>
              </w:tc>
            </w:tr>
            <w:tr w14:paraId="56BB10B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73" w:hRule="atLeast"/>
                <w:jc w:val="center"/>
              </w:trPr>
              <w:tc>
                <w:tcPr>
                  <w:tcW w:w="429" w:type="pct"/>
                  <w:vMerge w:val="continue"/>
                  <w:noWrap w:val="0"/>
                  <w:vAlign w:val="center"/>
                </w:tcPr>
                <w:p w14:paraId="511C9DDC">
                  <w:pPr>
                    <w:adjustRightInd w:val="0"/>
                    <w:snapToGrid w:val="0"/>
                    <w:jc w:val="center"/>
                  </w:pPr>
                </w:p>
              </w:tc>
              <w:tc>
                <w:tcPr>
                  <w:tcW w:w="832" w:type="pct"/>
                  <w:vMerge w:val="continue"/>
                  <w:noWrap w:val="0"/>
                  <w:vAlign w:val="center"/>
                </w:tcPr>
                <w:p w14:paraId="75034F82">
                  <w:pPr>
                    <w:adjustRightInd w:val="0"/>
                    <w:snapToGrid w:val="0"/>
                    <w:jc w:val="center"/>
                  </w:pPr>
                </w:p>
              </w:tc>
              <w:tc>
                <w:tcPr>
                  <w:tcW w:w="864" w:type="pct"/>
                  <w:noWrap w:val="0"/>
                  <w:vAlign w:val="center"/>
                </w:tcPr>
                <w:p w14:paraId="0029F861">
                  <w:pPr>
                    <w:adjustRightInd w:val="0"/>
                    <w:snapToGrid w:val="0"/>
                    <w:jc w:val="center"/>
                    <w:rPr>
                      <w:rStyle w:val="25"/>
                      <w:rFonts w:hint="eastAsia" w:ascii="Times New Roman" w:hAnsi="Times New Roman"/>
                    </w:rPr>
                  </w:pPr>
                  <w:r>
                    <w:rPr>
                      <w:rStyle w:val="25"/>
                      <w:rFonts w:hint="eastAsia" w:ascii="Times New Roman" w:hAnsi="Times New Roman"/>
                    </w:rPr>
                    <w:t>有组织</w:t>
                  </w:r>
                </w:p>
              </w:tc>
              <w:tc>
                <w:tcPr>
                  <w:tcW w:w="835" w:type="pct"/>
                  <w:noWrap w:val="0"/>
                  <w:vAlign w:val="center"/>
                </w:tcPr>
                <w:p w14:paraId="4CA54B3A">
                  <w:pPr>
                    <w:adjustRightInd w:val="0"/>
                    <w:snapToGrid w:val="0"/>
                    <w:jc w:val="center"/>
                    <w:rPr>
                      <w:rStyle w:val="25"/>
                      <w:rFonts w:hint="eastAsia" w:ascii="Times New Roman" w:hAnsi="Times New Roman"/>
                    </w:rPr>
                  </w:pPr>
                  <w:r>
                    <w:rPr>
                      <w:rStyle w:val="25"/>
                      <w:rFonts w:hint="eastAsia" w:ascii="Times New Roman" w:hAnsi="Times New Roman"/>
                    </w:rPr>
                    <w:t>无组织</w:t>
                  </w:r>
                </w:p>
              </w:tc>
              <w:tc>
                <w:tcPr>
                  <w:tcW w:w="2038" w:type="pct"/>
                  <w:vMerge w:val="continue"/>
                  <w:noWrap w:val="0"/>
                  <w:vAlign w:val="center"/>
                </w:tcPr>
                <w:p w14:paraId="4A1FE329">
                  <w:pPr>
                    <w:adjustRightInd w:val="0"/>
                    <w:snapToGrid w:val="0"/>
                    <w:jc w:val="center"/>
                    <w:rPr>
                      <w:rStyle w:val="25"/>
                      <w:rFonts w:ascii="Times New Roman" w:hAnsi="Times New Roman"/>
                    </w:rPr>
                  </w:pPr>
                </w:p>
              </w:tc>
            </w:tr>
            <w:tr w14:paraId="3992716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29" w:type="pct"/>
                  <w:vMerge w:val="restart"/>
                  <w:noWrap w:val="0"/>
                  <w:vAlign w:val="center"/>
                </w:tcPr>
                <w:p w14:paraId="62C14DA5">
                  <w:pPr>
                    <w:topLinePunct/>
                    <w:adjustRightInd w:val="0"/>
                    <w:snapToGrid w:val="0"/>
                    <w:jc w:val="center"/>
                    <w:textAlignment w:val="center"/>
                    <w:rPr>
                      <w:rFonts w:ascii="Times New Roman" w:hAnsi="Times New Roman"/>
                      <w:szCs w:val="21"/>
                    </w:rPr>
                  </w:pPr>
                  <w:r>
                    <w:rPr>
                      <w:rFonts w:ascii="Times New Roman" w:hAnsi="Times New Roman"/>
                      <w:szCs w:val="21"/>
                    </w:rPr>
                    <w:t>废气</w:t>
                  </w:r>
                </w:p>
              </w:tc>
              <w:tc>
                <w:tcPr>
                  <w:tcW w:w="832" w:type="pct"/>
                  <w:noWrap w:val="0"/>
                  <w:vAlign w:val="center"/>
                </w:tcPr>
                <w:p w14:paraId="6F98C716">
                  <w:pPr>
                    <w:topLinePunct/>
                    <w:adjustRightInd w:val="0"/>
                    <w:snapToGrid w:val="0"/>
                    <w:jc w:val="center"/>
                    <w:textAlignment w:val="center"/>
                    <w:rPr>
                      <w:rFonts w:ascii="Times New Roman" w:hAnsi="Times New Roman"/>
                      <w:szCs w:val="21"/>
                    </w:rPr>
                  </w:pPr>
                  <w:r>
                    <w:rPr>
                      <w:rFonts w:hint="eastAsia" w:ascii="Times New Roman" w:hAnsi="Times New Roman"/>
                      <w:szCs w:val="21"/>
                    </w:rPr>
                    <w:t>氨</w:t>
                  </w:r>
                </w:p>
              </w:tc>
              <w:tc>
                <w:tcPr>
                  <w:tcW w:w="864" w:type="pct"/>
                  <w:noWrap w:val="0"/>
                  <w:vAlign w:val="center"/>
                </w:tcPr>
                <w:p w14:paraId="789BD7A3">
                  <w:pPr>
                    <w:topLinePunct/>
                    <w:adjustRightInd w:val="0"/>
                    <w:snapToGrid w:val="0"/>
                    <w:jc w:val="center"/>
                    <w:textAlignment w:val="center"/>
                    <w:rPr>
                      <w:rFonts w:ascii="Times New Roman" w:hAnsi="Times New Roman"/>
                      <w:szCs w:val="21"/>
                    </w:rPr>
                  </w:pPr>
                  <w:r>
                    <w:rPr>
                      <w:rFonts w:ascii="Times New Roman" w:hAnsi="Times New Roman"/>
                      <w:szCs w:val="21"/>
                    </w:rPr>
                    <w:t>≤</w:t>
                  </w:r>
                  <w:r>
                    <w:rPr>
                      <w:rFonts w:hint="eastAsia" w:ascii="Times New Roman" w:hAnsi="Times New Roman"/>
                      <w:szCs w:val="21"/>
                    </w:rPr>
                    <w:t>4.9</w:t>
                  </w:r>
                  <w:r>
                    <w:rPr>
                      <w:rFonts w:ascii="Times New Roman" w:hAnsi="Times New Roman"/>
                      <w:szCs w:val="21"/>
                    </w:rPr>
                    <w:t>kg/h</w:t>
                  </w:r>
                </w:p>
              </w:tc>
              <w:tc>
                <w:tcPr>
                  <w:tcW w:w="835" w:type="pct"/>
                  <w:noWrap w:val="0"/>
                  <w:vAlign w:val="center"/>
                </w:tcPr>
                <w:p w14:paraId="302BF4A4">
                  <w:pPr>
                    <w:topLinePunct/>
                    <w:adjustRightInd w:val="0"/>
                    <w:snapToGrid w:val="0"/>
                    <w:jc w:val="center"/>
                    <w:textAlignment w:val="center"/>
                    <w:rPr>
                      <w:rFonts w:ascii="Times New Roman" w:hAnsi="Times New Roman"/>
                      <w:szCs w:val="21"/>
                    </w:rPr>
                  </w:pPr>
                  <w:r>
                    <w:rPr>
                      <w:rFonts w:ascii="Times New Roman" w:hAnsi="Times New Roman"/>
                      <w:szCs w:val="21"/>
                    </w:rPr>
                    <w:t>≤</w:t>
                  </w:r>
                  <w:r>
                    <w:rPr>
                      <w:rFonts w:hint="eastAsia" w:ascii="Times New Roman" w:hAnsi="Times New Roman"/>
                      <w:szCs w:val="21"/>
                    </w:rPr>
                    <w:t>1.5</w:t>
                  </w:r>
                  <w:r>
                    <w:rPr>
                      <w:rFonts w:ascii="Times New Roman" w:hAnsi="Times New Roman"/>
                      <w:szCs w:val="21"/>
                    </w:rPr>
                    <w:t>mg/m³</w:t>
                  </w:r>
                </w:p>
              </w:tc>
              <w:tc>
                <w:tcPr>
                  <w:tcW w:w="2038" w:type="pct"/>
                  <w:vMerge w:val="restart"/>
                  <w:noWrap w:val="0"/>
                  <w:vAlign w:val="center"/>
                </w:tcPr>
                <w:p w14:paraId="7FB4F7CD">
                  <w:pPr>
                    <w:topLinePunct/>
                    <w:adjustRightInd w:val="0"/>
                    <w:snapToGrid w:val="0"/>
                    <w:jc w:val="center"/>
                    <w:textAlignment w:val="center"/>
                    <w:rPr>
                      <w:rFonts w:ascii="Times New Roman" w:hAnsi="Times New Roman"/>
                      <w:szCs w:val="21"/>
                    </w:rPr>
                  </w:pPr>
                  <w:r>
                    <w:rPr>
                      <w:rFonts w:ascii="Times New Roman" w:hAnsi="Times New Roman"/>
                      <w:szCs w:val="21"/>
                    </w:rPr>
                    <w:t>《恶臭污染物排放标准》（GB14554-93）表</w:t>
                  </w:r>
                  <w:r>
                    <w:rPr>
                      <w:rFonts w:hint="eastAsia" w:ascii="Times New Roman" w:hAnsi="Times New Roman"/>
                      <w:szCs w:val="21"/>
                    </w:rPr>
                    <w:t>1二级标准和表2</w:t>
                  </w:r>
                  <w:r>
                    <w:rPr>
                      <w:rFonts w:ascii="Times New Roman" w:hAnsi="Times New Roman"/>
                      <w:szCs w:val="21"/>
                    </w:rPr>
                    <w:t>中标准</w:t>
                  </w:r>
                </w:p>
              </w:tc>
            </w:tr>
            <w:tr w14:paraId="38EDCDB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9" w:type="pct"/>
                  <w:vMerge w:val="continue"/>
                  <w:noWrap w:val="0"/>
                  <w:vAlign w:val="center"/>
                </w:tcPr>
                <w:p w14:paraId="123191F9">
                  <w:pPr>
                    <w:topLinePunct/>
                    <w:adjustRightInd w:val="0"/>
                    <w:snapToGrid w:val="0"/>
                    <w:jc w:val="center"/>
                    <w:textAlignment w:val="center"/>
                    <w:rPr>
                      <w:rFonts w:ascii="Times New Roman" w:hAnsi="Times New Roman"/>
                      <w:szCs w:val="21"/>
                    </w:rPr>
                  </w:pPr>
                </w:p>
              </w:tc>
              <w:tc>
                <w:tcPr>
                  <w:tcW w:w="832" w:type="pct"/>
                  <w:noWrap w:val="0"/>
                  <w:vAlign w:val="center"/>
                </w:tcPr>
                <w:p w14:paraId="33CBE8B2">
                  <w:pPr>
                    <w:topLinePunct/>
                    <w:adjustRightInd w:val="0"/>
                    <w:snapToGrid w:val="0"/>
                    <w:jc w:val="center"/>
                    <w:textAlignment w:val="center"/>
                    <w:rPr>
                      <w:rFonts w:hint="eastAsia" w:ascii="Times New Roman" w:hAnsi="Times New Roman" w:eastAsia="宋体"/>
                      <w:szCs w:val="21"/>
                      <w:lang w:eastAsia="zh-CN"/>
                    </w:rPr>
                  </w:pPr>
                  <w:r>
                    <w:rPr>
                      <w:rFonts w:hint="eastAsia"/>
                      <w:szCs w:val="21"/>
                      <w:lang w:val="en-US" w:eastAsia="zh-CN"/>
                    </w:rPr>
                    <w:t>硫</w:t>
                  </w:r>
                  <w:r>
                    <w:rPr>
                      <w:rFonts w:hint="eastAsia"/>
                      <w:szCs w:val="21"/>
                      <w:lang w:eastAsia="zh-CN"/>
                    </w:rPr>
                    <w:t>化氢</w:t>
                  </w:r>
                </w:p>
              </w:tc>
              <w:tc>
                <w:tcPr>
                  <w:tcW w:w="864" w:type="pct"/>
                  <w:noWrap w:val="0"/>
                  <w:vAlign w:val="center"/>
                </w:tcPr>
                <w:p w14:paraId="5280473B">
                  <w:pPr>
                    <w:topLinePunct/>
                    <w:adjustRightInd w:val="0"/>
                    <w:snapToGrid w:val="0"/>
                    <w:jc w:val="center"/>
                    <w:textAlignment w:val="center"/>
                    <w:rPr>
                      <w:rFonts w:ascii="Times New Roman" w:hAnsi="Times New Roman"/>
                      <w:szCs w:val="21"/>
                    </w:rPr>
                  </w:pPr>
                  <w:r>
                    <w:rPr>
                      <w:rFonts w:ascii="Times New Roman" w:hAnsi="Times New Roman"/>
                      <w:szCs w:val="21"/>
                    </w:rPr>
                    <w:t>≤</w:t>
                  </w:r>
                  <w:r>
                    <w:rPr>
                      <w:rFonts w:hint="eastAsia" w:ascii="Times New Roman" w:hAnsi="Times New Roman"/>
                      <w:szCs w:val="21"/>
                    </w:rPr>
                    <w:t>0.33</w:t>
                  </w:r>
                  <w:r>
                    <w:rPr>
                      <w:rFonts w:ascii="Times New Roman" w:hAnsi="Times New Roman"/>
                      <w:szCs w:val="21"/>
                    </w:rPr>
                    <w:t>kg/h</w:t>
                  </w:r>
                </w:p>
              </w:tc>
              <w:tc>
                <w:tcPr>
                  <w:tcW w:w="835" w:type="pct"/>
                  <w:noWrap w:val="0"/>
                  <w:vAlign w:val="center"/>
                </w:tcPr>
                <w:p w14:paraId="5A563740">
                  <w:pPr>
                    <w:topLinePunct/>
                    <w:adjustRightInd w:val="0"/>
                    <w:snapToGrid w:val="0"/>
                    <w:jc w:val="center"/>
                    <w:textAlignment w:val="center"/>
                    <w:rPr>
                      <w:rFonts w:ascii="Times New Roman" w:hAnsi="Times New Roman"/>
                      <w:szCs w:val="21"/>
                    </w:rPr>
                  </w:pPr>
                  <w:r>
                    <w:rPr>
                      <w:rFonts w:ascii="Times New Roman" w:hAnsi="Times New Roman"/>
                      <w:szCs w:val="21"/>
                    </w:rPr>
                    <w:t>≤</w:t>
                  </w:r>
                  <w:r>
                    <w:rPr>
                      <w:rFonts w:hint="eastAsia" w:ascii="Times New Roman" w:hAnsi="Times New Roman"/>
                      <w:szCs w:val="21"/>
                    </w:rPr>
                    <w:t>0.06</w:t>
                  </w:r>
                  <w:r>
                    <w:rPr>
                      <w:rFonts w:ascii="Times New Roman" w:hAnsi="Times New Roman"/>
                      <w:szCs w:val="21"/>
                    </w:rPr>
                    <w:t>mg/m³</w:t>
                  </w:r>
                </w:p>
              </w:tc>
              <w:tc>
                <w:tcPr>
                  <w:tcW w:w="2038" w:type="pct"/>
                  <w:vMerge w:val="continue"/>
                  <w:noWrap w:val="0"/>
                  <w:vAlign w:val="center"/>
                </w:tcPr>
                <w:p w14:paraId="0980AA9E">
                  <w:pPr>
                    <w:topLinePunct/>
                    <w:adjustRightInd w:val="0"/>
                    <w:snapToGrid w:val="0"/>
                    <w:jc w:val="center"/>
                    <w:textAlignment w:val="center"/>
                    <w:rPr>
                      <w:rFonts w:ascii="Times New Roman" w:hAnsi="Times New Roman"/>
                      <w:szCs w:val="21"/>
                    </w:rPr>
                  </w:pPr>
                </w:p>
              </w:tc>
            </w:tr>
            <w:tr w14:paraId="5890182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9" w:type="pct"/>
                  <w:vMerge w:val="continue"/>
                  <w:noWrap w:val="0"/>
                  <w:vAlign w:val="center"/>
                </w:tcPr>
                <w:p w14:paraId="0BD9FE1E">
                  <w:pPr>
                    <w:topLinePunct/>
                    <w:adjustRightInd w:val="0"/>
                    <w:snapToGrid w:val="0"/>
                    <w:jc w:val="center"/>
                    <w:textAlignment w:val="center"/>
                    <w:rPr>
                      <w:rFonts w:ascii="Times New Roman" w:hAnsi="Times New Roman"/>
                      <w:szCs w:val="21"/>
                    </w:rPr>
                  </w:pPr>
                </w:p>
              </w:tc>
              <w:tc>
                <w:tcPr>
                  <w:tcW w:w="832" w:type="pct"/>
                  <w:noWrap w:val="0"/>
                  <w:vAlign w:val="center"/>
                </w:tcPr>
                <w:p w14:paraId="1CB40F7D">
                  <w:pPr>
                    <w:topLinePunct/>
                    <w:adjustRightInd w:val="0"/>
                    <w:snapToGrid w:val="0"/>
                    <w:jc w:val="center"/>
                    <w:textAlignment w:val="center"/>
                    <w:rPr>
                      <w:rFonts w:ascii="Times New Roman" w:hAnsi="Times New Roman"/>
                      <w:szCs w:val="21"/>
                    </w:rPr>
                  </w:pPr>
                  <w:r>
                    <w:rPr>
                      <w:rFonts w:ascii="Times New Roman" w:hAnsi="Times New Roman"/>
                      <w:szCs w:val="21"/>
                    </w:rPr>
                    <w:t>臭气浓度</w:t>
                  </w:r>
                </w:p>
              </w:tc>
              <w:tc>
                <w:tcPr>
                  <w:tcW w:w="864" w:type="pct"/>
                  <w:noWrap w:val="0"/>
                  <w:vAlign w:val="center"/>
                </w:tcPr>
                <w:p w14:paraId="5D20740C">
                  <w:pPr>
                    <w:topLinePunct/>
                    <w:adjustRightInd w:val="0"/>
                    <w:snapToGrid w:val="0"/>
                    <w:jc w:val="center"/>
                    <w:textAlignment w:val="center"/>
                    <w:rPr>
                      <w:rFonts w:ascii="Times New Roman" w:hAnsi="Times New Roman"/>
                      <w:szCs w:val="21"/>
                    </w:rPr>
                  </w:pPr>
                  <w:r>
                    <w:rPr>
                      <w:rFonts w:ascii="Times New Roman" w:hAnsi="Times New Roman"/>
                      <w:szCs w:val="21"/>
                    </w:rPr>
                    <w:t>≤</w:t>
                  </w:r>
                  <w:r>
                    <w:rPr>
                      <w:rFonts w:hint="eastAsia" w:ascii="Times New Roman" w:hAnsi="Times New Roman"/>
                      <w:szCs w:val="21"/>
                    </w:rPr>
                    <w:t>2000</w:t>
                  </w:r>
                </w:p>
              </w:tc>
              <w:tc>
                <w:tcPr>
                  <w:tcW w:w="835" w:type="pct"/>
                  <w:noWrap w:val="0"/>
                  <w:vAlign w:val="center"/>
                </w:tcPr>
                <w:p w14:paraId="4F006A94">
                  <w:pPr>
                    <w:topLinePunct/>
                    <w:adjustRightInd w:val="0"/>
                    <w:snapToGrid w:val="0"/>
                    <w:jc w:val="center"/>
                    <w:textAlignment w:val="center"/>
                    <w:rPr>
                      <w:rFonts w:ascii="Times New Roman" w:hAnsi="Times New Roman"/>
                      <w:szCs w:val="21"/>
                    </w:rPr>
                  </w:pPr>
                  <w:r>
                    <w:rPr>
                      <w:rFonts w:ascii="Times New Roman" w:hAnsi="Times New Roman"/>
                      <w:szCs w:val="21"/>
                    </w:rPr>
                    <w:t>≤20</w:t>
                  </w:r>
                </w:p>
              </w:tc>
              <w:tc>
                <w:tcPr>
                  <w:tcW w:w="2038" w:type="pct"/>
                  <w:vMerge w:val="continue"/>
                  <w:noWrap w:val="0"/>
                  <w:vAlign w:val="center"/>
                </w:tcPr>
                <w:p w14:paraId="7704E1F3">
                  <w:pPr>
                    <w:topLinePunct/>
                    <w:adjustRightInd w:val="0"/>
                    <w:snapToGrid w:val="0"/>
                    <w:jc w:val="center"/>
                    <w:textAlignment w:val="center"/>
                    <w:rPr>
                      <w:rFonts w:ascii="Times New Roman" w:hAnsi="Times New Roman"/>
                      <w:szCs w:val="21"/>
                    </w:rPr>
                  </w:pPr>
                </w:p>
              </w:tc>
            </w:tr>
            <w:tr w14:paraId="63A03F7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9" w:type="pct"/>
                  <w:vMerge w:val="continue"/>
                  <w:noWrap w:val="0"/>
                  <w:vAlign w:val="center"/>
                </w:tcPr>
                <w:p w14:paraId="5F05ECD4">
                  <w:pPr>
                    <w:topLinePunct/>
                    <w:adjustRightInd w:val="0"/>
                    <w:snapToGrid w:val="0"/>
                    <w:jc w:val="center"/>
                    <w:textAlignment w:val="center"/>
                    <w:rPr>
                      <w:rFonts w:ascii="Times New Roman" w:hAnsi="Times New Roman"/>
                      <w:szCs w:val="21"/>
                    </w:rPr>
                  </w:pPr>
                </w:p>
              </w:tc>
              <w:tc>
                <w:tcPr>
                  <w:tcW w:w="832" w:type="pct"/>
                  <w:shd w:val="clear" w:color="auto" w:fill="auto"/>
                  <w:noWrap w:val="0"/>
                  <w:vAlign w:val="center"/>
                </w:tcPr>
                <w:p w14:paraId="71C1F459">
                  <w:pPr>
                    <w:topLinePunct/>
                    <w:adjustRightInd w:val="0"/>
                    <w:snapToGrid w:val="0"/>
                    <w:jc w:val="center"/>
                    <w:textAlignment w:val="center"/>
                    <w:rPr>
                      <w:rFonts w:hint="eastAsia" w:ascii="Times New Roman" w:hAnsi="Times New Roman" w:eastAsia="宋体" w:cs="Times New Roman"/>
                      <w:kern w:val="2"/>
                      <w:sz w:val="21"/>
                      <w:szCs w:val="21"/>
                      <w:lang w:val="en-US" w:eastAsia="zh-CN" w:bidi="ar-SA"/>
                    </w:rPr>
                  </w:pPr>
                  <w:r>
                    <w:rPr>
                      <w:rFonts w:hint="eastAsia" w:ascii="Times New Roman" w:hAnsi="Times New Roman"/>
                      <w:szCs w:val="21"/>
                    </w:rPr>
                    <w:t>氯化氢</w:t>
                  </w:r>
                </w:p>
              </w:tc>
              <w:tc>
                <w:tcPr>
                  <w:tcW w:w="864" w:type="pct"/>
                  <w:shd w:val="clear" w:color="auto" w:fill="auto"/>
                  <w:noWrap w:val="0"/>
                  <w:vAlign w:val="center"/>
                </w:tcPr>
                <w:p w14:paraId="2AABE660">
                  <w:pPr>
                    <w:topLinePunct/>
                    <w:adjustRightInd w:val="0"/>
                    <w:snapToGrid w:val="0"/>
                    <w:jc w:val="center"/>
                    <w:textAlignment w:val="center"/>
                    <w:rPr>
                      <w:rFonts w:ascii="Times New Roman" w:hAnsi="Times New Roman"/>
                      <w:szCs w:val="21"/>
                    </w:rPr>
                  </w:pPr>
                  <w:r>
                    <w:rPr>
                      <w:rFonts w:ascii="Times New Roman" w:hAnsi="Times New Roman"/>
                      <w:szCs w:val="21"/>
                    </w:rPr>
                    <w:t>≤</w:t>
                  </w:r>
                  <w:r>
                    <w:rPr>
                      <w:rFonts w:hint="eastAsia" w:ascii="Times New Roman" w:hAnsi="Times New Roman"/>
                      <w:szCs w:val="21"/>
                    </w:rPr>
                    <w:t>100</w:t>
                  </w:r>
                  <w:r>
                    <w:rPr>
                      <w:rFonts w:ascii="Times New Roman" w:hAnsi="Times New Roman"/>
                      <w:szCs w:val="21"/>
                    </w:rPr>
                    <w:t>mg/m³</w:t>
                  </w:r>
                </w:p>
                <w:p w14:paraId="250BCF04">
                  <w:pPr>
                    <w:jc w:val="center"/>
                    <w:rPr>
                      <w:rFonts w:ascii="Times New Roman" w:hAnsi="Times New Roman" w:eastAsia="宋体" w:cs="Times New Roman"/>
                      <w:kern w:val="2"/>
                      <w:sz w:val="21"/>
                      <w:szCs w:val="24"/>
                      <w:lang w:val="en-US" w:eastAsia="zh-CN" w:bidi="ar-SA"/>
                    </w:rPr>
                  </w:pPr>
                  <w:r>
                    <w:rPr>
                      <w:rFonts w:ascii="Times New Roman" w:hAnsi="Times New Roman"/>
                      <w:szCs w:val="21"/>
                    </w:rPr>
                    <w:t>≤</w:t>
                  </w:r>
                  <w:r>
                    <w:rPr>
                      <w:rFonts w:hint="eastAsia" w:ascii="Times New Roman" w:hAnsi="Times New Roman"/>
                      <w:szCs w:val="21"/>
                    </w:rPr>
                    <w:t>0.26</w:t>
                  </w:r>
                  <w:r>
                    <w:rPr>
                      <w:rFonts w:ascii="Times New Roman" w:hAnsi="Times New Roman"/>
                      <w:szCs w:val="21"/>
                    </w:rPr>
                    <w:t>kg/h</w:t>
                  </w:r>
                </w:p>
              </w:tc>
              <w:tc>
                <w:tcPr>
                  <w:tcW w:w="835" w:type="pct"/>
                  <w:shd w:val="clear" w:color="auto" w:fill="auto"/>
                  <w:noWrap w:val="0"/>
                  <w:vAlign w:val="center"/>
                </w:tcPr>
                <w:p w14:paraId="4E99F4DF">
                  <w:pPr>
                    <w:topLinePunct/>
                    <w:adjustRightInd w:val="0"/>
                    <w:snapToGrid w:val="0"/>
                    <w:jc w:val="center"/>
                    <w:textAlignment w:val="center"/>
                    <w:rPr>
                      <w:rFonts w:ascii="Times New Roman" w:hAnsi="Times New Roman" w:eastAsia="宋体" w:cs="Times New Roman"/>
                      <w:kern w:val="2"/>
                      <w:sz w:val="21"/>
                      <w:szCs w:val="21"/>
                      <w:lang w:val="en-US" w:eastAsia="zh-CN" w:bidi="ar-SA"/>
                    </w:rPr>
                  </w:pPr>
                  <w:r>
                    <w:rPr>
                      <w:rFonts w:hint="eastAsia" w:ascii="Times New Roman" w:hAnsi="Times New Roman"/>
                      <w:szCs w:val="21"/>
                    </w:rPr>
                    <w:t>0.20</w:t>
                  </w:r>
                  <w:r>
                    <w:rPr>
                      <w:rFonts w:ascii="Times New Roman" w:hAnsi="Times New Roman"/>
                      <w:szCs w:val="21"/>
                    </w:rPr>
                    <w:t>mg/m³</w:t>
                  </w:r>
                </w:p>
              </w:tc>
              <w:tc>
                <w:tcPr>
                  <w:tcW w:w="2038" w:type="pct"/>
                  <w:noWrap w:val="0"/>
                  <w:vAlign w:val="center"/>
                </w:tcPr>
                <w:p w14:paraId="62C4BB13">
                  <w:pPr>
                    <w:topLinePunct/>
                    <w:adjustRightInd w:val="0"/>
                    <w:snapToGrid w:val="0"/>
                    <w:jc w:val="center"/>
                    <w:textAlignment w:val="center"/>
                    <w:rPr>
                      <w:rFonts w:ascii="Times New Roman" w:hAnsi="Times New Roman"/>
                      <w:szCs w:val="21"/>
                    </w:rPr>
                  </w:pPr>
                  <w:r>
                    <w:rPr>
                      <w:rFonts w:ascii="Times New Roman" w:hAnsi="Times New Roman"/>
                      <w:szCs w:val="21"/>
                    </w:rPr>
                    <w:t>《大气污染物综合排放标准》（GB16297-1996）表2二级标准限值</w:t>
                  </w:r>
                  <w:r>
                    <w:rPr>
                      <w:rFonts w:hint="eastAsia" w:ascii="Times New Roman" w:hAnsi="Times New Roman"/>
                      <w:szCs w:val="21"/>
                    </w:rPr>
                    <w:t>和无组织排放监控浓度限值</w:t>
                  </w:r>
                </w:p>
              </w:tc>
            </w:tr>
            <w:tr w14:paraId="28CABD2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9" w:type="pct"/>
                  <w:vMerge w:val="continue"/>
                  <w:noWrap w:val="0"/>
                  <w:vAlign w:val="center"/>
                </w:tcPr>
                <w:p w14:paraId="3F9EDB8F">
                  <w:pPr>
                    <w:topLinePunct/>
                    <w:adjustRightInd w:val="0"/>
                    <w:snapToGrid w:val="0"/>
                    <w:jc w:val="center"/>
                    <w:textAlignment w:val="center"/>
                    <w:rPr>
                      <w:rFonts w:ascii="Times New Roman" w:hAnsi="Times New Roman"/>
                      <w:szCs w:val="21"/>
                    </w:rPr>
                  </w:pPr>
                </w:p>
              </w:tc>
              <w:tc>
                <w:tcPr>
                  <w:tcW w:w="832" w:type="pct"/>
                  <w:vMerge w:val="restart"/>
                  <w:shd w:val="clear" w:color="auto" w:fill="auto"/>
                  <w:noWrap w:val="0"/>
                  <w:vAlign w:val="center"/>
                </w:tcPr>
                <w:p w14:paraId="60F11740">
                  <w:pPr>
                    <w:topLinePunct/>
                    <w:adjustRightInd w:val="0"/>
                    <w:snapToGrid w:val="0"/>
                    <w:jc w:val="center"/>
                    <w:textAlignment w:val="center"/>
                    <w:rPr>
                      <w:rFonts w:ascii="Times New Roman" w:hAnsi="Times New Roman" w:eastAsia="宋体" w:cs="Times New Roman"/>
                      <w:kern w:val="2"/>
                      <w:sz w:val="24"/>
                      <w:szCs w:val="24"/>
                      <w:lang w:val="en-US" w:eastAsia="zh-CN" w:bidi="ar-SA"/>
                    </w:rPr>
                  </w:pPr>
                  <w:r>
                    <w:rPr>
                      <w:rFonts w:ascii="Times New Roman" w:hAnsi="Times New Roman"/>
                      <w:szCs w:val="21"/>
                    </w:rPr>
                    <w:t>非甲烷总烃</w:t>
                  </w:r>
                </w:p>
              </w:tc>
              <w:tc>
                <w:tcPr>
                  <w:tcW w:w="864" w:type="pct"/>
                  <w:shd w:val="clear" w:color="auto" w:fill="auto"/>
                  <w:noWrap w:val="0"/>
                  <w:vAlign w:val="center"/>
                </w:tcPr>
                <w:p w14:paraId="28A3B1C1">
                  <w:pPr>
                    <w:topLinePunct/>
                    <w:adjustRightInd w:val="0"/>
                    <w:snapToGrid w:val="0"/>
                    <w:jc w:val="center"/>
                    <w:textAlignment w:val="center"/>
                    <w:rPr>
                      <w:rFonts w:hint="eastAsia" w:ascii="Times New Roman" w:hAnsi="Times New Roman" w:eastAsia="宋体" w:cs="Times New Roman"/>
                      <w:kern w:val="2"/>
                      <w:sz w:val="21"/>
                      <w:szCs w:val="21"/>
                      <w:lang w:val="en-US" w:eastAsia="zh-CN" w:bidi="ar-SA"/>
                    </w:rPr>
                  </w:pPr>
                  <w:r>
                    <w:rPr>
                      <w:rFonts w:ascii="Times New Roman" w:hAnsi="Times New Roman"/>
                      <w:szCs w:val="21"/>
                    </w:rPr>
                    <w:t>≤80mg/m³</w:t>
                  </w:r>
                </w:p>
              </w:tc>
              <w:tc>
                <w:tcPr>
                  <w:tcW w:w="835" w:type="pct"/>
                  <w:shd w:val="clear" w:color="auto" w:fill="auto"/>
                  <w:noWrap w:val="0"/>
                  <w:vAlign w:val="center"/>
                </w:tcPr>
                <w:p w14:paraId="644F7262">
                  <w:pPr>
                    <w:topLinePunct/>
                    <w:adjustRightInd w:val="0"/>
                    <w:snapToGrid w:val="0"/>
                    <w:jc w:val="center"/>
                    <w:textAlignment w:val="center"/>
                    <w:rPr>
                      <w:rFonts w:hint="eastAsia" w:ascii="Times New Roman" w:hAnsi="Times New Roman" w:eastAsia="宋体" w:cs="Times New Roman"/>
                      <w:kern w:val="2"/>
                      <w:sz w:val="21"/>
                      <w:szCs w:val="21"/>
                      <w:lang w:val="en-US" w:eastAsia="zh-CN" w:bidi="ar-SA"/>
                    </w:rPr>
                  </w:pPr>
                  <w:r>
                    <w:rPr>
                      <w:rFonts w:hint="eastAsia" w:ascii="Times New Roman" w:hAnsi="Times New Roman"/>
                      <w:szCs w:val="21"/>
                    </w:rPr>
                    <w:t>2.0</w:t>
                  </w:r>
                  <w:r>
                    <w:rPr>
                      <w:rFonts w:ascii="Times New Roman" w:hAnsi="Times New Roman"/>
                      <w:szCs w:val="21"/>
                    </w:rPr>
                    <w:t>mg/m³</w:t>
                  </w:r>
                </w:p>
              </w:tc>
              <w:tc>
                <w:tcPr>
                  <w:tcW w:w="2038" w:type="pct"/>
                  <w:shd w:val="clear" w:color="auto" w:fill="auto"/>
                  <w:noWrap w:val="0"/>
                  <w:vAlign w:val="center"/>
                </w:tcPr>
                <w:p w14:paraId="183B9A6A">
                  <w:pPr>
                    <w:topLinePunct/>
                    <w:adjustRightInd w:val="0"/>
                    <w:snapToGrid w:val="0"/>
                    <w:jc w:val="center"/>
                    <w:textAlignment w:val="center"/>
                    <w:rPr>
                      <w:rFonts w:hint="eastAsia" w:ascii="Times New Roman" w:hAnsi="Times New Roman" w:eastAsia="宋体" w:cs="Times New Roman"/>
                      <w:kern w:val="2"/>
                      <w:sz w:val="21"/>
                      <w:szCs w:val="21"/>
                      <w:lang w:val="en-US" w:eastAsia="zh-CN" w:bidi="ar-SA"/>
                    </w:rPr>
                  </w:pPr>
                  <w:r>
                    <w:rPr>
                      <w:rFonts w:ascii="Times New Roman" w:hAnsi="Times New Roman" w:eastAsia="宋体" w:cs="Times New Roman"/>
                      <w:szCs w:val="21"/>
                    </w:rPr>
                    <w:t>《工业企业挥发性有机物排放控制标准》（DB13/2322-2016）表1</w:t>
                  </w:r>
                  <w:r>
                    <w:rPr>
                      <w:rFonts w:hint="eastAsia" w:ascii="Times New Roman" w:hAnsi="Times New Roman" w:eastAsia="宋体" w:cs="Times New Roman"/>
                      <w:szCs w:val="21"/>
                      <w:lang w:val="en-US" w:eastAsia="zh-CN"/>
                    </w:rPr>
                    <w:t>大气污染物排放限值中“其他行业”相关排放限值和表2企业边界大气污染物浓度限值标准</w:t>
                  </w:r>
                </w:p>
              </w:tc>
            </w:tr>
            <w:tr w14:paraId="2FA2F0D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9" w:type="pct"/>
                  <w:vMerge w:val="continue"/>
                  <w:noWrap w:val="0"/>
                  <w:vAlign w:val="center"/>
                </w:tcPr>
                <w:p w14:paraId="43E65FE7">
                  <w:pPr>
                    <w:topLinePunct/>
                    <w:adjustRightInd w:val="0"/>
                    <w:snapToGrid w:val="0"/>
                    <w:jc w:val="center"/>
                    <w:textAlignment w:val="center"/>
                    <w:rPr>
                      <w:rFonts w:ascii="Times New Roman" w:hAnsi="Times New Roman"/>
                      <w:szCs w:val="21"/>
                    </w:rPr>
                  </w:pPr>
                </w:p>
              </w:tc>
              <w:tc>
                <w:tcPr>
                  <w:tcW w:w="832" w:type="pct"/>
                  <w:vMerge w:val="continue"/>
                  <w:shd w:val="clear" w:color="auto" w:fill="auto"/>
                  <w:noWrap w:val="0"/>
                  <w:vAlign w:val="center"/>
                </w:tcPr>
                <w:p w14:paraId="7734DF8B">
                  <w:pPr>
                    <w:topLinePunct/>
                    <w:adjustRightInd w:val="0"/>
                    <w:snapToGrid w:val="0"/>
                    <w:jc w:val="center"/>
                    <w:textAlignment w:val="center"/>
                    <w:rPr>
                      <w:rFonts w:ascii="Times New Roman" w:hAnsi="Times New Roman"/>
                      <w:szCs w:val="21"/>
                    </w:rPr>
                  </w:pPr>
                </w:p>
              </w:tc>
              <w:tc>
                <w:tcPr>
                  <w:tcW w:w="864" w:type="pct"/>
                  <w:shd w:val="clear" w:color="auto" w:fill="auto"/>
                  <w:noWrap w:val="0"/>
                  <w:vAlign w:val="center"/>
                </w:tcPr>
                <w:p w14:paraId="3DD61783">
                  <w:pPr>
                    <w:topLinePunct/>
                    <w:adjustRightInd w:val="0"/>
                    <w:snapToGrid w:val="0"/>
                    <w:jc w:val="center"/>
                    <w:textAlignment w:val="center"/>
                    <w:rPr>
                      <w:rFonts w:hint="eastAsia" w:ascii="Times New Roman" w:hAnsi="Times New Roman" w:eastAsia="宋体"/>
                      <w:szCs w:val="21"/>
                      <w:lang w:val="en-US" w:eastAsia="zh-CN"/>
                    </w:rPr>
                  </w:pPr>
                  <w:r>
                    <w:rPr>
                      <w:rFonts w:hint="eastAsia"/>
                      <w:szCs w:val="21"/>
                      <w:lang w:val="en-US" w:eastAsia="zh-CN"/>
                    </w:rPr>
                    <w:t>/</w:t>
                  </w:r>
                </w:p>
              </w:tc>
              <w:tc>
                <w:tcPr>
                  <w:tcW w:w="835" w:type="pct"/>
                  <w:shd w:val="clear" w:color="auto" w:fill="auto"/>
                  <w:noWrap w:val="0"/>
                  <w:vAlign w:val="center"/>
                </w:tcPr>
                <w:p w14:paraId="2FEF8C2F">
                  <w:pPr>
                    <w:topLinePunct/>
                    <w:adjustRightInd w:val="0"/>
                    <w:snapToGrid w:val="0"/>
                    <w:jc w:val="center"/>
                    <w:textAlignment w:val="center"/>
                    <w:rPr>
                      <w:rFonts w:hint="default" w:ascii="Times New Roman" w:hAnsi="Times New Roman" w:eastAsia="宋体"/>
                      <w:szCs w:val="21"/>
                      <w:lang w:val="en-US" w:eastAsia="zh-CN"/>
                    </w:rPr>
                  </w:pPr>
                  <w:r>
                    <w:rPr>
                      <w:rFonts w:hint="eastAsia"/>
                      <w:szCs w:val="21"/>
                      <w:lang w:val="en-US" w:eastAsia="zh-CN"/>
                    </w:rPr>
                    <w:t>厂房外监控点处1h平均浓度值10</w:t>
                  </w:r>
                  <w:r>
                    <w:rPr>
                      <w:rFonts w:ascii="Times New Roman" w:hAnsi="Times New Roman"/>
                      <w:szCs w:val="21"/>
                    </w:rPr>
                    <w:t>mg/m³</w:t>
                  </w:r>
                </w:p>
              </w:tc>
              <w:tc>
                <w:tcPr>
                  <w:tcW w:w="2038" w:type="pct"/>
                  <w:vMerge w:val="restart"/>
                  <w:shd w:val="clear" w:color="auto" w:fill="auto"/>
                  <w:noWrap w:val="0"/>
                  <w:vAlign w:val="center"/>
                </w:tcPr>
                <w:p w14:paraId="793FA338">
                  <w:pPr>
                    <w:topLinePunct/>
                    <w:adjustRightInd w:val="0"/>
                    <w:snapToGrid w:val="0"/>
                    <w:jc w:val="center"/>
                    <w:textAlignment w:val="center"/>
                    <w:rPr>
                      <w:rFonts w:ascii="Times New Roman" w:hAnsi="Times New Roman" w:eastAsia="宋体" w:cs="Times New Roman"/>
                      <w:szCs w:val="21"/>
                    </w:rPr>
                  </w:pPr>
                  <w:r>
                    <w:rPr>
                      <w:rFonts w:hint="eastAsia" w:ascii="Times New Roman" w:hAnsi="Times New Roman" w:eastAsia="宋体" w:cs="Times New Roman"/>
                      <w:szCs w:val="21"/>
                    </w:rPr>
                    <w:t>《挥发性有机物无组织排放控制标准》（GB37822-2019）表A.1厂区内VOCs无组织排放限值</w:t>
                  </w:r>
                </w:p>
              </w:tc>
            </w:tr>
            <w:tr w14:paraId="5AF83C0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29" w:type="pct"/>
                  <w:vMerge w:val="continue"/>
                  <w:noWrap w:val="0"/>
                  <w:vAlign w:val="center"/>
                </w:tcPr>
                <w:p w14:paraId="53167EBB">
                  <w:pPr>
                    <w:topLinePunct/>
                    <w:adjustRightInd w:val="0"/>
                    <w:snapToGrid w:val="0"/>
                    <w:jc w:val="center"/>
                    <w:textAlignment w:val="center"/>
                    <w:rPr>
                      <w:rFonts w:ascii="Times New Roman" w:hAnsi="Times New Roman"/>
                      <w:szCs w:val="21"/>
                    </w:rPr>
                  </w:pPr>
                </w:p>
              </w:tc>
              <w:tc>
                <w:tcPr>
                  <w:tcW w:w="832" w:type="pct"/>
                  <w:vMerge w:val="continue"/>
                  <w:shd w:val="clear" w:color="auto" w:fill="auto"/>
                  <w:noWrap w:val="0"/>
                  <w:vAlign w:val="center"/>
                </w:tcPr>
                <w:p w14:paraId="4B68F669">
                  <w:pPr>
                    <w:topLinePunct/>
                    <w:adjustRightInd w:val="0"/>
                    <w:snapToGrid w:val="0"/>
                    <w:jc w:val="center"/>
                    <w:textAlignment w:val="center"/>
                    <w:rPr>
                      <w:rFonts w:ascii="Times New Roman" w:hAnsi="Times New Roman"/>
                      <w:szCs w:val="21"/>
                    </w:rPr>
                  </w:pPr>
                </w:p>
              </w:tc>
              <w:tc>
                <w:tcPr>
                  <w:tcW w:w="864" w:type="pct"/>
                  <w:shd w:val="clear" w:color="auto" w:fill="auto"/>
                  <w:noWrap w:val="0"/>
                  <w:vAlign w:val="center"/>
                </w:tcPr>
                <w:p w14:paraId="2AF1BB76">
                  <w:pPr>
                    <w:topLinePunct/>
                    <w:adjustRightInd w:val="0"/>
                    <w:snapToGrid w:val="0"/>
                    <w:jc w:val="center"/>
                    <w:textAlignment w:val="center"/>
                    <w:rPr>
                      <w:rFonts w:hint="eastAsia" w:ascii="Times New Roman" w:hAnsi="Times New Roman" w:eastAsia="宋体"/>
                      <w:szCs w:val="21"/>
                      <w:lang w:val="en-US" w:eastAsia="zh-CN"/>
                    </w:rPr>
                  </w:pPr>
                  <w:r>
                    <w:rPr>
                      <w:rFonts w:hint="eastAsia"/>
                      <w:szCs w:val="21"/>
                      <w:lang w:val="en-US" w:eastAsia="zh-CN"/>
                    </w:rPr>
                    <w:t>/</w:t>
                  </w:r>
                </w:p>
              </w:tc>
              <w:tc>
                <w:tcPr>
                  <w:tcW w:w="835" w:type="pct"/>
                  <w:shd w:val="clear" w:color="auto" w:fill="auto"/>
                  <w:noWrap w:val="0"/>
                  <w:vAlign w:val="center"/>
                </w:tcPr>
                <w:p w14:paraId="630D133A">
                  <w:pPr>
                    <w:topLinePunct/>
                    <w:adjustRightInd w:val="0"/>
                    <w:snapToGrid w:val="0"/>
                    <w:jc w:val="center"/>
                    <w:textAlignment w:val="center"/>
                    <w:rPr>
                      <w:rFonts w:hint="default" w:ascii="Times New Roman" w:hAnsi="Times New Roman"/>
                      <w:szCs w:val="21"/>
                      <w:lang w:val="en-US"/>
                    </w:rPr>
                  </w:pPr>
                  <w:r>
                    <w:rPr>
                      <w:rFonts w:hint="eastAsia"/>
                      <w:szCs w:val="21"/>
                      <w:lang w:val="en-US" w:eastAsia="zh-CN"/>
                    </w:rPr>
                    <w:t>厂房外监控点处任意一次浓度值30</w:t>
                  </w:r>
                  <w:r>
                    <w:rPr>
                      <w:rFonts w:ascii="Times New Roman" w:hAnsi="Times New Roman"/>
                      <w:szCs w:val="21"/>
                    </w:rPr>
                    <w:t>mg/m³</w:t>
                  </w:r>
                </w:p>
              </w:tc>
              <w:tc>
                <w:tcPr>
                  <w:tcW w:w="2038" w:type="pct"/>
                  <w:vMerge w:val="continue"/>
                  <w:shd w:val="clear" w:color="auto" w:fill="auto"/>
                  <w:noWrap w:val="0"/>
                  <w:vAlign w:val="center"/>
                </w:tcPr>
                <w:p w14:paraId="6342AFDC">
                  <w:pPr>
                    <w:topLinePunct/>
                    <w:adjustRightInd w:val="0"/>
                    <w:snapToGrid w:val="0"/>
                    <w:jc w:val="center"/>
                    <w:textAlignment w:val="center"/>
                    <w:rPr>
                      <w:rFonts w:ascii="Times New Roman" w:hAnsi="Times New Roman" w:eastAsia="宋体" w:cs="Times New Roman"/>
                      <w:szCs w:val="21"/>
                    </w:rPr>
                  </w:pPr>
                </w:p>
              </w:tc>
            </w:tr>
          </w:tbl>
          <w:p w14:paraId="5369D3EE">
            <w:pPr>
              <w:spacing w:before="120" w:beforeLines="50" w:line="360" w:lineRule="auto"/>
              <w:ind w:firstLine="482"/>
              <w:rPr>
                <w:b/>
                <w:sz w:val="24"/>
              </w:rPr>
            </w:pPr>
            <w:r>
              <w:rPr>
                <w:rFonts w:hint="eastAsia"/>
                <w:b/>
                <w:sz w:val="24"/>
                <w:lang w:val="en-US" w:eastAsia="zh-CN"/>
              </w:rPr>
              <w:t>2</w:t>
            </w:r>
            <w:r>
              <w:rPr>
                <w:b/>
                <w:sz w:val="24"/>
              </w:rPr>
              <w:t>．</w:t>
            </w:r>
            <w:r>
              <w:rPr>
                <w:rFonts w:hint="eastAsia"/>
                <w:b/>
                <w:sz w:val="24"/>
              </w:rPr>
              <w:t>噪声排放标准</w:t>
            </w:r>
          </w:p>
          <w:p w14:paraId="406C5789">
            <w:pPr>
              <w:snapToGrid w:val="0"/>
              <w:spacing w:line="360" w:lineRule="auto"/>
              <w:ind w:firstLine="480" w:firstLineChars="200"/>
              <w:rPr>
                <w:sz w:val="24"/>
                <w:lang w:bidi="ar"/>
              </w:rPr>
            </w:pPr>
            <w:r>
              <w:rPr>
                <w:rFonts w:hint="eastAsia"/>
                <w:sz w:val="24"/>
              </w:rPr>
              <w:t>施工期</w:t>
            </w:r>
            <w:r>
              <w:rPr>
                <w:rFonts w:hint="eastAsia"/>
                <w:sz w:val="24"/>
                <w:lang w:bidi="ar"/>
              </w:rPr>
              <w:t>噪声执行《建筑施工场界环境噪声排放标准》（</w:t>
            </w:r>
            <w:r>
              <w:rPr>
                <w:sz w:val="24"/>
                <w:lang w:bidi="ar"/>
              </w:rPr>
              <w:t>GB12523-2011</w:t>
            </w:r>
            <w:r>
              <w:rPr>
                <w:rFonts w:hint="eastAsia"/>
                <w:sz w:val="24"/>
                <w:lang w:bidi="ar"/>
              </w:rPr>
              <w:t>）标准限值；运营期噪声执行《工业企业厂界环境噪声排放标准》</w:t>
            </w:r>
            <w:r>
              <w:rPr>
                <w:sz w:val="24"/>
                <w:lang w:bidi="ar"/>
              </w:rPr>
              <w:t>(GB12348-2008</w:t>
            </w:r>
            <w:r>
              <w:rPr>
                <w:rFonts w:hint="eastAsia"/>
                <w:sz w:val="24"/>
                <w:lang w:eastAsia="zh-CN" w:bidi="ar"/>
              </w:rPr>
              <w:t>）</w:t>
            </w:r>
            <w:r>
              <w:rPr>
                <w:rFonts w:hint="eastAsia"/>
                <w:sz w:val="24"/>
                <w:lang w:bidi="ar"/>
              </w:rPr>
              <w:t>中的</w:t>
            </w:r>
            <w:r>
              <w:rPr>
                <w:sz w:val="24"/>
                <w:lang w:bidi="ar"/>
              </w:rPr>
              <w:t>2</w:t>
            </w:r>
            <w:r>
              <w:rPr>
                <w:rFonts w:hint="eastAsia"/>
                <w:sz w:val="24"/>
                <w:lang w:bidi="ar"/>
              </w:rPr>
              <w:t>类标准。</w:t>
            </w:r>
          </w:p>
          <w:p w14:paraId="504B2002">
            <w:pPr>
              <w:adjustRightInd w:val="0"/>
              <w:snapToGrid w:val="0"/>
              <w:spacing w:line="360" w:lineRule="auto"/>
              <w:ind w:firstLine="480" w:firstLineChars="200"/>
              <w:rPr>
                <w:sz w:val="24"/>
              </w:rPr>
            </w:pPr>
            <w:r>
              <w:rPr>
                <w:rFonts w:hint="eastAsia"/>
                <w:sz w:val="24"/>
              </w:rPr>
              <w:t>相关标准限值列表如下：</w:t>
            </w:r>
          </w:p>
          <w:p w14:paraId="6D17D15A">
            <w:pPr>
              <w:pStyle w:val="47"/>
              <w:numPr>
                <w:ilvl w:val="0"/>
                <w:numId w:val="7"/>
              </w:numPr>
              <w:spacing w:line="360" w:lineRule="auto"/>
              <w:ind w:left="0" w:firstLine="0"/>
              <w:rPr>
                <w:rFonts w:eastAsia="宋体"/>
                <w:b/>
              </w:rPr>
            </w:pPr>
            <w:r>
              <w:rPr>
                <w:rFonts w:hint="eastAsia" w:eastAsia="宋体"/>
                <w:b/>
              </w:rPr>
              <w:t>噪声</w:t>
            </w:r>
            <w:r>
              <w:rPr>
                <w:rFonts w:eastAsia="宋体"/>
                <w:b/>
              </w:rPr>
              <w:t>排放标准</w:t>
            </w:r>
            <w:r>
              <w:rPr>
                <w:rFonts w:hint="eastAsia" w:eastAsia="宋体"/>
                <w:b/>
              </w:rPr>
              <w:t>及限值一览表</w:t>
            </w:r>
            <w:r>
              <w:rPr>
                <w:rFonts w:eastAsia="宋体"/>
                <w:b/>
              </w:rPr>
              <w:t>（单位：dB（A））</w:t>
            </w:r>
          </w:p>
          <w:tbl>
            <w:tblPr>
              <w:tblStyle w:val="21"/>
              <w:tblW w:w="806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4"/>
              <w:gridCol w:w="1094"/>
              <w:gridCol w:w="1093"/>
              <w:gridCol w:w="1232"/>
              <w:gridCol w:w="3564"/>
            </w:tblGrid>
            <w:tr w14:paraId="0B47BA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1" w:hRule="atLeast"/>
                <w:jc w:val="center"/>
              </w:trPr>
              <w:tc>
                <w:tcPr>
                  <w:tcW w:w="2178" w:type="dxa"/>
                  <w:gridSpan w:val="2"/>
                  <w:vMerge w:val="restart"/>
                  <w:vAlign w:val="center"/>
                </w:tcPr>
                <w:p w14:paraId="45C767BA">
                  <w:pPr>
                    <w:pStyle w:val="54"/>
                    <w:rPr>
                      <w:b/>
                      <w:color w:val="000000" w:themeColor="text1"/>
                      <w:sz w:val="21"/>
                      <w14:textFill>
                        <w14:solidFill>
                          <w14:schemeClr w14:val="tx1"/>
                        </w14:solidFill>
                      </w14:textFill>
                    </w:rPr>
                  </w:pPr>
                  <w:r>
                    <w:rPr>
                      <w:b/>
                      <w:color w:val="000000" w:themeColor="text1"/>
                      <w:sz w:val="21"/>
                      <w14:textFill>
                        <w14:solidFill>
                          <w14:schemeClr w14:val="tx1"/>
                        </w14:solidFill>
                      </w14:textFill>
                    </w:rPr>
                    <w:t>污染物名称</w:t>
                  </w:r>
                </w:p>
              </w:tc>
              <w:tc>
                <w:tcPr>
                  <w:tcW w:w="2325" w:type="dxa"/>
                  <w:gridSpan w:val="2"/>
                  <w:vAlign w:val="center"/>
                </w:tcPr>
                <w:p w14:paraId="0DE31221">
                  <w:pPr>
                    <w:pStyle w:val="54"/>
                    <w:rPr>
                      <w:b/>
                      <w:color w:val="000000" w:themeColor="text1"/>
                      <w:sz w:val="21"/>
                      <w14:textFill>
                        <w14:solidFill>
                          <w14:schemeClr w14:val="tx1"/>
                        </w14:solidFill>
                      </w14:textFill>
                    </w:rPr>
                  </w:pPr>
                  <w:r>
                    <w:rPr>
                      <w:b/>
                      <w:color w:val="000000" w:themeColor="text1"/>
                      <w:sz w:val="21"/>
                      <w14:textFill>
                        <w14:solidFill>
                          <w14:schemeClr w14:val="tx1"/>
                        </w14:solidFill>
                      </w14:textFill>
                    </w:rPr>
                    <w:t>标准值</w:t>
                  </w:r>
                </w:p>
              </w:tc>
              <w:tc>
                <w:tcPr>
                  <w:tcW w:w="3564" w:type="dxa"/>
                  <w:vMerge w:val="restart"/>
                  <w:vAlign w:val="center"/>
                </w:tcPr>
                <w:p w14:paraId="5B3B415F">
                  <w:pPr>
                    <w:pStyle w:val="54"/>
                    <w:rPr>
                      <w:b/>
                      <w:color w:val="000000" w:themeColor="text1"/>
                      <w:sz w:val="21"/>
                      <w14:textFill>
                        <w14:solidFill>
                          <w14:schemeClr w14:val="tx1"/>
                        </w14:solidFill>
                      </w14:textFill>
                    </w:rPr>
                  </w:pPr>
                  <w:r>
                    <w:rPr>
                      <w:b/>
                      <w:color w:val="000000" w:themeColor="text1"/>
                      <w:sz w:val="21"/>
                      <w14:textFill>
                        <w14:solidFill>
                          <w14:schemeClr w14:val="tx1"/>
                        </w14:solidFill>
                      </w14:textFill>
                    </w:rPr>
                    <w:t>标准名称</w:t>
                  </w:r>
                </w:p>
              </w:tc>
            </w:tr>
            <w:tr w14:paraId="105DBF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2178" w:type="dxa"/>
                  <w:gridSpan w:val="2"/>
                  <w:vMerge w:val="continue"/>
                  <w:vAlign w:val="center"/>
                </w:tcPr>
                <w:p w14:paraId="59DD882D">
                  <w:pPr>
                    <w:pStyle w:val="54"/>
                    <w:rPr>
                      <w:b/>
                      <w:color w:val="000000" w:themeColor="text1"/>
                      <w:sz w:val="21"/>
                      <w14:textFill>
                        <w14:solidFill>
                          <w14:schemeClr w14:val="tx1"/>
                        </w14:solidFill>
                      </w14:textFill>
                    </w:rPr>
                  </w:pPr>
                </w:p>
              </w:tc>
              <w:tc>
                <w:tcPr>
                  <w:tcW w:w="1093" w:type="dxa"/>
                  <w:vAlign w:val="center"/>
                </w:tcPr>
                <w:p w14:paraId="22BE0163">
                  <w:pPr>
                    <w:pStyle w:val="54"/>
                    <w:rPr>
                      <w:b/>
                      <w:color w:val="000000" w:themeColor="text1"/>
                      <w:sz w:val="21"/>
                      <w14:textFill>
                        <w14:solidFill>
                          <w14:schemeClr w14:val="tx1"/>
                        </w14:solidFill>
                      </w14:textFill>
                    </w:rPr>
                  </w:pPr>
                  <w:r>
                    <w:rPr>
                      <w:b/>
                      <w:color w:val="000000" w:themeColor="text1"/>
                      <w:sz w:val="21"/>
                      <w14:textFill>
                        <w14:solidFill>
                          <w14:schemeClr w14:val="tx1"/>
                        </w14:solidFill>
                      </w14:textFill>
                    </w:rPr>
                    <w:t>单位</w:t>
                  </w:r>
                </w:p>
              </w:tc>
              <w:tc>
                <w:tcPr>
                  <w:tcW w:w="1232" w:type="dxa"/>
                  <w:vAlign w:val="center"/>
                </w:tcPr>
                <w:p w14:paraId="6E48010A">
                  <w:pPr>
                    <w:pStyle w:val="54"/>
                    <w:rPr>
                      <w:b/>
                      <w:color w:val="000000" w:themeColor="text1"/>
                      <w:sz w:val="21"/>
                      <w14:textFill>
                        <w14:solidFill>
                          <w14:schemeClr w14:val="tx1"/>
                        </w14:solidFill>
                      </w14:textFill>
                    </w:rPr>
                  </w:pPr>
                  <w:r>
                    <w:rPr>
                      <w:b/>
                      <w:color w:val="000000" w:themeColor="text1"/>
                      <w:sz w:val="21"/>
                      <w14:textFill>
                        <w14:solidFill>
                          <w14:schemeClr w14:val="tx1"/>
                        </w14:solidFill>
                      </w14:textFill>
                    </w:rPr>
                    <w:t>数值</w:t>
                  </w:r>
                </w:p>
              </w:tc>
              <w:tc>
                <w:tcPr>
                  <w:tcW w:w="3564" w:type="dxa"/>
                  <w:vMerge w:val="continue"/>
                  <w:vAlign w:val="center"/>
                </w:tcPr>
                <w:p w14:paraId="5B5CC0D0">
                  <w:pPr>
                    <w:pStyle w:val="54"/>
                    <w:rPr>
                      <w:b/>
                      <w:color w:val="000000" w:themeColor="text1"/>
                      <w:sz w:val="21"/>
                      <w14:textFill>
                        <w14:solidFill>
                          <w14:schemeClr w14:val="tx1"/>
                        </w14:solidFill>
                      </w14:textFill>
                    </w:rPr>
                  </w:pPr>
                </w:p>
              </w:tc>
            </w:tr>
            <w:tr w14:paraId="073483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1084" w:type="dxa"/>
                  <w:vMerge w:val="restart"/>
                  <w:vAlign w:val="center"/>
                </w:tcPr>
                <w:p w14:paraId="77961BA8">
                  <w:pPr>
                    <w:pStyle w:val="54"/>
                    <w:rPr>
                      <w:color w:val="auto"/>
                      <w:sz w:val="21"/>
                    </w:rPr>
                  </w:pPr>
                  <w:r>
                    <w:rPr>
                      <w:rFonts w:hint="eastAsia"/>
                      <w:color w:val="auto"/>
                      <w:sz w:val="21"/>
                    </w:rPr>
                    <w:t>施工期</w:t>
                  </w:r>
                </w:p>
              </w:tc>
              <w:tc>
                <w:tcPr>
                  <w:tcW w:w="1094" w:type="dxa"/>
                  <w:vAlign w:val="center"/>
                </w:tcPr>
                <w:p w14:paraId="54AFF9D6">
                  <w:pPr>
                    <w:pStyle w:val="54"/>
                    <w:rPr>
                      <w:color w:val="auto"/>
                      <w:sz w:val="21"/>
                    </w:rPr>
                  </w:pPr>
                  <w:r>
                    <w:rPr>
                      <w:color w:val="auto"/>
                      <w:sz w:val="21"/>
                    </w:rPr>
                    <w:t>昼间</w:t>
                  </w:r>
                </w:p>
              </w:tc>
              <w:tc>
                <w:tcPr>
                  <w:tcW w:w="1093" w:type="dxa"/>
                  <w:vAlign w:val="center"/>
                </w:tcPr>
                <w:p w14:paraId="7E105FAE">
                  <w:pPr>
                    <w:pStyle w:val="54"/>
                    <w:rPr>
                      <w:color w:val="auto"/>
                      <w:sz w:val="21"/>
                    </w:rPr>
                  </w:pPr>
                  <w:r>
                    <w:rPr>
                      <w:color w:val="auto"/>
                      <w:sz w:val="21"/>
                    </w:rPr>
                    <w:t>dB</w:t>
                  </w:r>
                  <w:r>
                    <w:rPr>
                      <w:rFonts w:hint="eastAsia"/>
                      <w:color w:val="auto"/>
                      <w:sz w:val="21"/>
                      <w:lang w:eastAsia="zh-CN"/>
                    </w:rPr>
                    <w:t>(</w:t>
                  </w:r>
                  <w:r>
                    <w:rPr>
                      <w:color w:val="auto"/>
                      <w:sz w:val="21"/>
                    </w:rPr>
                    <w:t>A</w:t>
                  </w:r>
                  <w:r>
                    <w:rPr>
                      <w:rFonts w:hint="eastAsia"/>
                      <w:color w:val="auto"/>
                      <w:sz w:val="21"/>
                      <w:lang w:eastAsia="zh-CN"/>
                    </w:rPr>
                    <w:t>)</w:t>
                  </w:r>
                </w:p>
              </w:tc>
              <w:tc>
                <w:tcPr>
                  <w:tcW w:w="1232" w:type="dxa"/>
                  <w:vAlign w:val="center"/>
                </w:tcPr>
                <w:p w14:paraId="5533875A">
                  <w:pPr>
                    <w:pStyle w:val="54"/>
                    <w:rPr>
                      <w:color w:val="auto"/>
                      <w:sz w:val="21"/>
                    </w:rPr>
                  </w:pPr>
                  <w:r>
                    <w:rPr>
                      <w:color w:val="auto"/>
                      <w:sz w:val="21"/>
                    </w:rPr>
                    <w:t>70</w:t>
                  </w:r>
                </w:p>
              </w:tc>
              <w:tc>
                <w:tcPr>
                  <w:tcW w:w="3564" w:type="dxa"/>
                  <w:vMerge w:val="restart"/>
                  <w:vAlign w:val="center"/>
                </w:tcPr>
                <w:p w14:paraId="34DC6C53">
                  <w:pPr>
                    <w:pStyle w:val="54"/>
                    <w:rPr>
                      <w:color w:val="auto"/>
                      <w:sz w:val="21"/>
                    </w:rPr>
                  </w:pPr>
                  <w:r>
                    <w:rPr>
                      <w:color w:val="auto"/>
                      <w:sz w:val="21"/>
                    </w:rPr>
                    <w:t>《建筑施工场界环境噪声排放标准》（GB12523-2011）表1中噪声限值</w:t>
                  </w:r>
                </w:p>
              </w:tc>
            </w:tr>
            <w:tr w14:paraId="207479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1084" w:type="dxa"/>
                  <w:vMerge w:val="continue"/>
                  <w:vAlign w:val="center"/>
                </w:tcPr>
                <w:p w14:paraId="04B1D6B3">
                  <w:pPr>
                    <w:pStyle w:val="54"/>
                    <w:rPr>
                      <w:color w:val="auto"/>
                      <w:sz w:val="21"/>
                    </w:rPr>
                  </w:pPr>
                </w:p>
              </w:tc>
              <w:tc>
                <w:tcPr>
                  <w:tcW w:w="1094" w:type="dxa"/>
                  <w:vAlign w:val="center"/>
                </w:tcPr>
                <w:p w14:paraId="3586487A">
                  <w:pPr>
                    <w:pStyle w:val="54"/>
                    <w:rPr>
                      <w:color w:val="auto"/>
                      <w:sz w:val="21"/>
                    </w:rPr>
                  </w:pPr>
                  <w:r>
                    <w:rPr>
                      <w:color w:val="auto"/>
                      <w:sz w:val="21"/>
                    </w:rPr>
                    <w:t>夜间</w:t>
                  </w:r>
                </w:p>
              </w:tc>
              <w:tc>
                <w:tcPr>
                  <w:tcW w:w="1093" w:type="dxa"/>
                  <w:vAlign w:val="center"/>
                </w:tcPr>
                <w:p w14:paraId="7B9733AD">
                  <w:pPr>
                    <w:pStyle w:val="54"/>
                    <w:rPr>
                      <w:color w:val="auto"/>
                      <w:sz w:val="21"/>
                    </w:rPr>
                  </w:pPr>
                  <w:r>
                    <w:rPr>
                      <w:color w:val="auto"/>
                      <w:sz w:val="21"/>
                    </w:rPr>
                    <w:t>dB</w:t>
                  </w:r>
                  <w:r>
                    <w:rPr>
                      <w:rFonts w:hint="eastAsia"/>
                      <w:color w:val="auto"/>
                      <w:sz w:val="21"/>
                      <w:lang w:eastAsia="zh-CN"/>
                    </w:rPr>
                    <w:t>(</w:t>
                  </w:r>
                  <w:r>
                    <w:rPr>
                      <w:color w:val="auto"/>
                      <w:sz w:val="21"/>
                    </w:rPr>
                    <w:t>A</w:t>
                  </w:r>
                  <w:r>
                    <w:rPr>
                      <w:rFonts w:hint="eastAsia"/>
                      <w:color w:val="auto"/>
                      <w:sz w:val="21"/>
                      <w:lang w:eastAsia="zh-CN"/>
                    </w:rPr>
                    <w:t>)</w:t>
                  </w:r>
                </w:p>
              </w:tc>
              <w:tc>
                <w:tcPr>
                  <w:tcW w:w="1232" w:type="dxa"/>
                  <w:vAlign w:val="center"/>
                </w:tcPr>
                <w:p w14:paraId="72A67F5D">
                  <w:pPr>
                    <w:pStyle w:val="54"/>
                    <w:rPr>
                      <w:color w:val="auto"/>
                      <w:sz w:val="21"/>
                    </w:rPr>
                  </w:pPr>
                  <w:r>
                    <w:rPr>
                      <w:color w:val="auto"/>
                      <w:sz w:val="21"/>
                    </w:rPr>
                    <w:t>55</w:t>
                  </w:r>
                </w:p>
              </w:tc>
              <w:tc>
                <w:tcPr>
                  <w:tcW w:w="3564" w:type="dxa"/>
                  <w:vMerge w:val="continue"/>
                  <w:vAlign w:val="center"/>
                </w:tcPr>
                <w:p w14:paraId="7870F503">
                  <w:pPr>
                    <w:pStyle w:val="54"/>
                    <w:rPr>
                      <w:color w:val="auto"/>
                      <w:sz w:val="21"/>
                    </w:rPr>
                  </w:pPr>
                </w:p>
              </w:tc>
            </w:tr>
            <w:tr w14:paraId="1E8FA1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1084" w:type="dxa"/>
                  <w:vAlign w:val="center"/>
                </w:tcPr>
                <w:p w14:paraId="2F61AA33">
                  <w:pPr>
                    <w:pStyle w:val="54"/>
                    <w:rPr>
                      <w:color w:val="auto"/>
                      <w:sz w:val="21"/>
                    </w:rPr>
                  </w:pPr>
                  <w:r>
                    <w:rPr>
                      <w:rFonts w:hint="eastAsia"/>
                      <w:color w:val="auto"/>
                      <w:sz w:val="21"/>
                    </w:rPr>
                    <w:t>运营期</w:t>
                  </w:r>
                </w:p>
              </w:tc>
              <w:tc>
                <w:tcPr>
                  <w:tcW w:w="1094" w:type="dxa"/>
                  <w:vAlign w:val="center"/>
                </w:tcPr>
                <w:p w14:paraId="50CB3B32">
                  <w:pPr>
                    <w:pStyle w:val="54"/>
                    <w:rPr>
                      <w:color w:val="auto"/>
                      <w:sz w:val="21"/>
                    </w:rPr>
                  </w:pPr>
                  <w:r>
                    <w:rPr>
                      <w:color w:val="auto"/>
                      <w:sz w:val="21"/>
                    </w:rPr>
                    <w:t>昼间</w:t>
                  </w:r>
                </w:p>
              </w:tc>
              <w:tc>
                <w:tcPr>
                  <w:tcW w:w="1093" w:type="dxa"/>
                  <w:vAlign w:val="center"/>
                </w:tcPr>
                <w:p w14:paraId="1FAAD0BF">
                  <w:pPr>
                    <w:pStyle w:val="54"/>
                    <w:rPr>
                      <w:color w:val="auto"/>
                      <w:sz w:val="21"/>
                    </w:rPr>
                  </w:pPr>
                  <w:r>
                    <w:rPr>
                      <w:color w:val="auto"/>
                      <w:sz w:val="21"/>
                    </w:rPr>
                    <w:t>dB</w:t>
                  </w:r>
                  <w:r>
                    <w:rPr>
                      <w:rFonts w:hint="eastAsia"/>
                      <w:color w:val="auto"/>
                      <w:sz w:val="21"/>
                      <w:lang w:eastAsia="zh-CN"/>
                    </w:rPr>
                    <w:t>(</w:t>
                  </w:r>
                  <w:r>
                    <w:rPr>
                      <w:color w:val="auto"/>
                      <w:sz w:val="21"/>
                    </w:rPr>
                    <w:t>A</w:t>
                  </w:r>
                  <w:r>
                    <w:rPr>
                      <w:rFonts w:hint="eastAsia"/>
                      <w:color w:val="auto"/>
                      <w:sz w:val="21"/>
                      <w:lang w:eastAsia="zh-CN"/>
                    </w:rPr>
                    <w:t>)</w:t>
                  </w:r>
                </w:p>
              </w:tc>
              <w:tc>
                <w:tcPr>
                  <w:tcW w:w="1232" w:type="dxa"/>
                  <w:vAlign w:val="center"/>
                </w:tcPr>
                <w:p w14:paraId="7716F238">
                  <w:pPr>
                    <w:pStyle w:val="54"/>
                    <w:rPr>
                      <w:color w:val="auto"/>
                      <w:sz w:val="21"/>
                    </w:rPr>
                  </w:pPr>
                  <w:r>
                    <w:rPr>
                      <w:color w:val="auto"/>
                      <w:sz w:val="21"/>
                    </w:rPr>
                    <w:t>60</w:t>
                  </w:r>
                </w:p>
              </w:tc>
              <w:tc>
                <w:tcPr>
                  <w:tcW w:w="3564" w:type="dxa"/>
                  <w:vAlign w:val="center"/>
                </w:tcPr>
                <w:p w14:paraId="46574F72">
                  <w:pPr>
                    <w:pStyle w:val="54"/>
                    <w:rPr>
                      <w:color w:val="auto"/>
                      <w:sz w:val="21"/>
                    </w:rPr>
                  </w:pPr>
                  <w:r>
                    <w:rPr>
                      <w:color w:val="auto"/>
                      <w:sz w:val="21"/>
                    </w:rPr>
                    <w:t>《工业企业厂界环境噪声排放标准》（GB12348</w:t>
                  </w:r>
                  <w:r>
                    <w:rPr>
                      <w:rFonts w:hint="eastAsia"/>
                      <w:color w:val="auto"/>
                      <w:sz w:val="21"/>
                    </w:rPr>
                    <w:t>-</w:t>
                  </w:r>
                  <w:r>
                    <w:rPr>
                      <w:color w:val="auto"/>
                      <w:sz w:val="21"/>
                    </w:rPr>
                    <w:t>2008）2类标准</w:t>
                  </w:r>
                </w:p>
              </w:tc>
            </w:tr>
          </w:tbl>
          <w:p w14:paraId="07557CB7">
            <w:pPr>
              <w:spacing w:before="120" w:beforeLines="50" w:line="360" w:lineRule="auto"/>
              <w:ind w:firstLine="482"/>
              <w:rPr>
                <w:b/>
                <w:sz w:val="24"/>
              </w:rPr>
            </w:pPr>
            <w:r>
              <w:rPr>
                <w:rFonts w:hint="eastAsia"/>
                <w:b/>
                <w:sz w:val="24"/>
                <w:lang w:val="en-US" w:eastAsia="zh-CN"/>
              </w:rPr>
              <w:t>3</w:t>
            </w:r>
            <w:r>
              <w:rPr>
                <w:b/>
                <w:sz w:val="24"/>
              </w:rPr>
              <w:t>．</w:t>
            </w:r>
            <w:r>
              <w:rPr>
                <w:rFonts w:hint="eastAsia"/>
                <w:b/>
                <w:sz w:val="24"/>
              </w:rPr>
              <w:t>固体废物控制标准</w:t>
            </w:r>
          </w:p>
          <w:p w14:paraId="575ACCAC">
            <w:pPr>
              <w:snapToGrid w:val="0"/>
              <w:spacing w:line="360" w:lineRule="auto"/>
              <w:ind w:firstLine="480" w:firstLineChars="200"/>
              <w:rPr>
                <w:rFonts w:hint="eastAsia" w:eastAsia="宋体"/>
                <w:sz w:val="24"/>
                <w:lang w:eastAsia="zh-CN"/>
              </w:rPr>
            </w:pPr>
            <w:r>
              <w:rPr>
                <w:sz w:val="24"/>
              </w:rPr>
              <w:t>一般工业固体废物执行</w:t>
            </w:r>
            <w:r>
              <w:rPr>
                <w:rFonts w:hint="eastAsia"/>
                <w:sz w:val="24"/>
              </w:rPr>
              <w:t>《一般工业固体废物贮存和填埋污染控制标准》（GB18599-2020）</w:t>
            </w:r>
            <w:r>
              <w:rPr>
                <w:rFonts w:hint="eastAsia"/>
                <w:sz w:val="24"/>
                <w:lang w:eastAsia="zh-CN"/>
              </w:rPr>
              <w:t>。</w:t>
            </w:r>
          </w:p>
          <w:p w14:paraId="4DFDFF36">
            <w:pPr>
              <w:snapToGrid w:val="0"/>
              <w:spacing w:line="360" w:lineRule="auto"/>
              <w:ind w:firstLine="480" w:firstLineChars="200"/>
              <w:rPr>
                <w:highlight w:val="green"/>
              </w:rPr>
            </w:pPr>
            <w:r>
              <w:rPr>
                <w:rFonts w:hint="eastAsia"/>
                <w:sz w:val="24"/>
              </w:rPr>
              <w:t>危险废物执行《危险废物贮存污染控制标准》（</w:t>
            </w:r>
            <w:r>
              <w:rPr>
                <w:sz w:val="24"/>
              </w:rPr>
              <w:t>GB18597-2023</w:t>
            </w:r>
            <w:r>
              <w:rPr>
                <w:rFonts w:hint="eastAsia"/>
                <w:sz w:val="24"/>
              </w:rPr>
              <w:t>）标准。</w:t>
            </w:r>
          </w:p>
        </w:tc>
      </w:tr>
      <w:tr w14:paraId="7CBCC2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42" w:hRule="atLeast"/>
          <w:jc w:val="center"/>
        </w:trPr>
        <w:tc>
          <w:tcPr>
            <w:tcW w:w="232" w:type="pct"/>
            <w:vAlign w:val="center"/>
          </w:tcPr>
          <w:p w14:paraId="13497A7C">
            <w:pPr>
              <w:adjustRightInd w:val="0"/>
              <w:snapToGrid w:val="0"/>
              <w:jc w:val="center"/>
              <w:rPr>
                <w:rFonts w:ascii="宋体" w:hAnsi="宋体" w:cs="宋体"/>
                <w:kern w:val="0"/>
                <w:sz w:val="24"/>
              </w:rPr>
            </w:pPr>
            <w:r>
              <w:rPr>
                <w:rFonts w:hint="eastAsia" w:ascii="宋体" w:hAnsi="宋体" w:cs="宋体"/>
                <w:kern w:val="0"/>
                <w:sz w:val="24"/>
              </w:rPr>
              <w:t>总量</w:t>
            </w:r>
          </w:p>
          <w:p w14:paraId="04ECA790">
            <w:pPr>
              <w:adjustRightInd w:val="0"/>
              <w:snapToGrid w:val="0"/>
              <w:jc w:val="center"/>
              <w:rPr>
                <w:rFonts w:ascii="宋体" w:hAnsi="宋体" w:cs="宋体"/>
                <w:kern w:val="0"/>
                <w:sz w:val="24"/>
              </w:rPr>
            </w:pPr>
            <w:r>
              <w:rPr>
                <w:rFonts w:hint="eastAsia" w:ascii="宋体" w:hAnsi="宋体" w:cs="宋体"/>
                <w:kern w:val="0"/>
                <w:sz w:val="24"/>
              </w:rPr>
              <w:t>控制</w:t>
            </w:r>
          </w:p>
          <w:p w14:paraId="05E501DA">
            <w:pPr>
              <w:adjustRightInd w:val="0"/>
              <w:snapToGrid w:val="0"/>
              <w:jc w:val="center"/>
              <w:rPr>
                <w:rFonts w:ascii="宋体" w:hAnsi="宋体" w:cs="宋体"/>
                <w:kern w:val="0"/>
                <w:sz w:val="24"/>
              </w:rPr>
            </w:pPr>
            <w:r>
              <w:rPr>
                <w:rFonts w:hint="eastAsia" w:ascii="宋体" w:hAnsi="宋体" w:cs="宋体"/>
                <w:kern w:val="0"/>
                <w:sz w:val="24"/>
              </w:rPr>
              <w:t>指标</w:t>
            </w:r>
          </w:p>
        </w:tc>
        <w:tc>
          <w:tcPr>
            <w:tcW w:w="4767" w:type="pct"/>
            <w:vAlign w:val="center"/>
          </w:tcPr>
          <w:p w14:paraId="6B36A720">
            <w:pPr>
              <w:snapToGrid w:val="0"/>
              <w:spacing w:line="360" w:lineRule="auto"/>
              <w:ind w:firstLine="480" w:firstLineChars="200"/>
              <w:jc w:val="left"/>
              <w:rPr>
                <w:rFonts w:hint="default" w:eastAsia="宋体"/>
                <w:sz w:val="24"/>
                <w:highlight w:val="none"/>
                <w:lang w:val="en-US" w:eastAsia="zh-CN"/>
              </w:rPr>
            </w:pPr>
            <w:r>
              <w:rPr>
                <w:rFonts w:hint="eastAsia"/>
                <w:sz w:val="24"/>
                <w:highlight w:val="none"/>
              </w:rPr>
              <w:t>根据环境保护“十四五”计划实施总量控制的污染物种类，项目建设完成后，本项目不涉及总量控制指标</w:t>
            </w:r>
            <w:r>
              <w:rPr>
                <w:rFonts w:hint="eastAsia"/>
                <w:sz w:val="24"/>
                <w:highlight w:val="none"/>
                <w:lang w:eastAsia="zh-CN"/>
              </w:rPr>
              <w:t>；</w:t>
            </w:r>
            <w:r>
              <w:rPr>
                <w:rFonts w:ascii="宋体" w:hAnsi="宋体"/>
                <w:sz w:val="24"/>
              </w:rPr>
              <w:t>给出本项目污染物总量管理指标为</w:t>
            </w:r>
            <w:r>
              <w:rPr>
                <w:rFonts w:hint="eastAsia"/>
                <w:sz w:val="24"/>
                <w:highlight w:val="none"/>
                <w:lang w:val="en-US" w:eastAsia="zh-CN"/>
              </w:rPr>
              <w:t>：非甲烷总烃0.2226t/a；</w:t>
            </w:r>
          </w:p>
          <w:p w14:paraId="1572D742">
            <w:pPr>
              <w:snapToGrid w:val="0"/>
              <w:spacing w:line="360" w:lineRule="auto"/>
              <w:jc w:val="left"/>
              <w:rPr>
                <w:sz w:val="24"/>
                <w:highlight w:val="green"/>
              </w:rPr>
            </w:pPr>
          </w:p>
          <w:p w14:paraId="28D00D25">
            <w:pPr>
              <w:pStyle w:val="2"/>
              <w:jc w:val="left"/>
              <w:rPr>
                <w:sz w:val="24"/>
                <w:highlight w:val="green"/>
              </w:rPr>
            </w:pPr>
          </w:p>
          <w:p w14:paraId="12A26848">
            <w:pPr>
              <w:jc w:val="left"/>
              <w:rPr>
                <w:sz w:val="24"/>
                <w:highlight w:val="green"/>
              </w:rPr>
            </w:pPr>
          </w:p>
          <w:p w14:paraId="73C8BB02">
            <w:pPr>
              <w:pStyle w:val="2"/>
              <w:jc w:val="left"/>
              <w:rPr>
                <w:sz w:val="24"/>
                <w:highlight w:val="green"/>
              </w:rPr>
            </w:pPr>
          </w:p>
          <w:p w14:paraId="42A73D92">
            <w:pPr>
              <w:pStyle w:val="2"/>
              <w:ind w:left="0" w:leftChars="0" w:firstLine="0" w:firstLineChars="0"/>
              <w:jc w:val="left"/>
            </w:pPr>
          </w:p>
          <w:p w14:paraId="1B5A0C6E">
            <w:pPr>
              <w:pStyle w:val="2"/>
              <w:ind w:left="420"/>
              <w:jc w:val="left"/>
              <w:rPr>
                <w:highlight w:val="green"/>
              </w:rPr>
            </w:pPr>
          </w:p>
          <w:p w14:paraId="29D57380">
            <w:pPr>
              <w:pStyle w:val="2"/>
              <w:ind w:left="420"/>
              <w:jc w:val="left"/>
              <w:rPr>
                <w:highlight w:val="green"/>
              </w:rPr>
            </w:pPr>
          </w:p>
        </w:tc>
      </w:tr>
    </w:tbl>
    <w:p w14:paraId="244C4A6E">
      <w:pPr>
        <w:pStyle w:val="2"/>
        <w:ind w:left="420"/>
        <w:rPr>
          <w:highlight w:val="green"/>
        </w:rPr>
        <w:sectPr>
          <w:pgSz w:w="11907" w:h="16840"/>
          <w:pgMar w:top="1701" w:right="1531" w:bottom="1701" w:left="1531" w:header="851" w:footer="851" w:gutter="0"/>
          <w:cols w:space="720" w:num="1"/>
          <w:docGrid w:linePitch="312" w:charSpace="0"/>
        </w:sectPr>
      </w:pPr>
    </w:p>
    <w:p w14:paraId="4588DBB1">
      <w:pPr>
        <w:pStyle w:val="19"/>
        <w:spacing w:before="120" w:beforeLines="50" w:beforeAutospacing="0" w:after="240" w:afterLines="100" w:afterAutospacing="0"/>
        <w:jc w:val="center"/>
        <w:outlineLvl w:val="0"/>
        <w:rPr>
          <w:rFonts w:ascii="黑体" w:hAnsi="黑体" w:eastAsia="黑体"/>
          <w:snapToGrid w:val="0"/>
          <w:sz w:val="30"/>
          <w:szCs w:val="30"/>
        </w:rPr>
      </w:pPr>
      <w:r>
        <w:rPr>
          <w:rFonts w:hint="eastAsia" w:ascii="黑体" w:hAnsi="黑体" w:eastAsia="黑体"/>
          <w:snapToGrid w:val="0"/>
          <w:sz w:val="30"/>
          <w:szCs w:val="30"/>
        </w:rPr>
        <w:t>四、主要环境影响和保护措施</w:t>
      </w:r>
    </w:p>
    <w:tbl>
      <w:tblPr>
        <w:tblStyle w:val="21"/>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94"/>
        <w:gridCol w:w="8687"/>
      </w:tblGrid>
      <w:tr w14:paraId="5E9CDA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9" w:hRule="atLeast"/>
          <w:jc w:val="center"/>
        </w:trPr>
        <w:tc>
          <w:tcPr>
            <w:tcW w:w="746" w:type="dxa"/>
            <w:tcMar>
              <w:left w:w="28" w:type="dxa"/>
              <w:right w:w="28" w:type="dxa"/>
            </w:tcMar>
            <w:vAlign w:val="center"/>
          </w:tcPr>
          <w:p w14:paraId="1C339A36">
            <w:pPr>
              <w:pStyle w:val="19"/>
              <w:adjustRightInd w:val="0"/>
              <w:snapToGrid w:val="0"/>
              <w:spacing w:before="0" w:beforeAutospacing="0" w:after="0" w:afterAutospacing="0"/>
              <w:jc w:val="center"/>
              <w:rPr>
                <w:rFonts w:cs="宋体"/>
                <w:kern w:val="2"/>
                <w:szCs w:val="21"/>
                <w:highlight w:val="none"/>
              </w:rPr>
            </w:pPr>
            <w:r>
              <w:rPr>
                <w:rFonts w:hint="eastAsia" w:cs="宋体"/>
                <w:kern w:val="2"/>
                <w:szCs w:val="21"/>
                <w:highlight w:val="none"/>
              </w:rPr>
              <w:t>施工</w:t>
            </w:r>
          </w:p>
          <w:p w14:paraId="02AFBD19">
            <w:pPr>
              <w:pStyle w:val="19"/>
              <w:adjustRightInd w:val="0"/>
              <w:snapToGrid w:val="0"/>
              <w:spacing w:before="0" w:beforeAutospacing="0" w:after="0" w:afterAutospacing="0"/>
              <w:jc w:val="center"/>
              <w:rPr>
                <w:rFonts w:cs="宋体"/>
                <w:kern w:val="2"/>
                <w:szCs w:val="21"/>
                <w:highlight w:val="none"/>
              </w:rPr>
            </w:pPr>
            <w:r>
              <w:rPr>
                <w:rFonts w:hint="eastAsia" w:cs="宋体"/>
                <w:kern w:val="2"/>
                <w:szCs w:val="21"/>
                <w:highlight w:val="none"/>
              </w:rPr>
              <w:t>期环</w:t>
            </w:r>
          </w:p>
          <w:p w14:paraId="2AF61364">
            <w:pPr>
              <w:pStyle w:val="19"/>
              <w:adjustRightInd w:val="0"/>
              <w:snapToGrid w:val="0"/>
              <w:spacing w:before="0" w:beforeAutospacing="0" w:after="0" w:afterAutospacing="0"/>
              <w:jc w:val="center"/>
              <w:rPr>
                <w:rFonts w:cs="宋体"/>
                <w:kern w:val="2"/>
                <w:szCs w:val="21"/>
                <w:highlight w:val="none"/>
              </w:rPr>
            </w:pPr>
            <w:r>
              <w:rPr>
                <w:rFonts w:hint="eastAsia" w:cs="宋体"/>
                <w:kern w:val="2"/>
                <w:szCs w:val="21"/>
                <w:highlight w:val="none"/>
              </w:rPr>
              <w:t>境保</w:t>
            </w:r>
          </w:p>
          <w:p w14:paraId="3D52BCB8">
            <w:pPr>
              <w:pStyle w:val="19"/>
              <w:adjustRightInd w:val="0"/>
              <w:snapToGrid w:val="0"/>
              <w:spacing w:before="0" w:beforeAutospacing="0" w:after="0" w:afterAutospacing="0"/>
              <w:jc w:val="center"/>
              <w:rPr>
                <w:rFonts w:cs="宋体"/>
                <w:kern w:val="2"/>
                <w:szCs w:val="21"/>
                <w:highlight w:val="none"/>
              </w:rPr>
            </w:pPr>
            <w:r>
              <w:rPr>
                <w:rFonts w:hint="eastAsia" w:cs="宋体"/>
                <w:kern w:val="2"/>
                <w:szCs w:val="21"/>
                <w:highlight w:val="none"/>
              </w:rPr>
              <w:t>护措</w:t>
            </w:r>
          </w:p>
          <w:p w14:paraId="2A1EC413">
            <w:pPr>
              <w:pStyle w:val="19"/>
              <w:adjustRightInd w:val="0"/>
              <w:snapToGrid w:val="0"/>
              <w:spacing w:before="0" w:beforeAutospacing="0" w:after="0" w:afterAutospacing="0"/>
              <w:jc w:val="center"/>
              <w:rPr>
                <w:rFonts w:cs="宋体"/>
                <w:bCs/>
                <w:kern w:val="2"/>
                <w:szCs w:val="21"/>
                <w:highlight w:val="none"/>
              </w:rPr>
            </w:pPr>
            <w:r>
              <w:rPr>
                <w:rFonts w:hint="eastAsia" w:cs="宋体"/>
                <w:kern w:val="2"/>
                <w:szCs w:val="21"/>
                <w:highlight w:val="none"/>
              </w:rPr>
              <w:t>施</w:t>
            </w:r>
          </w:p>
        </w:tc>
        <w:tc>
          <w:tcPr>
            <w:tcW w:w="8162" w:type="dxa"/>
            <w:vAlign w:val="center"/>
          </w:tcPr>
          <w:p w14:paraId="4BB35F32">
            <w:pPr>
              <w:spacing w:line="360" w:lineRule="auto"/>
              <w:ind w:firstLine="480"/>
              <w:rPr>
                <w:rFonts w:hint="default"/>
                <w:sz w:val="24"/>
                <w:highlight w:val="none"/>
                <w:lang w:val="en-US" w:eastAsia="zh-CN"/>
              </w:rPr>
            </w:pPr>
            <w:r>
              <w:rPr>
                <w:rFonts w:hint="eastAsia"/>
                <w:sz w:val="24"/>
                <w:highlight w:val="none"/>
                <w:lang w:val="en-US" w:eastAsia="zh-CN"/>
              </w:rPr>
              <w:t>本项目施工期主要为改建现有厂房，对厂房地面进行防腐、防渗，新建事故池等内容。</w:t>
            </w:r>
          </w:p>
          <w:p w14:paraId="7954CF96">
            <w:pPr>
              <w:spacing w:before="120" w:beforeLines="50" w:line="360" w:lineRule="auto"/>
              <w:ind w:firstLine="482" w:firstLineChars="200"/>
              <w:rPr>
                <w:b/>
                <w:sz w:val="24"/>
                <w:highlight w:val="none"/>
              </w:rPr>
            </w:pPr>
            <w:r>
              <w:rPr>
                <w:rFonts w:hint="eastAsia"/>
                <w:b/>
                <w:sz w:val="24"/>
                <w:highlight w:val="none"/>
              </w:rPr>
              <w:t>1</w:t>
            </w:r>
            <w:r>
              <w:rPr>
                <w:b/>
                <w:sz w:val="24"/>
                <w:highlight w:val="none"/>
              </w:rPr>
              <w:t>．</w:t>
            </w:r>
            <w:r>
              <w:rPr>
                <w:rFonts w:hint="eastAsia"/>
                <w:b/>
                <w:sz w:val="24"/>
                <w:highlight w:val="none"/>
              </w:rPr>
              <w:t>施工扬尘环境影响和施工扬尘污染防治措施</w:t>
            </w:r>
          </w:p>
          <w:p w14:paraId="45ACA0A8">
            <w:pPr>
              <w:spacing w:line="360" w:lineRule="auto"/>
              <w:ind w:firstLine="480"/>
              <w:rPr>
                <w:sz w:val="24"/>
                <w:highlight w:val="none"/>
              </w:rPr>
            </w:pPr>
            <w:r>
              <w:rPr>
                <w:sz w:val="24"/>
                <w:highlight w:val="none"/>
              </w:rPr>
              <w:t>项目</w:t>
            </w:r>
            <w:r>
              <w:rPr>
                <w:rFonts w:hint="eastAsia"/>
                <w:sz w:val="24"/>
                <w:highlight w:val="none"/>
              </w:rPr>
              <w:t>施工期</w:t>
            </w:r>
            <w:r>
              <w:rPr>
                <w:rFonts w:hint="eastAsia"/>
                <w:sz w:val="24"/>
                <w:highlight w:val="none"/>
                <w:lang w:val="en-US" w:eastAsia="zh-CN"/>
              </w:rPr>
              <w:t>现有厂房内地面、事故池等</w:t>
            </w:r>
            <w:r>
              <w:rPr>
                <w:sz w:val="24"/>
                <w:highlight w:val="none"/>
              </w:rPr>
              <w:t>土方挖掘及运输、土地平整、建筑材料装卸及堆存、工程施工</w:t>
            </w:r>
            <w:r>
              <w:rPr>
                <w:rFonts w:hint="eastAsia"/>
                <w:sz w:val="24"/>
                <w:highlight w:val="none"/>
              </w:rPr>
              <w:t>、</w:t>
            </w:r>
            <w:r>
              <w:rPr>
                <w:sz w:val="24"/>
                <w:highlight w:val="none"/>
              </w:rPr>
              <w:t>车辆行驶等过程产生的扬尘，对周边环境空气产生一定的影响。</w:t>
            </w:r>
          </w:p>
          <w:p w14:paraId="0A9C2DEB">
            <w:pPr>
              <w:spacing w:line="360" w:lineRule="auto"/>
              <w:ind w:firstLine="480"/>
              <w:rPr>
                <w:sz w:val="24"/>
                <w:highlight w:val="none"/>
              </w:rPr>
            </w:pPr>
            <w:r>
              <w:rPr>
                <w:sz w:val="24"/>
                <w:highlight w:val="none"/>
              </w:rPr>
              <w:t>就一般而言，建设项目施工过程中由于土石方挖掘破坏了地表的原有结构，造成地面扬尘污染环境</w:t>
            </w:r>
            <w:r>
              <w:rPr>
                <w:rFonts w:hint="eastAsia"/>
                <w:sz w:val="24"/>
                <w:highlight w:val="none"/>
              </w:rPr>
              <w:t>。</w:t>
            </w:r>
            <w:r>
              <w:rPr>
                <w:sz w:val="24"/>
                <w:highlight w:val="none"/>
              </w:rPr>
              <w:t>扬尘量的大小与</w:t>
            </w:r>
            <w:r>
              <w:rPr>
                <w:rFonts w:hint="eastAsia"/>
                <w:sz w:val="24"/>
                <w:highlight w:val="none"/>
              </w:rPr>
              <w:t>建设施工</w:t>
            </w:r>
            <w:r>
              <w:rPr>
                <w:sz w:val="24"/>
                <w:highlight w:val="none"/>
              </w:rPr>
              <w:t>现场条件、施工阶段、管理水平、机械化程度及施工季节、土质及天气条件等诸多因素有关。根据对多个建筑施工工地的扬尘情况进行的类比调查：建筑施工扬尘较严重，施工场界周边无组织排放浓度一般达到4-6mg/m</w:t>
            </w:r>
            <w:r>
              <w:rPr>
                <w:sz w:val="24"/>
                <w:highlight w:val="none"/>
                <w:vertAlign w:val="superscript"/>
              </w:rPr>
              <w:t>3</w:t>
            </w:r>
            <w:r>
              <w:rPr>
                <w:sz w:val="24"/>
                <w:highlight w:val="none"/>
              </w:rPr>
              <w:t>左右；当风速为2.5m/s时，工地内的</w:t>
            </w:r>
            <w:r>
              <w:rPr>
                <w:rFonts w:hint="eastAsia"/>
                <w:sz w:val="24"/>
                <w:highlight w:val="none"/>
              </w:rPr>
              <w:t>颗粒物</w:t>
            </w:r>
            <w:r>
              <w:rPr>
                <w:sz w:val="24"/>
                <w:highlight w:val="none"/>
              </w:rPr>
              <w:t>浓度为上风向对照点的1.9倍。实践表明，施工场地洒水与否对扬尘的影响很大，场地洒水后扬尘量将降低28%～75%，大大减少其对</w:t>
            </w:r>
            <w:r>
              <w:rPr>
                <w:rFonts w:hint="eastAsia"/>
                <w:sz w:val="24"/>
                <w:highlight w:val="none"/>
              </w:rPr>
              <w:t>区域环境空气</w:t>
            </w:r>
            <w:r>
              <w:rPr>
                <w:sz w:val="24"/>
                <w:highlight w:val="none"/>
              </w:rPr>
              <w:t>的影响。</w:t>
            </w:r>
          </w:p>
          <w:p w14:paraId="249A3E87">
            <w:pPr>
              <w:spacing w:line="360" w:lineRule="auto"/>
              <w:ind w:firstLine="480"/>
              <w:rPr>
                <w:sz w:val="24"/>
                <w:highlight w:val="none"/>
              </w:rPr>
            </w:pPr>
            <w:r>
              <w:rPr>
                <w:rFonts w:hint="eastAsia"/>
                <w:sz w:val="24"/>
                <w:highlight w:val="none"/>
              </w:rPr>
              <w:t>对照</w:t>
            </w:r>
            <w:r>
              <w:rPr>
                <w:sz w:val="24"/>
                <w:highlight w:val="none"/>
              </w:rPr>
              <w:t>《河北省扬尘污染防治办法》（河北省人民政府令</w:t>
            </w:r>
            <w:r>
              <w:rPr>
                <w:rFonts w:hint="eastAsia"/>
                <w:sz w:val="24"/>
                <w:highlight w:val="none"/>
                <w:lang w:eastAsia="zh-CN"/>
              </w:rPr>
              <w:t>〔2020〕1号</w:t>
            </w:r>
            <w:r>
              <w:rPr>
                <w:sz w:val="24"/>
                <w:highlight w:val="none"/>
              </w:rPr>
              <w:t>）</w:t>
            </w:r>
            <w:r>
              <w:rPr>
                <w:rFonts w:hint="eastAsia"/>
                <w:sz w:val="24"/>
                <w:highlight w:val="none"/>
              </w:rPr>
              <w:t>的规定，项目施工期采取以下扬尘污染防治措施：</w:t>
            </w:r>
          </w:p>
          <w:p w14:paraId="4C5D96B0">
            <w:pPr>
              <w:spacing w:line="360" w:lineRule="auto"/>
              <w:ind w:firstLine="480"/>
              <w:rPr>
                <w:sz w:val="24"/>
                <w:highlight w:val="none"/>
              </w:rPr>
            </w:pPr>
            <w:r>
              <w:rPr>
                <w:rFonts w:hint="eastAsia"/>
                <w:sz w:val="24"/>
                <w:highlight w:val="none"/>
              </w:rPr>
              <w:t>（1）建设施工过程中：</w:t>
            </w:r>
          </w:p>
          <w:p w14:paraId="3D6AA904">
            <w:pPr>
              <w:spacing w:line="360" w:lineRule="auto"/>
              <w:ind w:firstLine="480"/>
              <w:rPr>
                <w:sz w:val="24"/>
                <w:highlight w:val="none"/>
              </w:rPr>
            </w:pPr>
            <w:r>
              <w:rPr>
                <w:sz w:val="24"/>
                <w:highlight w:val="none"/>
              </w:rPr>
              <w:t>①</w:t>
            </w:r>
            <w:r>
              <w:rPr>
                <w:rFonts w:hint="eastAsia"/>
                <w:sz w:val="24"/>
                <w:highlight w:val="none"/>
              </w:rPr>
              <w:t>建设工程施工应当采取有效措施防止、减少扬尘污染，保证施工场地扬尘污染物排放符合国家和河北省污染物排放标准。</w:t>
            </w:r>
          </w:p>
          <w:p w14:paraId="3FE2D871">
            <w:pPr>
              <w:spacing w:line="360" w:lineRule="auto"/>
              <w:ind w:firstLine="480"/>
              <w:rPr>
                <w:sz w:val="24"/>
                <w:highlight w:val="none"/>
              </w:rPr>
            </w:pPr>
            <w:r>
              <w:rPr>
                <w:sz w:val="24"/>
                <w:highlight w:val="none"/>
              </w:rPr>
              <w:t>②</w:t>
            </w:r>
            <w:r>
              <w:rPr>
                <w:rFonts w:hint="eastAsia"/>
                <w:sz w:val="24"/>
                <w:highlight w:val="none"/>
              </w:rPr>
              <w:t>在施工现场出入口明显位置设置公示牌，公示施工现场负责人、环保监督员、防尘措施、扬尘监督管理部门、举报投诉电话等信息；</w:t>
            </w:r>
          </w:p>
          <w:p w14:paraId="7C9646A8">
            <w:pPr>
              <w:spacing w:line="360" w:lineRule="auto"/>
              <w:ind w:firstLine="480"/>
              <w:rPr>
                <w:sz w:val="24"/>
                <w:highlight w:val="none"/>
              </w:rPr>
            </w:pPr>
            <w:r>
              <w:rPr>
                <w:sz w:val="24"/>
                <w:highlight w:val="none"/>
              </w:rPr>
              <w:t>③</w:t>
            </w:r>
            <w:r>
              <w:rPr>
                <w:rFonts w:hint="eastAsia"/>
                <w:sz w:val="24"/>
                <w:highlight w:val="none"/>
              </w:rPr>
              <w:t>在施工现场周边设置硬质封闭围挡或者围墙，位于主要路段的，高度不低于</w:t>
            </w:r>
            <w:r>
              <w:rPr>
                <w:sz w:val="24"/>
                <w:highlight w:val="none"/>
              </w:rPr>
              <w:t>2.5</w:t>
            </w:r>
            <w:r>
              <w:rPr>
                <w:rFonts w:hint="eastAsia"/>
                <w:sz w:val="24"/>
                <w:highlight w:val="none"/>
              </w:rPr>
              <w:t>米，位于一般路段的，高度不低于</w:t>
            </w:r>
            <w:r>
              <w:rPr>
                <w:sz w:val="24"/>
                <w:highlight w:val="none"/>
              </w:rPr>
              <w:t>1.8</w:t>
            </w:r>
            <w:r>
              <w:rPr>
                <w:rFonts w:hint="eastAsia"/>
                <w:sz w:val="24"/>
                <w:highlight w:val="none"/>
              </w:rPr>
              <w:t>米，并在围挡底端设置不低于</w:t>
            </w:r>
            <w:r>
              <w:rPr>
                <w:sz w:val="24"/>
                <w:highlight w:val="none"/>
              </w:rPr>
              <w:t>0.2</w:t>
            </w:r>
            <w:r>
              <w:rPr>
                <w:rFonts w:hint="eastAsia"/>
                <w:sz w:val="24"/>
                <w:highlight w:val="none"/>
              </w:rPr>
              <w:t>米的防溢座；</w:t>
            </w:r>
          </w:p>
          <w:p w14:paraId="2C21928B">
            <w:pPr>
              <w:spacing w:line="360" w:lineRule="auto"/>
              <w:ind w:firstLine="480"/>
              <w:rPr>
                <w:sz w:val="24"/>
                <w:highlight w:val="none"/>
              </w:rPr>
            </w:pPr>
            <w:r>
              <w:rPr>
                <w:sz w:val="24"/>
                <w:highlight w:val="none"/>
              </w:rPr>
              <w:t>④</w:t>
            </w:r>
            <w:r>
              <w:rPr>
                <w:rFonts w:hint="eastAsia"/>
                <w:sz w:val="24"/>
                <w:highlight w:val="none"/>
              </w:rPr>
              <w:t>对施工现场出入口、场内施工道路、材料加工堆放区、办公区、生活区进行硬化处理，并保持地面整洁；</w:t>
            </w:r>
          </w:p>
          <w:p w14:paraId="1EFFAD8C">
            <w:pPr>
              <w:spacing w:line="360" w:lineRule="auto"/>
              <w:ind w:firstLine="480"/>
              <w:rPr>
                <w:sz w:val="24"/>
                <w:highlight w:val="none"/>
              </w:rPr>
            </w:pPr>
            <w:r>
              <w:rPr>
                <w:sz w:val="24"/>
                <w:highlight w:val="none"/>
              </w:rPr>
              <w:t>⑤</w:t>
            </w:r>
            <w:r>
              <w:rPr>
                <w:rFonts w:hint="eastAsia"/>
                <w:sz w:val="24"/>
                <w:highlight w:val="none"/>
              </w:rPr>
              <w:t>在施工现场出口处设置车辆清洗设施并配套设置排水、泥浆沉淀设施，车辆冲洗干净后方可驶出；</w:t>
            </w:r>
          </w:p>
          <w:p w14:paraId="51B19F89">
            <w:pPr>
              <w:spacing w:line="360" w:lineRule="auto"/>
              <w:ind w:firstLine="480"/>
              <w:rPr>
                <w:sz w:val="24"/>
                <w:highlight w:val="none"/>
              </w:rPr>
            </w:pPr>
            <w:r>
              <w:rPr>
                <w:sz w:val="24"/>
                <w:highlight w:val="none"/>
              </w:rPr>
              <w:t>⑥</w:t>
            </w:r>
            <w:r>
              <w:rPr>
                <w:rFonts w:hint="eastAsia"/>
                <w:sz w:val="24"/>
                <w:highlight w:val="none"/>
              </w:rPr>
              <w:t>按照规定使用预拌混凝土、预拌砂浆等建筑材料，只能现场搅拌的，应当采取防尘措施；</w:t>
            </w:r>
          </w:p>
          <w:p w14:paraId="26423625">
            <w:pPr>
              <w:spacing w:line="360" w:lineRule="auto"/>
              <w:ind w:firstLine="480"/>
              <w:rPr>
                <w:sz w:val="24"/>
                <w:highlight w:val="none"/>
              </w:rPr>
            </w:pPr>
            <w:r>
              <w:rPr>
                <w:sz w:val="24"/>
                <w:highlight w:val="none"/>
              </w:rPr>
              <w:t>⑦</w:t>
            </w:r>
            <w:r>
              <w:rPr>
                <w:rFonts w:hint="eastAsia"/>
                <w:sz w:val="24"/>
                <w:highlight w:val="none"/>
              </w:rPr>
              <w:t>在施工工地内堆放水泥、灰土、砂石、建筑土方等易产生扬尘的粉状、粒状建筑材料的，应当采取密闭或者遮盖等防尘措施，装卸、搬运时应当采取防尘措施；</w:t>
            </w:r>
          </w:p>
          <w:p w14:paraId="5523E815">
            <w:pPr>
              <w:spacing w:line="360" w:lineRule="auto"/>
              <w:ind w:firstLine="480"/>
              <w:rPr>
                <w:sz w:val="24"/>
                <w:highlight w:val="none"/>
              </w:rPr>
            </w:pPr>
            <w:r>
              <w:rPr>
                <w:sz w:val="24"/>
                <w:highlight w:val="none"/>
              </w:rPr>
              <w:t>⑧</w:t>
            </w:r>
            <w:r>
              <w:rPr>
                <w:rFonts w:hint="eastAsia"/>
                <w:sz w:val="24"/>
                <w:highlight w:val="none"/>
              </w:rPr>
              <w:t>建筑垃圾应当及时清运，在场地内堆存的，应当集中堆放并采取密闭或者遮盖等防尘措施；</w:t>
            </w:r>
          </w:p>
          <w:p w14:paraId="42672218">
            <w:pPr>
              <w:spacing w:line="360" w:lineRule="auto"/>
              <w:ind w:firstLine="480"/>
              <w:rPr>
                <w:sz w:val="24"/>
                <w:highlight w:val="none"/>
              </w:rPr>
            </w:pPr>
            <w:r>
              <w:rPr>
                <w:rFonts w:hint="eastAsia"/>
                <w:sz w:val="24"/>
                <w:highlight w:val="none"/>
              </w:rPr>
              <w:t>（2）物料堆存过程中：</w:t>
            </w:r>
          </w:p>
          <w:p w14:paraId="0993D268">
            <w:pPr>
              <w:spacing w:line="360" w:lineRule="auto"/>
              <w:ind w:firstLine="480"/>
              <w:rPr>
                <w:sz w:val="24"/>
                <w:highlight w:val="none"/>
              </w:rPr>
            </w:pPr>
            <w:r>
              <w:rPr>
                <w:sz w:val="24"/>
                <w:highlight w:val="none"/>
              </w:rPr>
              <w:t>①</w:t>
            </w:r>
            <w:r>
              <w:rPr>
                <w:rFonts w:hint="eastAsia"/>
                <w:sz w:val="24"/>
                <w:highlight w:val="none"/>
              </w:rPr>
              <w:t>划分物料区域和道路界限，及时清除散落的物料，保持物料堆放区域和道路整洁；</w:t>
            </w:r>
          </w:p>
          <w:p w14:paraId="06FB918A">
            <w:pPr>
              <w:spacing w:line="360" w:lineRule="auto"/>
              <w:ind w:firstLine="480"/>
              <w:rPr>
                <w:sz w:val="24"/>
                <w:highlight w:val="none"/>
              </w:rPr>
            </w:pPr>
            <w:r>
              <w:rPr>
                <w:sz w:val="24"/>
                <w:highlight w:val="none"/>
              </w:rPr>
              <w:t>②</w:t>
            </w:r>
            <w:r>
              <w:rPr>
                <w:rFonts w:hint="eastAsia"/>
                <w:sz w:val="24"/>
                <w:highlight w:val="none"/>
              </w:rPr>
              <w:t>场地进行硬化处理，并及时清扫、清洗；</w:t>
            </w:r>
          </w:p>
          <w:p w14:paraId="7C0AFF9F">
            <w:pPr>
              <w:spacing w:line="360" w:lineRule="auto"/>
              <w:ind w:firstLine="480"/>
              <w:rPr>
                <w:sz w:val="24"/>
                <w:highlight w:val="none"/>
              </w:rPr>
            </w:pPr>
            <w:r>
              <w:rPr>
                <w:sz w:val="24"/>
                <w:highlight w:val="none"/>
              </w:rPr>
              <w:t>③</w:t>
            </w:r>
            <w:r>
              <w:rPr>
                <w:rFonts w:hint="eastAsia"/>
                <w:sz w:val="24"/>
                <w:highlight w:val="none"/>
              </w:rPr>
              <w:t>物料堆场周边设置高于堆存物料的围挡、防风网等设施，并采取遮盖、喷淋等防尘措施；</w:t>
            </w:r>
          </w:p>
          <w:p w14:paraId="4CFD6235">
            <w:pPr>
              <w:spacing w:line="360" w:lineRule="auto"/>
              <w:ind w:firstLine="480"/>
              <w:rPr>
                <w:sz w:val="24"/>
                <w:highlight w:val="none"/>
              </w:rPr>
            </w:pPr>
            <w:r>
              <w:rPr>
                <w:sz w:val="24"/>
                <w:highlight w:val="none"/>
              </w:rPr>
              <w:t>④</w:t>
            </w:r>
            <w:r>
              <w:rPr>
                <w:rFonts w:hint="eastAsia"/>
                <w:sz w:val="24"/>
                <w:highlight w:val="none"/>
              </w:rPr>
              <w:t>露天装卸作业的，应当采取洒水等防尘措施，采用密闭输送设备作业的，在装料、卸料处配备吸尘、喷淋等防尘设施，并保持防尘设施正常使用；</w:t>
            </w:r>
          </w:p>
          <w:p w14:paraId="2F02AAC3">
            <w:pPr>
              <w:spacing w:line="360" w:lineRule="auto"/>
              <w:ind w:firstLine="480"/>
              <w:rPr>
                <w:sz w:val="24"/>
                <w:highlight w:val="none"/>
              </w:rPr>
            </w:pPr>
            <w:r>
              <w:rPr>
                <w:sz w:val="24"/>
                <w:highlight w:val="none"/>
              </w:rPr>
              <w:t>通过采取上述措施，项目施工期场地周界外扬尘排放</w:t>
            </w:r>
            <w:r>
              <w:rPr>
                <w:rFonts w:hint="eastAsia"/>
                <w:sz w:val="24"/>
                <w:highlight w:val="none"/>
              </w:rPr>
              <w:t>满足</w:t>
            </w:r>
            <w:r>
              <w:rPr>
                <w:sz w:val="24"/>
                <w:highlight w:val="none"/>
              </w:rPr>
              <w:t>《</w:t>
            </w:r>
            <w:r>
              <w:rPr>
                <w:rFonts w:hint="eastAsia"/>
                <w:sz w:val="24"/>
                <w:highlight w:val="none"/>
              </w:rPr>
              <w:t>施工场地扬尘排放标准</w:t>
            </w:r>
            <w:r>
              <w:rPr>
                <w:sz w:val="24"/>
                <w:highlight w:val="none"/>
              </w:rPr>
              <w:t>》（DB13/2934-2019）中表1</w:t>
            </w:r>
            <w:r>
              <w:rPr>
                <w:rFonts w:hint="eastAsia"/>
                <w:sz w:val="24"/>
                <w:highlight w:val="none"/>
              </w:rPr>
              <w:t>施工场地扬尘排放浓度限值</w:t>
            </w:r>
            <w:r>
              <w:rPr>
                <w:sz w:val="24"/>
                <w:highlight w:val="none"/>
              </w:rPr>
              <w:t>的要求，对周边</w:t>
            </w:r>
            <w:r>
              <w:rPr>
                <w:rFonts w:hint="eastAsia"/>
                <w:sz w:val="24"/>
                <w:highlight w:val="none"/>
              </w:rPr>
              <w:t>环境空气</w:t>
            </w:r>
            <w:r>
              <w:rPr>
                <w:sz w:val="24"/>
                <w:highlight w:val="none"/>
              </w:rPr>
              <w:t>影响较小。随着施工期的结束，施工扬尘影响也将结束。</w:t>
            </w:r>
          </w:p>
          <w:p w14:paraId="530F668B">
            <w:pPr>
              <w:spacing w:line="360" w:lineRule="auto"/>
              <w:ind w:firstLine="482"/>
              <w:rPr>
                <w:b/>
                <w:sz w:val="24"/>
                <w:highlight w:val="none"/>
              </w:rPr>
            </w:pPr>
            <w:r>
              <w:rPr>
                <w:b/>
                <w:sz w:val="24"/>
                <w:highlight w:val="none"/>
              </w:rPr>
              <w:t>2．</w:t>
            </w:r>
            <w:r>
              <w:rPr>
                <w:rFonts w:hint="eastAsia"/>
                <w:b/>
                <w:sz w:val="24"/>
                <w:highlight w:val="none"/>
              </w:rPr>
              <w:t>施工废水环境影响和施工废水污染防治措施</w:t>
            </w:r>
          </w:p>
          <w:p w14:paraId="10DDC554">
            <w:pPr>
              <w:spacing w:line="360" w:lineRule="auto"/>
              <w:ind w:firstLine="480"/>
              <w:rPr>
                <w:sz w:val="24"/>
                <w:highlight w:val="none"/>
              </w:rPr>
            </w:pPr>
            <w:r>
              <w:rPr>
                <w:sz w:val="24"/>
                <w:highlight w:val="none"/>
              </w:rPr>
              <w:t>项目建设过程中产生的污水主要为施工作业产生的泥浆水、受雨水冲刷</w:t>
            </w:r>
            <w:r>
              <w:rPr>
                <w:rFonts w:hint="eastAsia"/>
                <w:sz w:val="24"/>
                <w:highlight w:val="none"/>
              </w:rPr>
              <w:t>造成</w:t>
            </w:r>
            <w:r>
              <w:rPr>
                <w:sz w:val="24"/>
                <w:highlight w:val="none"/>
              </w:rPr>
              <w:t>地表径流</w:t>
            </w:r>
            <w:r>
              <w:rPr>
                <w:rFonts w:hint="eastAsia"/>
                <w:sz w:val="24"/>
                <w:highlight w:val="none"/>
              </w:rPr>
              <w:t>而</w:t>
            </w:r>
            <w:r>
              <w:rPr>
                <w:sz w:val="24"/>
                <w:highlight w:val="none"/>
              </w:rPr>
              <w:t>形成的泥浆水等施工污水及工人的生活污水。</w:t>
            </w:r>
          </w:p>
          <w:p w14:paraId="26E7F166">
            <w:pPr>
              <w:spacing w:line="360" w:lineRule="auto"/>
              <w:ind w:firstLine="480"/>
              <w:rPr>
                <w:sz w:val="24"/>
                <w:highlight w:val="none"/>
              </w:rPr>
            </w:pPr>
            <w:r>
              <w:rPr>
                <w:rFonts w:hint="eastAsia"/>
                <w:sz w:val="24"/>
                <w:highlight w:val="none"/>
              </w:rPr>
              <w:t>（1）采取的施工废水污染防治措施为：</w:t>
            </w:r>
          </w:p>
          <w:p w14:paraId="2B248D47">
            <w:pPr>
              <w:spacing w:line="360" w:lineRule="auto"/>
              <w:ind w:firstLine="480"/>
              <w:rPr>
                <w:sz w:val="24"/>
                <w:highlight w:val="none"/>
              </w:rPr>
            </w:pPr>
            <w:r>
              <w:rPr>
                <w:sz w:val="24"/>
                <w:highlight w:val="none"/>
              </w:rPr>
              <w:t>项目</w:t>
            </w:r>
            <w:r>
              <w:rPr>
                <w:rFonts w:hint="eastAsia"/>
                <w:sz w:val="24"/>
                <w:highlight w:val="none"/>
              </w:rPr>
              <w:t>建设</w:t>
            </w:r>
            <w:r>
              <w:rPr>
                <w:sz w:val="24"/>
                <w:highlight w:val="none"/>
              </w:rPr>
              <w:t>区域雨季时间6月至8月，在雨季</w:t>
            </w:r>
            <w:r>
              <w:rPr>
                <w:rFonts w:hint="eastAsia"/>
                <w:sz w:val="24"/>
                <w:highlight w:val="none"/>
              </w:rPr>
              <w:t>建设施工</w:t>
            </w:r>
            <w:r>
              <w:rPr>
                <w:sz w:val="24"/>
                <w:highlight w:val="none"/>
              </w:rPr>
              <w:t>场地不可避免受雨水的冲刷，雨后的地表径流冲刷浮土、建筑砂石、垃圾等会形成泥浆水。</w:t>
            </w:r>
            <w:r>
              <w:rPr>
                <w:rFonts w:hint="eastAsia"/>
                <w:sz w:val="24"/>
                <w:highlight w:val="none"/>
              </w:rPr>
              <w:t>通过</w:t>
            </w:r>
            <w:r>
              <w:rPr>
                <w:sz w:val="24"/>
                <w:highlight w:val="none"/>
              </w:rPr>
              <w:t>在施工现场修建临时</w:t>
            </w:r>
            <w:r>
              <w:rPr>
                <w:rFonts w:hint="eastAsia"/>
                <w:sz w:val="24"/>
                <w:highlight w:val="none"/>
              </w:rPr>
              <w:t>性</w:t>
            </w:r>
            <w:r>
              <w:rPr>
                <w:sz w:val="24"/>
                <w:highlight w:val="none"/>
              </w:rPr>
              <w:t>集水池，将雨后地表径流形成的泥浆水和施工废水引至集水池收集处理后，用于</w:t>
            </w:r>
            <w:r>
              <w:rPr>
                <w:rFonts w:hint="eastAsia"/>
                <w:sz w:val="24"/>
                <w:highlight w:val="none"/>
              </w:rPr>
              <w:t>建筑</w:t>
            </w:r>
            <w:r>
              <w:rPr>
                <w:sz w:val="24"/>
                <w:highlight w:val="none"/>
              </w:rPr>
              <w:t>场地的洒水降尘，</w:t>
            </w:r>
            <w:r>
              <w:rPr>
                <w:rFonts w:hint="eastAsia"/>
                <w:sz w:val="24"/>
                <w:highlight w:val="none"/>
              </w:rPr>
              <w:t>不外排；集水池远离河道修建</w:t>
            </w:r>
            <w:r>
              <w:rPr>
                <w:sz w:val="24"/>
                <w:highlight w:val="none"/>
              </w:rPr>
              <w:t>。</w:t>
            </w:r>
            <w:r>
              <w:rPr>
                <w:rFonts w:hint="eastAsia"/>
                <w:sz w:val="24"/>
                <w:highlight w:val="none"/>
              </w:rPr>
              <w:t>另外，项目应合理选择施工时间，不选在雨期进行建设，加强施工管理，合理安排施工进度、施工时段，降低废水污染。</w:t>
            </w:r>
          </w:p>
          <w:p w14:paraId="344CB19D">
            <w:pPr>
              <w:spacing w:line="360" w:lineRule="auto"/>
              <w:ind w:firstLine="480"/>
              <w:rPr>
                <w:sz w:val="24"/>
                <w:highlight w:val="none"/>
              </w:rPr>
            </w:pPr>
            <w:r>
              <w:rPr>
                <w:rFonts w:hint="eastAsia"/>
                <w:sz w:val="24"/>
                <w:highlight w:val="none"/>
              </w:rPr>
              <w:t>（</w:t>
            </w:r>
            <w:r>
              <w:rPr>
                <w:sz w:val="24"/>
                <w:highlight w:val="none"/>
              </w:rPr>
              <w:t>2</w:t>
            </w:r>
            <w:r>
              <w:rPr>
                <w:rFonts w:hint="eastAsia"/>
                <w:sz w:val="24"/>
                <w:highlight w:val="none"/>
              </w:rPr>
              <w:t>）采取的职工生活污水污染防治措施为：</w:t>
            </w:r>
          </w:p>
          <w:p w14:paraId="7D469F2F">
            <w:pPr>
              <w:spacing w:line="360" w:lineRule="auto"/>
              <w:ind w:firstLine="480"/>
              <w:rPr>
                <w:sz w:val="24"/>
                <w:highlight w:val="none"/>
              </w:rPr>
            </w:pPr>
            <w:r>
              <w:rPr>
                <w:rFonts w:hint="eastAsia"/>
                <w:sz w:val="24"/>
                <w:highlight w:val="none"/>
              </w:rPr>
              <w:t>建设过程中</w:t>
            </w:r>
            <w:r>
              <w:rPr>
                <w:sz w:val="24"/>
                <w:highlight w:val="none"/>
              </w:rPr>
              <w:t>工人生活污水产生量较少，主要是工人的盥洗用水，泼洒至施工现场用于降尘使用</w:t>
            </w:r>
            <w:r>
              <w:rPr>
                <w:rFonts w:hint="eastAsia"/>
                <w:sz w:val="24"/>
                <w:highlight w:val="none"/>
              </w:rPr>
              <w:t>。</w:t>
            </w:r>
          </w:p>
          <w:p w14:paraId="1955D566">
            <w:pPr>
              <w:spacing w:line="360" w:lineRule="auto"/>
              <w:ind w:firstLine="482"/>
              <w:rPr>
                <w:b/>
                <w:sz w:val="24"/>
                <w:highlight w:val="none"/>
              </w:rPr>
            </w:pPr>
            <w:r>
              <w:rPr>
                <w:b/>
                <w:sz w:val="24"/>
                <w:highlight w:val="none"/>
              </w:rPr>
              <w:t>3．</w:t>
            </w:r>
            <w:r>
              <w:rPr>
                <w:rFonts w:hint="eastAsia"/>
                <w:b/>
                <w:sz w:val="24"/>
                <w:highlight w:val="none"/>
              </w:rPr>
              <w:t>施工噪声环境影响和污染防治措施</w:t>
            </w:r>
          </w:p>
          <w:p w14:paraId="0CE85F55">
            <w:pPr>
              <w:spacing w:line="360" w:lineRule="auto"/>
              <w:ind w:firstLine="480"/>
              <w:rPr>
                <w:sz w:val="24"/>
                <w:highlight w:val="none"/>
              </w:rPr>
            </w:pPr>
            <w:r>
              <w:rPr>
                <w:rFonts w:hint="eastAsia"/>
                <w:sz w:val="24"/>
                <w:highlight w:val="none"/>
              </w:rPr>
              <w:t>项目</w:t>
            </w:r>
            <w:r>
              <w:rPr>
                <w:sz w:val="24"/>
                <w:highlight w:val="none"/>
              </w:rPr>
              <w:t>建设过程中，噪声主要来自建设施工机械</w:t>
            </w:r>
            <w:r>
              <w:rPr>
                <w:rFonts w:hint="eastAsia"/>
                <w:sz w:val="24"/>
                <w:highlight w:val="none"/>
              </w:rPr>
              <w:t>、施工作业</w:t>
            </w:r>
            <w:r>
              <w:rPr>
                <w:sz w:val="24"/>
                <w:highlight w:val="none"/>
              </w:rPr>
              <w:t>和运输车辆的噪声。</w:t>
            </w:r>
          </w:p>
          <w:p w14:paraId="499DF8F9">
            <w:pPr>
              <w:spacing w:line="360" w:lineRule="auto"/>
              <w:ind w:firstLine="480"/>
              <w:rPr>
                <w:sz w:val="24"/>
                <w:highlight w:val="none"/>
              </w:rPr>
            </w:pPr>
            <w:r>
              <w:rPr>
                <w:sz w:val="24"/>
                <w:highlight w:val="none"/>
              </w:rPr>
              <w:t>采取的</w:t>
            </w:r>
            <w:r>
              <w:rPr>
                <w:rFonts w:hint="eastAsia"/>
                <w:sz w:val="24"/>
                <w:highlight w:val="none"/>
              </w:rPr>
              <w:t>噪声污染防治</w:t>
            </w:r>
            <w:r>
              <w:rPr>
                <w:sz w:val="24"/>
                <w:highlight w:val="none"/>
              </w:rPr>
              <w:t>措施为</w:t>
            </w:r>
            <w:r>
              <w:rPr>
                <w:rFonts w:hint="eastAsia"/>
                <w:sz w:val="24"/>
                <w:highlight w:val="none"/>
              </w:rPr>
              <w:t>：</w:t>
            </w:r>
          </w:p>
          <w:p w14:paraId="4C655208">
            <w:pPr>
              <w:spacing w:line="360" w:lineRule="auto"/>
              <w:ind w:firstLine="480"/>
              <w:rPr>
                <w:sz w:val="24"/>
                <w:highlight w:val="none"/>
              </w:rPr>
            </w:pPr>
            <w:r>
              <w:rPr>
                <w:rFonts w:hint="eastAsia"/>
                <w:sz w:val="24"/>
                <w:highlight w:val="none"/>
              </w:rPr>
              <w:t>（1）</w:t>
            </w:r>
            <w:r>
              <w:rPr>
                <w:sz w:val="24"/>
                <w:highlight w:val="none"/>
              </w:rPr>
              <w:t>选用低噪声的</w:t>
            </w:r>
            <w:r>
              <w:rPr>
                <w:rFonts w:hint="eastAsia"/>
                <w:sz w:val="24"/>
                <w:highlight w:val="none"/>
              </w:rPr>
              <w:t>施工</w:t>
            </w:r>
            <w:r>
              <w:rPr>
                <w:sz w:val="24"/>
                <w:highlight w:val="none"/>
              </w:rPr>
              <w:t>设备和先进的</w:t>
            </w:r>
            <w:r>
              <w:rPr>
                <w:rFonts w:hint="eastAsia"/>
                <w:sz w:val="24"/>
                <w:highlight w:val="none"/>
              </w:rPr>
              <w:t>施工</w:t>
            </w:r>
            <w:r>
              <w:rPr>
                <w:sz w:val="24"/>
                <w:highlight w:val="none"/>
              </w:rPr>
              <w:t>工艺，保持设备处于良好的运转状态</w:t>
            </w:r>
            <w:r>
              <w:rPr>
                <w:rFonts w:hint="eastAsia"/>
                <w:sz w:val="24"/>
                <w:highlight w:val="none"/>
              </w:rPr>
              <w:t>；</w:t>
            </w:r>
            <w:r>
              <w:rPr>
                <w:sz w:val="24"/>
                <w:highlight w:val="none"/>
              </w:rPr>
              <w:t>闲置设备及时关闭</w:t>
            </w:r>
            <w:r>
              <w:rPr>
                <w:rFonts w:hint="eastAsia"/>
                <w:sz w:val="24"/>
                <w:highlight w:val="none"/>
              </w:rPr>
              <w:t>，定时</w:t>
            </w:r>
            <w:r>
              <w:rPr>
                <w:sz w:val="24"/>
                <w:highlight w:val="none"/>
              </w:rPr>
              <w:t>检修</w:t>
            </w:r>
            <w:r>
              <w:rPr>
                <w:rFonts w:hint="eastAsia"/>
                <w:sz w:val="24"/>
                <w:highlight w:val="none"/>
              </w:rPr>
              <w:t>。</w:t>
            </w:r>
          </w:p>
          <w:p w14:paraId="6608D41F">
            <w:pPr>
              <w:spacing w:line="360" w:lineRule="auto"/>
              <w:ind w:firstLine="480"/>
              <w:rPr>
                <w:sz w:val="24"/>
                <w:highlight w:val="none"/>
              </w:rPr>
            </w:pPr>
            <w:r>
              <w:rPr>
                <w:rFonts w:hint="eastAsia"/>
                <w:sz w:val="24"/>
                <w:highlight w:val="none"/>
              </w:rPr>
              <w:t>（2）</w:t>
            </w:r>
            <w:r>
              <w:rPr>
                <w:sz w:val="24"/>
                <w:highlight w:val="none"/>
              </w:rPr>
              <w:t>夜间</w:t>
            </w:r>
            <w:r>
              <w:rPr>
                <w:rFonts w:hint="eastAsia"/>
                <w:sz w:val="24"/>
                <w:highlight w:val="none"/>
              </w:rPr>
              <w:t>2</w:t>
            </w:r>
            <w:r>
              <w:rPr>
                <w:sz w:val="24"/>
                <w:highlight w:val="none"/>
              </w:rPr>
              <w:t>2</w:t>
            </w:r>
            <w:r>
              <w:rPr>
                <w:rFonts w:hint="eastAsia"/>
                <w:sz w:val="24"/>
                <w:highlight w:val="none"/>
              </w:rPr>
              <w:t>:0</w:t>
            </w:r>
            <w:r>
              <w:rPr>
                <w:sz w:val="24"/>
                <w:highlight w:val="none"/>
              </w:rPr>
              <w:t>0</w:t>
            </w:r>
            <w:r>
              <w:rPr>
                <w:rFonts w:hint="eastAsia"/>
                <w:sz w:val="24"/>
                <w:highlight w:val="none"/>
              </w:rPr>
              <w:t>~</w:t>
            </w:r>
            <w:r>
              <w:rPr>
                <w:sz w:val="24"/>
                <w:highlight w:val="none"/>
              </w:rPr>
              <w:t>6</w:t>
            </w:r>
            <w:r>
              <w:rPr>
                <w:rFonts w:hint="eastAsia"/>
                <w:sz w:val="24"/>
                <w:highlight w:val="none"/>
              </w:rPr>
              <w:t>:0</w:t>
            </w:r>
            <w:r>
              <w:rPr>
                <w:sz w:val="24"/>
                <w:highlight w:val="none"/>
              </w:rPr>
              <w:t>0不建设，</w:t>
            </w:r>
            <w:r>
              <w:rPr>
                <w:rFonts w:hint="eastAsia"/>
                <w:sz w:val="24"/>
                <w:highlight w:val="none"/>
              </w:rPr>
              <w:t>不</w:t>
            </w:r>
            <w:r>
              <w:rPr>
                <w:sz w:val="24"/>
                <w:highlight w:val="none"/>
              </w:rPr>
              <w:t>在同一时间集中使用大量的动力机械设备</w:t>
            </w:r>
            <w:r>
              <w:rPr>
                <w:rFonts w:hint="eastAsia"/>
                <w:sz w:val="24"/>
                <w:highlight w:val="none"/>
              </w:rPr>
              <w:t>；</w:t>
            </w:r>
            <w:r>
              <w:rPr>
                <w:sz w:val="24"/>
                <w:highlight w:val="none"/>
              </w:rPr>
              <w:t>如</w:t>
            </w:r>
            <w:r>
              <w:rPr>
                <w:rFonts w:hint="eastAsia"/>
                <w:sz w:val="24"/>
                <w:highlight w:val="none"/>
              </w:rPr>
              <w:t>昼间6:00~22:00施工</w:t>
            </w:r>
            <w:r>
              <w:rPr>
                <w:sz w:val="24"/>
                <w:highlight w:val="none"/>
              </w:rPr>
              <w:t>期间使用噪声值大的设备分散使用</w:t>
            </w:r>
            <w:r>
              <w:rPr>
                <w:rFonts w:hint="eastAsia"/>
                <w:sz w:val="24"/>
                <w:highlight w:val="none"/>
              </w:rPr>
              <w:t>。</w:t>
            </w:r>
          </w:p>
          <w:p w14:paraId="7BBE9395">
            <w:pPr>
              <w:spacing w:line="360" w:lineRule="auto"/>
              <w:ind w:firstLine="480"/>
              <w:rPr>
                <w:sz w:val="24"/>
                <w:highlight w:val="none"/>
              </w:rPr>
            </w:pPr>
            <w:r>
              <w:rPr>
                <w:rFonts w:hint="eastAsia"/>
                <w:sz w:val="24"/>
                <w:highlight w:val="none"/>
              </w:rPr>
              <w:t>（3）建设</w:t>
            </w:r>
            <w:r>
              <w:rPr>
                <w:sz w:val="24"/>
                <w:highlight w:val="none"/>
              </w:rPr>
              <w:t>现场不安装混凝土搅拌机，混凝土外购</w:t>
            </w:r>
            <w:r>
              <w:rPr>
                <w:rFonts w:hint="eastAsia"/>
                <w:sz w:val="24"/>
                <w:highlight w:val="none"/>
              </w:rPr>
              <w:t>。</w:t>
            </w:r>
          </w:p>
          <w:p w14:paraId="5930B1AA">
            <w:pPr>
              <w:spacing w:line="360" w:lineRule="auto"/>
              <w:ind w:firstLine="480"/>
              <w:rPr>
                <w:sz w:val="24"/>
                <w:highlight w:val="none"/>
              </w:rPr>
            </w:pPr>
            <w:r>
              <w:rPr>
                <w:rFonts w:hint="eastAsia"/>
                <w:sz w:val="24"/>
                <w:highlight w:val="none"/>
              </w:rPr>
              <w:t>（4）</w:t>
            </w:r>
            <w:r>
              <w:rPr>
                <w:sz w:val="24"/>
                <w:highlight w:val="none"/>
              </w:rPr>
              <w:t>对于运输材料、土石方等物料的车辆，</w:t>
            </w:r>
            <w:r>
              <w:rPr>
                <w:rFonts w:hint="eastAsia"/>
                <w:sz w:val="24"/>
                <w:highlight w:val="none"/>
              </w:rPr>
              <w:t>不在</w:t>
            </w:r>
            <w:r>
              <w:rPr>
                <w:sz w:val="24"/>
                <w:highlight w:val="none"/>
              </w:rPr>
              <w:t>敏感时段运输，加强管理，车辆减速、禁鸣，</w:t>
            </w:r>
            <w:r>
              <w:rPr>
                <w:rFonts w:hint="eastAsia"/>
                <w:sz w:val="24"/>
                <w:highlight w:val="none"/>
              </w:rPr>
              <w:t>场地内</w:t>
            </w:r>
            <w:r>
              <w:rPr>
                <w:sz w:val="24"/>
                <w:highlight w:val="none"/>
              </w:rPr>
              <w:t>运输车辆</w:t>
            </w:r>
            <w:r>
              <w:rPr>
                <w:rFonts w:hint="eastAsia"/>
                <w:sz w:val="24"/>
                <w:highlight w:val="none"/>
              </w:rPr>
              <w:t>不长时间</w:t>
            </w:r>
            <w:r>
              <w:rPr>
                <w:sz w:val="24"/>
                <w:highlight w:val="none"/>
              </w:rPr>
              <w:t>行驶</w:t>
            </w:r>
            <w:r>
              <w:rPr>
                <w:rFonts w:hint="eastAsia"/>
                <w:sz w:val="24"/>
                <w:highlight w:val="none"/>
              </w:rPr>
              <w:t>。</w:t>
            </w:r>
          </w:p>
          <w:p w14:paraId="3C1CAE62">
            <w:pPr>
              <w:spacing w:line="360" w:lineRule="auto"/>
              <w:ind w:firstLine="480"/>
              <w:rPr>
                <w:sz w:val="24"/>
                <w:highlight w:val="none"/>
              </w:rPr>
            </w:pPr>
            <w:r>
              <w:rPr>
                <w:rFonts w:hint="eastAsia"/>
                <w:sz w:val="24"/>
                <w:highlight w:val="none"/>
              </w:rPr>
              <w:t>（5）加强施工期的环境管理工作。</w:t>
            </w:r>
          </w:p>
          <w:p w14:paraId="6FB67F3F">
            <w:pPr>
              <w:spacing w:line="360" w:lineRule="auto"/>
              <w:ind w:firstLine="480"/>
              <w:rPr>
                <w:sz w:val="24"/>
                <w:highlight w:val="none"/>
              </w:rPr>
            </w:pPr>
            <w:r>
              <w:rPr>
                <w:sz w:val="24"/>
                <w:highlight w:val="none"/>
              </w:rPr>
              <w:t>在采取上述措施后，项目施工期施工场界噪声满足《建筑施工场界环境噪声排放标准》（GB12523-2011</w:t>
            </w:r>
            <w:r>
              <w:rPr>
                <w:rFonts w:hint="eastAsia"/>
                <w:sz w:val="24"/>
                <w:highlight w:val="none"/>
              </w:rPr>
              <w:t>）</w:t>
            </w:r>
            <w:r>
              <w:rPr>
                <w:sz w:val="24"/>
                <w:highlight w:val="none"/>
              </w:rPr>
              <w:t>要求</w:t>
            </w:r>
            <w:r>
              <w:rPr>
                <w:rFonts w:hint="eastAsia"/>
                <w:sz w:val="24"/>
                <w:highlight w:val="none"/>
              </w:rPr>
              <w:t>，</w:t>
            </w:r>
            <w:r>
              <w:rPr>
                <w:sz w:val="24"/>
                <w:highlight w:val="none"/>
              </w:rPr>
              <w:t>达标排放，对周围</w:t>
            </w:r>
            <w:r>
              <w:rPr>
                <w:rFonts w:hint="eastAsia"/>
                <w:sz w:val="24"/>
                <w:highlight w:val="none"/>
              </w:rPr>
              <w:t>声</w:t>
            </w:r>
            <w:r>
              <w:rPr>
                <w:sz w:val="24"/>
                <w:highlight w:val="none"/>
              </w:rPr>
              <w:t>环境影响较小。</w:t>
            </w:r>
          </w:p>
          <w:p w14:paraId="335AC776">
            <w:pPr>
              <w:spacing w:line="360" w:lineRule="auto"/>
              <w:ind w:firstLine="482"/>
              <w:rPr>
                <w:bCs/>
                <w:spacing w:val="-10"/>
                <w:sz w:val="24"/>
                <w:szCs w:val="21"/>
                <w:highlight w:val="none"/>
              </w:rPr>
            </w:pPr>
            <w:r>
              <w:rPr>
                <w:b/>
                <w:sz w:val="24"/>
                <w:highlight w:val="none"/>
              </w:rPr>
              <w:t>4．</w:t>
            </w:r>
            <w:r>
              <w:rPr>
                <w:rFonts w:hint="eastAsia"/>
                <w:b/>
                <w:sz w:val="24"/>
                <w:highlight w:val="none"/>
              </w:rPr>
              <w:t>施工期固体废物环境影响和处置措施</w:t>
            </w:r>
          </w:p>
          <w:p w14:paraId="3CA2B5E3">
            <w:pPr>
              <w:spacing w:line="360" w:lineRule="auto"/>
              <w:ind w:firstLine="480"/>
              <w:rPr>
                <w:sz w:val="24"/>
                <w:highlight w:val="none"/>
              </w:rPr>
            </w:pPr>
            <w:r>
              <w:rPr>
                <w:sz w:val="24"/>
                <w:highlight w:val="none"/>
              </w:rPr>
              <w:t>项目建设过程中产生的固体废物主要为弃土、弃渣、建筑垃圾和工人</w:t>
            </w:r>
            <w:r>
              <w:rPr>
                <w:rFonts w:hint="eastAsia"/>
                <w:sz w:val="24"/>
                <w:highlight w:val="none"/>
              </w:rPr>
              <w:t>施工</w:t>
            </w:r>
            <w:r>
              <w:rPr>
                <w:sz w:val="24"/>
                <w:highlight w:val="none"/>
              </w:rPr>
              <w:t>产生的生活垃圾。</w:t>
            </w:r>
          </w:p>
          <w:p w14:paraId="49288BE6">
            <w:pPr>
              <w:spacing w:line="360" w:lineRule="auto"/>
              <w:ind w:firstLine="480"/>
              <w:rPr>
                <w:sz w:val="24"/>
                <w:highlight w:val="none"/>
              </w:rPr>
            </w:pPr>
            <w:r>
              <w:rPr>
                <w:rFonts w:hint="eastAsia"/>
                <w:sz w:val="24"/>
                <w:highlight w:val="none"/>
              </w:rPr>
              <w:t>采取的固废废物处置措施为：</w:t>
            </w:r>
          </w:p>
          <w:p w14:paraId="338BC681">
            <w:pPr>
              <w:spacing w:line="360" w:lineRule="auto"/>
              <w:ind w:firstLine="480"/>
              <w:rPr>
                <w:sz w:val="24"/>
                <w:highlight w:val="none"/>
              </w:rPr>
            </w:pPr>
            <w:r>
              <w:rPr>
                <w:rFonts w:hint="eastAsia"/>
                <w:sz w:val="24"/>
                <w:highlight w:val="none"/>
              </w:rPr>
              <w:t>（1）</w:t>
            </w:r>
            <w:r>
              <w:rPr>
                <w:sz w:val="24"/>
                <w:highlight w:val="none"/>
              </w:rPr>
              <w:t>建设过程中产生的弃土</w:t>
            </w:r>
            <w:r>
              <w:rPr>
                <w:rFonts w:hint="eastAsia"/>
                <w:sz w:val="24"/>
                <w:highlight w:val="none"/>
              </w:rPr>
              <w:t>、</w:t>
            </w:r>
            <w:r>
              <w:rPr>
                <w:sz w:val="24"/>
                <w:highlight w:val="none"/>
              </w:rPr>
              <w:t>石及建筑垃圾等</w:t>
            </w:r>
            <w:r>
              <w:rPr>
                <w:rFonts w:hint="eastAsia"/>
                <w:sz w:val="24"/>
                <w:highlight w:val="none"/>
              </w:rPr>
              <w:t>指定地点堆存，优先进行回用</w:t>
            </w:r>
            <w:r>
              <w:rPr>
                <w:sz w:val="24"/>
                <w:highlight w:val="none"/>
              </w:rPr>
              <w:t>，剩余部分</w:t>
            </w:r>
            <w:r>
              <w:rPr>
                <w:rFonts w:hint="eastAsia"/>
                <w:sz w:val="24"/>
                <w:highlight w:val="none"/>
              </w:rPr>
              <w:t>及时清运，</w:t>
            </w:r>
            <w:r>
              <w:rPr>
                <w:sz w:val="24"/>
                <w:highlight w:val="none"/>
              </w:rPr>
              <w:t>送至</w:t>
            </w:r>
            <w:r>
              <w:rPr>
                <w:rFonts w:hint="eastAsia"/>
                <w:sz w:val="24"/>
                <w:highlight w:val="none"/>
              </w:rPr>
              <w:t>区域指定</w:t>
            </w:r>
            <w:r>
              <w:rPr>
                <w:sz w:val="24"/>
                <w:highlight w:val="none"/>
              </w:rPr>
              <w:t>建筑垃圾场堆存处置</w:t>
            </w:r>
            <w:r>
              <w:rPr>
                <w:rFonts w:hint="eastAsia"/>
                <w:sz w:val="24"/>
                <w:highlight w:val="none"/>
              </w:rPr>
              <w:t>。</w:t>
            </w:r>
          </w:p>
          <w:p w14:paraId="1F82239C">
            <w:pPr>
              <w:spacing w:line="360" w:lineRule="auto"/>
              <w:ind w:firstLine="480"/>
              <w:rPr>
                <w:rFonts w:ascii="宋体" w:hAnsi="宋体" w:cs="宋体"/>
                <w:bCs/>
                <w:spacing w:val="-10"/>
                <w:sz w:val="24"/>
                <w:szCs w:val="21"/>
                <w:highlight w:val="none"/>
              </w:rPr>
            </w:pPr>
            <w:r>
              <w:rPr>
                <w:rFonts w:hint="eastAsia"/>
                <w:sz w:val="24"/>
                <w:highlight w:val="none"/>
              </w:rPr>
              <w:t>（2）</w:t>
            </w:r>
            <w:r>
              <w:rPr>
                <w:sz w:val="24"/>
                <w:highlight w:val="none"/>
              </w:rPr>
              <w:t>建设过程中产生的生活垃圾集中收集，送至</w:t>
            </w:r>
            <w:r>
              <w:rPr>
                <w:rFonts w:hint="eastAsia"/>
                <w:sz w:val="24"/>
                <w:highlight w:val="none"/>
              </w:rPr>
              <w:t>区域指定垃圾集中堆存点，由区域</w:t>
            </w:r>
            <w:r>
              <w:rPr>
                <w:sz w:val="24"/>
                <w:highlight w:val="none"/>
              </w:rPr>
              <w:t>环卫部门</w:t>
            </w:r>
            <w:r>
              <w:rPr>
                <w:rFonts w:hint="eastAsia"/>
                <w:sz w:val="24"/>
                <w:highlight w:val="none"/>
              </w:rPr>
              <w:t>统一负责处置</w:t>
            </w:r>
            <w:r>
              <w:rPr>
                <w:sz w:val="24"/>
                <w:highlight w:val="none"/>
              </w:rPr>
              <w:t>。</w:t>
            </w:r>
          </w:p>
        </w:tc>
      </w:tr>
      <w:tr w14:paraId="5278A8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258" w:hRule="atLeast"/>
          <w:jc w:val="center"/>
        </w:trPr>
        <w:tc>
          <w:tcPr>
            <w:tcW w:w="746" w:type="dxa"/>
            <w:tcMar>
              <w:left w:w="28" w:type="dxa"/>
              <w:right w:w="28" w:type="dxa"/>
            </w:tcMar>
            <w:vAlign w:val="center"/>
          </w:tcPr>
          <w:p w14:paraId="42830773">
            <w:pPr>
              <w:adjustRightInd w:val="0"/>
              <w:snapToGrid w:val="0"/>
              <w:jc w:val="center"/>
              <w:rPr>
                <w:rFonts w:ascii="宋体" w:hAnsi="宋体" w:cs="宋体"/>
                <w:bCs/>
                <w:sz w:val="24"/>
                <w:szCs w:val="21"/>
                <w:highlight w:val="none"/>
              </w:rPr>
            </w:pPr>
            <w:r>
              <w:rPr>
                <w:rFonts w:hint="eastAsia" w:ascii="宋体" w:hAnsi="宋体" w:cs="宋体"/>
                <w:bCs/>
                <w:sz w:val="24"/>
                <w:szCs w:val="21"/>
                <w:highlight w:val="none"/>
              </w:rPr>
              <w:t>运营</w:t>
            </w:r>
          </w:p>
          <w:p w14:paraId="37C18EDC">
            <w:pPr>
              <w:adjustRightInd w:val="0"/>
              <w:snapToGrid w:val="0"/>
              <w:jc w:val="center"/>
              <w:rPr>
                <w:rFonts w:ascii="宋体" w:hAnsi="宋体" w:cs="宋体"/>
                <w:bCs/>
                <w:sz w:val="24"/>
                <w:szCs w:val="21"/>
                <w:highlight w:val="none"/>
              </w:rPr>
            </w:pPr>
            <w:r>
              <w:rPr>
                <w:rFonts w:hint="eastAsia" w:ascii="宋体" w:hAnsi="宋体" w:cs="宋体"/>
                <w:bCs/>
                <w:sz w:val="24"/>
                <w:szCs w:val="21"/>
                <w:highlight w:val="none"/>
              </w:rPr>
              <w:t>期环</w:t>
            </w:r>
          </w:p>
          <w:p w14:paraId="17925DB9">
            <w:pPr>
              <w:adjustRightInd w:val="0"/>
              <w:snapToGrid w:val="0"/>
              <w:jc w:val="center"/>
              <w:rPr>
                <w:rFonts w:ascii="宋体" w:hAnsi="宋体" w:cs="宋体"/>
                <w:bCs/>
                <w:sz w:val="24"/>
                <w:szCs w:val="21"/>
                <w:highlight w:val="none"/>
              </w:rPr>
            </w:pPr>
            <w:r>
              <w:rPr>
                <w:rFonts w:hint="eastAsia" w:ascii="宋体" w:hAnsi="宋体" w:cs="宋体"/>
                <w:bCs/>
                <w:sz w:val="24"/>
                <w:szCs w:val="21"/>
                <w:highlight w:val="none"/>
              </w:rPr>
              <w:t>境影</w:t>
            </w:r>
          </w:p>
          <w:p w14:paraId="652246D7">
            <w:pPr>
              <w:adjustRightInd w:val="0"/>
              <w:snapToGrid w:val="0"/>
              <w:jc w:val="center"/>
              <w:rPr>
                <w:rFonts w:ascii="宋体" w:hAnsi="宋体" w:cs="宋体"/>
                <w:bCs/>
                <w:sz w:val="24"/>
                <w:szCs w:val="21"/>
                <w:highlight w:val="none"/>
              </w:rPr>
            </w:pPr>
            <w:r>
              <w:rPr>
                <w:rFonts w:hint="eastAsia" w:ascii="宋体" w:hAnsi="宋体" w:cs="宋体"/>
                <w:bCs/>
                <w:sz w:val="24"/>
                <w:szCs w:val="21"/>
                <w:highlight w:val="none"/>
              </w:rPr>
              <w:t>响和</w:t>
            </w:r>
          </w:p>
          <w:p w14:paraId="6F048EA1">
            <w:pPr>
              <w:adjustRightInd w:val="0"/>
              <w:snapToGrid w:val="0"/>
              <w:jc w:val="center"/>
              <w:rPr>
                <w:rFonts w:ascii="宋体" w:hAnsi="宋体" w:cs="宋体"/>
                <w:bCs/>
                <w:sz w:val="24"/>
                <w:szCs w:val="21"/>
                <w:highlight w:val="none"/>
              </w:rPr>
            </w:pPr>
            <w:r>
              <w:rPr>
                <w:rFonts w:hint="eastAsia" w:ascii="宋体" w:hAnsi="宋体" w:cs="宋体"/>
                <w:bCs/>
                <w:sz w:val="24"/>
                <w:szCs w:val="21"/>
                <w:highlight w:val="none"/>
              </w:rPr>
              <w:t>保护</w:t>
            </w:r>
          </w:p>
          <w:p w14:paraId="1CE09F3E">
            <w:pPr>
              <w:adjustRightInd w:val="0"/>
              <w:snapToGrid w:val="0"/>
              <w:jc w:val="center"/>
              <w:rPr>
                <w:rFonts w:ascii="宋体" w:hAnsi="宋体" w:cs="宋体"/>
                <w:bCs/>
                <w:sz w:val="24"/>
                <w:szCs w:val="21"/>
                <w:highlight w:val="none"/>
              </w:rPr>
            </w:pPr>
            <w:r>
              <w:rPr>
                <w:rFonts w:hint="eastAsia" w:ascii="宋体" w:hAnsi="宋体" w:cs="宋体"/>
                <w:bCs/>
                <w:sz w:val="24"/>
                <w:szCs w:val="21"/>
                <w:highlight w:val="none"/>
              </w:rPr>
              <w:t>措施</w:t>
            </w:r>
          </w:p>
        </w:tc>
        <w:tc>
          <w:tcPr>
            <w:tcW w:w="8162" w:type="dxa"/>
            <w:vAlign w:val="center"/>
          </w:tcPr>
          <w:p w14:paraId="7049BE99">
            <w:pPr>
              <w:spacing w:before="120" w:beforeLines="50" w:line="360" w:lineRule="auto"/>
              <w:ind w:firstLine="482"/>
              <w:rPr>
                <w:b/>
                <w:sz w:val="24"/>
                <w:highlight w:val="none"/>
              </w:rPr>
            </w:pPr>
            <w:r>
              <w:rPr>
                <w:rFonts w:hint="eastAsia"/>
                <w:b/>
                <w:sz w:val="24"/>
                <w:highlight w:val="none"/>
              </w:rPr>
              <w:t>1</w:t>
            </w:r>
            <w:r>
              <w:rPr>
                <w:b/>
                <w:sz w:val="24"/>
                <w:highlight w:val="none"/>
              </w:rPr>
              <w:t>．</w:t>
            </w:r>
            <w:r>
              <w:rPr>
                <w:rFonts w:hint="eastAsia"/>
                <w:b/>
                <w:sz w:val="24"/>
                <w:highlight w:val="none"/>
              </w:rPr>
              <w:t>大气环境影响和保护措施</w:t>
            </w:r>
          </w:p>
          <w:p w14:paraId="296CD986">
            <w:pPr>
              <w:spacing w:line="360" w:lineRule="auto"/>
              <w:ind w:firstLine="480"/>
              <w:rPr>
                <w:b/>
                <w:sz w:val="24"/>
                <w:highlight w:val="none"/>
              </w:rPr>
            </w:pPr>
            <w:r>
              <w:rPr>
                <w:rFonts w:hint="eastAsia"/>
                <w:b/>
                <w:sz w:val="24"/>
                <w:highlight w:val="none"/>
              </w:rPr>
              <w:t>（</w:t>
            </w:r>
            <w:r>
              <w:rPr>
                <w:b/>
                <w:sz w:val="24"/>
                <w:highlight w:val="none"/>
              </w:rPr>
              <w:t>1</w:t>
            </w:r>
            <w:r>
              <w:rPr>
                <w:rFonts w:hint="eastAsia"/>
                <w:b/>
                <w:sz w:val="24"/>
                <w:highlight w:val="none"/>
              </w:rPr>
              <w:t>）废气污染源调查</w:t>
            </w:r>
          </w:p>
          <w:p w14:paraId="4D0A109C">
            <w:pPr>
              <w:snapToGrid w:val="0"/>
              <w:spacing w:line="360" w:lineRule="auto"/>
              <w:ind w:firstLine="480" w:firstLineChars="200"/>
              <w:rPr>
                <w:rFonts w:hint="eastAsia"/>
                <w:sz w:val="24"/>
                <w:highlight w:val="none"/>
              </w:rPr>
            </w:pPr>
            <w:r>
              <w:rPr>
                <w:rFonts w:hint="eastAsia"/>
                <w:sz w:val="24"/>
                <w:highlight w:val="none"/>
              </w:rPr>
              <w:t>本项目拟接收贮存危废的收集前包装工作均由危险废物产生单位在产废现场完成，本项目将各类危废收集运至仓库短暂贮存，各类危险废物均根据其种类、形态、挥发性特征储存在相应的包装容器内，故正常贮存情况下，无明显</w:t>
            </w:r>
            <w:r>
              <w:rPr>
                <w:rFonts w:hint="eastAsia"/>
                <w:sz w:val="24"/>
                <w:highlight w:val="none"/>
                <w:lang w:val="en-US" w:eastAsia="zh-CN"/>
              </w:rPr>
              <w:t>大气</w:t>
            </w:r>
            <w:r>
              <w:rPr>
                <w:rFonts w:hint="eastAsia"/>
                <w:sz w:val="24"/>
                <w:highlight w:val="none"/>
              </w:rPr>
              <w:t>污染物产生，少量废气主要来源于危险废物包装容器因密封不严实，包装容器局部破损导致跑、冒、滴、漏，以及危险废物包装材料表面残留的废液挥发等特殊情况下产生。</w:t>
            </w:r>
          </w:p>
          <w:p w14:paraId="02B98F69">
            <w:pPr>
              <w:snapToGrid w:val="0"/>
              <w:spacing w:line="360" w:lineRule="auto"/>
              <w:ind w:firstLine="480" w:firstLineChars="200"/>
              <w:rPr>
                <w:rFonts w:hint="eastAsia" w:ascii="Times New Roman" w:hAnsi="Times New Roman" w:eastAsia="宋体"/>
                <w:sz w:val="24"/>
                <w:highlight w:val="none"/>
                <w:lang w:eastAsia="zh-CN"/>
              </w:rPr>
            </w:pPr>
            <w:r>
              <w:rPr>
                <w:rFonts w:hint="eastAsia"/>
                <w:sz w:val="24"/>
                <w:highlight w:val="none"/>
              </w:rPr>
              <w:t>结合本项目危废仓库贮存的危废种类和物质理化特性分析，贮存过程可能产生的废气主要为非正常工况下储存的储存的废酸泄漏产生的酸雾，含有机废气的危险废物跑、冒、滴、漏产生的有机废气、恶臭气体等。</w:t>
            </w:r>
          </w:p>
          <w:p w14:paraId="4792B2F5">
            <w:pPr>
              <w:spacing w:before="120" w:beforeLines="50" w:line="360" w:lineRule="auto"/>
              <w:ind w:firstLine="482"/>
              <w:rPr>
                <w:b/>
                <w:sz w:val="24"/>
                <w:highlight w:val="none"/>
              </w:rPr>
            </w:pPr>
            <w:r>
              <w:rPr>
                <w:rFonts w:hint="eastAsia"/>
                <w:b/>
                <w:sz w:val="24"/>
                <w:highlight w:val="none"/>
              </w:rPr>
              <w:t>（</w:t>
            </w:r>
            <w:r>
              <w:rPr>
                <w:b/>
                <w:sz w:val="24"/>
                <w:highlight w:val="none"/>
              </w:rPr>
              <w:t>2</w:t>
            </w:r>
            <w:r>
              <w:rPr>
                <w:rFonts w:hint="eastAsia"/>
                <w:b/>
                <w:sz w:val="24"/>
                <w:highlight w:val="none"/>
              </w:rPr>
              <w:t>）废气污染源核算</w:t>
            </w:r>
          </w:p>
          <w:p w14:paraId="08C393D3">
            <w:pPr>
              <w:autoSpaceDE w:val="0"/>
              <w:autoSpaceDN w:val="0"/>
              <w:adjustRightInd w:val="0"/>
              <w:spacing w:line="360" w:lineRule="auto"/>
              <w:ind w:firstLine="480" w:firstLineChars="200"/>
              <w:rPr>
                <w:rFonts w:hint="default" w:ascii="Times New Roman" w:hAnsi="Times New Roman" w:eastAsia="宋体"/>
                <w:sz w:val="24"/>
                <w:highlight w:val="none"/>
                <w:lang w:val="en-US" w:eastAsia="zh-CN"/>
              </w:rPr>
            </w:pPr>
            <w:r>
              <w:rPr>
                <w:rFonts w:hint="eastAsia" w:ascii="Times New Roman" w:hAnsi="Times New Roman"/>
                <w:sz w:val="24"/>
                <w:highlight w:val="none"/>
                <w:lang w:val="en-US" w:eastAsia="zh-CN"/>
              </w:rPr>
              <w:t>A.酸雾</w:t>
            </w:r>
          </w:p>
          <w:p w14:paraId="1FC0248B">
            <w:pPr>
              <w:autoSpaceDE w:val="0"/>
              <w:autoSpaceDN w:val="0"/>
              <w:adjustRightInd w:val="0"/>
              <w:spacing w:line="360" w:lineRule="auto"/>
              <w:ind w:firstLine="480" w:firstLineChars="200"/>
              <w:rPr>
                <w:rFonts w:hint="eastAsia" w:ascii="Times New Roman" w:hAnsi="Times New Roman"/>
                <w:sz w:val="24"/>
                <w:highlight w:val="none"/>
              </w:rPr>
            </w:pPr>
            <w:r>
              <w:rPr>
                <w:rFonts w:hint="eastAsia" w:ascii="Times New Roman" w:hAnsi="Times New Roman"/>
                <w:sz w:val="24"/>
                <w:highlight w:val="none"/>
                <w:lang w:val="en-US" w:eastAsia="zh-CN"/>
              </w:rPr>
              <w:t>酸性气体</w:t>
            </w:r>
            <w:r>
              <w:rPr>
                <w:rFonts w:hint="eastAsia" w:eastAsia="宋体"/>
                <w:sz w:val="24"/>
                <w:highlight w:val="none"/>
                <w:lang w:val="en-US" w:eastAsia="zh-CN"/>
              </w:rPr>
              <w:t>：</w:t>
            </w:r>
            <w:r>
              <w:rPr>
                <w:rFonts w:hint="eastAsia" w:ascii="Times New Roman" w:hAnsi="Times New Roman"/>
                <w:sz w:val="24"/>
                <w:highlight w:val="none"/>
              </w:rPr>
              <w:t>本项目贮存的废酸</w:t>
            </w:r>
            <w:r>
              <w:rPr>
                <w:rFonts w:hint="eastAsia" w:ascii="Times New Roman" w:hAnsi="Times New Roman"/>
                <w:sz w:val="24"/>
                <w:highlight w:val="none"/>
                <w:lang w:eastAsia="zh-CN"/>
              </w:rPr>
              <w:t>（</w:t>
            </w:r>
            <w:r>
              <w:rPr>
                <w:rFonts w:hint="eastAsia" w:ascii="Times New Roman" w:hAnsi="Times New Roman"/>
                <w:sz w:val="24"/>
                <w:highlight w:val="none"/>
                <w:lang w:val="en-US" w:eastAsia="zh-CN"/>
              </w:rPr>
              <w:t>HW34</w:t>
            </w:r>
            <w:r>
              <w:rPr>
                <w:rFonts w:hint="eastAsia" w:ascii="Times New Roman" w:hAnsi="Times New Roman"/>
                <w:sz w:val="24"/>
                <w:highlight w:val="none"/>
                <w:lang w:eastAsia="zh-CN"/>
              </w:rPr>
              <w:t>）</w:t>
            </w:r>
            <w:r>
              <w:rPr>
                <w:rFonts w:hint="eastAsia" w:ascii="Times New Roman" w:hAnsi="Times New Roman"/>
                <w:sz w:val="24"/>
                <w:highlight w:val="none"/>
              </w:rPr>
              <w:t>在正常工况下储存在密闭容器内，极少量挥发酸雾通过仓库上方安装集气罩或集气风管接入</w:t>
            </w:r>
            <w:r>
              <w:rPr>
                <w:rFonts w:ascii="Times New Roman" w:hAnsi="Times New Roman"/>
                <w:sz w:val="24"/>
                <w:highlight w:val="none"/>
              </w:rPr>
              <w:t>碱液喷淋装置</w:t>
            </w:r>
            <w:r>
              <w:rPr>
                <w:rFonts w:hint="eastAsia" w:ascii="Times New Roman" w:hAnsi="Times New Roman"/>
                <w:sz w:val="24"/>
                <w:highlight w:val="none"/>
              </w:rPr>
              <w:t>进行处理，由于该部分废气在正常工况下产生量较少，因此本次环评不做定量分析，但环评要求对挥发性较强的废酸在收集时做好检查工作，确保废酸储存于密闭容器中</w:t>
            </w:r>
            <w:r>
              <w:rPr>
                <w:rFonts w:hint="eastAsia" w:ascii="Times New Roman" w:hAnsi="Times New Roman" w:eastAsia="宋体"/>
                <w:sz w:val="24"/>
                <w:highlight w:val="none"/>
              </w:rPr>
              <w:t>。</w:t>
            </w:r>
            <w:r>
              <w:rPr>
                <w:rFonts w:hint="eastAsia" w:ascii="Times New Roman" w:hAnsi="Times New Roman"/>
                <w:sz w:val="24"/>
                <w:highlight w:val="none"/>
              </w:rPr>
              <w:t>废酸浓度按</w:t>
            </w:r>
            <w:r>
              <w:rPr>
                <w:rFonts w:hint="eastAsia"/>
                <w:sz w:val="24"/>
                <w:highlight w:val="none"/>
                <w:lang w:val="en-US" w:eastAsia="zh-CN"/>
              </w:rPr>
              <w:t>37</w:t>
            </w:r>
            <w:r>
              <w:rPr>
                <w:rFonts w:hint="eastAsia" w:ascii="Times New Roman" w:hAnsi="Times New Roman"/>
                <w:sz w:val="24"/>
                <w:highlight w:val="none"/>
              </w:rPr>
              <w:t>%计，蒸发表面积按3</w:t>
            </w:r>
            <w:r>
              <w:rPr>
                <w:rFonts w:hint="eastAsia" w:ascii="Times New Roman" w:hAnsi="Times New Roman"/>
                <w:sz w:val="24"/>
                <w:highlight w:val="none"/>
                <w:lang w:val="en-US" w:eastAsia="zh-CN"/>
              </w:rPr>
              <w:t>m</w:t>
            </w:r>
            <w:r>
              <w:rPr>
                <w:rFonts w:hint="eastAsia" w:ascii="Times New Roman" w:hAnsi="Times New Roman"/>
                <w:sz w:val="24"/>
                <w:highlight w:val="none"/>
                <w:vertAlign w:val="superscript"/>
                <w:lang w:val="en-US" w:eastAsia="zh-CN"/>
              </w:rPr>
              <w:t>2</w:t>
            </w:r>
            <w:r>
              <w:rPr>
                <w:rFonts w:hint="eastAsia" w:ascii="Times New Roman" w:hAnsi="Times New Roman"/>
                <w:sz w:val="24"/>
                <w:highlight w:val="none"/>
              </w:rPr>
              <w:t>计</w:t>
            </w:r>
            <w:r>
              <w:rPr>
                <w:rFonts w:hint="eastAsia" w:ascii="Times New Roman" w:hAnsi="Times New Roman" w:eastAsia="宋体"/>
                <w:sz w:val="24"/>
                <w:highlight w:val="none"/>
              </w:rPr>
              <w:t>，根</w:t>
            </w:r>
            <w:r>
              <w:rPr>
                <w:rFonts w:hint="eastAsia" w:ascii="Times New Roman" w:hAnsi="Times New Roman"/>
                <w:sz w:val="24"/>
                <w:highlight w:val="none"/>
              </w:rPr>
              <w:t>据《环境统计手册》，酸液蒸发量的计算公式如下：</w:t>
            </w:r>
          </w:p>
          <w:p w14:paraId="39916CB2">
            <w:pPr>
              <w:autoSpaceDE w:val="0"/>
              <w:autoSpaceDN w:val="0"/>
              <w:adjustRightInd w:val="0"/>
              <w:spacing w:line="360" w:lineRule="auto"/>
              <w:ind w:firstLine="1200" w:firstLineChars="500"/>
              <w:rPr>
                <w:rFonts w:hint="eastAsia" w:ascii="Times New Roman" w:hAnsi="Times New Roman"/>
                <w:sz w:val="24"/>
                <w:highlight w:val="none"/>
              </w:rPr>
            </w:pPr>
            <w:r>
              <w:rPr>
                <w:rFonts w:hint="default" w:ascii="Times New Roman" w:hAnsi="Times New Roman"/>
                <w:sz w:val="24"/>
                <w:highlight w:val="none"/>
                <w:lang w:val="en-US" w:eastAsia="zh-CN"/>
              </w:rPr>
              <w:t>Gz=M</w:t>
            </w:r>
            <w:r>
              <w:rPr>
                <w:rFonts w:hint="eastAsia"/>
                <w:sz w:val="24"/>
                <w:highlight w:val="none"/>
                <w:lang w:val="en-US" w:eastAsia="zh-CN"/>
              </w:rPr>
              <w:t>(</w:t>
            </w:r>
            <w:r>
              <w:rPr>
                <w:rFonts w:hint="default" w:ascii="Times New Roman" w:hAnsi="Times New Roman"/>
                <w:sz w:val="24"/>
                <w:highlight w:val="none"/>
                <w:lang w:val="en-US" w:eastAsia="zh-CN"/>
              </w:rPr>
              <w:t>0.000352+0.000786V</w:t>
            </w:r>
            <w:r>
              <w:rPr>
                <w:rFonts w:hint="eastAsia"/>
                <w:sz w:val="24"/>
                <w:highlight w:val="none"/>
                <w:lang w:val="en-US" w:eastAsia="zh-CN"/>
              </w:rPr>
              <w:t>)</w:t>
            </w:r>
            <w:r>
              <w:rPr>
                <w:rFonts w:hint="default" w:ascii="Times New Roman" w:hAnsi="Times New Roman"/>
                <w:sz w:val="24"/>
                <w:highlight w:val="none"/>
                <w:lang w:val="en-US" w:eastAsia="zh-CN"/>
              </w:rPr>
              <w:t>P•F</w:t>
            </w:r>
          </w:p>
          <w:p w14:paraId="4DADAA2D">
            <w:pPr>
              <w:autoSpaceDE w:val="0"/>
              <w:autoSpaceDN w:val="0"/>
              <w:adjustRightInd w:val="0"/>
              <w:spacing w:line="360" w:lineRule="auto"/>
              <w:ind w:firstLine="480" w:firstLineChars="200"/>
              <w:rPr>
                <w:rFonts w:hint="eastAsia" w:ascii="Times New Roman" w:hAnsi="Times New Roman"/>
                <w:sz w:val="24"/>
                <w:highlight w:val="none"/>
              </w:rPr>
            </w:pPr>
            <w:r>
              <w:rPr>
                <w:rFonts w:hint="eastAsia" w:ascii="Times New Roman" w:hAnsi="Times New Roman"/>
                <w:sz w:val="24"/>
                <w:highlight w:val="none"/>
                <w:lang w:val="en-US" w:eastAsia="zh-CN"/>
              </w:rPr>
              <w:t>式中，Gz——液体的蒸发量，</w:t>
            </w:r>
            <w:r>
              <w:rPr>
                <w:rFonts w:hint="default" w:ascii="Times New Roman" w:hAnsi="Times New Roman"/>
                <w:sz w:val="24"/>
                <w:highlight w:val="none"/>
                <w:lang w:val="en-US" w:eastAsia="zh-CN"/>
              </w:rPr>
              <w:t>kg/h</w:t>
            </w:r>
            <w:r>
              <w:rPr>
                <w:rFonts w:hint="eastAsia" w:ascii="Times New Roman" w:hAnsi="Times New Roman"/>
                <w:sz w:val="24"/>
                <w:highlight w:val="none"/>
                <w:lang w:val="en-US" w:eastAsia="zh-CN"/>
              </w:rPr>
              <w:t>；</w:t>
            </w:r>
          </w:p>
          <w:p w14:paraId="4C26F028">
            <w:pPr>
              <w:autoSpaceDE w:val="0"/>
              <w:autoSpaceDN w:val="0"/>
              <w:adjustRightInd w:val="0"/>
              <w:spacing w:line="360" w:lineRule="auto"/>
              <w:ind w:firstLine="1200" w:firstLineChars="500"/>
              <w:rPr>
                <w:rFonts w:hint="eastAsia" w:ascii="Times New Roman" w:hAnsi="Times New Roman"/>
                <w:sz w:val="24"/>
                <w:highlight w:val="none"/>
              </w:rPr>
            </w:pPr>
            <w:r>
              <w:rPr>
                <w:rFonts w:hint="default" w:ascii="Times New Roman" w:hAnsi="Times New Roman"/>
                <w:sz w:val="24"/>
                <w:highlight w:val="none"/>
                <w:lang w:val="en-US" w:eastAsia="zh-CN"/>
              </w:rPr>
              <w:t>M</w:t>
            </w:r>
            <w:r>
              <w:rPr>
                <w:rFonts w:hint="eastAsia" w:ascii="Times New Roman" w:hAnsi="Times New Roman"/>
                <w:sz w:val="24"/>
                <w:highlight w:val="none"/>
                <w:lang w:val="en-US" w:eastAsia="zh-CN"/>
              </w:rPr>
              <w:t>——液体的分子量</w:t>
            </w:r>
            <w:r>
              <w:rPr>
                <w:rFonts w:hint="eastAsia"/>
                <w:sz w:val="24"/>
                <w:highlight w:val="none"/>
                <w:lang w:val="en-US" w:eastAsia="zh-CN"/>
              </w:rPr>
              <w:t>（按盐酸计）</w:t>
            </w:r>
            <w:r>
              <w:rPr>
                <w:rFonts w:hint="eastAsia" w:ascii="Times New Roman" w:hAnsi="Times New Roman"/>
                <w:sz w:val="24"/>
                <w:highlight w:val="none"/>
                <w:lang w:val="en-US" w:eastAsia="zh-CN"/>
              </w:rPr>
              <w:t>；</w:t>
            </w:r>
            <w:r>
              <w:rPr>
                <w:rFonts w:hint="eastAsia"/>
                <w:sz w:val="24"/>
                <w:highlight w:val="none"/>
                <w:lang w:val="en-US" w:eastAsia="zh-CN"/>
              </w:rPr>
              <w:t>盐酸</w:t>
            </w:r>
            <w:r>
              <w:rPr>
                <w:rFonts w:hint="eastAsia" w:ascii="Times New Roman" w:hAnsi="Times New Roman"/>
                <w:sz w:val="24"/>
                <w:highlight w:val="none"/>
                <w:lang w:val="en-US" w:eastAsia="zh-CN"/>
              </w:rPr>
              <w:t>：</w:t>
            </w:r>
            <w:r>
              <w:rPr>
                <w:rFonts w:hint="eastAsia"/>
                <w:sz w:val="24"/>
                <w:highlight w:val="none"/>
                <w:lang w:val="en-US" w:eastAsia="zh-CN"/>
              </w:rPr>
              <w:t>37</w:t>
            </w:r>
            <w:r>
              <w:rPr>
                <w:rFonts w:hint="eastAsia" w:ascii="Times New Roman" w:hAnsi="Times New Roman"/>
                <w:sz w:val="24"/>
                <w:highlight w:val="none"/>
                <w:lang w:val="en-US" w:eastAsia="zh-CN"/>
              </w:rPr>
              <w:t>；</w:t>
            </w:r>
          </w:p>
          <w:p w14:paraId="652D2BDA">
            <w:pPr>
              <w:autoSpaceDE w:val="0"/>
              <w:autoSpaceDN w:val="0"/>
              <w:adjustRightInd w:val="0"/>
              <w:spacing w:line="360" w:lineRule="auto"/>
              <w:ind w:firstLine="1200" w:firstLineChars="500"/>
              <w:rPr>
                <w:rFonts w:hint="eastAsia" w:ascii="Times New Roman" w:hAnsi="Times New Roman"/>
                <w:sz w:val="24"/>
                <w:highlight w:val="none"/>
              </w:rPr>
            </w:pPr>
            <w:r>
              <w:rPr>
                <w:rFonts w:hint="default" w:ascii="Times New Roman" w:hAnsi="Times New Roman"/>
                <w:sz w:val="24"/>
                <w:highlight w:val="none"/>
                <w:lang w:val="en-US" w:eastAsia="zh-CN"/>
              </w:rPr>
              <w:t>V</w:t>
            </w:r>
            <w:r>
              <w:rPr>
                <w:rFonts w:hint="eastAsia" w:ascii="Times New Roman" w:hAnsi="Times New Roman"/>
                <w:sz w:val="24"/>
                <w:highlight w:val="none"/>
                <w:lang w:val="en-US" w:eastAsia="zh-CN"/>
              </w:rPr>
              <w:t>——蒸发液体表面上的空气流速，</w:t>
            </w:r>
            <w:r>
              <w:rPr>
                <w:rFonts w:hint="default" w:ascii="Times New Roman" w:hAnsi="Times New Roman"/>
                <w:sz w:val="24"/>
                <w:highlight w:val="none"/>
                <w:lang w:val="en-US" w:eastAsia="zh-CN"/>
              </w:rPr>
              <w:t>m/s</w:t>
            </w:r>
            <w:r>
              <w:rPr>
                <w:rFonts w:hint="eastAsia" w:ascii="Times New Roman" w:hAnsi="Times New Roman"/>
                <w:sz w:val="24"/>
                <w:highlight w:val="none"/>
                <w:lang w:val="en-US" w:eastAsia="zh-CN"/>
              </w:rPr>
              <w:t>，以实测数据为准，无条件实测时，可取</w:t>
            </w:r>
            <w:r>
              <w:rPr>
                <w:rFonts w:hint="default" w:ascii="Times New Roman" w:hAnsi="Times New Roman"/>
                <w:sz w:val="24"/>
                <w:highlight w:val="none"/>
                <w:lang w:val="en-US" w:eastAsia="zh-CN"/>
              </w:rPr>
              <w:t>0.2-0.5</w:t>
            </w:r>
            <w:r>
              <w:rPr>
                <w:rFonts w:hint="eastAsia" w:ascii="Times New Roman" w:hAnsi="Times New Roman"/>
                <w:sz w:val="24"/>
                <w:highlight w:val="none"/>
                <w:lang w:val="en-US" w:eastAsia="zh-CN"/>
              </w:rPr>
              <w:t>，本次评价取</w:t>
            </w:r>
            <w:r>
              <w:rPr>
                <w:rFonts w:hint="default" w:ascii="Times New Roman" w:hAnsi="Times New Roman"/>
                <w:sz w:val="24"/>
                <w:highlight w:val="none"/>
                <w:lang w:val="en-US" w:eastAsia="zh-CN"/>
              </w:rPr>
              <w:t>0.35</w:t>
            </w:r>
            <w:r>
              <w:rPr>
                <w:rFonts w:hint="eastAsia" w:ascii="Times New Roman" w:hAnsi="Times New Roman"/>
                <w:sz w:val="24"/>
                <w:highlight w:val="none"/>
                <w:lang w:val="en-US" w:eastAsia="zh-CN"/>
              </w:rPr>
              <w:t>。</w:t>
            </w:r>
          </w:p>
          <w:p w14:paraId="6742B23E">
            <w:pPr>
              <w:autoSpaceDE w:val="0"/>
              <w:autoSpaceDN w:val="0"/>
              <w:adjustRightInd w:val="0"/>
              <w:spacing w:line="360" w:lineRule="auto"/>
              <w:ind w:firstLine="960" w:firstLineChars="400"/>
              <w:rPr>
                <w:rFonts w:hint="eastAsia" w:ascii="Times New Roman" w:hAnsi="Times New Roman"/>
                <w:sz w:val="24"/>
                <w:highlight w:val="none"/>
              </w:rPr>
            </w:pPr>
            <w:r>
              <w:rPr>
                <w:rFonts w:hint="default" w:ascii="Times New Roman" w:hAnsi="Times New Roman"/>
                <w:sz w:val="24"/>
                <w:highlight w:val="none"/>
                <w:lang w:val="en-US" w:eastAsia="zh-CN"/>
              </w:rPr>
              <w:t>P——</w:t>
            </w:r>
            <w:r>
              <w:rPr>
                <w:rFonts w:hint="eastAsia" w:ascii="Times New Roman" w:hAnsi="Times New Roman"/>
                <w:sz w:val="24"/>
                <w:highlight w:val="none"/>
                <w:lang w:val="en-US" w:eastAsia="zh-CN"/>
              </w:rPr>
              <w:t>相应于液体温度下的空气中的蒸气分压力，</w:t>
            </w:r>
            <w:r>
              <w:rPr>
                <w:rFonts w:hint="default" w:ascii="Times New Roman" w:hAnsi="Times New Roman"/>
                <w:sz w:val="24"/>
                <w:highlight w:val="none"/>
                <w:lang w:val="en-US" w:eastAsia="zh-CN"/>
              </w:rPr>
              <w:t>mmHg</w:t>
            </w:r>
            <w:r>
              <w:rPr>
                <w:rFonts w:hint="eastAsia" w:ascii="Times New Roman" w:hAnsi="Times New Roman"/>
                <w:sz w:val="24"/>
                <w:highlight w:val="none"/>
                <w:lang w:val="en-US" w:eastAsia="zh-CN"/>
              </w:rPr>
              <w:t>。当液体浓度（重量）低于</w:t>
            </w:r>
            <w:r>
              <w:rPr>
                <w:rFonts w:hint="default" w:ascii="Times New Roman" w:hAnsi="Times New Roman"/>
                <w:sz w:val="24"/>
                <w:highlight w:val="none"/>
                <w:lang w:val="en-US" w:eastAsia="zh-CN"/>
              </w:rPr>
              <w:t>10%</w:t>
            </w:r>
            <w:r>
              <w:rPr>
                <w:rFonts w:hint="eastAsia" w:ascii="Times New Roman" w:hAnsi="Times New Roman"/>
                <w:sz w:val="24"/>
                <w:highlight w:val="none"/>
                <w:lang w:val="en-US" w:eastAsia="zh-CN"/>
              </w:rPr>
              <w:t>时，可用水溶液的饱和蒸</w:t>
            </w:r>
            <w:r>
              <w:rPr>
                <w:rFonts w:hint="eastAsia"/>
                <w:sz w:val="24"/>
                <w:highlight w:val="none"/>
                <w:lang w:val="en-US" w:eastAsia="zh-CN"/>
              </w:rPr>
              <w:t>汽压</w:t>
            </w:r>
            <w:r>
              <w:rPr>
                <w:rFonts w:hint="eastAsia" w:ascii="Times New Roman" w:hAnsi="Times New Roman"/>
                <w:sz w:val="24"/>
                <w:highlight w:val="none"/>
                <w:lang w:val="en-US" w:eastAsia="zh-CN"/>
              </w:rPr>
              <w:t>代替，本项目电解液浓度约为</w:t>
            </w:r>
            <w:r>
              <w:rPr>
                <w:rFonts w:hint="default" w:ascii="Times New Roman" w:hAnsi="Times New Roman"/>
                <w:sz w:val="24"/>
                <w:highlight w:val="none"/>
                <w:lang w:val="en-US" w:eastAsia="zh-CN"/>
              </w:rPr>
              <w:t>40%</w:t>
            </w:r>
            <w:r>
              <w:rPr>
                <w:rFonts w:hint="eastAsia" w:ascii="Times New Roman" w:hAnsi="Times New Roman"/>
                <w:sz w:val="24"/>
                <w:highlight w:val="none"/>
                <w:lang w:val="en-US" w:eastAsia="zh-CN"/>
              </w:rPr>
              <w:t>，温度为</w:t>
            </w:r>
            <w:r>
              <w:rPr>
                <w:rFonts w:hint="default" w:ascii="Times New Roman" w:hAnsi="Times New Roman"/>
                <w:sz w:val="24"/>
                <w:highlight w:val="none"/>
                <w:lang w:val="en-US" w:eastAsia="zh-CN"/>
              </w:rPr>
              <w:t>20</w:t>
            </w:r>
            <w:r>
              <w:rPr>
                <w:rFonts w:hint="eastAsia" w:ascii="Times New Roman" w:hAnsi="Times New Roman"/>
                <w:sz w:val="24"/>
                <w:highlight w:val="none"/>
                <w:lang w:val="en-US" w:eastAsia="zh-CN"/>
              </w:rPr>
              <w:t>℃，经查阅资料，本项目</w:t>
            </w:r>
            <w:r>
              <w:rPr>
                <w:rFonts w:hint="default" w:ascii="Times New Roman" w:hAnsi="Times New Roman"/>
                <w:sz w:val="24"/>
                <w:highlight w:val="none"/>
                <w:lang w:val="en-US" w:eastAsia="zh-CN"/>
              </w:rPr>
              <w:t>P</w:t>
            </w:r>
            <w:r>
              <w:rPr>
                <w:rFonts w:hint="eastAsia" w:ascii="Times New Roman" w:hAnsi="Times New Roman"/>
                <w:sz w:val="24"/>
                <w:highlight w:val="none"/>
                <w:lang w:val="en-US" w:eastAsia="zh-CN"/>
              </w:rPr>
              <w:t>取</w:t>
            </w:r>
            <w:r>
              <w:rPr>
                <w:rFonts w:hint="default" w:ascii="Times New Roman" w:hAnsi="Times New Roman"/>
                <w:sz w:val="24"/>
                <w:highlight w:val="none"/>
                <w:lang w:val="en-US" w:eastAsia="zh-CN"/>
              </w:rPr>
              <w:t>9.84mmHg</w:t>
            </w:r>
            <w:r>
              <w:rPr>
                <w:rFonts w:hint="eastAsia" w:ascii="Times New Roman" w:hAnsi="Times New Roman"/>
                <w:sz w:val="24"/>
                <w:highlight w:val="none"/>
                <w:lang w:val="en-US" w:eastAsia="zh-CN"/>
              </w:rPr>
              <w:t>。</w:t>
            </w:r>
          </w:p>
          <w:p w14:paraId="4891BF00">
            <w:pPr>
              <w:autoSpaceDE w:val="0"/>
              <w:autoSpaceDN w:val="0"/>
              <w:adjustRightInd w:val="0"/>
              <w:spacing w:line="360" w:lineRule="auto"/>
              <w:ind w:firstLine="960" w:firstLineChars="400"/>
              <w:rPr>
                <w:rFonts w:hint="eastAsia" w:ascii="Times New Roman" w:hAnsi="Times New Roman"/>
                <w:sz w:val="24"/>
                <w:highlight w:val="none"/>
              </w:rPr>
            </w:pPr>
            <w:r>
              <w:rPr>
                <w:rFonts w:hint="default" w:ascii="Times New Roman" w:hAnsi="Times New Roman"/>
                <w:sz w:val="24"/>
                <w:highlight w:val="none"/>
                <w:lang w:val="en-US" w:eastAsia="zh-CN"/>
              </w:rPr>
              <w:t>F</w:t>
            </w:r>
            <w:r>
              <w:rPr>
                <w:rFonts w:hint="eastAsia" w:ascii="Times New Roman" w:hAnsi="Times New Roman"/>
                <w:sz w:val="24"/>
                <w:highlight w:val="none"/>
                <w:lang w:val="en-US" w:eastAsia="zh-CN"/>
              </w:rPr>
              <w:t>——液体蒸发面的表面积，本项目取</w:t>
            </w:r>
            <w:r>
              <w:rPr>
                <w:rFonts w:hint="eastAsia"/>
                <w:sz w:val="24"/>
                <w:highlight w:val="none"/>
                <w:lang w:val="en-US" w:eastAsia="zh-CN"/>
              </w:rPr>
              <w:t>3</w:t>
            </w:r>
            <w:r>
              <w:rPr>
                <w:rFonts w:hint="default" w:ascii="Times New Roman" w:hAnsi="Times New Roman"/>
                <w:sz w:val="24"/>
                <w:highlight w:val="none"/>
                <w:lang w:val="en-US" w:eastAsia="zh-CN"/>
              </w:rPr>
              <w:t>m</w:t>
            </w:r>
            <w:r>
              <w:rPr>
                <w:rFonts w:hint="default" w:ascii="Times New Roman" w:hAnsi="Times New Roman"/>
                <w:sz w:val="24"/>
                <w:highlight w:val="none"/>
                <w:vertAlign w:val="superscript"/>
                <w:lang w:val="en-US" w:eastAsia="zh-CN"/>
              </w:rPr>
              <w:t>2</w:t>
            </w:r>
            <w:r>
              <w:rPr>
                <w:rFonts w:hint="eastAsia" w:ascii="Times New Roman" w:hAnsi="Times New Roman"/>
                <w:sz w:val="24"/>
                <w:highlight w:val="none"/>
                <w:lang w:val="en-US" w:eastAsia="zh-CN"/>
              </w:rPr>
              <w:t>。</w:t>
            </w:r>
          </w:p>
          <w:p w14:paraId="3BC63D10">
            <w:pPr>
              <w:autoSpaceDE w:val="0"/>
              <w:autoSpaceDN w:val="0"/>
              <w:adjustRightInd w:val="0"/>
              <w:spacing w:line="360" w:lineRule="auto"/>
              <w:ind w:firstLine="480" w:firstLineChars="200"/>
              <w:rPr>
                <w:rFonts w:hint="eastAsia" w:ascii="Times New Roman" w:hAnsi="Times New Roman" w:eastAsia="宋体"/>
                <w:sz w:val="24"/>
                <w:highlight w:val="none"/>
                <w:lang w:eastAsia="zh-CN"/>
              </w:rPr>
            </w:pPr>
            <w:r>
              <w:rPr>
                <w:rFonts w:hint="eastAsia" w:ascii="Times New Roman" w:hAnsi="Times New Roman"/>
                <w:sz w:val="24"/>
                <w:highlight w:val="none"/>
              </w:rPr>
              <w:t>根据上述公式计算得出，酸雾产生量为0.</w:t>
            </w:r>
            <w:r>
              <w:rPr>
                <w:rFonts w:hint="eastAsia"/>
                <w:sz w:val="24"/>
                <w:highlight w:val="none"/>
                <w:lang w:val="en-US" w:eastAsia="zh-CN"/>
              </w:rPr>
              <w:t>68</w:t>
            </w:r>
            <w:r>
              <w:rPr>
                <w:rFonts w:hint="eastAsia" w:ascii="Times New Roman" w:hAnsi="Times New Roman"/>
                <w:sz w:val="24"/>
                <w:highlight w:val="none"/>
              </w:rPr>
              <w:t>kg/次，根据调查相关企业的运行经验，此类破损的发生频率平均为5次/月，每次以1h计算</w:t>
            </w:r>
            <w:r>
              <w:rPr>
                <w:rFonts w:hint="eastAsia" w:ascii="Times New Roman" w:hAnsi="Times New Roman"/>
                <w:sz w:val="24"/>
                <w:highlight w:val="none"/>
                <w:lang w:eastAsia="zh-CN"/>
              </w:rPr>
              <w:t>，</w:t>
            </w:r>
            <w:r>
              <w:rPr>
                <w:rFonts w:hint="eastAsia" w:ascii="Times New Roman" w:hAnsi="Times New Roman"/>
                <w:sz w:val="24"/>
                <w:highlight w:val="none"/>
              </w:rPr>
              <w:t>即年发生约60次。则全年酸雾挥发量为</w:t>
            </w:r>
            <w:r>
              <w:rPr>
                <w:rFonts w:hint="eastAsia"/>
                <w:sz w:val="24"/>
                <w:highlight w:val="none"/>
                <w:lang w:val="en-US" w:eastAsia="zh-CN"/>
              </w:rPr>
              <w:t>40.8</w:t>
            </w:r>
            <w:r>
              <w:rPr>
                <w:rFonts w:hint="eastAsia" w:ascii="Times New Roman" w:hAnsi="Times New Roman"/>
                <w:sz w:val="24"/>
                <w:highlight w:val="none"/>
              </w:rPr>
              <w:t>kg/a</w:t>
            </w:r>
            <w:r>
              <w:rPr>
                <w:rFonts w:hint="eastAsia" w:ascii="Times New Roman" w:hAnsi="Times New Roman"/>
                <w:sz w:val="24"/>
                <w:highlight w:val="none"/>
                <w:lang w:eastAsia="zh-CN"/>
              </w:rPr>
              <w:t>。</w:t>
            </w:r>
          </w:p>
          <w:p w14:paraId="4F22A963">
            <w:pPr>
              <w:autoSpaceDE w:val="0"/>
              <w:autoSpaceDN w:val="0"/>
              <w:adjustRightInd w:val="0"/>
              <w:spacing w:line="360" w:lineRule="auto"/>
              <w:ind w:firstLine="480" w:firstLineChars="200"/>
              <w:rPr>
                <w:rFonts w:hint="eastAsia" w:ascii="Times New Roman" w:hAnsi="Times New Roman"/>
                <w:sz w:val="24"/>
                <w:highlight w:val="none"/>
                <w:lang w:val="en-US" w:eastAsia="zh-CN"/>
              </w:rPr>
            </w:pPr>
            <w:r>
              <w:rPr>
                <w:rFonts w:hint="eastAsia" w:ascii="Times New Roman" w:hAnsi="Times New Roman"/>
                <w:sz w:val="24"/>
                <w:highlight w:val="none"/>
                <w:lang w:val="en-US" w:eastAsia="zh-CN"/>
              </w:rPr>
              <w:t>本项目废酸均放置于单独的贮存库内，</w:t>
            </w:r>
            <w:r>
              <w:rPr>
                <w:rFonts w:ascii="Times New Roman" w:hAnsi="Times New Roman"/>
                <w:sz w:val="24"/>
                <w:highlight w:val="none"/>
              </w:rPr>
              <w:t>内设集气装置对挥发的酸性气体（以HCl计）进行收集</w:t>
            </w:r>
            <w:r>
              <w:rPr>
                <w:rFonts w:hint="eastAsia" w:ascii="Times New Roman" w:hAnsi="Times New Roman"/>
                <w:sz w:val="24"/>
                <w:highlight w:val="none"/>
                <w:lang w:val="en-US" w:eastAsia="zh-CN"/>
              </w:rPr>
              <w:t>，通过集气管道</w:t>
            </w:r>
            <w:r>
              <w:rPr>
                <w:rFonts w:ascii="Times New Roman" w:hAnsi="Times New Roman"/>
                <w:sz w:val="24"/>
                <w:highlight w:val="none"/>
              </w:rPr>
              <w:t>送至废气处理系统“碱液喷淋装置”处理后经1根15m高排气筒（DA00</w:t>
            </w:r>
            <w:r>
              <w:rPr>
                <w:rFonts w:hint="eastAsia" w:ascii="Times New Roman" w:hAnsi="Times New Roman"/>
                <w:sz w:val="24"/>
                <w:highlight w:val="none"/>
                <w:lang w:val="en-US" w:eastAsia="zh-CN"/>
              </w:rPr>
              <w:t>1</w:t>
            </w:r>
            <w:r>
              <w:rPr>
                <w:rFonts w:ascii="Times New Roman" w:hAnsi="Times New Roman"/>
                <w:sz w:val="24"/>
                <w:highlight w:val="none"/>
              </w:rPr>
              <w:t>）排放。废气收集效率按照9</w:t>
            </w:r>
            <w:r>
              <w:rPr>
                <w:rFonts w:hint="eastAsia" w:ascii="Times New Roman" w:hAnsi="Times New Roman"/>
                <w:sz w:val="24"/>
                <w:highlight w:val="none"/>
              </w:rPr>
              <w:t>0</w:t>
            </w:r>
            <w:r>
              <w:rPr>
                <w:rFonts w:ascii="Times New Roman" w:hAnsi="Times New Roman"/>
                <w:sz w:val="24"/>
                <w:highlight w:val="none"/>
              </w:rPr>
              <w:t>%计</w:t>
            </w:r>
            <w:r>
              <w:rPr>
                <w:rFonts w:hint="eastAsia"/>
                <w:sz w:val="24"/>
                <w:highlight w:val="none"/>
                <w:lang w:eastAsia="zh-CN"/>
              </w:rPr>
              <w:t>，</w:t>
            </w:r>
            <w:r>
              <w:rPr>
                <w:rFonts w:hint="eastAsia" w:ascii="Times New Roman" w:hAnsi="Times New Roman"/>
                <w:sz w:val="24"/>
                <w:highlight w:val="none"/>
                <w:lang w:eastAsia="zh-CN"/>
              </w:rPr>
              <w:t>“</w:t>
            </w:r>
            <w:r>
              <w:rPr>
                <w:rFonts w:ascii="Times New Roman" w:hAnsi="Times New Roman"/>
                <w:sz w:val="24"/>
                <w:highlight w:val="none"/>
              </w:rPr>
              <w:t>碱液喷淋装置</w:t>
            </w:r>
            <w:r>
              <w:rPr>
                <w:rFonts w:hint="eastAsia" w:ascii="Times New Roman" w:hAnsi="Times New Roman"/>
                <w:sz w:val="24"/>
                <w:highlight w:val="none"/>
                <w:lang w:eastAsia="zh-CN"/>
              </w:rPr>
              <w:t>”</w:t>
            </w:r>
            <w:r>
              <w:rPr>
                <w:rFonts w:ascii="Times New Roman" w:hAnsi="Times New Roman"/>
                <w:sz w:val="24"/>
                <w:highlight w:val="none"/>
              </w:rPr>
              <w:t>处理效率按照90%计</w:t>
            </w:r>
            <w:r>
              <w:rPr>
                <w:rFonts w:hint="eastAsia"/>
                <w:sz w:val="24"/>
                <w:highlight w:val="none"/>
                <w:lang w:eastAsia="zh-CN"/>
              </w:rPr>
              <w:t>，</w:t>
            </w:r>
            <w:r>
              <w:rPr>
                <w:rFonts w:hint="eastAsia"/>
                <w:sz w:val="24"/>
                <w:highlight w:val="none"/>
                <w:lang w:val="en-US" w:eastAsia="zh-CN"/>
              </w:rPr>
              <w:t>风机风量为5000m</w:t>
            </w:r>
            <w:r>
              <w:rPr>
                <w:rFonts w:hint="eastAsia"/>
                <w:sz w:val="24"/>
                <w:highlight w:val="none"/>
                <w:vertAlign w:val="superscript"/>
                <w:lang w:val="en-US" w:eastAsia="zh-CN"/>
              </w:rPr>
              <w:t>3</w:t>
            </w:r>
            <w:r>
              <w:rPr>
                <w:rFonts w:hint="eastAsia"/>
                <w:sz w:val="24"/>
                <w:highlight w:val="none"/>
                <w:lang w:val="en-US" w:eastAsia="zh-CN"/>
              </w:rPr>
              <w:t>/h</w:t>
            </w:r>
            <w:r>
              <w:rPr>
                <w:rFonts w:hint="eastAsia" w:ascii="Times New Roman" w:hAnsi="Times New Roman"/>
                <w:sz w:val="24"/>
                <w:highlight w:val="none"/>
                <w:lang w:val="en-US" w:eastAsia="zh-CN"/>
              </w:rPr>
              <w:t>。</w:t>
            </w:r>
            <w:r>
              <w:rPr>
                <w:rFonts w:hint="eastAsia" w:ascii="Times New Roman" w:hAnsi="Times New Roman"/>
                <w:sz w:val="24"/>
                <w:highlight w:val="none"/>
                <w:vertAlign w:val="baseline"/>
                <w:lang w:val="en-US" w:eastAsia="zh-CN"/>
              </w:rPr>
              <w:t>盐酸酸雾（以氯化氢计）挥发量为</w:t>
            </w:r>
            <w:r>
              <w:rPr>
                <w:rFonts w:hint="eastAsia"/>
                <w:sz w:val="24"/>
                <w:highlight w:val="none"/>
                <w:vertAlign w:val="baseline"/>
                <w:lang w:val="en-US" w:eastAsia="zh-CN"/>
              </w:rPr>
              <w:t>40.8</w:t>
            </w:r>
            <w:r>
              <w:rPr>
                <w:rFonts w:hint="eastAsia" w:ascii="Times New Roman" w:hAnsi="Times New Roman"/>
                <w:sz w:val="24"/>
                <w:highlight w:val="none"/>
                <w:vertAlign w:val="baseline"/>
                <w:lang w:val="en-US" w:eastAsia="zh-CN"/>
              </w:rPr>
              <w:t>kg/a，</w:t>
            </w:r>
            <w:r>
              <w:rPr>
                <w:rFonts w:hint="eastAsia" w:ascii="Times New Roman" w:hAnsi="Times New Roman"/>
                <w:sz w:val="24"/>
                <w:highlight w:val="none"/>
                <w:lang w:val="en-US" w:eastAsia="zh-CN"/>
              </w:rPr>
              <w:t>排放量为</w:t>
            </w:r>
            <w:r>
              <w:rPr>
                <w:rFonts w:hint="eastAsia"/>
                <w:sz w:val="24"/>
                <w:highlight w:val="none"/>
                <w:lang w:val="en-US" w:eastAsia="zh-CN"/>
              </w:rPr>
              <w:t>3.672</w:t>
            </w:r>
            <w:r>
              <w:rPr>
                <w:rFonts w:hint="eastAsia" w:ascii="Times New Roman" w:hAnsi="Times New Roman"/>
                <w:sz w:val="24"/>
                <w:highlight w:val="none"/>
                <w:lang w:val="en-US" w:eastAsia="zh-CN"/>
              </w:rPr>
              <w:t>kg/a，排放速率为</w:t>
            </w:r>
            <w:r>
              <w:rPr>
                <w:rFonts w:hint="eastAsia"/>
                <w:sz w:val="24"/>
                <w:highlight w:val="none"/>
                <w:lang w:val="en-US" w:eastAsia="zh-CN"/>
              </w:rPr>
              <w:t>0.061</w:t>
            </w:r>
            <w:r>
              <w:rPr>
                <w:rFonts w:hint="eastAsia" w:ascii="Times New Roman" w:hAnsi="Times New Roman"/>
                <w:sz w:val="24"/>
                <w:highlight w:val="none"/>
                <w:lang w:val="en-US" w:eastAsia="zh-CN"/>
              </w:rPr>
              <w:t>kg/h，排放浓度为</w:t>
            </w:r>
            <w:r>
              <w:rPr>
                <w:rFonts w:hint="eastAsia"/>
                <w:sz w:val="24"/>
                <w:highlight w:val="none"/>
                <w:lang w:val="en-US" w:eastAsia="zh-CN"/>
              </w:rPr>
              <w:t>12.2</w:t>
            </w:r>
            <w:r>
              <w:rPr>
                <w:rFonts w:hint="eastAsia" w:ascii="Times New Roman" w:hAnsi="Times New Roman"/>
                <w:sz w:val="24"/>
                <w:highlight w:val="none"/>
                <w:lang w:val="en-US" w:eastAsia="zh-CN"/>
              </w:rPr>
              <w:t>mg/m</w:t>
            </w:r>
            <w:r>
              <w:rPr>
                <w:rFonts w:hint="eastAsia" w:ascii="Times New Roman" w:hAnsi="Times New Roman"/>
                <w:sz w:val="24"/>
                <w:highlight w:val="none"/>
                <w:vertAlign w:val="superscript"/>
                <w:lang w:val="en-US" w:eastAsia="zh-CN"/>
              </w:rPr>
              <w:t>3</w:t>
            </w:r>
            <w:r>
              <w:rPr>
                <w:rFonts w:hint="eastAsia" w:ascii="Times New Roman" w:hAnsi="Times New Roman"/>
                <w:sz w:val="24"/>
                <w:highlight w:val="none"/>
                <w:lang w:val="en-US" w:eastAsia="zh-CN"/>
              </w:rPr>
              <w:t>。</w:t>
            </w:r>
          </w:p>
          <w:p w14:paraId="6D8F86A4">
            <w:pPr>
              <w:autoSpaceDE w:val="0"/>
              <w:autoSpaceDN w:val="0"/>
              <w:adjustRightInd w:val="0"/>
              <w:spacing w:line="360" w:lineRule="auto"/>
              <w:ind w:firstLine="480" w:firstLineChars="200"/>
              <w:rPr>
                <w:rFonts w:hint="default" w:ascii="Times New Roman" w:hAnsi="Times New Roman" w:eastAsia="宋体"/>
                <w:sz w:val="24"/>
                <w:highlight w:val="none"/>
                <w:lang w:val="en-US" w:eastAsia="zh-CN"/>
              </w:rPr>
            </w:pPr>
            <w:r>
              <w:rPr>
                <w:rFonts w:hint="default" w:ascii="Times New Roman" w:hAnsi="Times New Roman" w:eastAsia="宋体"/>
                <w:sz w:val="24"/>
                <w:highlight w:val="none"/>
                <w:lang w:val="en-US" w:eastAsia="zh-CN"/>
              </w:rPr>
              <w:t>氯化氢</w:t>
            </w:r>
            <w:r>
              <w:rPr>
                <w:rFonts w:hint="eastAsia" w:eastAsia="宋体"/>
                <w:sz w:val="24"/>
                <w:highlight w:val="none"/>
                <w:lang w:val="en-US" w:eastAsia="zh-CN"/>
              </w:rPr>
              <w:t>有组织</w:t>
            </w:r>
            <w:r>
              <w:rPr>
                <w:rFonts w:hint="default" w:ascii="Times New Roman" w:hAnsi="Times New Roman" w:eastAsia="宋体"/>
                <w:sz w:val="24"/>
                <w:highlight w:val="none"/>
                <w:lang w:val="en-US" w:eastAsia="zh-CN"/>
              </w:rPr>
              <w:t>排放</w:t>
            </w:r>
            <w:r>
              <w:rPr>
                <w:rFonts w:hint="eastAsia" w:eastAsia="宋体"/>
                <w:sz w:val="24"/>
                <w:highlight w:val="none"/>
                <w:lang w:val="en-US" w:eastAsia="zh-CN"/>
              </w:rPr>
              <w:t>满足</w:t>
            </w:r>
            <w:r>
              <w:rPr>
                <w:rFonts w:hint="default" w:ascii="Times New Roman" w:hAnsi="Times New Roman" w:eastAsia="宋体"/>
                <w:sz w:val="24"/>
                <w:highlight w:val="none"/>
                <w:lang w:val="en-US" w:eastAsia="zh-CN"/>
              </w:rPr>
              <w:t>《大气污染物综合排放标准》（GB16297-1996）表2二级标准限值，无组织排放执行表2无组织排放监控浓度限值</w:t>
            </w:r>
            <w:r>
              <w:rPr>
                <w:rFonts w:hint="eastAsia" w:eastAsia="宋体"/>
                <w:sz w:val="24"/>
                <w:highlight w:val="none"/>
                <w:lang w:val="en-US" w:eastAsia="zh-CN"/>
              </w:rPr>
              <w:t>。</w:t>
            </w:r>
          </w:p>
          <w:p w14:paraId="10281CFD">
            <w:pPr>
              <w:autoSpaceDE w:val="0"/>
              <w:autoSpaceDN w:val="0"/>
              <w:adjustRightInd w:val="0"/>
              <w:spacing w:line="360" w:lineRule="auto"/>
              <w:ind w:firstLine="480" w:firstLineChars="200"/>
              <w:rPr>
                <w:rFonts w:hint="default" w:ascii="Times New Roman" w:hAnsi="Times New Roman" w:eastAsia="宋体"/>
                <w:sz w:val="24"/>
                <w:highlight w:val="none"/>
                <w:lang w:val="en-US" w:eastAsia="zh-CN"/>
              </w:rPr>
            </w:pPr>
            <w:r>
              <w:rPr>
                <w:rFonts w:hint="eastAsia" w:ascii="Times New Roman" w:hAnsi="Times New Roman"/>
                <w:sz w:val="24"/>
                <w:highlight w:val="none"/>
                <w:lang w:val="en-US" w:eastAsia="zh-CN"/>
              </w:rPr>
              <w:t>B.有机废气</w:t>
            </w:r>
          </w:p>
          <w:p w14:paraId="4C54EB53">
            <w:pPr>
              <w:autoSpaceDE w:val="0"/>
              <w:autoSpaceDN w:val="0"/>
              <w:adjustRightInd w:val="0"/>
              <w:spacing w:line="360" w:lineRule="auto"/>
              <w:ind w:firstLine="480" w:firstLineChars="200"/>
              <w:rPr>
                <w:rFonts w:hint="default" w:ascii="Times New Roman" w:hAnsi="Times New Roman" w:eastAsia="宋体" w:cs="Times New Roman"/>
                <w:sz w:val="24"/>
                <w:highlight w:val="none"/>
                <w:lang w:val="en-US" w:eastAsia="zh-CN"/>
              </w:rPr>
            </w:pPr>
            <w:r>
              <w:rPr>
                <w:rFonts w:hint="eastAsia" w:ascii="Times New Roman" w:hAnsi="Times New Roman" w:eastAsia="宋体" w:cs="Times New Roman"/>
                <w:sz w:val="24"/>
                <w:highlight w:val="none"/>
                <w:lang w:val="en-US" w:eastAsia="zh-CN"/>
              </w:rPr>
              <w:t xml:space="preserve">废矿物收集贮存所产生废气主要是储油罐大小呼吸产生挥发性有机物废气，以非甲烷总烃计。 </w:t>
            </w:r>
          </w:p>
          <w:p w14:paraId="515B797F">
            <w:pPr>
              <w:autoSpaceDE w:val="0"/>
              <w:autoSpaceDN w:val="0"/>
              <w:adjustRightInd w:val="0"/>
              <w:spacing w:line="360" w:lineRule="auto"/>
              <w:ind w:firstLine="480" w:firstLineChars="200"/>
              <w:rPr>
                <w:rFonts w:hint="default" w:ascii="Times New Roman" w:hAnsi="Times New Roman" w:eastAsia="宋体" w:cs="Times New Roman"/>
                <w:sz w:val="24"/>
                <w:highlight w:val="none"/>
                <w:lang w:val="en-US" w:eastAsia="zh-CN"/>
              </w:rPr>
            </w:pPr>
            <w:r>
              <w:rPr>
                <w:rFonts w:hint="eastAsia" w:ascii="Times New Roman" w:hAnsi="Times New Roman" w:eastAsia="宋体" w:cs="Times New Roman"/>
                <w:sz w:val="24"/>
                <w:highlight w:val="none"/>
                <w:lang w:val="en-US" w:eastAsia="zh-CN"/>
              </w:rPr>
              <w:t>当油罐进油时，由于罐内液体体积增加，罐内气体压力增加，当压力增至机械呼吸阀压力极限时，呼吸阀自动开启排气。当从油罐输出油料时，罐内液体体积减少，罐内气体压力降低，当压力降至呼吸阀负压极限时，吸进空气。这种由于输转油料致使油罐排除油蒸气和吸入空气所导致的损失叫</w:t>
            </w:r>
            <w:r>
              <w:rPr>
                <w:rFonts w:hint="default" w:ascii="Times New Roman" w:hAnsi="Times New Roman" w:eastAsia="宋体" w:cs="Times New Roman"/>
                <w:sz w:val="24"/>
                <w:highlight w:val="none"/>
                <w:lang w:val="en-US" w:eastAsia="zh-CN"/>
              </w:rPr>
              <w:t>“</w:t>
            </w:r>
            <w:r>
              <w:rPr>
                <w:rFonts w:hint="eastAsia" w:ascii="Times New Roman" w:hAnsi="Times New Roman" w:eastAsia="宋体" w:cs="Times New Roman"/>
                <w:sz w:val="24"/>
                <w:highlight w:val="none"/>
                <w:lang w:val="en-US" w:eastAsia="zh-CN"/>
              </w:rPr>
              <w:t>大呼吸</w:t>
            </w:r>
            <w:r>
              <w:rPr>
                <w:rFonts w:hint="default" w:ascii="Times New Roman" w:hAnsi="Times New Roman" w:eastAsia="宋体" w:cs="Times New Roman"/>
                <w:sz w:val="24"/>
                <w:highlight w:val="none"/>
                <w:lang w:val="en-US" w:eastAsia="zh-CN"/>
              </w:rPr>
              <w:t>”</w:t>
            </w:r>
            <w:r>
              <w:rPr>
                <w:rFonts w:hint="eastAsia" w:ascii="Times New Roman" w:hAnsi="Times New Roman" w:eastAsia="宋体" w:cs="Times New Roman"/>
                <w:sz w:val="24"/>
                <w:highlight w:val="none"/>
                <w:lang w:val="en-US" w:eastAsia="zh-CN"/>
              </w:rPr>
              <w:t xml:space="preserve">损失。 </w:t>
            </w:r>
          </w:p>
          <w:p w14:paraId="4C9CD982">
            <w:pPr>
              <w:autoSpaceDE w:val="0"/>
              <w:autoSpaceDN w:val="0"/>
              <w:adjustRightInd w:val="0"/>
              <w:spacing w:line="360" w:lineRule="auto"/>
              <w:ind w:firstLine="480" w:firstLineChars="200"/>
              <w:rPr>
                <w:rFonts w:hint="default" w:ascii="Times New Roman" w:hAnsi="Times New Roman" w:eastAsia="宋体" w:cs="Times New Roman"/>
                <w:sz w:val="24"/>
                <w:highlight w:val="none"/>
                <w:lang w:val="en-US" w:eastAsia="zh-CN"/>
              </w:rPr>
            </w:pPr>
            <w:r>
              <w:rPr>
                <w:rFonts w:hint="eastAsia" w:ascii="Times New Roman" w:hAnsi="Times New Roman" w:eastAsia="宋体" w:cs="Times New Roman"/>
                <w:sz w:val="24"/>
                <w:highlight w:val="none"/>
                <w:lang w:val="en-US" w:eastAsia="zh-CN"/>
              </w:rPr>
              <w:t>储油罐中静止储存的油品，白天受太阳热辐射使油温升高，引起上部空间气体膨胀和油面蒸发加剧，罐内压力随之升高，当压力达到呼吸阀允许值时，油蒸汽就逸出罐外造成损耗。夜晚或暴雨天气等使罐区储罐温度下降，罐内气体收缩， 油气凝结，罐内压力随之下降，当压力降到呼吸阀允许真空值时，空气进入罐内， 使气体空间的油气浓度降低，又为温度升高后油气蒸发创造条件。这样反复循环，因储罐温差变化而使油品蒸发损耗，叫</w:t>
            </w:r>
            <w:r>
              <w:rPr>
                <w:rFonts w:hint="default" w:ascii="Times New Roman" w:hAnsi="Times New Roman" w:eastAsia="宋体" w:cs="Times New Roman"/>
                <w:sz w:val="24"/>
                <w:highlight w:val="none"/>
                <w:lang w:val="en-US" w:eastAsia="zh-CN"/>
              </w:rPr>
              <w:t>“</w:t>
            </w:r>
            <w:r>
              <w:rPr>
                <w:rFonts w:hint="eastAsia" w:ascii="Times New Roman" w:hAnsi="Times New Roman" w:eastAsia="宋体" w:cs="Times New Roman"/>
                <w:sz w:val="24"/>
                <w:highlight w:val="none"/>
                <w:lang w:val="en-US" w:eastAsia="zh-CN"/>
              </w:rPr>
              <w:t>小呼吸</w:t>
            </w:r>
            <w:r>
              <w:rPr>
                <w:rFonts w:hint="default" w:ascii="Times New Roman" w:hAnsi="Times New Roman" w:eastAsia="宋体" w:cs="Times New Roman"/>
                <w:sz w:val="24"/>
                <w:highlight w:val="none"/>
                <w:lang w:val="en-US" w:eastAsia="zh-CN"/>
              </w:rPr>
              <w:t>”</w:t>
            </w:r>
            <w:r>
              <w:rPr>
                <w:rFonts w:hint="eastAsia" w:ascii="Times New Roman" w:hAnsi="Times New Roman" w:eastAsia="宋体" w:cs="Times New Roman"/>
                <w:sz w:val="24"/>
                <w:highlight w:val="none"/>
                <w:lang w:val="en-US" w:eastAsia="zh-CN"/>
              </w:rPr>
              <w:t>损失。</w:t>
            </w:r>
          </w:p>
          <w:p w14:paraId="4DEB0D68">
            <w:pPr>
              <w:autoSpaceDE w:val="0"/>
              <w:autoSpaceDN w:val="0"/>
              <w:adjustRightInd w:val="0"/>
              <w:spacing w:line="360" w:lineRule="auto"/>
              <w:ind w:firstLine="480" w:firstLineChars="200"/>
              <w:rPr>
                <w:rFonts w:hint="default" w:ascii="Times New Roman" w:hAnsi="Times New Roman" w:eastAsia="宋体" w:cs="Times New Roman"/>
                <w:sz w:val="24"/>
                <w:highlight w:val="none"/>
                <w:lang w:val="en-US" w:eastAsia="zh-CN"/>
              </w:rPr>
            </w:pPr>
            <w:r>
              <w:rPr>
                <w:rFonts w:hint="eastAsia" w:ascii="Times New Roman" w:hAnsi="Times New Roman" w:eastAsia="宋体" w:cs="Times New Roman"/>
                <w:sz w:val="24"/>
                <w:highlight w:val="none"/>
                <w:lang w:val="en-US" w:eastAsia="zh-CN"/>
              </w:rPr>
              <w:t>⒜大呼吸损耗</w:t>
            </w:r>
          </w:p>
          <w:p w14:paraId="0B11535F">
            <w:pPr>
              <w:autoSpaceDE w:val="0"/>
              <w:autoSpaceDN w:val="0"/>
              <w:adjustRightInd w:val="0"/>
              <w:spacing w:line="360" w:lineRule="auto"/>
              <w:ind w:firstLine="480" w:firstLineChars="200"/>
              <w:rPr>
                <w:rFonts w:hint="eastAsia" w:ascii="Times New Roman" w:hAnsi="Times New Roman" w:eastAsia="宋体" w:cs="Times New Roman"/>
                <w:sz w:val="24"/>
                <w:highlight w:val="none"/>
                <w:lang w:val="en-US" w:eastAsia="zh-CN"/>
              </w:rPr>
            </w:pPr>
            <w:r>
              <w:rPr>
                <w:rFonts w:hint="eastAsia" w:ascii="Times New Roman" w:hAnsi="Times New Roman" w:eastAsia="宋体" w:cs="Times New Roman"/>
                <w:sz w:val="24"/>
                <w:highlight w:val="none"/>
                <w:lang w:val="en-US" w:eastAsia="zh-CN"/>
              </w:rPr>
              <w:t xml:space="preserve">根据美国 EPA 研究资料，固定顶储罐大呼吸损耗量可按下列公式计算： </w:t>
            </w:r>
          </w:p>
          <w:p w14:paraId="7474AC87">
            <w:pPr>
              <w:autoSpaceDE w:val="0"/>
              <w:autoSpaceDN w:val="0"/>
              <w:adjustRightInd w:val="0"/>
              <w:spacing w:line="360" w:lineRule="auto"/>
              <w:ind w:firstLine="480" w:firstLineChars="200"/>
              <w:rPr>
                <w:rFonts w:hint="eastAsia" w:ascii="Times New Roman" w:hAnsi="Times New Roman" w:eastAsia="宋体" w:cs="Times New Roman"/>
                <w:sz w:val="24"/>
                <w:highlight w:val="none"/>
                <w:lang w:val="en-US" w:eastAsia="zh-CN"/>
              </w:rPr>
            </w:pPr>
            <w:r>
              <w:rPr>
                <w:rFonts w:hint="eastAsia" w:ascii="Times New Roman" w:hAnsi="Times New Roman" w:eastAsia="宋体" w:cs="Times New Roman"/>
                <w:sz w:val="24"/>
                <w:highlight w:val="none"/>
                <w:lang w:val="en-US" w:eastAsia="zh-CN"/>
              </w:rPr>
              <w:t>Lw=4.188×10</w:t>
            </w:r>
            <w:r>
              <w:rPr>
                <w:rFonts w:hint="eastAsia" w:ascii="Times New Roman" w:hAnsi="Times New Roman" w:eastAsia="宋体" w:cs="Times New Roman"/>
                <w:sz w:val="24"/>
                <w:highlight w:val="none"/>
                <w:vertAlign w:val="superscript"/>
                <w:lang w:val="en-US" w:eastAsia="zh-CN"/>
              </w:rPr>
              <w:t>-7</w:t>
            </w:r>
            <w:r>
              <w:rPr>
                <w:rFonts w:hint="eastAsia" w:ascii="Times New Roman" w:hAnsi="Times New Roman" w:eastAsia="宋体" w:cs="Times New Roman"/>
                <w:sz w:val="24"/>
                <w:highlight w:val="none"/>
                <w:lang w:val="en-US" w:eastAsia="zh-CN"/>
              </w:rPr>
              <w:t xml:space="preserve"> ×M×P×K</w:t>
            </w:r>
            <w:r>
              <w:rPr>
                <w:rFonts w:hint="eastAsia" w:ascii="Times New Roman" w:hAnsi="Times New Roman" w:eastAsia="宋体" w:cs="Times New Roman"/>
                <w:sz w:val="24"/>
                <w:highlight w:val="none"/>
                <w:vertAlign w:val="subscript"/>
                <w:lang w:val="en-US" w:eastAsia="zh-CN"/>
              </w:rPr>
              <w:t>N</w:t>
            </w:r>
            <w:r>
              <w:rPr>
                <w:rFonts w:hint="eastAsia" w:ascii="Times New Roman" w:hAnsi="Times New Roman" w:eastAsia="宋体" w:cs="Times New Roman"/>
                <w:sz w:val="24"/>
                <w:highlight w:val="none"/>
                <w:lang w:val="en-US" w:eastAsia="zh-CN"/>
              </w:rPr>
              <w:t>×K</w:t>
            </w:r>
            <w:r>
              <w:rPr>
                <w:rFonts w:hint="eastAsia" w:ascii="Times New Roman" w:hAnsi="Times New Roman" w:eastAsia="宋体" w:cs="Times New Roman"/>
                <w:sz w:val="24"/>
                <w:highlight w:val="none"/>
                <w:vertAlign w:val="subscript"/>
                <w:lang w:val="en-US" w:eastAsia="zh-CN"/>
              </w:rPr>
              <w:t xml:space="preserve">C </w:t>
            </w:r>
          </w:p>
          <w:p w14:paraId="2EACC4DD">
            <w:pPr>
              <w:autoSpaceDE w:val="0"/>
              <w:autoSpaceDN w:val="0"/>
              <w:adjustRightInd w:val="0"/>
              <w:spacing w:line="360" w:lineRule="auto"/>
              <w:ind w:firstLine="480" w:firstLineChars="200"/>
              <w:rPr>
                <w:rFonts w:hint="eastAsia" w:ascii="Times New Roman" w:hAnsi="Times New Roman" w:eastAsia="宋体" w:cs="Times New Roman"/>
                <w:sz w:val="24"/>
                <w:highlight w:val="none"/>
                <w:lang w:val="en-US" w:eastAsia="zh-CN"/>
              </w:rPr>
            </w:pPr>
            <w:r>
              <w:rPr>
                <w:rFonts w:hint="eastAsia" w:ascii="Times New Roman" w:hAnsi="Times New Roman" w:eastAsia="宋体" w:cs="Times New Roman"/>
                <w:sz w:val="24"/>
                <w:highlight w:val="none"/>
                <w:lang w:val="en-US" w:eastAsia="zh-CN"/>
              </w:rPr>
              <w:t>式中：</w:t>
            </w:r>
            <w:r>
              <w:rPr>
                <w:rFonts w:hint="default" w:ascii="Times New Roman" w:hAnsi="Times New Roman" w:eastAsia="宋体" w:cs="Times New Roman"/>
                <w:sz w:val="24"/>
                <w:highlight w:val="none"/>
                <w:lang w:val="en-US" w:eastAsia="zh-CN"/>
              </w:rPr>
              <w:t>Lw—</w:t>
            </w:r>
            <w:r>
              <w:rPr>
                <w:rFonts w:hint="eastAsia" w:ascii="Times New Roman" w:hAnsi="Times New Roman" w:eastAsia="宋体" w:cs="Times New Roman"/>
                <w:sz w:val="24"/>
                <w:highlight w:val="none"/>
                <w:lang w:val="en-US" w:eastAsia="zh-CN"/>
              </w:rPr>
              <w:t>储罐工作损失（</w:t>
            </w:r>
            <w:r>
              <w:rPr>
                <w:rFonts w:hint="default" w:ascii="Times New Roman" w:hAnsi="Times New Roman" w:eastAsia="宋体" w:cs="Times New Roman"/>
                <w:sz w:val="24"/>
                <w:highlight w:val="none"/>
                <w:lang w:val="en-US" w:eastAsia="zh-CN"/>
              </w:rPr>
              <w:t>kg/m³</w:t>
            </w:r>
            <w:r>
              <w:rPr>
                <w:rFonts w:hint="eastAsia" w:ascii="Times New Roman" w:hAnsi="Times New Roman" w:eastAsia="宋体" w:cs="Times New Roman"/>
                <w:sz w:val="24"/>
                <w:highlight w:val="none"/>
                <w:lang w:val="en-US" w:eastAsia="zh-CN"/>
              </w:rPr>
              <w:t xml:space="preserve">投入量）； </w:t>
            </w:r>
          </w:p>
          <w:p w14:paraId="31C363A8">
            <w:pPr>
              <w:autoSpaceDE w:val="0"/>
              <w:autoSpaceDN w:val="0"/>
              <w:adjustRightInd w:val="0"/>
              <w:spacing w:line="360" w:lineRule="auto"/>
              <w:ind w:firstLine="480" w:firstLineChars="200"/>
              <w:rPr>
                <w:rFonts w:hint="eastAsia" w:ascii="Times New Roman" w:hAnsi="Times New Roman" w:eastAsia="宋体" w:cs="Times New Roman"/>
                <w:sz w:val="24"/>
                <w:highlight w:val="none"/>
                <w:lang w:val="en-US" w:eastAsia="zh-CN"/>
              </w:rPr>
            </w:pPr>
            <w:r>
              <w:rPr>
                <w:rFonts w:hint="default" w:ascii="Times New Roman" w:hAnsi="Times New Roman" w:eastAsia="宋体" w:cs="Times New Roman"/>
                <w:sz w:val="24"/>
                <w:highlight w:val="none"/>
                <w:lang w:val="en-US" w:eastAsia="zh-CN"/>
              </w:rPr>
              <w:t>M—</w:t>
            </w:r>
            <w:r>
              <w:rPr>
                <w:rFonts w:hint="eastAsia" w:ascii="Times New Roman" w:hAnsi="Times New Roman" w:eastAsia="宋体" w:cs="Times New Roman"/>
                <w:sz w:val="24"/>
                <w:highlight w:val="none"/>
                <w:lang w:val="en-US" w:eastAsia="zh-CN"/>
              </w:rPr>
              <w:t xml:space="preserve">储罐内蒸气的分子量； </w:t>
            </w:r>
          </w:p>
          <w:p w14:paraId="504E6652">
            <w:pPr>
              <w:autoSpaceDE w:val="0"/>
              <w:autoSpaceDN w:val="0"/>
              <w:adjustRightInd w:val="0"/>
              <w:spacing w:line="360" w:lineRule="auto"/>
              <w:ind w:firstLine="480" w:firstLineChars="200"/>
              <w:rPr>
                <w:rFonts w:hint="eastAsia" w:ascii="Times New Roman" w:hAnsi="Times New Roman" w:eastAsia="宋体" w:cs="Times New Roman"/>
                <w:sz w:val="24"/>
                <w:highlight w:val="none"/>
                <w:lang w:val="en-US" w:eastAsia="zh-CN"/>
              </w:rPr>
            </w:pPr>
            <w:r>
              <w:rPr>
                <w:rFonts w:hint="default" w:ascii="Times New Roman" w:hAnsi="Times New Roman" w:eastAsia="宋体" w:cs="Times New Roman"/>
                <w:sz w:val="24"/>
                <w:highlight w:val="none"/>
                <w:lang w:val="en-US" w:eastAsia="zh-CN"/>
              </w:rPr>
              <w:t>P—</w:t>
            </w:r>
            <w:r>
              <w:rPr>
                <w:rFonts w:hint="eastAsia" w:ascii="Times New Roman" w:hAnsi="Times New Roman" w:eastAsia="宋体" w:cs="Times New Roman"/>
                <w:sz w:val="24"/>
                <w:highlight w:val="none"/>
                <w:lang w:val="en-US" w:eastAsia="zh-CN"/>
              </w:rPr>
              <w:t>在大量液体状态下，真实的蒸气压力（</w:t>
            </w:r>
            <w:r>
              <w:rPr>
                <w:rFonts w:hint="default" w:ascii="Times New Roman" w:hAnsi="Times New Roman" w:eastAsia="宋体" w:cs="Times New Roman"/>
                <w:sz w:val="24"/>
                <w:highlight w:val="none"/>
                <w:lang w:val="en-US" w:eastAsia="zh-CN"/>
              </w:rPr>
              <w:t>Pa</w:t>
            </w:r>
            <w:r>
              <w:rPr>
                <w:rFonts w:hint="eastAsia" w:ascii="Times New Roman" w:hAnsi="Times New Roman" w:eastAsia="宋体" w:cs="Times New Roman"/>
                <w:sz w:val="24"/>
                <w:highlight w:val="none"/>
                <w:lang w:val="en-US" w:eastAsia="zh-CN"/>
              </w:rPr>
              <w:t xml:space="preserve">）； </w:t>
            </w:r>
          </w:p>
          <w:p w14:paraId="48E0D020">
            <w:pPr>
              <w:autoSpaceDE w:val="0"/>
              <w:autoSpaceDN w:val="0"/>
              <w:adjustRightInd w:val="0"/>
              <w:spacing w:line="360" w:lineRule="auto"/>
              <w:ind w:firstLine="480" w:firstLineChars="200"/>
              <w:rPr>
                <w:rFonts w:hint="eastAsia" w:ascii="Times New Roman" w:hAnsi="Times New Roman" w:eastAsia="宋体" w:cs="Times New Roman"/>
                <w:sz w:val="24"/>
                <w:highlight w:val="none"/>
                <w:lang w:val="en-US" w:eastAsia="zh-CN"/>
              </w:rPr>
            </w:pPr>
            <w:r>
              <w:rPr>
                <w:rFonts w:hint="default" w:ascii="Times New Roman" w:hAnsi="Times New Roman" w:eastAsia="宋体" w:cs="Times New Roman"/>
                <w:sz w:val="24"/>
                <w:highlight w:val="none"/>
                <w:lang w:val="en-US" w:eastAsia="zh-CN"/>
              </w:rPr>
              <w:t>K</w:t>
            </w:r>
            <w:r>
              <w:rPr>
                <w:rFonts w:hint="default" w:ascii="Times New Roman" w:hAnsi="Times New Roman" w:eastAsia="宋体" w:cs="Times New Roman"/>
                <w:sz w:val="24"/>
                <w:highlight w:val="none"/>
                <w:vertAlign w:val="subscript"/>
                <w:lang w:val="en-US" w:eastAsia="zh-CN"/>
              </w:rPr>
              <w:t>N</w:t>
            </w:r>
            <w:r>
              <w:rPr>
                <w:rFonts w:hint="default" w:ascii="Times New Roman" w:hAnsi="Times New Roman" w:eastAsia="宋体" w:cs="Times New Roman"/>
                <w:sz w:val="24"/>
                <w:highlight w:val="none"/>
                <w:lang w:val="en-US" w:eastAsia="zh-CN"/>
              </w:rPr>
              <w:t>—</w:t>
            </w:r>
            <w:r>
              <w:rPr>
                <w:rFonts w:hint="eastAsia" w:ascii="Times New Roman" w:hAnsi="Times New Roman" w:eastAsia="宋体" w:cs="Times New Roman"/>
                <w:sz w:val="24"/>
                <w:highlight w:val="none"/>
                <w:lang w:val="en-US" w:eastAsia="zh-CN"/>
              </w:rPr>
              <w:t>周转因子（无量纲），取值按年周转次数（</w:t>
            </w:r>
            <w:r>
              <w:rPr>
                <w:rFonts w:hint="default" w:ascii="Times New Roman" w:hAnsi="Times New Roman" w:eastAsia="宋体" w:cs="Times New Roman"/>
                <w:sz w:val="24"/>
                <w:highlight w:val="none"/>
                <w:lang w:val="en-US" w:eastAsia="zh-CN"/>
              </w:rPr>
              <w:t>K</w:t>
            </w:r>
            <w:r>
              <w:rPr>
                <w:rFonts w:hint="eastAsia" w:ascii="Times New Roman" w:hAnsi="Times New Roman" w:eastAsia="宋体" w:cs="Times New Roman"/>
                <w:sz w:val="24"/>
                <w:highlight w:val="none"/>
                <w:lang w:val="en-US" w:eastAsia="zh-CN"/>
              </w:rPr>
              <w:t>）确定（</w:t>
            </w:r>
            <w:r>
              <w:rPr>
                <w:rFonts w:hint="default" w:ascii="Times New Roman" w:hAnsi="Times New Roman" w:eastAsia="宋体" w:cs="Times New Roman"/>
                <w:sz w:val="24"/>
                <w:highlight w:val="none"/>
                <w:lang w:val="en-US" w:eastAsia="zh-CN"/>
              </w:rPr>
              <w:t>K=</w:t>
            </w:r>
            <w:r>
              <w:rPr>
                <w:rFonts w:hint="eastAsia" w:ascii="Times New Roman" w:hAnsi="Times New Roman" w:eastAsia="宋体" w:cs="Times New Roman"/>
                <w:sz w:val="24"/>
                <w:highlight w:val="none"/>
                <w:lang w:val="en-US" w:eastAsia="zh-CN"/>
              </w:rPr>
              <w:t>年投入量</w:t>
            </w:r>
            <w:r>
              <w:rPr>
                <w:rFonts w:hint="default" w:ascii="Times New Roman" w:hAnsi="Times New Roman" w:eastAsia="宋体" w:cs="Times New Roman"/>
                <w:sz w:val="24"/>
                <w:highlight w:val="none"/>
                <w:lang w:val="en-US" w:eastAsia="zh-CN"/>
              </w:rPr>
              <w:t>/</w:t>
            </w:r>
            <w:r>
              <w:rPr>
                <w:rFonts w:hint="eastAsia" w:ascii="Times New Roman" w:hAnsi="Times New Roman" w:eastAsia="宋体" w:cs="Times New Roman"/>
                <w:sz w:val="24"/>
                <w:highlight w:val="none"/>
                <w:lang w:val="en-US" w:eastAsia="zh-CN"/>
              </w:rPr>
              <w:t xml:space="preserve">罐容量）确定）， </w:t>
            </w:r>
          </w:p>
          <w:p w14:paraId="2F5187A8">
            <w:pPr>
              <w:autoSpaceDE w:val="0"/>
              <w:autoSpaceDN w:val="0"/>
              <w:adjustRightInd w:val="0"/>
              <w:spacing w:line="360" w:lineRule="auto"/>
              <w:ind w:firstLine="480" w:firstLineChars="200"/>
              <w:rPr>
                <w:rFonts w:hint="eastAsia" w:ascii="Times New Roman" w:hAnsi="Times New Roman" w:eastAsia="宋体" w:cs="Times New Roman"/>
                <w:sz w:val="24"/>
                <w:highlight w:val="none"/>
                <w:lang w:val="en-US" w:eastAsia="zh-CN"/>
              </w:rPr>
            </w:pPr>
            <w:r>
              <w:rPr>
                <w:rFonts w:hint="default" w:ascii="Times New Roman" w:hAnsi="Times New Roman" w:eastAsia="宋体" w:cs="Times New Roman"/>
                <w:sz w:val="24"/>
                <w:highlight w:val="none"/>
                <w:lang w:val="en-US" w:eastAsia="zh-CN"/>
              </w:rPr>
              <w:t>K≤36</w:t>
            </w:r>
            <w:r>
              <w:rPr>
                <w:rFonts w:hint="eastAsia" w:ascii="Times New Roman" w:hAnsi="Times New Roman" w:eastAsia="宋体" w:cs="Times New Roman"/>
                <w:sz w:val="24"/>
                <w:highlight w:val="none"/>
                <w:lang w:val="en-US" w:eastAsia="zh-CN"/>
              </w:rPr>
              <w:t>，</w:t>
            </w:r>
            <w:r>
              <w:rPr>
                <w:rFonts w:hint="default" w:ascii="Times New Roman" w:hAnsi="Times New Roman" w:eastAsia="宋体" w:cs="Times New Roman"/>
                <w:sz w:val="24"/>
                <w:highlight w:val="none"/>
                <w:lang w:val="en-US" w:eastAsia="zh-CN"/>
              </w:rPr>
              <w:t>KN=1</w:t>
            </w:r>
            <w:r>
              <w:rPr>
                <w:rFonts w:hint="eastAsia" w:ascii="Times New Roman" w:hAnsi="Times New Roman" w:eastAsia="宋体" w:cs="Times New Roman"/>
                <w:sz w:val="24"/>
                <w:highlight w:val="none"/>
                <w:lang w:val="en-US" w:eastAsia="zh-CN"/>
              </w:rPr>
              <w:t>；</w:t>
            </w:r>
            <w:r>
              <w:rPr>
                <w:rFonts w:hint="default" w:ascii="Times New Roman" w:hAnsi="Times New Roman" w:eastAsia="宋体" w:cs="Times New Roman"/>
                <w:sz w:val="24"/>
                <w:highlight w:val="none"/>
                <w:lang w:val="en-US" w:eastAsia="zh-CN"/>
              </w:rPr>
              <w:t>36&lt;K≤220</w:t>
            </w:r>
            <w:r>
              <w:rPr>
                <w:rFonts w:hint="eastAsia" w:ascii="Times New Roman" w:hAnsi="Times New Roman" w:eastAsia="宋体" w:cs="Times New Roman"/>
                <w:sz w:val="24"/>
                <w:highlight w:val="none"/>
                <w:lang w:val="en-US" w:eastAsia="zh-CN"/>
              </w:rPr>
              <w:t>，</w:t>
            </w:r>
            <w:r>
              <w:rPr>
                <w:rFonts w:hint="default" w:ascii="Times New Roman" w:hAnsi="Times New Roman" w:eastAsia="宋体" w:cs="Times New Roman"/>
                <w:sz w:val="24"/>
                <w:highlight w:val="none"/>
                <w:lang w:val="en-US" w:eastAsia="zh-CN"/>
              </w:rPr>
              <w:t>K</w:t>
            </w:r>
            <w:r>
              <w:rPr>
                <w:rFonts w:hint="default" w:ascii="Times New Roman" w:hAnsi="Times New Roman" w:eastAsia="宋体" w:cs="Times New Roman"/>
                <w:sz w:val="24"/>
                <w:highlight w:val="none"/>
                <w:vertAlign w:val="subscript"/>
                <w:lang w:val="en-US" w:eastAsia="zh-CN"/>
              </w:rPr>
              <w:t>N</w:t>
            </w:r>
            <w:r>
              <w:rPr>
                <w:rFonts w:hint="default" w:ascii="Times New Roman" w:hAnsi="Times New Roman" w:eastAsia="宋体" w:cs="Times New Roman"/>
                <w:sz w:val="24"/>
                <w:highlight w:val="none"/>
                <w:lang w:val="en-US" w:eastAsia="zh-CN"/>
              </w:rPr>
              <w:t>=11.467×K</w:t>
            </w:r>
            <w:r>
              <w:rPr>
                <w:rFonts w:hint="default" w:ascii="Times New Roman" w:hAnsi="Times New Roman" w:eastAsia="宋体" w:cs="Times New Roman"/>
                <w:sz w:val="24"/>
                <w:highlight w:val="none"/>
                <w:vertAlign w:val="superscript"/>
                <w:lang w:val="en-US" w:eastAsia="zh-CN"/>
              </w:rPr>
              <w:t>-0.7026</w:t>
            </w:r>
            <w:r>
              <w:rPr>
                <w:rFonts w:hint="default" w:ascii="Times New Roman" w:hAnsi="Times New Roman" w:eastAsia="宋体" w:cs="Times New Roman"/>
                <w:sz w:val="24"/>
                <w:highlight w:val="none"/>
                <w:lang w:val="en-US" w:eastAsia="zh-CN"/>
              </w:rPr>
              <w:t xml:space="preserve"> </w:t>
            </w:r>
            <w:r>
              <w:rPr>
                <w:rFonts w:hint="eastAsia" w:ascii="Times New Roman" w:hAnsi="Times New Roman" w:eastAsia="宋体" w:cs="Times New Roman"/>
                <w:sz w:val="24"/>
                <w:highlight w:val="none"/>
                <w:lang w:val="en-US" w:eastAsia="zh-CN"/>
              </w:rPr>
              <w:t>；</w:t>
            </w:r>
            <w:r>
              <w:rPr>
                <w:rFonts w:hint="default" w:ascii="Times New Roman" w:hAnsi="Times New Roman" w:eastAsia="宋体" w:cs="Times New Roman"/>
                <w:sz w:val="24"/>
                <w:highlight w:val="none"/>
                <w:lang w:val="en-US" w:eastAsia="zh-CN"/>
              </w:rPr>
              <w:t>K&gt;220</w:t>
            </w:r>
            <w:r>
              <w:rPr>
                <w:rFonts w:hint="eastAsia" w:ascii="Times New Roman" w:hAnsi="Times New Roman" w:eastAsia="宋体" w:cs="Times New Roman"/>
                <w:sz w:val="24"/>
                <w:highlight w:val="none"/>
                <w:lang w:val="en-US" w:eastAsia="zh-CN"/>
              </w:rPr>
              <w:t>，</w:t>
            </w:r>
            <w:r>
              <w:rPr>
                <w:rFonts w:hint="default" w:ascii="Times New Roman" w:hAnsi="Times New Roman" w:eastAsia="宋体" w:cs="Times New Roman"/>
                <w:sz w:val="24"/>
                <w:highlight w:val="none"/>
                <w:lang w:val="en-US" w:eastAsia="zh-CN"/>
              </w:rPr>
              <w:t>K</w:t>
            </w:r>
            <w:r>
              <w:rPr>
                <w:rFonts w:hint="default" w:ascii="Times New Roman" w:hAnsi="Times New Roman" w:eastAsia="宋体" w:cs="Times New Roman"/>
                <w:sz w:val="24"/>
                <w:highlight w:val="none"/>
                <w:vertAlign w:val="subscript"/>
                <w:lang w:val="en-US" w:eastAsia="zh-CN"/>
              </w:rPr>
              <w:t>N</w:t>
            </w:r>
            <w:r>
              <w:rPr>
                <w:rFonts w:hint="default" w:ascii="Times New Roman" w:hAnsi="Times New Roman" w:eastAsia="宋体" w:cs="Times New Roman"/>
                <w:sz w:val="24"/>
                <w:highlight w:val="none"/>
                <w:lang w:val="en-US" w:eastAsia="zh-CN"/>
              </w:rPr>
              <w:t>=0.26</w:t>
            </w:r>
            <w:r>
              <w:rPr>
                <w:rFonts w:hint="eastAsia" w:ascii="Times New Roman" w:hAnsi="Times New Roman" w:eastAsia="宋体" w:cs="Times New Roman"/>
                <w:sz w:val="24"/>
                <w:highlight w:val="none"/>
                <w:lang w:val="en-US" w:eastAsia="zh-CN"/>
              </w:rPr>
              <w:t xml:space="preserve">； </w:t>
            </w:r>
          </w:p>
          <w:p w14:paraId="196B4DB9">
            <w:pPr>
              <w:autoSpaceDE w:val="0"/>
              <w:autoSpaceDN w:val="0"/>
              <w:adjustRightInd w:val="0"/>
              <w:spacing w:line="360" w:lineRule="auto"/>
              <w:ind w:firstLine="480" w:firstLineChars="200"/>
              <w:rPr>
                <w:rFonts w:hint="eastAsia" w:ascii="Times New Roman" w:hAnsi="Times New Roman" w:eastAsia="宋体" w:cs="Times New Roman"/>
                <w:sz w:val="24"/>
                <w:highlight w:val="none"/>
                <w:lang w:val="en-US" w:eastAsia="zh-CN"/>
              </w:rPr>
            </w:pPr>
            <w:r>
              <w:rPr>
                <w:rFonts w:hint="default" w:ascii="Times New Roman" w:hAnsi="Times New Roman" w:eastAsia="宋体" w:cs="Times New Roman"/>
                <w:sz w:val="24"/>
                <w:highlight w:val="none"/>
                <w:lang w:val="en-US" w:eastAsia="zh-CN"/>
              </w:rPr>
              <w:t>Kc—</w:t>
            </w:r>
            <w:r>
              <w:rPr>
                <w:rFonts w:hint="eastAsia" w:ascii="Times New Roman" w:hAnsi="Times New Roman" w:eastAsia="宋体" w:cs="Times New Roman"/>
                <w:sz w:val="24"/>
                <w:highlight w:val="none"/>
                <w:lang w:val="en-US" w:eastAsia="zh-CN"/>
              </w:rPr>
              <w:t>产品因子（石油原油</w:t>
            </w:r>
            <w:r>
              <w:rPr>
                <w:rFonts w:hint="default" w:ascii="Times New Roman" w:hAnsi="Times New Roman" w:eastAsia="宋体" w:cs="Times New Roman"/>
                <w:sz w:val="24"/>
                <w:highlight w:val="none"/>
                <w:lang w:val="en-US" w:eastAsia="zh-CN"/>
              </w:rPr>
              <w:t>Kc</w:t>
            </w:r>
            <w:r>
              <w:rPr>
                <w:rFonts w:hint="eastAsia" w:ascii="Times New Roman" w:hAnsi="Times New Roman" w:eastAsia="宋体" w:cs="Times New Roman"/>
                <w:sz w:val="24"/>
                <w:highlight w:val="none"/>
                <w:lang w:val="en-US" w:eastAsia="zh-CN"/>
              </w:rPr>
              <w:t xml:space="preserve">取 </w:t>
            </w:r>
            <w:r>
              <w:rPr>
                <w:rFonts w:hint="default" w:ascii="Times New Roman" w:hAnsi="Times New Roman" w:eastAsia="宋体" w:cs="Times New Roman"/>
                <w:sz w:val="24"/>
                <w:highlight w:val="none"/>
                <w:lang w:val="en-US" w:eastAsia="zh-CN"/>
              </w:rPr>
              <w:t>0.65</w:t>
            </w:r>
            <w:r>
              <w:rPr>
                <w:rFonts w:hint="eastAsia" w:ascii="Times New Roman" w:hAnsi="Times New Roman" w:eastAsia="宋体" w:cs="Times New Roman"/>
                <w:sz w:val="24"/>
                <w:highlight w:val="none"/>
                <w:lang w:val="en-US" w:eastAsia="zh-CN"/>
              </w:rPr>
              <w:t>，其他的有机液体取</w:t>
            </w:r>
            <w:r>
              <w:rPr>
                <w:rFonts w:hint="default" w:ascii="Times New Roman" w:hAnsi="Times New Roman" w:eastAsia="宋体" w:cs="Times New Roman"/>
                <w:sz w:val="24"/>
                <w:highlight w:val="none"/>
                <w:lang w:val="en-US" w:eastAsia="zh-CN"/>
              </w:rPr>
              <w:t>1.0</w:t>
            </w:r>
            <w:r>
              <w:rPr>
                <w:rFonts w:hint="eastAsia" w:ascii="Times New Roman" w:hAnsi="Times New Roman" w:eastAsia="宋体" w:cs="Times New Roman"/>
                <w:sz w:val="24"/>
                <w:highlight w:val="none"/>
                <w:lang w:val="en-US" w:eastAsia="zh-CN"/>
              </w:rPr>
              <w:t xml:space="preserve">）。 </w:t>
            </w:r>
          </w:p>
          <w:p w14:paraId="529D1C2C">
            <w:pPr>
              <w:autoSpaceDE w:val="0"/>
              <w:autoSpaceDN w:val="0"/>
              <w:adjustRightInd w:val="0"/>
              <w:spacing w:line="360" w:lineRule="auto"/>
              <w:ind w:firstLine="480" w:firstLineChars="200"/>
              <w:rPr>
                <w:rFonts w:hint="eastAsia" w:ascii="Times New Roman" w:hAnsi="Times New Roman" w:eastAsia="宋体" w:cs="Times New Roman"/>
                <w:sz w:val="24"/>
                <w:highlight w:val="none"/>
                <w:lang w:val="en-US" w:eastAsia="zh-CN"/>
              </w:rPr>
            </w:pPr>
            <w:r>
              <w:rPr>
                <w:rFonts w:hint="eastAsia" w:ascii="Times New Roman" w:hAnsi="Times New Roman" w:eastAsia="宋体" w:cs="Times New Roman"/>
                <w:sz w:val="24"/>
                <w:highlight w:val="none"/>
                <w:lang w:val="en-US" w:eastAsia="zh-CN"/>
              </w:rPr>
              <w:t>本项目废矿物油年最大周转量为8000</w:t>
            </w:r>
            <w:r>
              <w:rPr>
                <w:rFonts w:hint="default" w:ascii="Times New Roman" w:hAnsi="Times New Roman" w:eastAsia="宋体" w:cs="Times New Roman"/>
                <w:sz w:val="24"/>
                <w:highlight w:val="none"/>
                <w:lang w:val="en-US" w:eastAsia="zh-CN"/>
              </w:rPr>
              <w:t>t</w:t>
            </w:r>
            <w:r>
              <w:rPr>
                <w:rFonts w:hint="eastAsia" w:ascii="Times New Roman" w:hAnsi="Times New Roman" w:eastAsia="宋体" w:cs="Times New Roman"/>
                <w:sz w:val="24"/>
                <w:highlight w:val="none"/>
                <w:lang w:val="en-US" w:eastAsia="zh-CN"/>
              </w:rPr>
              <w:t>，废油密度为</w:t>
            </w:r>
            <w:r>
              <w:rPr>
                <w:rFonts w:hint="default" w:ascii="Times New Roman" w:hAnsi="Times New Roman" w:eastAsia="宋体" w:cs="Times New Roman"/>
                <w:sz w:val="24"/>
                <w:highlight w:val="none"/>
                <w:lang w:val="en-US" w:eastAsia="zh-CN"/>
              </w:rPr>
              <w:t>0.878g/cm³</w:t>
            </w:r>
            <w:r>
              <w:rPr>
                <w:rFonts w:hint="eastAsia" w:ascii="Times New Roman" w:hAnsi="Times New Roman" w:eastAsia="宋体" w:cs="Times New Roman"/>
                <w:sz w:val="24"/>
                <w:highlight w:val="none"/>
                <w:lang w:val="en-US" w:eastAsia="zh-CN"/>
              </w:rPr>
              <w:t>，则最大周转7024</w:t>
            </w:r>
            <w:r>
              <w:rPr>
                <w:rFonts w:hint="default" w:ascii="Times New Roman" w:hAnsi="Times New Roman" w:eastAsia="宋体" w:cs="Times New Roman"/>
                <w:sz w:val="24"/>
                <w:highlight w:val="none"/>
                <w:lang w:val="en-US" w:eastAsia="zh-CN"/>
              </w:rPr>
              <w:t>m³</w:t>
            </w:r>
            <w:r>
              <w:rPr>
                <w:rFonts w:hint="eastAsia" w:ascii="Times New Roman" w:hAnsi="Times New Roman" w:eastAsia="宋体" w:cs="Times New Roman"/>
                <w:sz w:val="24"/>
                <w:highlight w:val="none"/>
                <w:lang w:val="en-US" w:eastAsia="zh-CN"/>
              </w:rPr>
              <w:t xml:space="preserve">，则 </w:t>
            </w:r>
            <w:r>
              <w:rPr>
                <w:rFonts w:hint="default" w:ascii="Times New Roman" w:hAnsi="Times New Roman" w:eastAsia="宋体" w:cs="Times New Roman"/>
                <w:sz w:val="24"/>
                <w:highlight w:val="none"/>
                <w:lang w:val="en-US" w:eastAsia="zh-CN"/>
              </w:rPr>
              <w:t>K=</w:t>
            </w:r>
            <w:r>
              <w:rPr>
                <w:rFonts w:hint="eastAsia" w:ascii="Times New Roman" w:hAnsi="Times New Roman" w:eastAsia="宋体" w:cs="Times New Roman"/>
                <w:sz w:val="24"/>
                <w:highlight w:val="none"/>
                <w:lang w:val="en-US" w:eastAsia="zh-CN"/>
              </w:rPr>
              <w:t xml:space="preserve">45.9，则 </w:t>
            </w:r>
            <w:r>
              <w:rPr>
                <w:rFonts w:hint="default" w:ascii="Times New Roman" w:hAnsi="Times New Roman" w:eastAsia="宋体" w:cs="Times New Roman"/>
                <w:sz w:val="24"/>
                <w:highlight w:val="none"/>
                <w:lang w:val="en-US" w:eastAsia="zh-CN"/>
              </w:rPr>
              <w:t>K</w:t>
            </w:r>
            <w:r>
              <w:rPr>
                <w:rFonts w:hint="default" w:ascii="Times New Roman" w:hAnsi="Times New Roman" w:eastAsia="宋体" w:cs="Times New Roman"/>
                <w:sz w:val="24"/>
                <w:highlight w:val="none"/>
                <w:vertAlign w:val="subscript"/>
                <w:lang w:val="en-US" w:eastAsia="zh-CN"/>
              </w:rPr>
              <w:t>N</w:t>
            </w:r>
            <w:r>
              <w:rPr>
                <w:rFonts w:hint="default" w:ascii="Times New Roman" w:hAnsi="Times New Roman" w:eastAsia="宋体" w:cs="Times New Roman"/>
                <w:sz w:val="24"/>
                <w:highlight w:val="none"/>
                <w:lang w:val="en-US" w:eastAsia="zh-CN"/>
              </w:rPr>
              <w:t>=</w:t>
            </w:r>
            <w:r>
              <w:rPr>
                <w:rFonts w:hint="eastAsia" w:ascii="Times New Roman" w:hAnsi="Times New Roman" w:eastAsia="宋体" w:cs="Times New Roman"/>
                <w:sz w:val="24"/>
                <w:highlight w:val="none"/>
                <w:lang w:val="en-US" w:eastAsia="zh-CN"/>
              </w:rPr>
              <w:t xml:space="preserve">0.78。 </w:t>
            </w:r>
          </w:p>
          <w:p w14:paraId="23707D5A">
            <w:pPr>
              <w:autoSpaceDE w:val="0"/>
              <w:autoSpaceDN w:val="0"/>
              <w:adjustRightInd w:val="0"/>
              <w:spacing w:line="360" w:lineRule="auto"/>
              <w:ind w:firstLine="480" w:firstLineChars="200"/>
              <w:rPr>
                <w:rFonts w:hint="eastAsia" w:ascii="Times New Roman" w:hAnsi="Times New Roman" w:eastAsia="宋体" w:cs="Times New Roman"/>
                <w:sz w:val="24"/>
                <w:highlight w:val="none"/>
                <w:lang w:val="en-US" w:eastAsia="zh-CN"/>
              </w:rPr>
            </w:pPr>
            <w:r>
              <w:rPr>
                <w:rFonts w:hint="eastAsia" w:ascii="Times New Roman" w:hAnsi="Times New Roman" w:eastAsia="宋体" w:cs="Times New Roman"/>
                <w:sz w:val="24"/>
                <w:highlight w:val="none"/>
                <w:lang w:val="en-US" w:eastAsia="zh-CN"/>
              </w:rPr>
              <w:t>注：由于大呼吸作用只在装卸过程中产生，一般情况下装料、卸料不在同时进行，则本项目大呼吸时长为年周转量</w:t>
            </w:r>
            <w:r>
              <w:rPr>
                <w:rFonts w:hint="default" w:ascii="Times New Roman" w:hAnsi="Times New Roman" w:eastAsia="宋体" w:cs="Times New Roman"/>
                <w:sz w:val="24"/>
                <w:highlight w:val="none"/>
                <w:lang w:val="en-US" w:eastAsia="zh-CN"/>
              </w:rPr>
              <w:t>/</w:t>
            </w:r>
            <w:r>
              <w:rPr>
                <w:rFonts w:hint="eastAsia" w:ascii="Times New Roman" w:hAnsi="Times New Roman" w:eastAsia="宋体" w:cs="Times New Roman"/>
                <w:sz w:val="24"/>
                <w:highlight w:val="none"/>
                <w:lang w:val="en-US" w:eastAsia="zh-CN"/>
              </w:rPr>
              <w:t>泵流量</w:t>
            </w:r>
            <w:r>
              <w:rPr>
                <w:rFonts w:hint="default" w:ascii="Times New Roman" w:hAnsi="Times New Roman" w:eastAsia="宋体" w:cs="Times New Roman"/>
                <w:sz w:val="24"/>
                <w:highlight w:val="none"/>
                <w:lang w:val="en-US" w:eastAsia="zh-CN"/>
              </w:rPr>
              <w:t>×2</w:t>
            </w:r>
            <w:r>
              <w:rPr>
                <w:rFonts w:hint="eastAsia" w:ascii="Times New Roman" w:hAnsi="Times New Roman" w:eastAsia="宋体" w:cs="Times New Roman"/>
                <w:sz w:val="24"/>
                <w:highlight w:val="none"/>
                <w:lang w:val="en-US" w:eastAsia="zh-CN"/>
              </w:rPr>
              <w:t>，本项目流量泵流量约为</w:t>
            </w:r>
            <w:r>
              <w:rPr>
                <w:rFonts w:hint="default" w:ascii="Times New Roman" w:hAnsi="Times New Roman" w:eastAsia="宋体" w:cs="Times New Roman"/>
                <w:sz w:val="24"/>
                <w:highlight w:val="none"/>
                <w:lang w:val="en-US" w:eastAsia="zh-CN"/>
              </w:rPr>
              <w:t>10m</w:t>
            </w:r>
            <w:r>
              <w:rPr>
                <w:rFonts w:hint="default" w:ascii="Times New Roman" w:hAnsi="Times New Roman" w:eastAsia="宋体" w:cs="Times New Roman"/>
                <w:sz w:val="24"/>
                <w:highlight w:val="none"/>
                <w:vertAlign w:val="superscript"/>
                <w:lang w:val="en-US" w:eastAsia="zh-CN"/>
              </w:rPr>
              <w:t>3</w:t>
            </w:r>
            <w:r>
              <w:rPr>
                <w:rFonts w:hint="default" w:ascii="Times New Roman" w:hAnsi="Times New Roman" w:eastAsia="宋体" w:cs="Times New Roman"/>
                <w:sz w:val="24"/>
                <w:highlight w:val="none"/>
                <w:lang w:val="en-US" w:eastAsia="zh-CN"/>
              </w:rPr>
              <w:t xml:space="preserve"> /h</w:t>
            </w:r>
            <w:r>
              <w:rPr>
                <w:rFonts w:hint="eastAsia" w:ascii="Times New Roman" w:hAnsi="Times New Roman" w:eastAsia="宋体" w:cs="Times New Roman"/>
                <w:sz w:val="24"/>
                <w:highlight w:val="none"/>
                <w:lang w:val="en-US" w:eastAsia="zh-CN"/>
              </w:rPr>
              <w:t>，因此大呼吸时长约1600</w:t>
            </w:r>
            <w:r>
              <w:rPr>
                <w:rFonts w:hint="default" w:ascii="Times New Roman" w:hAnsi="Times New Roman" w:eastAsia="宋体" w:cs="Times New Roman"/>
                <w:sz w:val="24"/>
                <w:highlight w:val="none"/>
                <w:lang w:val="en-US" w:eastAsia="zh-CN"/>
              </w:rPr>
              <w:t>h</w:t>
            </w:r>
            <w:r>
              <w:rPr>
                <w:rFonts w:hint="eastAsia" w:ascii="Times New Roman" w:hAnsi="Times New Roman" w:eastAsia="宋体" w:cs="Times New Roman"/>
                <w:sz w:val="24"/>
                <w:highlight w:val="none"/>
                <w:lang w:val="en-US" w:eastAsia="zh-CN"/>
              </w:rPr>
              <w:t xml:space="preserve">。 </w:t>
            </w:r>
          </w:p>
          <w:p w14:paraId="1BA38F31">
            <w:pPr>
              <w:autoSpaceDE w:val="0"/>
              <w:autoSpaceDN w:val="0"/>
              <w:adjustRightInd w:val="0"/>
              <w:spacing w:line="360" w:lineRule="auto"/>
              <w:ind w:firstLine="480" w:firstLineChars="200"/>
              <w:rPr>
                <w:rFonts w:hint="eastAsia" w:ascii="Times New Roman" w:hAnsi="Times New Roman" w:eastAsia="宋体" w:cs="Times New Roman"/>
                <w:sz w:val="24"/>
                <w:highlight w:val="none"/>
                <w:lang w:val="en-US" w:eastAsia="zh-CN"/>
              </w:rPr>
            </w:pPr>
            <w:r>
              <w:rPr>
                <w:rFonts w:hint="eastAsia" w:ascii="Times New Roman" w:hAnsi="Times New Roman" w:eastAsia="宋体" w:cs="Times New Roman"/>
                <w:sz w:val="24"/>
                <w:highlight w:val="none"/>
                <w:lang w:val="en-US" w:eastAsia="zh-CN"/>
              </w:rPr>
              <w:t>本项目储罐主要贮存废矿物油，无统一的真实蒸气分子量和蒸汽压力数据， 考虑其挥发性总体较低，根据《石油化工设计手册》资料数据，按柴油或燃料油取值，蒸气分子量</w:t>
            </w:r>
            <w:r>
              <w:rPr>
                <w:rFonts w:hint="default" w:ascii="Times New Roman" w:hAnsi="Times New Roman" w:eastAsia="宋体" w:cs="Times New Roman"/>
                <w:sz w:val="24"/>
                <w:highlight w:val="none"/>
                <w:lang w:val="en-US" w:eastAsia="zh-CN"/>
              </w:rPr>
              <w:t>M=130</w:t>
            </w:r>
            <w:r>
              <w:rPr>
                <w:rFonts w:hint="eastAsia" w:ascii="Times New Roman" w:hAnsi="Times New Roman" w:eastAsia="宋体" w:cs="Times New Roman"/>
                <w:sz w:val="24"/>
                <w:highlight w:val="none"/>
                <w:lang w:val="en-US" w:eastAsia="zh-CN"/>
              </w:rPr>
              <w:t>（</w:t>
            </w:r>
            <w:r>
              <w:rPr>
                <w:rFonts w:hint="default" w:ascii="Times New Roman" w:hAnsi="Times New Roman" w:eastAsia="宋体" w:cs="Times New Roman"/>
                <w:sz w:val="24"/>
                <w:highlight w:val="none"/>
                <w:lang w:val="en-US" w:eastAsia="zh-CN"/>
              </w:rPr>
              <w:t>15.6℃</w:t>
            </w:r>
            <w:r>
              <w:rPr>
                <w:rFonts w:hint="eastAsia" w:ascii="Times New Roman" w:hAnsi="Times New Roman" w:eastAsia="宋体" w:cs="Times New Roman"/>
                <w:sz w:val="24"/>
                <w:highlight w:val="none"/>
                <w:lang w:val="en-US" w:eastAsia="zh-CN"/>
              </w:rPr>
              <w:t>）；参考中国石化集团安全工程研究院牟善军等进行的实验测试（见《轻柴油危险性指标变化及安全储存措施》</w:t>
            </w:r>
            <w:r>
              <w:rPr>
                <w:rFonts w:hint="default" w:ascii="Times New Roman" w:hAnsi="Times New Roman" w:eastAsia="宋体" w:cs="Times New Roman"/>
                <w:sz w:val="24"/>
                <w:highlight w:val="none"/>
                <w:lang w:val="en-US" w:eastAsia="zh-CN"/>
              </w:rPr>
              <w:t>[</w:t>
            </w:r>
            <w:r>
              <w:rPr>
                <w:rFonts w:hint="eastAsia" w:ascii="Times New Roman" w:hAnsi="Times New Roman" w:eastAsia="宋体" w:cs="Times New Roman"/>
                <w:sz w:val="24"/>
                <w:highlight w:val="none"/>
                <w:lang w:val="en-US" w:eastAsia="zh-CN"/>
              </w:rPr>
              <w:t>石油商技，</w:t>
            </w:r>
            <w:r>
              <w:rPr>
                <w:rFonts w:hint="default" w:ascii="Times New Roman" w:hAnsi="Times New Roman" w:eastAsia="宋体" w:cs="Times New Roman"/>
                <w:sz w:val="24"/>
                <w:highlight w:val="none"/>
                <w:lang w:val="en-US" w:eastAsia="zh-CN"/>
              </w:rPr>
              <w:t>2003</w:t>
            </w:r>
            <w:r>
              <w:rPr>
                <w:rFonts w:hint="eastAsia" w:ascii="Times New Roman" w:hAnsi="Times New Roman" w:eastAsia="宋体" w:cs="Times New Roman"/>
                <w:sz w:val="24"/>
                <w:highlight w:val="none"/>
                <w:lang w:val="en-US" w:eastAsia="zh-CN"/>
              </w:rPr>
              <w:t>年第</w:t>
            </w:r>
            <w:r>
              <w:rPr>
                <w:rFonts w:hint="default" w:ascii="Times New Roman" w:hAnsi="Times New Roman" w:eastAsia="宋体" w:cs="Times New Roman"/>
                <w:sz w:val="24"/>
                <w:highlight w:val="none"/>
                <w:lang w:val="en-US" w:eastAsia="zh-CN"/>
              </w:rPr>
              <w:t>21</w:t>
            </w:r>
            <w:r>
              <w:rPr>
                <w:rFonts w:hint="eastAsia" w:ascii="Times New Roman" w:hAnsi="Times New Roman" w:eastAsia="宋体" w:cs="Times New Roman"/>
                <w:sz w:val="24"/>
                <w:highlight w:val="none"/>
                <w:lang w:val="en-US" w:eastAsia="zh-CN"/>
              </w:rPr>
              <w:t>卷第</w:t>
            </w:r>
            <w:r>
              <w:rPr>
                <w:rFonts w:hint="default" w:ascii="Times New Roman" w:hAnsi="Times New Roman" w:eastAsia="宋体" w:cs="Times New Roman"/>
                <w:sz w:val="24"/>
                <w:highlight w:val="none"/>
                <w:lang w:val="en-US" w:eastAsia="zh-CN"/>
              </w:rPr>
              <w:t>2</w:t>
            </w:r>
            <w:r>
              <w:rPr>
                <w:rFonts w:hint="eastAsia" w:ascii="Times New Roman" w:hAnsi="Times New Roman" w:eastAsia="宋体" w:cs="Times New Roman"/>
                <w:sz w:val="24"/>
                <w:highlight w:val="none"/>
                <w:lang w:val="en-US" w:eastAsia="zh-CN"/>
              </w:rPr>
              <w:t>期：</w:t>
            </w:r>
            <w:r>
              <w:rPr>
                <w:rFonts w:hint="default" w:ascii="Times New Roman" w:hAnsi="Times New Roman" w:eastAsia="宋体" w:cs="Times New Roman"/>
                <w:sz w:val="24"/>
                <w:highlight w:val="none"/>
                <w:lang w:val="en-US" w:eastAsia="zh-CN"/>
              </w:rPr>
              <w:t>17-19]</w:t>
            </w:r>
            <w:r>
              <w:rPr>
                <w:rFonts w:hint="eastAsia" w:ascii="Times New Roman" w:hAnsi="Times New Roman" w:eastAsia="宋体" w:cs="Times New Roman"/>
                <w:sz w:val="24"/>
                <w:highlight w:val="none"/>
                <w:lang w:val="en-US" w:eastAsia="zh-CN"/>
              </w:rPr>
              <w:t xml:space="preserve">，低闪点轻柴油（闪点 </w:t>
            </w:r>
            <w:r>
              <w:rPr>
                <w:rFonts w:hint="default" w:ascii="Times New Roman" w:hAnsi="Times New Roman" w:eastAsia="宋体" w:cs="Times New Roman"/>
                <w:sz w:val="24"/>
                <w:highlight w:val="none"/>
                <w:lang w:val="en-US" w:eastAsia="zh-CN"/>
              </w:rPr>
              <w:t>55℃</w:t>
            </w:r>
            <w:r>
              <w:rPr>
                <w:rFonts w:hint="eastAsia" w:ascii="Times New Roman" w:hAnsi="Times New Roman" w:eastAsia="宋体" w:cs="Times New Roman"/>
                <w:sz w:val="24"/>
                <w:highlight w:val="none"/>
                <w:lang w:val="en-US" w:eastAsia="zh-CN"/>
              </w:rPr>
              <w:t>）的饱和蒸气压测试结果，本计算取</w:t>
            </w:r>
            <w:r>
              <w:rPr>
                <w:rFonts w:hint="default" w:ascii="Times New Roman" w:hAnsi="Times New Roman" w:eastAsia="宋体" w:cs="Times New Roman"/>
                <w:sz w:val="24"/>
                <w:highlight w:val="none"/>
                <w:lang w:val="en-US" w:eastAsia="zh-CN"/>
              </w:rPr>
              <w:t>P=667Pa</w:t>
            </w:r>
            <w:r>
              <w:rPr>
                <w:rFonts w:hint="eastAsia" w:ascii="Times New Roman" w:hAnsi="Times New Roman" w:eastAsia="宋体" w:cs="Times New Roman"/>
                <w:sz w:val="24"/>
                <w:highlight w:val="none"/>
                <w:lang w:val="en-US" w:eastAsia="zh-CN"/>
              </w:rPr>
              <w:t xml:space="preserve">，参数汇总表详见表 </w:t>
            </w:r>
            <w:r>
              <w:rPr>
                <w:rFonts w:hint="default" w:ascii="Times New Roman" w:hAnsi="Times New Roman" w:eastAsia="宋体" w:cs="Times New Roman"/>
                <w:sz w:val="24"/>
                <w:highlight w:val="none"/>
                <w:lang w:val="en-US" w:eastAsia="zh-CN"/>
              </w:rPr>
              <w:t>4-</w:t>
            </w:r>
            <w:r>
              <w:rPr>
                <w:rFonts w:hint="eastAsia" w:ascii="Times New Roman" w:hAnsi="Times New Roman" w:eastAsia="宋体" w:cs="Times New Roman"/>
                <w:sz w:val="24"/>
                <w:highlight w:val="none"/>
                <w:lang w:val="en-US" w:eastAsia="zh-CN"/>
              </w:rPr>
              <w:t>1。</w:t>
            </w:r>
          </w:p>
          <w:p w14:paraId="177DEA71">
            <w:pPr>
              <w:pStyle w:val="48"/>
              <w:numPr>
                <w:ilvl w:val="0"/>
                <w:numId w:val="9"/>
              </w:numPr>
              <w:spacing w:line="360" w:lineRule="auto"/>
              <w:ind w:left="0" w:firstLine="0" w:firstLineChars="0"/>
              <w:jc w:val="center"/>
              <w:rPr>
                <w:rFonts w:ascii="Times New Roman" w:hAnsi="Times New Roman" w:eastAsia="宋体"/>
                <w:highlight w:val="none"/>
              </w:rPr>
            </w:pPr>
            <w:r>
              <w:rPr>
                <w:rFonts w:hint="eastAsia" w:ascii="Times New Roman" w:hAnsi="Times New Roman" w:eastAsia="宋体"/>
                <w:b/>
                <w:color w:val="000000"/>
                <w:sz w:val="21"/>
                <w:szCs w:val="21"/>
                <w:highlight w:val="none"/>
                <w:lang w:eastAsia="zh-CN"/>
              </w:rPr>
              <w:t>“</w:t>
            </w:r>
            <w:r>
              <w:rPr>
                <w:rFonts w:hint="eastAsia" w:ascii="Times New Roman" w:hAnsi="Times New Roman" w:eastAsia="宋体"/>
                <w:b/>
                <w:color w:val="000000"/>
                <w:sz w:val="21"/>
                <w:szCs w:val="21"/>
                <w:highlight w:val="none"/>
                <w:lang w:val="en-US" w:eastAsia="zh-CN"/>
              </w:rPr>
              <w:t>大呼吸</w:t>
            </w:r>
            <w:r>
              <w:rPr>
                <w:rFonts w:hint="eastAsia" w:ascii="Times New Roman" w:hAnsi="Times New Roman" w:eastAsia="宋体"/>
                <w:b/>
                <w:color w:val="000000"/>
                <w:sz w:val="21"/>
                <w:szCs w:val="21"/>
                <w:highlight w:val="none"/>
                <w:lang w:eastAsia="zh-CN"/>
              </w:rPr>
              <w:t>”</w:t>
            </w:r>
            <w:r>
              <w:rPr>
                <w:rFonts w:hint="eastAsia" w:ascii="Times New Roman" w:hAnsi="Times New Roman" w:eastAsia="宋体"/>
                <w:b/>
                <w:color w:val="000000"/>
                <w:sz w:val="21"/>
                <w:szCs w:val="21"/>
                <w:highlight w:val="none"/>
                <w:lang w:val="en-US" w:eastAsia="zh-CN"/>
              </w:rPr>
              <w:t>损耗参数</w:t>
            </w:r>
            <w:r>
              <w:rPr>
                <w:rFonts w:hint="eastAsia" w:ascii="Times New Roman" w:hAnsi="Times New Roman" w:eastAsia="宋体"/>
                <w:b/>
                <w:color w:val="000000"/>
                <w:sz w:val="21"/>
                <w:szCs w:val="21"/>
                <w:highlight w:val="none"/>
              </w:rPr>
              <w:t>一览表</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90"/>
              <w:gridCol w:w="1692"/>
              <w:gridCol w:w="1693"/>
              <w:gridCol w:w="1693"/>
              <w:gridCol w:w="1693"/>
            </w:tblGrid>
            <w:tr w14:paraId="23E2BA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4" w:type="dxa"/>
                  <w:vAlign w:val="center"/>
                </w:tcPr>
                <w:p w14:paraId="4FF011F1">
                  <w:pPr>
                    <w:autoSpaceDE w:val="0"/>
                    <w:autoSpaceDN w:val="0"/>
                    <w:adjustRightInd w:val="0"/>
                    <w:spacing w:line="360" w:lineRule="auto"/>
                    <w:jc w:val="center"/>
                    <w:rPr>
                      <w:rFonts w:hint="eastAsia" w:ascii="Times New Roman" w:hAnsi="Times New Roman" w:eastAsia="宋体"/>
                      <w:sz w:val="21"/>
                      <w:szCs w:val="21"/>
                      <w:highlight w:val="none"/>
                      <w:vertAlign w:val="baseline"/>
                      <w:lang w:val="en-US" w:eastAsia="zh-CN"/>
                    </w:rPr>
                  </w:pPr>
                  <w:r>
                    <w:rPr>
                      <w:rFonts w:hint="eastAsia"/>
                      <w:sz w:val="21"/>
                      <w:szCs w:val="21"/>
                      <w:highlight w:val="none"/>
                      <w:vertAlign w:val="baseline"/>
                      <w:lang w:val="en-US" w:eastAsia="zh-CN"/>
                    </w:rPr>
                    <w:t>参数</w:t>
                  </w:r>
                </w:p>
              </w:tc>
              <w:tc>
                <w:tcPr>
                  <w:tcW w:w="1694" w:type="dxa"/>
                  <w:vAlign w:val="center"/>
                </w:tcPr>
                <w:p w14:paraId="6BFC83E8">
                  <w:pPr>
                    <w:autoSpaceDE w:val="0"/>
                    <w:autoSpaceDN w:val="0"/>
                    <w:adjustRightInd w:val="0"/>
                    <w:spacing w:line="360" w:lineRule="auto"/>
                    <w:jc w:val="center"/>
                    <w:rPr>
                      <w:rFonts w:hint="eastAsia" w:ascii="Times New Roman" w:hAnsi="Times New Roman" w:eastAsia="宋体"/>
                      <w:sz w:val="21"/>
                      <w:szCs w:val="21"/>
                      <w:highlight w:val="none"/>
                      <w:vertAlign w:val="baseline"/>
                      <w:lang w:val="en-US" w:eastAsia="zh-CN"/>
                    </w:rPr>
                  </w:pPr>
                  <w:r>
                    <w:rPr>
                      <w:rFonts w:hint="eastAsia"/>
                      <w:sz w:val="21"/>
                      <w:szCs w:val="21"/>
                      <w:highlight w:val="none"/>
                      <w:vertAlign w:val="baseline"/>
                      <w:lang w:val="en-US" w:eastAsia="zh-CN"/>
                    </w:rPr>
                    <w:t>M</w:t>
                  </w:r>
                </w:p>
              </w:tc>
              <w:tc>
                <w:tcPr>
                  <w:tcW w:w="1695" w:type="dxa"/>
                  <w:vAlign w:val="center"/>
                </w:tcPr>
                <w:p w14:paraId="2DB6A288">
                  <w:pPr>
                    <w:autoSpaceDE w:val="0"/>
                    <w:autoSpaceDN w:val="0"/>
                    <w:adjustRightInd w:val="0"/>
                    <w:spacing w:line="360" w:lineRule="auto"/>
                    <w:jc w:val="center"/>
                    <w:rPr>
                      <w:rFonts w:hint="default" w:ascii="Times New Roman" w:hAnsi="Times New Roman" w:eastAsia="宋体"/>
                      <w:sz w:val="21"/>
                      <w:szCs w:val="21"/>
                      <w:highlight w:val="none"/>
                      <w:vertAlign w:val="baseline"/>
                      <w:lang w:val="en-US" w:eastAsia="zh-CN"/>
                    </w:rPr>
                  </w:pPr>
                  <w:r>
                    <w:rPr>
                      <w:rFonts w:hint="eastAsia"/>
                      <w:sz w:val="21"/>
                      <w:szCs w:val="21"/>
                      <w:highlight w:val="none"/>
                      <w:vertAlign w:val="baseline"/>
                      <w:lang w:val="en-US" w:eastAsia="zh-CN"/>
                    </w:rPr>
                    <w:t>P</w:t>
                  </w:r>
                </w:p>
              </w:tc>
              <w:tc>
                <w:tcPr>
                  <w:tcW w:w="1695" w:type="dxa"/>
                  <w:vAlign w:val="center"/>
                </w:tcPr>
                <w:p w14:paraId="749CDE36">
                  <w:pPr>
                    <w:autoSpaceDE w:val="0"/>
                    <w:autoSpaceDN w:val="0"/>
                    <w:adjustRightInd w:val="0"/>
                    <w:spacing w:line="360" w:lineRule="auto"/>
                    <w:jc w:val="center"/>
                    <w:rPr>
                      <w:rFonts w:hint="default" w:ascii="Times New Roman" w:hAnsi="Times New Roman" w:eastAsia="宋体"/>
                      <w:sz w:val="21"/>
                      <w:szCs w:val="21"/>
                      <w:highlight w:val="none"/>
                      <w:vertAlign w:val="baseline"/>
                      <w:lang w:val="en-US" w:eastAsia="zh-CN"/>
                    </w:rPr>
                  </w:pPr>
                  <w:r>
                    <w:rPr>
                      <w:rFonts w:hint="eastAsia"/>
                      <w:sz w:val="21"/>
                      <w:szCs w:val="21"/>
                      <w:highlight w:val="none"/>
                      <w:vertAlign w:val="baseline"/>
                      <w:lang w:val="en-US" w:eastAsia="zh-CN"/>
                    </w:rPr>
                    <w:t>K</w:t>
                  </w:r>
                  <w:r>
                    <w:rPr>
                      <w:rFonts w:hint="eastAsia"/>
                      <w:sz w:val="21"/>
                      <w:szCs w:val="21"/>
                      <w:highlight w:val="none"/>
                      <w:vertAlign w:val="subscript"/>
                      <w:lang w:val="en-US" w:eastAsia="zh-CN"/>
                    </w:rPr>
                    <w:t>N</w:t>
                  </w:r>
                </w:p>
              </w:tc>
              <w:tc>
                <w:tcPr>
                  <w:tcW w:w="1695" w:type="dxa"/>
                  <w:vAlign w:val="center"/>
                </w:tcPr>
                <w:p w14:paraId="2FEDFF73">
                  <w:pPr>
                    <w:autoSpaceDE w:val="0"/>
                    <w:autoSpaceDN w:val="0"/>
                    <w:adjustRightInd w:val="0"/>
                    <w:spacing w:line="360" w:lineRule="auto"/>
                    <w:jc w:val="center"/>
                    <w:rPr>
                      <w:rFonts w:hint="eastAsia" w:ascii="Times New Roman" w:hAnsi="Times New Roman" w:eastAsia="宋体"/>
                      <w:sz w:val="21"/>
                      <w:szCs w:val="21"/>
                      <w:highlight w:val="none"/>
                      <w:vertAlign w:val="baseline"/>
                      <w:lang w:val="en-US" w:eastAsia="zh-CN"/>
                    </w:rPr>
                  </w:pPr>
                  <w:r>
                    <w:rPr>
                      <w:rFonts w:hint="eastAsia"/>
                      <w:sz w:val="21"/>
                      <w:szCs w:val="21"/>
                      <w:highlight w:val="none"/>
                      <w:vertAlign w:val="baseline"/>
                      <w:lang w:val="en-US" w:eastAsia="zh-CN"/>
                    </w:rPr>
                    <w:t>Kc</w:t>
                  </w:r>
                </w:p>
              </w:tc>
            </w:tr>
            <w:tr w14:paraId="18FF5D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4" w:type="dxa"/>
                  <w:vAlign w:val="center"/>
                </w:tcPr>
                <w:p w14:paraId="144EBF81">
                  <w:pPr>
                    <w:autoSpaceDE w:val="0"/>
                    <w:autoSpaceDN w:val="0"/>
                    <w:adjustRightInd w:val="0"/>
                    <w:spacing w:line="360" w:lineRule="auto"/>
                    <w:jc w:val="center"/>
                    <w:rPr>
                      <w:rFonts w:hint="eastAsia" w:ascii="Times New Roman" w:hAnsi="Times New Roman" w:eastAsia="宋体"/>
                      <w:sz w:val="21"/>
                      <w:szCs w:val="21"/>
                      <w:highlight w:val="none"/>
                      <w:vertAlign w:val="baseline"/>
                      <w:lang w:val="en-US" w:eastAsia="zh-CN"/>
                    </w:rPr>
                  </w:pPr>
                  <w:r>
                    <w:rPr>
                      <w:rFonts w:hint="eastAsia"/>
                      <w:sz w:val="21"/>
                      <w:szCs w:val="21"/>
                      <w:highlight w:val="none"/>
                      <w:vertAlign w:val="baseline"/>
                      <w:lang w:val="en-US" w:eastAsia="zh-CN"/>
                    </w:rPr>
                    <w:t>取值</w:t>
                  </w:r>
                </w:p>
              </w:tc>
              <w:tc>
                <w:tcPr>
                  <w:tcW w:w="1694" w:type="dxa"/>
                  <w:vAlign w:val="center"/>
                </w:tcPr>
                <w:p w14:paraId="6213B768">
                  <w:pPr>
                    <w:autoSpaceDE w:val="0"/>
                    <w:autoSpaceDN w:val="0"/>
                    <w:adjustRightInd w:val="0"/>
                    <w:spacing w:line="360" w:lineRule="auto"/>
                    <w:jc w:val="center"/>
                    <w:rPr>
                      <w:rFonts w:hint="default" w:ascii="Times New Roman" w:hAnsi="Times New Roman" w:eastAsia="宋体"/>
                      <w:sz w:val="21"/>
                      <w:szCs w:val="21"/>
                      <w:highlight w:val="none"/>
                      <w:vertAlign w:val="baseline"/>
                      <w:lang w:val="en-US" w:eastAsia="zh-CN"/>
                    </w:rPr>
                  </w:pPr>
                  <w:r>
                    <w:rPr>
                      <w:rFonts w:hint="eastAsia"/>
                      <w:sz w:val="21"/>
                      <w:szCs w:val="21"/>
                      <w:highlight w:val="none"/>
                      <w:vertAlign w:val="baseline"/>
                      <w:lang w:val="en-US" w:eastAsia="zh-CN"/>
                    </w:rPr>
                    <w:t>130</w:t>
                  </w:r>
                </w:p>
              </w:tc>
              <w:tc>
                <w:tcPr>
                  <w:tcW w:w="1695" w:type="dxa"/>
                  <w:vAlign w:val="center"/>
                </w:tcPr>
                <w:p w14:paraId="28526F90">
                  <w:pPr>
                    <w:autoSpaceDE w:val="0"/>
                    <w:autoSpaceDN w:val="0"/>
                    <w:adjustRightInd w:val="0"/>
                    <w:spacing w:line="360" w:lineRule="auto"/>
                    <w:jc w:val="center"/>
                    <w:rPr>
                      <w:rFonts w:hint="eastAsia" w:ascii="Times New Roman" w:hAnsi="Times New Roman"/>
                      <w:sz w:val="21"/>
                      <w:szCs w:val="21"/>
                      <w:highlight w:val="none"/>
                      <w:vertAlign w:val="baseline"/>
                    </w:rPr>
                  </w:pPr>
                  <w:r>
                    <w:rPr>
                      <w:rFonts w:hint="eastAsia"/>
                      <w:sz w:val="21"/>
                      <w:szCs w:val="21"/>
                      <w:highlight w:val="none"/>
                      <w:vertAlign w:val="baseline"/>
                      <w:lang w:val="en-US" w:eastAsia="zh-CN"/>
                    </w:rPr>
                    <w:t>667</w:t>
                  </w:r>
                </w:p>
              </w:tc>
              <w:tc>
                <w:tcPr>
                  <w:tcW w:w="1695" w:type="dxa"/>
                  <w:vAlign w:val="center"/>
                </w:tcPr>
                <w:p w14:paraId="49605176">
                  <w:pPr>
                    <w:autoSpaceDE w:val="0"/>
                    <w:autoSpaceDN w:val="0"/>
                    <w:adjustRightInd w:val="0"/>
                    <w:spacing w:line="360" w:lineRule="auto"/>
                    <w:jc w:val="center"/>
                    <w:rPr>
                      <w:rFonts w:hint="default" w:ascii="Times New Roman" w:hAnsi="Times New Roman" w:eastAsia="宋体"/>
                      <w:sz w:val="21"/>
                      <w:szCs w:val="21"/>
                      <w:highlight w:val="none"/>
                      <w:vertAlign w:val="baseline"/>
                      <w:lang w:val="en-US" w:eastAsia="zh-CN"/>
                    </w:rPr>
                  </w:pPr>
                  <w:r>
                    <w:rPr>
                      <w:rFonts w:hint="eastAsia"/>
                      <w:sz w:val="21"/>
                      <w:szCs w:val="21"/>
                      <w:highlight w:val="none"/>
                      <w:vertAlign w:val="baseline"/>
                      <w:lang w:val="en-US" w:eastAsia="zh-CN"/>
                    </w:rPr>
                    <w:t>0.78</w:t>
                  </w:r>
                </w:p>
              </w:tc>
              <w:tc>
                <w:tcPr>
                  <w:tcW w:w="1695" w:type="dxa"/>
                  <w:vAlign w:val="center"/>
                </w:tcPr>
                <w:p w14:paraId="0F1669FC">
                  <w:pPr>
                    <w:autoSpaceDE w:val="0"/>
                    <w:autoSpaceDN w:val="0"/>
                    <w:adjustRightInd w:val="0"/>
                    <w:spacing w:line="360" w:lineRule="auto"/>
                    <w:jc w:val="center"/>
                    <w:rPr>
                      <w:rFonts w:hint="default" w:ascii="Times New Roman" w:hAnsi="Times New Roman" w:eastAsia="宋体"/>
                      <w:sz w:val="21"/>
                      <w:szCs w:val="21"/>
                      <w:highlight w:val="none"/>
                      <w:vertAlign w:val="baseline"/>
                      <w:lang w:val="en-US" w:eastAsia="zh-CN"/>
                    </w:rPr>
                  </w:pPr>
                  <w:r>
                    <w:rPr>
                      <w:rFonts w:hint="eastAsia"/>
                      <w:sz w:val="21"/>
                      <w:szCs w:val="21"/>
                      <w:highlight w:val="none"/>
                      <w:vertAlign w:val="baseline"/>
                      <w:lang w:val="en-US" w:eastAsia="zh-CN"/>
                    </w:rPr>
                    <w:t>0.65</w:t>
                  </w:r>
                </w:p>
              </w:tc>
            </w:tr>
          </w:tbl>
          <w:p w14:paraId="75B52FEF">
            <w:pPr>
              <w:autoSpaceDE w:val="0"/>
              <w:autoSpaceDN w:val="0"/>
              <w:adjustRightInd w:val="0"/>
              <w:spacing w:line="360" w:lineRule="auto"/>
              <w:ind w:firstLine="480" w:firstLineChars="200"/>
              <w:rPr>
                <w:rFonts w:hint="eastAsia" w:ascii="Times New Roman" w:hAnsi="Times New Roman" w:eastAsia="宋体" w:cs="Times New Roman"/>
                <w:sz w:val="24"/>
                <w:highlight w:val="none"/>
              </w:rPr>
            </w:pPr>
            <w:r>
              <w:rPr>
                <w:rFonts w:hint="eastAsia" w:ascii="Times New Roman" w:hAnsi="Times New Roman" w:eastAsia="宋体" w:cs="Times New Roman"/>
                <w:sz w:val="24"/>
                <w:highlight w:val="none"/>
                <w:lang w:val="en-US" w:eastAsia="zh-CN"/>
              </w:rPr>
              <w:t>根据上表参数计算，本项目储罐区大呼吸废气（非甲烷总烃）产生量为</w:t>
            </w:r>
            <w:r>
              <w:rPr>
                <w:rFonts w:hint="default" w:ascii="Times New Roman" w:hAnsi="Times New Roman" w:eastAsia="宋体" w:cs="Times New Roman"/>
                <w:sz w:val="24"/>
                <w:highlight w:val="none"/>
                <w:lang w:val="en-US" w:eastAsia="zh-CN"/>
              </w:rPr>
              <w:t>0.0</w:t>
            </w:r>
            <w:r>
              <w:rPr>
                <w:rFonts w:hint="eastAsia" w:ascii="Times New Roman" w:hAnsi="Times New Roman" w:eastAsia="宋体" w:cs="Times New Roman"/>
                <w:sz w:val="24"/>
                <w:highlight w:val="none"/>
                <w:lang w:val="en-US" w:eastAsia="zh-CN"/>
              </w:rPr>
              <w:t>18</w:t>
            </w:r>
            <w:r>
              <w:rPr>
                <w:rFonts w:hint="default" w:ascii="Times New Roman" w:hAnsi="Times New Roman" w:eastAsia="宋体" w:cs="Times New Roman"/>
                <w:sz w:val="24"/>
                <w:highlight w:val="none"/>
                <w:lang w:val="en-US" w:eastAsia="zh-CN"/>
              </w:rPr>
              <w:t>t/a</w:t>
            </w:r>
            <w:r>
              <w:rPr>
                <w:rFonts w:hint="eastAsia" w:ascii="Times New Roman" w:hAnsi="Times New Roman" w:eastAsia="宋体" w:cs="Times New Roman"/>
                <w:sz w:val="24"/>
                <w:highlight w:val="none"/>
                <w:lang w:val="en-US" w:eastAsia="zh-CN"/>
              </w:rPr>
              <w:t>。</w:t>
            </w:r>
          </w:p>
          <w:p w14:paraId="714AF32D">
            <w:pPr>
              <w:autoSpaceDE w:val="0"/>
              <w:autoSpaceDN w:val="0"/>
              <w:adjustRightInd w:val="0"/>
              <w:spacing w:line="360" w:lineRule="auto"/>
              <w:ind w:firstLine="480" w:firstLineChars="200"/>
              <w:rPr>
                <w:rFonts w:hint="default" w:ascii="Times New Roman" w:hAnsi="Times New Roman" w:eastAsia="宋体" w:cs="Times New Roman"/>
                <w:sz w:val="24"/>
                <w:highlight w:val="none"/>
                <w:lang w:val="en-US" w:eastAsia="zh-CN"/>
              </w:rPr>
            </w:pPr>
            <w:r>
              <w:rPr>
                <w:rFonts w:hint="eastAsia" w:ascii="Times New Roman" w:hAnsi="Times New Roman" w:eastAsia="宋体" w:cs="Times New Roman"/>
                <w:sz w:val="24"/>
                <w:highlight w:val="none"/>
                <w:lang w:val="en-US" w:eastAsia="zh-CN"/>
              </w:rPr>
              <w:t>⒝小呼吸损耗</w:t>
            </w:r>
          </w:p>
          <w:p w14:paraId="5DEB52A4">
            <w:pPr>
              <w:autoSpaceDE w:val="0"/>
              <w:autoSpaceDN w:val="0"/>
              <w:adjustRightInd w:val="0"/>
              <w:spacing w:line="360" w:lineRule="auto"/>
              <w:ind w:firstLine="480" w:firstLineChars="200"/>
              <w:rPr>
                <w:rFonts w:hint="eastAsia" w:ascii="Times New Roman" w:hAnsi="Times New Roman" w:eastAsia="宋体" w:cs="Times New Roman"/>
                <w:sz w:val="24"/>
                <w:highlight w:val="none"/>
              </w:rPr>
            </w:pPr>
            <w:r>
              <w:rPr>
                <w:rFonts w:hint="eastAsia" w:ascii="Times New Roman" w:hAnsi="Times New Roman" w:eastAsia="宋体" w:cs="Times New Roman"/>
                <w:sz w:val="24"/>
                <w:highlight w:val="none"/>
                <w:lang w:val="en-US" w:eastAsia="zh-CN"/>
              </w:rPr>
              <w:t xml:space="preserve">固定顶储罐“小呼吸”损耗量可按下列公式计算： </w:t>
            </w:r>
          </w:p>
          <w:p w14:paraId="161A1011">
            <w:pPr>
              <w:autoSpaceDE w:val="0"/>
              <w:autoSpaceDN w:val="0"/>
              <w:adjustRightInd w:val="0"/>
              <w:spacing w:line="360" w:lineRule="auto"/>
              <w:ind w:firstLine="480" w:firstLineChars="200"/>
              <w:rPr>
                <w:rFonts w:hint="eastAsia" w:ascii="Times New Roman" w:hAnsi="Times New Roman" w:eastAsia="宋体" w:cs="Times New Roman"/>
                <w:sz w:val="24"/>
                <w:highlight w:val="none"/>
              </w:rPr>
            </w:pPr>
            <w:r>
              <w:rPr>
                <w:rFonts w:hint="eastAsia" w:ascii="Times New Roman" w:hAnsi="Times New Roman" w:eastAsia="宋体" w:cs="Times New Roman"/>
                <w:sz w:val="24"/>
                <w:highlight w:val="none"/>
                <w:lang w:val="en-US" w:eastAsia="zh-CN"/>
              </w:rPr>
              <w:t xml:space="preserve">固定顶罐的小呼吸损失是由于温度和大气压力的变化引起罐内饱和蒸汽的膨 胀或收缩而产生的气体排出，它出现在罐内无任何液面变化的情况。 </w:t>
            </w:r>
          </w:p>
          <w:p w14:paraId="71A40433">
            <w:pPr>
              <w:autoSpaceDE w:val="0"/>
              <w:autoSpaceDN w:val="0"/>
              <w:adjustRightInd w:val="0"/>
              <w:spacing w:line="360" w:lineRule="auto"/>
              <w:ind w:firstLine="480" w:firstLineChars="200"/>
              <w:rPr>
                <w:rFonts w:hint="eastAsia" w:ascii="Times New Roman" w:hAnsi="Times New Roman" w:eastAsia="宋体" w:cs="Times New Roman"/>
                <w:sz w:val="24"/>
                <w:highlight w:val="none"/>
              </w:rPr>
            </w:pPr>
            <w:r>
              <w:rPr>
                <w:rFonts w:hint="eastAsia" w:ascii="Times New Roman" w:hAnsi="Times New Roman" w:eastAsia="宋体" w:cs="Times New Roman"/>
                <w:sz w:val="24"/>
                <w:highlight w:val="none"/>
                <w:lang w:val="en-US" w:eastAsia="zh-CN"/>
              </w:rPr>
              <w:t>固定顶罐的小呼吸损失可由下式估算：</w:t>
            </w:r>
          </w:p>
          <w:p w14:paraId="7ECE7896">
            <w:pPr>
              <w:autoSpaceDE w:val="0"/>
              <w:autoSpaceDN w:val="0"/>
              <w:adjustRightInd w:val="0"/>
              <w:spacing w:line="360" w:lineRule="auto"/>
              <w:ind w:firstLine="420" w:firstLineChars="200"/>
              <w:rPr>
                <w:highlight w:val="none"/>
              </w:rPr>
            </w:pPr>
            <w:r>
              <w:rPr>
                <w:highlight w:val="none"/>
              </w:rPr>
              <w:drawing>
                <wp:inline distT="0" distB="0" distL="114300" distR="114300">
                  <wp:extent cx="4543425" cy="571500"/>
                  <wp:effectExtent l="0" t="0" r="9525" b="0"/>
                  <wp:docPr id="6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
                          <pic:cNvPicPr>
                            <a:picLocks noChangeAspect="1"/>
                          </pic:cNvPicPr>
                        </pic:nvPicPr>
                        <pic:blipFill>
                          <a:blip r:embed="rId24"/>
                          <a:stretch>
                            <a:fillRect/>
                          </a:stretch>
                        </pic:blipFill>
                        <pic:spPr>
                          <a:xfrm>
                            <a:off x="0" y="0"/>
                            <a:ext cx="4543425" cy="571500"/>
                          </a:xfrm>
                          <a:prstGeom prst="rect">
                            <a:avLst/>
                          </a:prstGeom>
                          <a:noFill/>
                          <a:ln>
                            <a:noFill/>
                          </a:ln>
                        </pic:spPr>
                      </pic:pic>
                    </a:graphicData>
                  </a:graphic>
                </wp:inline>
              </w:drawing>
            </w:r>
          </w:p>
          <w:p w14:paraId="563F2F15">
            <w:pPr>
              <w:autoSpaceDE w:val="0"/>
              <w:adjustRightInd w:val="0"/>
              <w:spacing w:line="360" w:lineRule="auto"/>
              <w:ind w:firstLine="480" w:firstLineChars="200"/>
              <w:rPr>
                <w:rFonts w:hint="eastAsia" w:ascii="Times New Roman" w:hAnsi="Times New Roman" w:eastAsia="宋体" w:cs="Times New Roman"/>
                <w:sz w:val="24"/>
                <w:highlight w:val="none"/>
                <w:lang w:eastAsia="zh-CN"/>
              </w:rPr>
            </w:pPr>
            <w:r>
              <w:rPr>
                <w:rFonts w:hint="eastAsia" w:ascii="Times New Roman" w:hAnsi="Times New Roman" w:eastAsia="宋体" w:cs="Times New Roman"/>
                <w:sz w:val="24"/>
                <w:highlight w:val="none"/>
                <w:lang w:val="en-US" w:eastAsia="zh-CN"/>
              </w:rPr>
              <w:t>式中：</w:t>
            </w:r>
            <w:r>
              <w:rPr>
                <w:rFonts w:hint="default" w:ascii="Times New Roman" w:hAnsi="Times New Roman" w:eastAsia="宋体" w:cs="Times New Roman"/>
                <w:sz w:val="24"/>
                <w:highlight w:val="none"/>
                <w:lang w:val="en-US" w:eastAsia="zh-CN"/>
              </w:rPr>
              <w:t>L</w:t>
            </w:r>
            <w:r>
              <w:rPr>
                <w:rFonts w:hint="default" w:ascii="Times New Roman" w:hAnsi="Times New Roman" w:eastAsia="宋体" w:cs="Times New Roman"/>
                <w:sz w:val="24"/>
                <w:highlight w:val="none"/>
                <w:vertAlign w:val="subscript"/>
                <w:lang w:val="en-US" w:eastAsia="zh-CN"/>
              </w:rPr>
              <w:t>B</w:t>
            </w:r>
            <w:r>
              <w:rPr>
                <w:rFonts w:hint="default" w:ascii="Times New Roman" w:hAnsi="Times New Roman" w:eastAsia="宋体" w:cs="Times New Roman"/>
                <w:sz w:val="24"/>
                <w:highlight w:val="none"/>
                <w:lang w:val="en-US" w:eastAsia="zh-CN"/>
              </w:rPr>
              <w:t>—</w:t>
            </w:r>
            <w:r>
              <w:rPr>
                <w:rFonts w:hint="eastAsia" w:ascii="Times New Roman" w:hAnsi="Times New Roman" w:eastAsia="宋体" w:cs="Times New Roman"/>
                <w:sz w:val="24"/>
                <w:highlight w:val="none"/>
                <w:lang w:val="en-US" w:eastAsia="zh-CN"/>
              </w:rPr>
              <w:t>储罐小呼吸排放量，</w:t>
            </w:r>
            <w:r>
              <w:rPr>
                <w:rFonts w:hint="default" w:ascii="Times New Roman" w:hAnsi="Times New Roman" w:eastAsia="宋体" w:cs="Times New Roman"/>
                <w:sz w:val="24"/>
                <w:highlight w:val="none"/>
                <w:lang w:val="en-US" w:eastAsia="zh-CN"/>
              </w:rPr>
              <w:t>kg/a</w:t>
            </w:r>
            <w:r>
              <w:rPr>
                <w:rFonts w:hint="eastAsia" w:ascii="Times New Roman" w:hAnsi="Times New Roman" w:eastAsia="宋体" w:cs="Times New Roman"/>
                <w:sz w:val="24"/>
                <w:highlight w:val="none"/>
                <w:lang w:val="en-US" w:eastAsia="zh-CN"/>
              </w:rPr>
              <w:t xml:space="preserve">； </w:t>
            </w:r>
          </w:p>
          <w:p w14:paraId="2B358625">
            <w:pPr>
              <w:autoSpaceDE w:val="0"/>
              <w:adjustRightInd w:val="0"/>
              <w:spacing w:line="360" w:lineRule="auto"/>
              <w:ind w:firstLine="1200" w:firstLineChars="500"/>
              <w:rPr>
                <w:rFonts w:hint="eastAsia" w:ascii="Times New Roman" w:hAnsi="Times New Roman" w:eastAsia="宋体" w:cs="Times New Roman"/>
                <w:sz w:val="24"/>
                <w:highlight w:val="none"/>
                <w:lang w:eastAsia="zh-CN"/>
              </w:rPr>
            </w:pPr>
            <w:r>
              <w:rPr>
                <w:rFonts w:hint="default" w:ascii="Times New Roman" w:hAnsi="Times New Roman" w:eastAsia="宋体" w:cs="Times New Roman"/>
                <w:sz w:val="24"/>
                <w:highlight w:val="none"/>
                <w:lang w:val="en-US" w:eastAsia="zh-CN"/>
              </w:rPr>
              <w:t>M—</w:t>
            </w:r>
            <w:r>
              <w:rPr>
                <w:rFonts w:hint="eastAsia" w:ascii="Times New Roman" w:hAnsi="Times New Roman" w:eastAsia="宋体" w:cs="Times New Roman"/>
                <w:sz w:val="24"/>
                <w:highlight w:val="none"/>
                <w:lang w:val="en-US" w:eastAsia="zh-CN"/>
              </w:rPr>
              <w:t xml:space="preserve">储罐内蒸气的分子量； </w:t>
            </w:r>
          </w:p>
          <w:p w14:paraId="6878BE93">
            <w:pPr>
              <w:autoSpaceDE w:val="0"/>
              <w:adjustRightInd w:val="0"/>
              <w:spacing w:line="360" w:lineRule="auto"/>
              <w:ind w:firstLine="1200" w:firstLineChars="500"/>
              <w:rPr>
                <w:rFonts w:hint="eastAsia" w:ascii="Times New Roman" w:hAnsi="Times New Roman" w:eastAsia="宋体" w:cs="Times New Roman"/>
                <w:sz w:val="24"/>
                <w:highlight w:val="none"/>
                <w:lang w:eastAsia="zh-CN"/>
              </w:rPr>
            </w:pPr>
            <w:r>
              <w:rPr>
                <w:rFonts w:hint="default" w:ascii="Times New Roman" w:hAnsi="Times New Roman" w:eastAsia="宋体" w:cs="Times New Roman"/>
                <w:sz w:val="24"/>
                <w:highlight w:val="none"/>
                <w:lang w:val="en-US" w:eastAsia="zh-CN"/>
              </w:rPr>
              <w:t>P—</w:t>
            </w:r>
            <w:r>
              <w:rPr>
                <w:rFonts w:hint="eastAsia" w:ascii="Times New Roman" w:hAnsi="Times New Roman" w:eastAsia="宋体" w:cs="Times New Roman"/>
                <w:sz w:val="24"/>
                <w:highlight w:val="none"/>
                <w:lang w:val="en-US" w:eastAsia="zh-CN"/>
              </w:rPr>
              <w:t>在大量液体状态下，真实蒸气压力，</w:t>
            </w:r>
            <w:r>
              <w:rPr>
                <w:rFonts w:hint="default" w:ascii="Times New Roman" w:hAnsi="Times New Roman" w:eastAsia="宋体" w:cs="Times New Roman"/>
                <w:sz w:val="24"/>
                <w:highlight w:val="none"/>
                <w:lang w:val="en-US" w:eastAsia="zh-CN"/>
              </w:rPr>
              <w:t>Pa</w:t>
            </w:r>
            <w:r>
              <w:rPr>
                <w:rFonts w:hint="eastAsia" w:ascii="Times New Roman" w:hAnsi="Times New Roman" w:eastAsia="宋体" w:cs="Times New Roman"/>
                <w:sz w:val="24"/>
                <w:highlight w:val="none"/>
                <w:lang w:val="en-US" w:eastAsia="zh-CN"/>
              </w:rPr>
              <w:t xml:space="preserve">； </w:t>
            </w:r>
          </w:p>
          <w:p w14:paraId="225973BC">
            <w:pPr>
              <w:autoSpaceDE w:val="0"/>
              <w:adjustRightInd w:val="0"/>
              <w:spacing w:line="360" w:lineRule="auto"/>
              <w:ind w:firstLine="1200" w:firstLineChars="500"/>
              <w:rPr>
                <w:rFonts w:hint="eastAsia" w:ascii="Times New Roman" w:hAnsi="Times New Roman" w:eastAsia="宋体" w:cs="Times New Roman"/>
                <w:sz w:val="24"/>
                <w:highlight w:val="none"/>
                <w:lang w:eastAsia="zh-CN"/>
              </w:rPr>
            </w:pPr>
            <w:r>
              <w:rPr>
                <w:rFonts w:hint="default" w:ascii="Times New Roman" w:hAnsi="Times New Roman" w:eastAsia="宋体" w:cs="Times New Roman"/>
                <w:sz w:val="24"/>
                <w:highlight w:val="none"/>
                <w:lang w:val="en-US" w:eastAsia="zh-CN"/>
              </w:rPr>
              <w:t>D—</w:t>
            </w:r>
            <w:r>
              <w:rPr>
                <w:rFonts w:hint="eastAsia" w:ascii="Times New Roman" w:hAnsi="Times New Roman" w:eastAsia="宋体" w:cs="Times New Roman"/>
                <w:sz w:val="24"/>
                <w:highlight w:val="none"/>
                <w:lang w:val="en-US" w:eastAsia="zh-CN"/>
              </w:rPr>
              <w:t>储罐的直径，</w:t>
            </w:r>
            <w:r>
              <w:rPr>
                <w:rFonts w:hint="default" w:ascii="Times New Roman" w:hAnsi="Times New Roman" w:eastAsia="宋体" w:cs="Times New Roman"/>
                <w:sz w:val="24"/>
                <w:highlight w:val="none"/>
                <w:lang w:val="en-US" w:eastAsia="zh-CN"/>
              </w:rPr>
              <w:t>m</w:t>
            </w:r>
            <w:r>
              <w:rPr>
                <w:rFonts w:hint="eastAsia" w:ascii="Times New Roman" w:hAnsi="Times New Roman" w:eastAsia="宋体" w:cs="Times New Roman"/>
                <w:sz w:val="24"/>
                <w:highlight w:val="none"/>
                <w:lang w:val="en-US" w:eastAsia="zh-CN"/>
              </w:rPr>
              <w:t xml:space="preserve">； </w:t>
            </w:r>
          </w:p>
          <w:p w14:paraId="07415A7E">
            <w:pPr>
              <w:autoSpaceDE w:val="0"/>
              <w:adjustRightInd w:val="0"/>
              <w:spacing w:line="360" w:lineRule="auto"/>
              <w:ind w:firstLine="1200" w:firstLineChars="500"/>
              <w:rPr>
                <w:rFonts w:hint="eastAsia" w:ascii="Times New Roman" w:hAnsi="Times New Roman" w:eastAsia="宋体" w:cs="Times New Roman"/>
                <w:sz w:val="24"/>
                <w:highlight w:val="none"/>
                <w:lang w:eastAsia="zh-CN"/>
              </w:rPr>
            </w:pPr>
            <w:r>
              <w:rPr>
                <w:rFonts w:hint="default" w:ascii="Times New Roman" w:hAnsi="Times New Roman" w:eastAsia="宋体" w:cs="Times New Roman"/>
                <w:sz w:val="24"/>
                <w:highlight w:val="none"/>
                <w:lang w:val="en-US" w:eastAsia="zh-CN"/>
              </w:rPr>
              <w:t>H—</w:t>
            </w:r>
            <w:r>
              <w:rPr>
                <w:rFonts w:hint="eastAsia" w:ascii="Times New Roman" w:hAnsi="Times New Roman" w:eastAsia="宋体" w:cs="Times New Roman"/>
                <w:sz w:val="24"/>
                <w:highlight w:val="none"/>
                <w:lang w:val="en-US" w:eastAsia="zh-CN"/>
              </w:rPr>
              <w:t>平均蒸气空间高度，</w:t>
            </w:r>
            <w:r>
              <w:rPr>
                <w:rFonts w:hint="default" w:ascii="Times New Roman" w:hAnsi="Times New Roman" w:eastAsia="宋体" w:cs="Times New Roman"/>
                <w:sz w:val="24"/>
                <w:highlight w:val="none"/>
                <w:lang w:val="en-US" w:eastAsia="zh-CN"/>
              </w:rPr>
              <w:t>m</w:t>
            </w:r>
            <w:r>
              <w:rPr>
                <w:rFonts w:hint="eastAsia" w:ascii="Times New Roman" w:hAnsi="Times New Roman" w:eastAsia="宋体" w:cs="Times New Roman"/>
                <w:sz w:val="24"/>
                <w:highlight w:val="none"/>
                <w:lang w:val="en-US" w:eastAsia="zh-CN"/>
              </w:rPr>
              <w:t>，按平均充装率</w:t>
            </w:r>
            <w:r>
              <w:rPr>
                <w:rFonts w:hint="default" w:ascii="Times New Roman" w:hAnsi="Times New Roman" w:eastAsia="宋体" w:cs="Times New Roman"/>
                <w:sz w:val="24"/>
                <w:highlight w:val="none"/>
                <w:lang w:val="en-US" w:eastAsia="zh-CN"/>
              </w:rPr>
              <w:t>80%</w:t>
            </w:r>
            <w:r>
              <w:rPr>
                <w:rFonts w:hint="eastAsia" w:ascii="Times New Roman" w:hAnsi="Times New Roman" w:eastAsia="宋体" w:cs="Times New Roman"/>
                <w:sz w:val="24"/>
                <w:highlight w:val="none"/>
                <w:lang w:val="en-US" w:eastAsia="zh-CN"/>
              </w:rPr>
              <w:t xml:space="preserve">计； </w:t>
            </w:r>
          </w:p>
          <w:p w14:paraId="09C5CDD1">
            <w:pPr>
              <w:autoSpaceDE w:val="0"/>
              <w:adjustRightInd w:val="0"/>
              <w:spacing w:line="360" w:lineRule="auto"/>
              <w:ind w:firstLine="1200" w:firstLineChars="500"/>
              <w:rPr>
                <w:rFonts w:hint="eastAsia" w:ascii="Times New Roman" w:hAnsi="Times New Roman" w:eastAsia="宋体" w:cs="Times New Roman"/>
                <w:sz w:val="24"/>
                <w:highlight w:val="none"/>
                <w:lang w:eastAsia="zh-CN"/>
              </w:rPr>
            </w:pPr>
            <w:r>
              <w:rPr>
                <w:rFonts w:hint="eastAsia" w:ascii="Times New Roman" w:hAnsi="Times New Roman" w:eastAsia="宋体" w:cs="Times New Roman"/>
                <w:sz w:val="24"/>
                <w:highlight w:val="none"/>
                <w:lang w:val="en-US" w:eastAsia="zh-CN"/>
              </w:rPr>
              <w:t>△</w:t>
            </w:r>
            <w:r>
              <w:rPr>
                <w:rFonts w:hint="default" w:ascii="Times New Roman" w:hAnsi="Times New Roman" w:eastAsia="宋体" w:cs="Times New Roman"/>
                <w:sz w:val="24"/>
                <w:highlight w:val="none"/>
                <w:lang w:val="en-US" w:eastAsia="zh-CN"/>
              </w:rPr>
              <w:t>T—</w:t>
            </w:r>
            <w:r>
              <w:rPr>
                <w:rFonts w:hint="eastAsia" w:ascii="Times New Roman" w:hAnsi="Times New Roman" w:eastAsia="宋体" w:cs="Times New Roman"/>
                <w:sz w:val="24"/>
                <w:highlight w:val="none"/>
                <w:lang w:val="en-US" w:eastAsia="zh-CN"/>
              </w:rPr>
              <w:t>一天之内的平均温差，</w:t>
            </w:r>
            <w:r>
              <w:rPr>
                <w:rFonts w:hint="default" w:ascii="Times New Roman" w:hAnsi="Times New Roman" w:eastAsia="宋体" w:cs="Times New Roman"/>
                <w:sz w:val="24"/>
                <w:highlight w:val="none"/>
                <w:lang w:val="en-US" w:eastAsia="zh-CN"/>
              </w:rPr>
              <w:t>℃</w:t>
            </w:r>
            <w:r>
              <w:rPr>
                <w:rFonts w:hint="eastAsia" w:ascii="Times New Roman" w:hAnsi="Times New Roman" w:eastAsia="宋体" w:cs="Times New Roman"/>
                <w:sz w:val="24"/>
                <w:highlight w:val="none"/>
                <w:lang w:val="en-US" w:eastAsia="zh-CN"/>
              </w:rPr>
              <w:t xml:space="preserve">； </w:t>
            </w:r>
          </w:p>
          <w:p w14:paraId="2C061DA9">
            <w:pPr>
              <w:autoSpaceDE w:val="0"/>
              <w:adjustRightInd w:val="0"/>
              <w:spacing w:line="360" w:lineRule="auto"/>
              <w:ind w:firstLine="1200" w:firstLineChars="500"/>
              <w:rPr>
                <w:rFonts w:hint="eastAsia" w:ascii="Times New Roman" w:hAnsi="Times New Roman" w:eastAsia="宋体" w:cs="Times New Roman"/>
                <w:sz w:val="24"/>
                <w:highlight w:val="none"/>
                <w:lang w:eastAsia="zh-CN"/>
              </w:rPr>
            </w:pPr>
            <w:r>
              <w:rPr>
                <w:rFonts w:hint="default" w:ascii="Times New Roman" w:hAnsi="Times New Roman" w:eastAsia="宋体" w:cs="Times New Roman"/>
                <w:sz w:val="24"/>
                <w:highlight w:val="none"/>
                <w:lang w:val="en-US" w:eastAsia="zh-CN"/>
              </w:rPr>
              <w:t>Fp—</w:t>
            </w:r>
            <w:r>
              <w:rPr>
                <w:rFonts w:hint="eastAsia" w:ascii="Times New Roman" w:hAnsi="Times New Roman" w:eastAsia="宋体" w:cs="Times New Roman"/>
                <w:sz w:val="24"/>
                <w:highlight w:val="none"/>
                <w:lang w:val="en-US" w:eastAsia="zh-CN"/>
              </w:rPr>
              <w:t>涂层因子（无量纲），根据油漆状况取值在</w:t>
            </w:r>
            <w:r>
              <w:rPr>
                <w:rFonts w:hint="default" w:ascii="Times New Roman" w:hAnsi="Times New Roman" w:eastAsia="宋体" w:cs="Times New Roman"/>
                <w:sz w:val="24"/>
                <w:highlight w:val="none"/>
                <w:lang w:val="en-US" w:eastAsia="zh-CN"/>
              </w:rPr>
              <w:t>1-1.5</w:t>
            </w:r>
            <w:r>
              <w:rPr>
                <w:rFonts w:hint="eastAsia" w:ascii="Times New Roman" w:hAnsi="Times New Roman" w:eastAsia="宋体" w:cs="Times New Roman"/>
                <w:sz w:val="24"/>
                <w:highlight w:val="none"/>
                <w:lang w:val="en-US" w:eastAsia="zh-CN"/>
              </w:rPr>
              <w:t xml:space="preserve">之间； </w:t>
            </w:r>
          </w:p>
          <w:p w14:paraId="7B6B4A7C">
            <w:pPr>
              <w:autoSpaceDE w:val="0"/>
              <w:adjustRightInd w:val="0"/>
              <w:spacing w:line="360" w:lineRule="auto"/>
              <w:ind w:firstLine="1200" w:firstLineChars="500"/>
              <w:rPr>
                <w:rFonts w:hint="eastAsia" w:ascii="Times New Roman" w:hAnsi="Times New Roman" w:eastAsia="宋体" w:cs="Times New Roman"/>
                <w:sz w:val="24"/>
                <w:highlight w:val="none"/>
                <w:lang w:eastAsia="zh-CN"/>
              </w:rPr>
            </w:pPr>
            <w:r>
              <w:rPr>
                <w:rFonts w:hint="default" w:ascii="Times New Roman" w:hAnsi="Times New Roman" w:eastAsia="宋体" w:cs="Times New Roman"/>
                <w:sz w:val="24"/>
                <w:highlight w:val="none"/>
                <w:lang w:val="en-US" w:eastAsia="zh-CN"/>
              </w:rPr>
              <w:t>C—</w:t>
            </w:r>
            <w:r>
              <w:rPr>
                <w:rFonts w:hint="eastAsia" w:ascii="Times New Roman" w:hAnsi="Times New Roman" w:eastAsia="宋体" w:cs="Times New Roman"/>
                <w:sz w:val="24"/>
                <w:highlight w:val="none"/>
                <w:lang w:val="en-US" w:eastAsia="zh-CN"/>
              </w:rPr>
              <w:t>小直径罐的调节因子（无量纲）；直径在</w:t>
            </w:r>
            <w:r>
              <w:rPr>
                <w:rFonts w:hint="default" w:ascii="Times New Roman" w:hAnsi="Times New Roman" w:eastAsia="宋体" w:cs="Times New Roman"/>
                <w:sz w:val="24"/>
                <w:highlight w:val="none"/>
                <w:lang w:val="en-US" w:eastAsia="zh-CN"/>
              </w:rPr>
              <w:t>0-9m</w:t>
            </w:r>
            <w:r>
              <w:rPr>
                <w:rFonts w:hint="eastAsia" w:ascii="Times New Roman" w:hAnsi="Times New Roman" w:eastAsia="宋体" w:cs="Times New Roman"/>
                <w:sz w:val="24"/>
                <w:highlight w:val="none"/>
                <w:lang w:val="en-US" w:eastAsia="zh-CN"/>
              </w:rPr>
              <w:t>的罐体，</w:t>
            </w:r>
            <w:r>
              <w:rPr>
                <w:rFonts w:hint="default" w:ascii="Times New Roman" w:hAnsi="Times New Roman" w:eastAsia="宋体" w:cs="Times New Roman"/>
                <w:sz w:val="24"/>
                <w:highlight w:val="none"/>
                <w:lang w:val="en-US" w:eastAsia="zh-CN"/>
              </w:rPr>
              <w:t>C=1-0.0123</w:t>
            </w:r>
            <w:r>
              <w:rPr>
                <w:rFonts w:hint="eastAsia" w:ascii="Times New Roman" w:hAnsi="Times New Roman" w:eastAsia="宋体" w:cs="Times New Roman"/>
                <w:sz w:val="24"/>
                <w:highlight w:val="none"/>
                <w:lang w:val="en-US" w:eastAsia="zh-CN"/>
              </w:rPr>
              <w:t>（</w:t>
            </w:r>
            <w:r>
              <w:rPr>
                <w:rFonts w:hint="default" w:ascii="Times New Roman" w:hAnsi="Times New Roman" w:eastAsia="宋体" w:cs="Times New Roman"/>
                <w:sz w:val="24"/>
                <w:highlight w:val="none"/>
                <w:lang w:val="en-US" w:eastAsia="zh-CN"/>
              </w:rPr>
              <w:t>D-9</w:t>
            </w:r>
            <w:r>
              <w:rPr>
                <w:rFonts w:hint="eastAsia" w:ascii="Times New Roman" w:hAnsi="Times New Roman" w:eastAsia="宋体" w:cs="Times New Roman"/>
                <w:sz w:val="24"/>
                <w:highlight w:val="none"/>
                <w:lang w:val="en-US" w:eastAsia="zh-CN"/>
              </w:rPr>
              <w:t>）</w:t>
            </w:r>
            <w:r>
              <w:rPr>
                <w:rFonts w:hint="default" w:ascii="Times New Roman" w:hAnsi="Times New Roman" w:eastAsia="宋体" w:cs="Times New Roman"/>
                <w:sz w:val="24"/>
                <w:highlight w:val="none"/>
                <w:lang w:val="en-US" w:eastAsia="zh-CN"/>
              </w:rPr>
              <w:t>2</w:t>
            </w:r>
            <w:r>
              <w:rPr>
                <w:rFonts w:hint="eastAsia" w:ascii="Times New Roman" w:hAnsi="Times New Roman" w:eastAsia="宋体" w:cs="Times New Roman"/>
                <w:sz w:val="24"/>
                <w:highlight w:val="none"/>
                <w:lang w:val="en-US" w:eastAsia="zh-CN"/>
              </w:rPr>
              <w:t>；大于</w:t>
            </w:r>
            <w:r>
              <w:rPr>
                <w:rFonts w:hint="default" w:ascii="Times New Roman" w:hAnsi="Times New Roman" w:eastAsia="宋体" w:cs="Times New Roman"/>
                <w:sz w:val="24"/>
                <w:highlight w:val="none"/>
                <w:lang w:val="en-US" w:eastAsia="zh-CN"/>
              </w:rPr>
              <w:t>9m</w:t>
            </w:r>
            <w:r>
              <w:rPr>
                <w:rFonts w:hint="eastAsia" w:ascii="Times New Roman" w:hAnsi="Times New Roman" w:eastAsia="宋体" w:cs="Times New Roman"/>
                <w:sz w:val="24"/>
                <w:highlight w:val="none"/>
                <w:lang w:val="en-US" w:eastAsia="zh-CN"/>
              </w:rPr>
              <w:t>的罐体，</w:t>
            </w:r>
            <w:r>
              <w:rPr>
                <w:rFonts w:hint="default" w:ascii="Times New Roman" w:hAnsi="Times New Roman" w:eastAsia="宋体" w:cs="Times New Roman"/>
                <w:sz w:val="24"/>
                <w:highlight w:val="none"/>
                <w:lang w:val="en-US" w:eastAsia="zh-CN"/>
              </w:rPr>
              <w:t>C=1</w:t>
            </w:r>
            <w:r>
              <w:rPr>
                <w:rFonts w:hint="eastAsia" w:ascii="Times New Roman" w:hAnsi="Times New Roman" w:eastAsia="宋体" w:cs="Times New Roman"/>
                <w:sz w:val="24"/>
                <w:highlight w:val="none"/>
                <w:lang w:val="en-US" w:eastAsia="zh-CN"/>
              </w:rPr>
              <w:t xml:space="preserve">； </w:t>
            </w:r>
          </w:p>
          <w:p w14:paraId="23B2BB5D">
            <w:pPr>
              <w:autoSpaceDE w:val="0"/>
              <w:adjustRightInd w:val="0"/>
              <w:spacing w:line="360" w:lineRule="auto"/>
              <w:ind w:firstLine="1200" w:firstLineChars="500"/>
              <w:rPr>
                <w:rFonts w:hint="default" w:ascii="Times New Roman" w:hAnsi="Times New Roman" w:eastAsia="宋体" w:cs="Times New Roman"/>
                <w:sz w:val="24"/>
                <w:highlight w:val="none"/>
                <w:lang w:val="en-US" w:eastAsia="zh-CN"/>
              </w:rPr>
            </w:pPr>
            <w:r>
              <w:rPr>
                <w:rFonts w:hint="eastAsia" w:ascii="Times New Roman" w:hAnsi="Times New Roman" w:eastAsia="宋体" w:cs="Times New Roman"/>
                <w:sz w:val="24"/>
                <w:highlight w:val="none"/>
                <w:lang w:val="en-US" w:eastAsia="zh-CN"/>
              </w:rPr>
              <w:t>本项目储罐贮存365天，则小呼吸8760小时。</w:t>
            </w:r>
          </w:p>
          <w:p w14:paraId="138C9E13">
            <w:pPr>
              <w:pStyle w:val="48"/>
              <w:numPr>
                <w:ilvl w:val="0"/>
                <w:numId w:val="9"/>
              </w:numPr>
              <w:spacing w:line="360" w:lineRule="auto"/>
              <w:ind w:left="0" w:firstLine="0" w:firstLineChars="0"/>
              <w:jc w:val="center"/>
              <w:rPr>
                <w:rFonts w:ascii="Times New Roman" w:hAnsi="Times New Roman" w:eastAsia="宋体"/>
                <w:highlight w:val="none"/>
              </w:rPr>
            </w:pPr>
            <w:r>
              <w:rPr>
                <w:rFonts w:hint="eastAsia" w:ascii="Times New Roman" w:hAnsi="Times New Roman" w:eastAsia="宋体"/>
                <w:b/>
                <w:color w:val="000000"/>
                <w:sz w:val="21"/>
                <w:szCs w:val="21"/>
                <w:highlight w:val="none"/>
                <w:lang w:eastAsia="zh-CN"/>
              </w:rPr>
              <w:t>“</w:t>
            </w:r>
            <w:r>
              <w:rPr>
                <w:rFonts w:hint="eastAsia" w:ascii="Times New Roman" w:hAnsi="Times New Roman" w:eastAsia="宋体"/>
                <w:b/>
                <w:color w:val="000000"/>
                <w:sz w:val="21"/>
                <w:szCs w:val="21"/>
                <w:highlight w:val="none"/>
                <w:lang w:val="en-US" w:eastAsia="zh-CN"/>
              </w:rPr>
              <w:t>小呼吸</w:t>
            </w:r>
            <w:r>
              <w:rPr>
                <w:rFonts w:hint="eastAsia" w:ascii="Times New Roman" w:hAnsi="Times New Roman" w:eastAsia="宋体"/>
                <w:b/>
                <w:color w:val="000000"/>
                <w:sz w:val="21"/>
                <w:szCs w:val="21"/>
                <w:highlight w:val="none"/>
                <w:lang w:eastAsia="zh-CN"/>
              </w:rPr>
              <w:t>”</w:t>
            </w:r>
            <w:r>
              <w:rPr>
                <w:rFonts w:hint="eastAsia" w:ascii="Times New Roman" w:hAnsi="Times New Roman" w:eastAsia="宋体"/>
                <w:b/>
                <w:color w:val="000000"/>
                <w:sz w:val="21"/>
                <w:szCs w:val="21"/>
                <w:highlight w:val="none"/>
                <w:lang w:val="en-US" w:eastAsia="zh-CN"/>
              </w:rPr>
              <w:t>损耗参数</w:t>
            </w:r>
            <w:r>
              <w:rPr>
                <w:rFonts w:hint="eastAsia" w:ascii="Times New Roman" w:hAnsi="Times New Roman" w:eastAsia="宋体"/>
                <w:b/>
                <w:color w:val="000000"/>
                <w:sz w:val="21"/>
                <w:szCs w:val="21"/>
                <w:highlight w:val="none"/>
              </w:rPr>
              <w:t>一览表</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9"/>
              <w:gridCol w:w="939"/>
              <w:gridCol w:w="940"/>
              <w:gridCol w:w="940"/>
              <w:gridCol w:w="940"/>
              <w:gridCol w:w="940"/>
              <w:gridCol w:w="940"/>
              <w:gridCol w:w="940"/>
              <w:gridCol w:w="940"/>
            </w:tblGrid>
            <w:tr w14:paraId="48786F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14:paraId="3A188199">
                  <w:pPr>
                    <w:autoSpaceDE w:val="0"/>
                    <w:autoSpaceDN w:val="0"/>
                    <w:adjustRightInd w:val="0"/>
                    <w:spacing w:line="360" w:lineRule="auto"/>
                    <w:jc w:val="center"/>
                    <w:rPr>
                      <w:rFonts w:hint="eastAsia" w:ascii="Times New Roman" w:hAnsi="Times New Roman" w:eastAsia="宋体"/>
                      <w:sz w:val="21"/>
                      <w:szCs w:val="21"/>
                      <w:highlight w:val="none"/>
                      <w:vertAlign w:val="baseline"/>
                      <w:lang w:val="en-US" w:eastAsia="zh-CN"/>
                    </w:rPr>
                  </w:pPr>
                  <w:r>
                    <w:rPr>
                      <w:rFonts w:hint="eastAsia"/>
                      <w:sz w:val="21"/>
                      <w:szCs w:val="21"/>
                      <w:highlight w:val="none"/>
                      <w:vertAlign w:val="baseline"/>
                      <w:lang w:val="en-US" w:eastAsia="zh-CN"/>
                    </w:rPr>
                    <w:t>参数</w:t>
                  </w:r>
                </w:p>
              </w:tc>
              <w:tc>
                <w:tcPr>
                  <w:tcW w:w="939" w:type="dxa"/>
                  <w:vAlign w:val="center"/>
                </w:tcPr>
                <w:p w14:paraId="273A7955">
                  <w:pPr>
                    <w:autoSpaceDE w:val="0"/>
                    <w:autoSpaceDN w:val="0"/>
                    <w:adjustRightInd w:val="0"/>
                    <w:spacing w:line="360" w:lineRule="auto"/>
                    <w:jc w:val="center"/>
                    <w:rPr>
                      <w:rFonts w:hint="eastAsia" w:ascii="Times New Roman" w:hAnsi="Times New Roman" w:eastAsia="宋体"/>
                      <w:sz w:val="21"/>
                      <w:szCs w:val="21"/>
                      <w:highlight w:val="none"/>
                      <w:vertAlign w:val="baseline"/>
                      <w:lang w:val="en-US" w:eastAsia="zh-CN"/>
                    </w:rPr>
                  </w:pPr>
                  <w:r>
                    <w:rPr>
                      <w:rFonts w:hint="eastAsia"/>
                      <w:sz w:val="21"/>
                      <w:szCs w:val="21"/>
                      <w:highlight w:val="none"/>
                      <w:vertAlign w:val="baseline"/>
                      <w:lang w:val="en-US" w:eastAsia="zh-CN"/>
                    </w:rPr>
                    <w:t>M</w:t>
                  </w:r>
                </w:p>
              </w:tc>
              <w:tc>
                <w:tcPr>
                  <w:tcW w:w="940" w:type="dxa"/>
                  <w:vAlign w:val="center"/>
                </w:tcPr>
                <w:p w14:paraId="0BEDAE33">
                  <w:pPr>
                    <w:autoSpaceDE w:val="0"/>
                    <w:autoSpaceDN w:val="0"/>
                    <w:adjustRightInd w:val="0"/>
                    <w:spacing w:line="360" w:lineRule="auto"/>
                    <w:jc w:val="center"/>
                    <w:rPr>
                      <w:rFonts w:hint="default" w:ascii="Times New Roman" w:hAnsi="Times New Roman" w:eastAsia="宋体"/>
                      <w:sz w:val="21"/>
                      <w:szCs w:val="21"/>
                      <w:highlight w:val="none"/>
                      <w:vertAlign w:val="baseline"/>
                      <w:lang w:val="en-US" w:eastAsia="zh-CN"/>
                    </w:rPr>
                  </w:pPr>
                  <w:r>
                    <w:rPr>
                      <w:rFonts w:hint="eastAsia"/>
                      <w:sz w:val="21"/>
                      <w:szCs w:val="21"/>
                      <w:highlight w:val="none"/>
                      <w:vertAlign w:val="baseline"/>
                      <w:lang w:val="en-US" w:eastAsia="zh-CN"/>
                    </w:rPr>
                    <w:t>P</w:t>
                  </w:r>
                </w:p>
              </w:tc>
              <w:tc>
                <w:tcPr>
                  <w:tcW w:w="940" w:type="dxa"/>
                  <w:vAlign w:val="center"/>
                </w:tcPr>
                <w:p w14:paraId="7EC1D355">
                  <w:pPr>
                    <w:autoSpaceDE w:val="0"/>
                    <w:autoSpaceDN w:val="0"/>
                    <w:adjustRightInd w:val="0"/>
                    <w:spacing w:line="360" w:lineRule="auto"/>
                    <w:jc w:val="center"/>
                    <w:rPr>
                      <w:rFonts w:hint="default" w:ascii="Times New Roman" w:hAnsi="Times New Roman" w:eastAsia="宋体"/>
                      <w:sz w:val="21"/>
                      <w:szCs w:val="21"/>
                      <w:highlight w:val="none"/>
                      <w:vertAlign w:val="baseline"/>
                      <w:lang w:val="en-US" w:eastAsia="zh-CN"/>
                    </w:rPr>
                  </w:pPr>
                  <w:r>
                    <w:rPr>
                      <w:rFonts w:hint="eastAsia"/>
                      <w:sz w:val="21"/>
                      <w:szCs w:val="21"/>
                      <w:highlight w:val="none"/>
                      <w:vertAlign w:val="baseline"/>
                      <w:lang w:val="en-US" w:eastAsia="zh-CN"/>
                    </w:rPr>
                    <w:t>D</w:t>
                  </w:r>
                </w:p>
              </w:tc>
              <w:tc>
                <w:tcPr>
                  <w:tcW w:w="940" w:type="dxa"/>
                  <w:vAlign w:val="center"/>
                </w:tcPr>
                <w:p w14:paraId="6D817DE1">
                  <w:pPr>
                    <w:autoSpaceDE w:val="0"/>
                    <w:autoSpaceDN w:val="0"/>
                    <w:adjustRightInd w:val="0"/>
                    <w:spacing w:line="360" w:lineRule="auto"/>
                    <w:jc w:val="center"/>
                    <w:rPr>
                      <w:rFonts w:hint="eastAsia" w:ascii="Times New Roman" w:hAnsi="Times New Roman" w:eastAsia="宋体"/>
                      <w:sz w:val="21"/>
                      <w:szCs w:val="21"/>
                      <w:highlight w:val="none"/>
                      <w:vertAlign w:val="baseline"/>
                      <w:lang w:val="en-US" w:eastAsia="zh-CN"/>
                    </w:rPr>
                  </w:pPr>
                  <w:r>
                    <w:rPr>
                      <w:rFonts w:hint="eastAsia"/>
                      <w:sz w:val="21"/>
                      <w:szCs w:val="21"/>
                      <w:highlight w:val="none"/>
                      <w:vertAlign w:val="baseline"/>
                      <w:lang w:val="en-US" w:eastAsia="zh-CN"/>
                    </w:rPr>
                    <w:t>H</w:t>
                  </w:r>
                </w:p>
              </w:tc>
              <w:tc>
                <w:tcPr>
                  <w:tcW w:w="940" w:type="dxa"/>
                  <w:vAlign w:val="center"/>
                </w:tcPr>
                <w:p w14:paraId="00CC0400">
                  <w:pPr>
                    <w:autoSpaceDE w:val="0"/>
                    <w:autoSpaceDN w:val="0"/>
                    <w:adjustRightInd w:val="0"/>
                    <w:spacing w:line="360" w:lineRule="auto"/>
                    <w:jc w:val="center"/>
                    <w:rPr>
                      <w:rFonts w:hint="eastAsia"/>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w:t>
                  </w:r>
                  <w:r>
                    <w:rPr>
                      <w:rFonts w:hint="default" w:ascii="Times New Roman" w:hAnsi="Times New Roman" w:eastAsia="宋体" w:cs="Times New Roman"/>
                      <w:sz w:val="21"/>
                      <w:szCs w:val="21"/>
                      <w:highlight w:val="none"/>
                      <w:vertAlign w:val="baseline"/>
                      <w:lang w:val="en-US" w:eastAsia="zh-CN"/>
                    </w:rPr>
                    <w:t>T</w:t>
                  </w:r>
                </w:p>
              </w:tc>
              <w:tc>
                <w:tcPr>
                  <w:tcW w:w="940" w:type="dxa"/>
                  <w:vAlign w:val="center"/>
                </w:tcPr>
                <w:p w14:paraId="51FC71BA">
                  <w:pPr>
                    <w:autoSpaceDE w:val="0"/>
                    <w:autoSpaceDN w:val="0"/>
                    <w:adjustRightInd w:val="0"/>
                    <w:spacing w:line="360" w:lineRule="auto"/>
                    <w:jc w:val="center"/>
                    <w:rPr>
                      <w:rFonts w:hint="default"/>
                      <w:sz w:val="21"/>
                      <w:szCs w:val="21"/>
                      <w:highlight w:val="none"/>
                      <w:vertAlign w:val="baseline"/>
                      <w:lang w:val="en-US" w:eastAsia="zh-CN"/>
                    </w:rPr>
                  </w:pPr>
                  <w:r>
                    <w:rPr>
                      <w:rFonts w:hint="eastAsia"/>
                      <w:sz w:val="21"/>
                      <w:szCs w:val="21"/>
                      <w:highlight w:val="none"/>
                      <w:vertAlign w:val="baseline"/>
                      <w:lang w:val="en-US" w:eastAsia="zh-CN"/>
                    </w:rPr>
                    <w:t>Fp</w:t>
                  </w:r>
                </w:p>
              </w:tc>
              <w:tc>
                <w:tcPr>
                  <w:tcW w:w="940" w:type="dxa"/>
                  <w:vAlign w:val="center"/>
                </w:tcPr>
                <w:p w14:paraId="760D1621">
                  <w:pPr>
                    <w:autoSpaceDE w:val="0"/>
                    <w:autoSpaceDN w:val="0"/>
                    <w:adjustRightInd w:val="0"/>
                    <w:spacing w:line="360" w:lineRule="auto"/>
                    <w:jc w:val="center"/>
                    <w:rPr>
                      <w:rFonts w:hint="default"/>
                      <w:sz w:val="21"/>
                      <w:szCs w:val="21"/>
                      <w:highlight w:val="none"/>
                      <w:vertAlign w:val="baseline"/>
                      <w:lang w:val="en-US" w:eastAsia="zh-CN"/>
                    </w:rPr>
                  </w:pPr>
                  <w:r>
                    <w:rPr>
                      <w:rFonts w:hint="eastAsia"/>
                      <w:sz w:val="21"/>
                      <w:szCs w:val="21"/>
                      <w:highlight w:val="none"/>
                      <w:vertAlign w:val="baseline"/>
                      <w:lang w:val="en-US" w:eastAsia="zh-CN"/>
                    </w:rPr>
                    <w:t>C</w:t>
                  </w:r>
                </w:p>
              </w:tc>
              <w:tc>
                <w:tcPr>
                  <w:tcW w:w="940" w:type="dxa"/>
                  <w:vAlign w:val="center"/>
                </w:tcPr>
                <w:p w14:paraId="1E2654C5">
                  <w:pPr>
                    <w:autoSpaceDE w:val="0"/>
                    <w:autoSpaceDN w:val="0"/>
                    <w:adjustRightInd w:val="0"/>
                    <w:spacing w:line="360" w:lineRule="auto"/>
                    <w:jc w:val="center"/>
                    <w:rPr>
                      <w:rFonts w:hint="default"/>
                      <w:sz w:val="21"/>
                      <w:szCs w:val="21"/>
                      <w:highlight w:val="none"/>
                      <w:vertAlign w:val="baseline"/>
                      <w:lang w:val="en-US" w:eastAsia="zh-CN"/>
                    </w:rPr>
                  </w:pPr>
                  <w:r>
                    <w:rPr>
                      <w:rFonts w:hint="eastAsia"/>
                      <w:sz w:val="21"/>
                      <w:szCs w:val="21"/>
                      <w:highlight w:val="none"/>
                      <w:vertAlign w:val="baseline"/>
                      <w:lang w:val="en-US" w:eastAsia="zh-CN"/>
                    </w:rPr>
                    <w:t>Kc</w:t>
                  </w:r>
                </w:p>
              </w:tc>
            </w:tr>
            <w:tr w14:paraId="5C9CA6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9" w:type="dxa"/>
                  <w:vAlign w:val="center"/>
                </w:tcPr>
                <w:p w14:paraId="6343B110">
                  <w:pPr>
                    <w:autoSpaceDE w:val="0"/>
                    <w:autoSpaceDN w:val="0"/>
                    <w:adjustRightInd w:val="0"/>
                    <w:spacing w:line="360" w:lineRule="auto"/>
                    <w:jc w:val="center"/>
                    <w:rPr>
                      <w:rFonts w:hint="eastAsia" w:ascii="Times New Roman" w:hAnsi="Times New Roman" w:eastAsia="宋体"/>
                      <w:sz w:val="21"/>
                      <w:szCs w:val="21"/>
                      <w:highlight w:val="none"/>
                      <w:vertAlign w:val="baseline"/>
                      <w:lang w:val="en-US" w:eastAsia="zh-CN"/>
                    </w:rPr>
                  </w:pPr>
                  <w:r>
                    <w:rPr>
                      <w:rFonts w:hint="eastAsia"/>
                      <w:sz w:val="21"/>
                      <w:szCs w:val="21"/>
                      <w:highlight w:val="none"/>
                      <w:vertAlign w:val="baseline"/>
                      <w:lang w:val="en-US" w:eastAsia="zh-CN"/>
                    </w:rPr>
                    <w:t>取值</w:t>
                  </w:r>
                </w:p>
              </w:tc>
              <w:tc>
                <w:tcPr>
                  <w:tcW w:w="939" w:type="dxa"/>
                  <w:vAlign w:val="center"/>
                </w:tcPr>
                <w:p w14:paraId="1EABCEC0">
                  <w:pPr>
                    <w:autoSpaceDE w:val="0"/>
                    <w:autoSpaceDN w:val="0"/>
                    <w:adjustRightInd w:val="0"/>
                    <w:spacing w:line="360" w:lineRule="auto"/>
                    <w:jc w:val="center"/>
                    <w:rPr>
                      <w:rFonts w:hint="default" w:ascii="Times New Roman" w:hAnsi="Times New Roman" w:eastAsia="宋体"/>
                      <w:sz w:val="21"/>
                      <w:szCs w:val="21"/>
                      <w:highlight w:val="none"/>
                      <w:vertAlign w:val="baseline"/>
                      <w:lang w:val="en-US" w:eastAsia="zh-CN"/>
                    </w:rPr>
                  </w:pPr>
                  <w:r>
                    <w:rPr>
                      <w:rFonts w:hint="eastAsia" w:ascii="Times New Roman" w:hAnsi="Times New Roman" w:eastAsia="宋体"/>
                      <w:sz w:val="21"/>
                      <w:szCs w:val="21"/>
                      <w:highlight w:val="none"/>
                      <w:vertAlign w:val="baseline"/>
                      <w:lang w:val="en-US" w:eastAsia="zh-CN"/>
                    </w:rPr>
                    <w:t>130</w:t>
                  </w:r>
                </w:p>
              </w:tc>
              <w:tc>
                <w:tcPr>
                  <w:tcW w:w="940" w:type="dxa"/>
                  <w:vAlign w:val="center"/>
                </w:tcPr>
                <w:p w14:paraId="44F59EA8">
                  <w:pPr>
                    <w:autoSpaceDE w:val="0"/>
                    <w:autoSpaceDN w:val="0"/>
                    <w:adjustRightInd w:val="0"/>
                    <w:spacing w:line="360" w:lineRule="auto"/>
                    <w:jc w:val="center"/>
                    <w:rPr>
                      <w:rFonts w:hint="default" w:ascii="Times New Roman" w:hAnsi="Times New Roman" w:eastAsia="宋体"/>
                      <w:sz w:val="21"/>
                      <w:szCs w:val="21"/>
                      <w:highlight w:val="none"/>
                      <w:vertAlign w:val="baseline"/>
                      <w:lang w:val="en-US" w:eastAsia="zh-CN"/>
                    </w:rPr>
                  </w:pPr>
                  <w:r>
                    <w:rPr>
                      <w:rFonts w:hint="eastAsia" w:ascii="Times New Roman" w:hAnsi="Times New Roman"/>
                      <w:sz w:val="21"/>
                      <w:szCs w:val="21"/>
                      <w:highlight w:val="none"/>
                      <w:vertAlign w:val="baseline"/>
                      <w:lang w:val="en-US" w:eastAsia="zh-CN"/>
                    </w:rPr>
                    <w:t>667</w:t>
                  </w:r>
                </w:p>
              </w:tc>
              <w:tc>
                <w:tcPr>
                  <w:tcW w:w="940" w:type="dxa"/>
                  <w:vAlign w:val="center"/>
                </w:tcPr>
                <w:p w14:paraId="5D0E56BB">
                  <w:pPr>
                    <w:autoSpaceDE w:val="0"/>
                    <w:autoSpaceDN w:val="0"/>
                    <w:adjustRightInd w:val="0"/>
                    <w:spacing w:line="360" w:lineRule="auto"/>
                    <w:jc w:val="center"/>
                    <w:rPr>
                      <w:rFonts w:hint="default" w:ascii="Times New Roman" w:hAnsi="Times New Roman" w:eastAsia="宋体"/>
                      <w:sz w:val="21"/>
                      <w:szCs w:val="21"/>
                      <w:highlight w:val="none"/>
                      <w:vertAlign w:val="baseline"/>
                      <w:lang w:val="en-US" w:eastAsia="zh-CN"/>
                    </w:rPr>
                  </w:pPr>
                  <w:r>
                    <w:rPr>
                      <w:rFonts w:hint="eastAsia" w:ascii="Times New Roman" w:hAnsi="Times New Roman" w:eastAsia="宋体"/>
                      <w:sz w:val="21"/>
                      <w:szCs w:val="21"/>
                      <w:highlight w:val="none"/>
                      <w:vertAlign w:val="baseline"/>
                      <w:lang w:val="en-US" w:eastAsia="zh-CN"/>
                    </w:rPr>
                    <w:t>2.8</w:t>
                  </w:r>
                </w:p>
              </w:tc>
              <w:tc>
                <w:tcPr>
                  <w:tcW w:w="940" w:type="dxa"/>
                  <w:vAlign w:val="center"/>
                </w:tcPr>
                <w:p w14:paraId="0A3545FE">
                  <w:pPr>
                    <w:autoSpaceDE w:val="0"/>
                    <w:autoSpaceDN w:val="0"/>
                    <w:adjustRightInd w:val="0"/>
                    <w:spacing w:line="360" w:lineRule="auto"/>
                    <w:jc w:val="center"/>
                    <w:rPr>
                      <w:rFonts w:hint="default" w:ascii="Times New Roman" w:hAnsi="Times New Roman" w:eastAsia="宋体"/>
                      <w:sz w:val="21"/>
                      <w:szCs w:val="21"/>
                      <w:highlight w:val="none"/>
                      <w:vertAlign w:val="baseline"/>
                      <w:lang w:val="en-US" w:eastAsia="zh-CN"/>
                    </w:rPr>
                  </w:pPr>
                  <w:r>
                    <w:rPr>
                      <w:rFonts w:hint="eastAsia" w:ascii="Times New Roman" w:hAnsi="Times New Roman" w:eastAsia="宋体"/>
                      <w:sz w:val="21"/>
                      <w:szCs w:val="21"/>
                      <w:highlight w:val="none"/>
                      <w:vertAlign w:val="baseline"/>
                      <w:lang w:val="en-US" w:eastAsia="zh-CN"/>
                    </w:rPr>
                    <w:t>2</w:t>
                  </w:r>
                </w:p>
              </w:tc>
              <w:tc>
                <w:tcPr>
                  <w:tcW w:w="940" w:type="dxa"/>
                  <w:vAlign w:val="center"/>
                </w:tcPr>
                <w:p w14:paraId="573CAF11">
                  <w:pPr>
                    <w:autoSpaceDE w:val="0"/>
                    <w:autoSpaceDN w:val="0"/>
                    <w:adjustRightInd w:val="0"/>
                    <w:spacing w:line="360" w:lineRule="auto"/>
                    <w:jc w:val="center"/>
                    <w:rPr>
                      <w:rFonts w:hint="default"/>
                      <w:sz w:val="21"/>
                      <w:szCs w:val="21"/>
                      <w:highlight w:val="none"/>
                      <w:vertAlign w:val="baseline"/>
                      <w:lang w:val="en-US" w:eastAsia="zh-CN"/>
                    </w:rPr>
                  </w:pPr>
                  <w:r>
                    <w:rPr>
                      <w:rFonts w:hint="eastAsia"/>
                      <w:sz w:val="21"/>
                      <w:szCs w:val="21"/>
                      <w:highlight w:val="none"/>
                      <w:vertAlign w:val="baseline"/>
                      <w:lang w:val="en-US" w:eastAsia="zh-CN"/>
                    </w:rPr>
                    <w:t>15</w:t>
                  </w:r>
                </w:p>
              </w:tc>
              <w:tc>
                <w:tcPr>
                  <w:tcW w:w="940" w:type="dxa"/>
                  <w:vAlign w:val="center"/>
                </w:tcPr>
                <w:p w14:paraId="50DD92F8">
                  <w:pPr>
                    <w:autoSpaceDE w:val="0"/>
                    <w:autoSpaceDN w:val="0"/>
                    <w:adjustRightInd w:val="0"/>
                    <w:spacing w:line="360" w:lineRule="auto"/>
                    <w:jc w:val="center"/>
                    <w:rPr>
                      <w:rFonts w:hint="default"/>
                      <w:sz w:val="21"/>
                      <w:szCs w:val="21"/>
                      <w:highlight w:val="none"/>
                      <w:vertAlign w:val="baseline"/>
                      <w:lang w:val="en-US" w:eastAsia="zh-CN"/>
                    </w:rPr>
                  </w:pPr>
                  <w:r>
                    <w:rPr>
                      <w:rFonts w:hint="eastAsia"/>
                      <w:sz w:val="21"/>
                      <w:szCs w:val="21"/>
                      <w:highlight w:val="none"/>
                      <w:vertAlign w:val="baseline"/>
                      <w:lang w:val="en-US" w:eastAsia="zh-CN"/>
                    </w:rPr>
                    <w:t>1</w:t>
                  </w:r>
                </w:p>
              </w:tc>
              <w:tc>
                <w:tcPr>
                  <w:tcW w:w="940" w:type="dxa"/>
                  <w:vAlign w:val="center"/>
                </w:tcPr>
                <w:p w14:paraId="70A19E1A">
                  <w:pPr>
                    <w:autoSpaceDE w:val="0"/>
                    <w:autoSpaceDN w:val="0"/>
                    <w:adjustRightInd w:val="0"/>
                    <w:spacing w:line="360" w:lineRule="auto"/>
                    <w:jc w:val="center"/>
                    <w:rPr>
                      <w:rFonts w:hint="default"/>
                      <w:sz w:val="21"/>
                      <w:szCs w:val="21"/>
                      <w:highlight w:val="none"/>
                      <w:vertAlign w:val="baseline"/>
                      <w:lang w:val="en-US" w:eastAsia="zh-CN"/>
                    </w:rPr>
                  </w:pPr>
                  <w:r>
                    <w:rPr>
                      <w:rFonts w:hint="eastAsia"/>
                      <w:sz w:val="21"/>
                      <w:szCs w:val="21"/>
                      <w:highlight w:val="none"/>
                      <w:vertAlign w:val="baseline"/>
                      <w:lang w:val="en-US" w:eastAsia="zh-CN"/>
                    </w:rPr>
                    <w:t>0.98</w:t>
                  </w:r>
                </w:p>
              </w:tc>
              <w:tc>
                <w:tcPr>
                  <w:tcW w:w="940" w:type="dxa"/>
                  <w:vAlign w:val="center"/>
                </w:tcPr>
                <w:p w14:paraId="3E411E62">
                  <w:pPr>
                    <w:autoSpaceDE w:val="0"/>
                    <w:autoSpaceDN w:val="0"/>
                    <w:adjustRightInd w:val="0"/>
                    <w:spacing w:line="360" w:lineRule="auto"/>
                    <w:jc w:val="center"/>
                    <w:rPr>
                      <w:rFonts w:hint="default"/>
                      <w:sz w:val="21"/>
                      <w:szCs w:val="21"/>
                      <w:highlight w:val="none"/>
                      <w:vertAlign w:val="baseline"/>
                      <w:lang w:val="en-US" w:eastAsia="zh-CN"/>
                    </w:rPr>
                  </w:pPr>
                  <w:r>
                    <w:rPr>
                      <w:rFonts w:hint="eastAsia"/>
                      <w:sz w:val="21"/>
                      <w:szCs w:val="21"/>
                      <w:highlight w:val="none"/>
                      <w:vertAlign w:val="baseline"/>
                      <w:lang w:val="en-US" w:eastAsia="zh-CN"/>
                    </w:rPr>
                    <w:t>0.65</w:t>
                  </w:r>
                </w:p>
              </w:tc>
            </w:tr>
          </w:tbl>
          <w:p w14:paraId="0251901E">
            <w:pPr>
              <w:autoSpaceDE w:val="0"/>
              <w:autoSpaceDN w:val="0"/>
              <w:adjustRightInd w:val="0"/>
              <w:spacing w:line="360" w:lineRule="auto"/>
              <w:ind w:firstLine="480" w:firstLineChars="200"/>
              <w:rPr>
                <w:rFonts w:hint="eastAsia"/>
                <w:highlight w:val="none"/>
              </w:rPr>
            </w:pPr>
            <w:r>
              <w:rPr>
                <w:rFonts w:hint="eastAsia" w:ascii="Times New Roman" w:hAnsi="Times New Roman" w:eastAsia="宋体" w:cs="Times New Roman"/>
                <w:sz w:val="24"/>
                <w:highlight w:val="none"/>
                <w:lang w:val="en-US" w:eastAsia="zh-CN"/>
              </w:rPr>
              <w:t>根据计算，本项目储罐区小呼吸废气（非甲烷总烃）产生量为0.0003t/a。</w:t>
            </w:r>
          </w:p>
          <w:p w14:paraId="44237032">
            <w:pPr>
              <w:autoSpaceDE w:val="0"/>
              <w:autoSpaceDN w:val="0"/>
              <w:adjustRightInd w:val="0"/>
              <w:spacing w:line="360" w:lineRule="auto"/>
              <w:ind w:firstLine="480" w:firstLineChars="200"/>
              <w:rPr>
                <w:rFonts w:ascii="Times New Roman" w:hAnsi="Times New Roman"/>
                <w:sz w:val="24"/>
                <w:highlight w:val="none"/>
              </w:rPr>
            </w:pPr>
            <w:r>
              <w:rPr>
                <w:rFonts w:hint="eastAsia"/>
                <w:sz w:val="24"/>
                <w:highlight w:val="none"/>
                <w:lang w:val="en-US" w:eastAsia="zh-CN"/>
              </w:rPr>
              <w:t>其它危险废物收集贮存所产生的有机废气</w:t>
            </w:r>
            <w:r>
              <w:rPr>
                <w:rFonts w:hint="eastAsia" w:ascii="Times New Roman" w:hAnsi="Times New Roman"/>
                <w:sz w:val="24"/>
                <w:highlight w:val="none"/>
              </w:rPr>
              <w:t>：本项目贮存的HW04、HW06、HW09、HW11、HW12、HW13</w:t>
            </w:r>
            <w:r>
              <w:rPr>
                <w:rFonts w:hint="eastAsia" w:ascii="Times New Roman" w:hAnsi="Times New Roman"/>
                <w:sz w:val="24"/>
                <w:highlight w:val="none"/>
                <w:lang w:val="en-US" w:eastAsia="zh-CN"/>
              </w:rPr>
              <w:t>设在密闭贮存区内，HW08贮存于油罐，油罐密闭，</w:t>
            </w:r>
            <w:r>
              <w:rPr>
                <w:rFonts w:hint="eastAsia" w:ascii="Times New Roman" w:hAnsi="Times New Roman"/>
                <w:sz w:val="24"/>
                <w:highlight w:val="none"/>
              </w:rPr>
              <w:t>在正常工况下储存在密闭容器内，极少量挥发</w:t>
            </w:r>
            <w:r>
              <w:rPr>
                <w:rFonts w:hint="eastAsia"/>
                <w:sz w:val="24"/>
                <w:highlight w:val="none"/>
                <w:lang w:val="en-US" w:eastAsia="zh-CN"/>
              </w:rPr>
              <w:t>有机废气</w:t>
            </w:r>
            <w:r>
              <w:rPr>
                <w:rFonts w:hint="eastAsia" w:ascii="Times New Roman" w:hAnsi="Times New Roman"/>
                <w:sz w:val="24"/>
                <w:highlight w:val="none"/>
              </w:rPr>
              <w:t>通过仓库上方安装集气罩或集气风管接入</w:t>
            </w:r>
            <w:r>
              <w:rPr>
                <w:rFonts w:hint="eastAsia"/>
                <w:sz w:val="24"/>
                <w:highlight w:val="none"/>
                <w:lang w:val="en-US" w:eastAsia="zh-CN"/>
              </w:rPr>
              <w:t>两级活性炭</w:t>
            </w:r>
            <w:r>
              <w:rPr>
                <w:rFonts w:hint="eastAsia" w:ascii="Times New Roman" w:hAnsi="Times New Roman"/>
                <w:sz w:val="24"/>
                <w:highlight w:val="none"/>
              </w:rPr>
              <w:t>装置进行处理，由于该部分废气在正常工况下产生量较少，因此本次环评不做定量分析。因暂存废有机溶剂、染料、涂料废物等危险废物</w:t>
            </w:r>
            <w:r>
              <w:rPr>
                <w:rFonts w:hint="eastAsia"/>
                <w:sz w:val="24"/>
                <w:highlight w:val="none"/>
                <w:lang w:val="en-US" w:eastAsia="zh-CN"/>
              </w:rPr>
              <w:t>贮存容器破损</w:t>
            </w:r>
            <w:r>
              <w:rPr>
                <w:rFonts w:hint="eastAsia" w:ascii="Times New Roman" w:hAnsi="Times New Roman"/>
                <w:sz w:val="24"/>
                <w:highlight w:val="none"/>
              </w:rPr>
              <w:t>会产生的少量挥发的二氯甲烷、二氯乙烷、非甲烷总烃、醇类等挥发性有机物，可统一视为VOCs</w:t>
            </w:r>
            <w:r>
              <w:rPr>
                <w:rFonts w:hint="eastAsia"/>
                <w:sz w:val="24"/>
                <w:highlight w:val="none"/>
                <w:lang w:val="en-US" w:eastAsia="zh-CN"/>
              </w:rPr>
              <w:t>，本次按非甲烷总烃计</w:t>
            </w:r>
            <w:r>
              <w:rPr>
                <w:rFonts w:hint="eastAsia"/>
                <w:sz w:val="24"/>
                <w:highlight w:val="none"/>
                <w:lang w:eastAsia="zh-CN"/>
              </w:rPr>
              <w:t>，</w:t>
            </w:r>
            <w:r>
              <w:rPr>
                <w:rFonts w:hint="eastAsia" w:ascii="Times New Roman" w:hAnsi="Times New Roman"/>
                <w:sz w:val="24"/>
                <w:highlight w:val="none"/>
              </w:rPr>
              <w:t>类比</w:t>
            </w:r>
            <w:r>
              <w:rPr>
                <w:rFonts w:hint="eastAsia"/>
                <w:sz w:val="24"/>
                <w:highlight w:val="none"/>
                <w:lang w:eastAsia="zh-CN"/>
              </w:rPr>
              <w:t>《</w:t>
            </w:r>
            <w:r>
              <w:rPr>
                <w:rFonts w:hint="eastAsia" w:ascii="Times New Roman" w:hAnsi="Times New Roman"/>
                <w:sz w:val="24"/>
                <w:highlight w:val="none"/>
              </w:rPr>
              <w:t>承德双然环保科技有限公司新建</w:t>
            </w:r>
            <w:r>
              <w:rPr>
                <w:rFonts w:hint="eastAsia"/>
                <w:sz w:val="24"/>
                <w:highlight w:val="none"/>
                <w:lang w:eastAsia="zh-CN"/>
              </w:rPr>
              <w:t>危险废物收集贮存库</w:t>
            </w:r>
            <w:r>
              <w:rPr>
                <w:rFonts w:hint="eastAsia" w:ascii="Times New Roman" w:hAnsi="Times New Roman"/>
                <w:sz w:val="24"/>
                <w:highlight w:val="none"/>
              </w:rPr>
              <w:t>项目</w:t>
            </w:r>
            <w:r>
              <w:rPr>
                <w:rFonts w:hint="eastAsia"/>
                <w:sz w:val="24"/>
                <w:highlight w:val="none"/>
                <w:lang w:eastAsia="zh-CN"/>
              </w:rPr>
              <w:t>》</w:t>
            </w:r>
            <w:r>
              <w:rPr>
                <w:rFonts w:hint="eastAsia" w:ascii="Times New Roman" w:hAnsi="Times New Roman"/>
                <w:sz w:val="24"/>
                <w:highlight w:val="none"/>
              </w:rPr>
              <w:t>的</w:t>
            </w:r>
            <w:r>
              <w:rPr>
                <w:rFonts w:hint="eastAsia"/>
                <w:sz w:val="24"/>
                <w:highlight w:val="none"/>
                <w:lang w:val="en-US" w:eastAsia="zh-CN"/>
              </w:rPr>
              <w:t>竣工环境保护验收检测报告，</w:t>
            </w:r>
            <w:r>
              <w:rPr>
                <w:rFonts w:hint="eastAsia" w:ascii="Times New Roman" w:hAnsi="Times New Roman"/>
                <w:sz w:val="24"/>
                <w:highlight w:val="none"/>
              </w:rPr>
              <w:t>承德双然环保科技有限公司</w:t>
            </w:r>
            <w:r>
              <w:rPr>
                <w:rFonts w:hint="eastAsia"/>
                <w:sz w:val="24"/>
                <w:highlight w:val="none"/>
                <w:lang w:val="en-US" w:eastAsia="zh-CN"/>
              </w:rPr>
              <w:t>贮存产生非甲烷总烃的危险废物贮存量为420吨，本项目贮存量为226吨</w:t>
            </w:r>
            <w:r>
              <w:rPr>
                <w:rFonts w:hint="eastAsia" w:ascii="Times New Roman" w:hAnsi="Times New Roman"/>
                <w:sz w:val="24"/>
                <w:highlight w:val="none"/>
              </w:rPr>
              <w:t>，</w:t>
            </w:r>
            <w:r>
              <w:rPr>
                <w:rFonts w:hint="eastAsia"/>
                <w:sz w:val="24"/>
                <w:highlight w:val="none"/>
                <w:lang w:val="en-US" w:eastAsia="zh-CN"/>
              </w:rPr>
              <w:t>根据《检测报告》</w:t>
            </w:r>
            <w:r>
              <w:rPr>
                <w:rFonts w:hint="eastAsia" w:ascii="Times New Roman" w:hAnsi="Times New Roman" w:eastAsia="宋体" w:cs="Times New Roman"/>
                <w:sz w:val="24"/>
                <w:highlight w:val="none"/>
                <w:lang w:val="en-US" w:eastAsia="zh-CN"/>
              </w:rPr>
              <w:t>（</w:t>
            </w:r>
            <w:r>
              <w:rPr>
                <w:rFonts w:hint="default" w:ascii="Times New Roman" w:hAnsi="Times New Roman" w:eastAsia="宋体" w:cs="Times New Roman"/>
                <w:sz w:val="24"/>
                <w:highlight w:val="none"/>
                <w:lang w:eastAsia="zh-CN"/>
              </w:rPr>
              <w:t>圣合</w:t>
            </w:r>
            <w:r>
              <w:rPr>
                <w:rFonts w:hint="eastAsia" w:cs="Times New Roman"/>
                <w:sz w:val="24"/>
                <w:highlight w:val="none"/>
                <w:lang w:eastAsia="zh-CN"/>
              </w:rPr>
              <w:t>（</w:t>
            </w:r>
            <w:r>
              <w:rPr>
                <w:rFonts w:hint="default" w:ascii="Times New Roman" w:hAnsi="Times New Roman" w:eastAsia="宋体" w:cs="Times New Roman"/>
                <w:sz w:val="24"/>
                <w:highlight w:val="none"/>
                <w:lang w:eastAsia="zh-CN"/>
              </w:rPr>
              <w:t>检</w:t>
            </w:r>
            <w:r>
              <w:rPr>
                <w:rFonts w:hint="eastAsia" w:cs="Times New Roman"/>
                <w:sz w:val="24"/>
                <w:highlight w:val="none"/>
                <w:lang w:eastAsia="zh-CN"/>
              </w:rPr>
              <w:t>）</w:t>
            </w:r>
            <w:r>
              <w:rPr>
                <w:rFonts w:hint="default" w:ascii="Times New Roman" w:hAnsi="Times New Roman" w:eastAsia="宋体" w:cs="Times New Roman"/>
                <w:sz w:val="24"/>
                <w:highlight w:val="none"/>
                <w:lang w:eastAsia="zh-CN"/>
              </w:rPr>
              <w:t>字</w:t>
            </w:r>
            <w:r>
              <w:rPr>
                <w:rFonts w:hint="eastAsia" w:ascii="Times New Roman" w:hAnsi="Times New Roman" w:eastAsia="宋体" w:cs="Times New Roman"/>
                <w:sz w:val="24"/>
                <w:highlight w:val="none"/>
                <w:lang w:eastAsia="zh-CN"/>
              </w:rPr>
              <w:t>WT2021-2217</w:t>
            </w:r>
            <w:r>
              <w:rPr>
                <w:rFonts w:hint="eastAsia" w:ascii="Times New Roman" w:hAnsi="Times New Roman" w:eastAsia="宋体" w:cs="Times New Roman"/>
                <w:sz w:val="24"/>
                <w:highlight w:val="none"/>
                <w:lang w:val="en-US" w:eastAsia="zh-CN"/>
              </w:rPr>
              <w:t>）可知</w:t>
            </w:r>
            <w:r>
              <w:rPr>
                <w:rFonts w:hint="eastAsia" w:cs="Times New Roman"/>
                <w:sz w:val="24"/>
                <w:highlight w:val="none"/>
                <w:lang w:val="en-US" w:eastAsia="zh-CN"/>
              </w:rPr>
              <w:t>，非甲烷总烃</w:t>
            </w:r>
            <w:r>
              <w:rPr>
                <w:rFonts w:hint="eastAsia" w:ascii="Times New Roman" w:hAnsi="Times New Roman" w:eastAsia="宋体" w:cs="Times New Roman"/>
                <w:sz w:val="24"/>
                <w:highlight w:val="none"/>
                <w:lang w:val="en-US" w:eastAsia="zh-CN"/>
              </w:rPr>
              <w:t>的排放</w:t>
            </w:r>
            <w:r>
              <w:rPr>
                <w:rFonts w:hint="eastAsia" w:cs="Times New Roman"/>
                <w:sz w:val="24"/>
                <w:highlight w:val="none"/>
                <w:lang w:val="en-US" w:eastAsia="zh-CN"/>
              </w:rPr>
              <w:t>速率</w:t>
            </w:r>
            <w:r>
              <w:rPr>
                <w:rFonts w:hint="eastAsia" w:ascii="Times New Roman" w:hAnsi="Times New Roman" w:eastAsia="宋体" w:cs="Times New Roman"/>
                <w:sz w:val="24"/>
                <w:highlight w:val="none"/>
                <w:lang w:val="en-US" w:eastAsia="zh-CN"/>
              </w:rPr>
              <w:t>为</w:t>
            </w:r>
            <w:r>
              <w:rPr>
                <w:rFonts w:hint="eastAsia" w:cs="Times New Roman"/>
                <w:sz w:val="24"/>
                <w:highlight w:val="none"/>
                <w:lang w:val="en-US" w:eastAsia="zh-CN"/>
              </w:rPr>
              <w:t>0.0301</w:t>
            </w:r>
            <w:r>
              <w:rPr>
                <w:rFonts w:hint="eastAsia" w:ascii="Times New Roman" w:hAnsi="Times New Roman" w:eastAsia="宋体" w:cs="Times New Roman"/>
                <w:sz w:val="24"/>
                <w:highlight w:val="none"/>
                <w:lang w:val="en-US" w:eastAsia="zh-CN"/>
              </w:rPr>
              <w:t>kg/h，</w:t>
            </w:r>
            <w:r>
              <w:rPr>
                <w:rFonts w:hint="eastAsia" w:cs="Times New Roman"/>
                <w:sz w:val="24"/>
                <w:highlight w:val="none"/>
                <w:lang w:val="en-US" w:eastAsia="zh-CN"/>
              </w:rPr>
              <w:t>则本项目非甲烷总烃排放速率为0.016</w:t>
            </w:r>
            <w:r>
              <w:rPr>
                <w:rFonts w:hint="eastAsia" w:ascii="Times New Roman" w:hAnsi="Times New Roman" w:eastAsia="宋体" w:cs="Times New Roman"/>
                <w:sz w:val="24"/>
                <w:highlight w:val="none"/>
                <w:lang w:val="en-US" w:eastAsia="zh-CN"/>
              </w:rPr>
              <w:t>kg/</w:t>
            </w:r>
            <w:r>
              <w:rPr>
                <w:rFonts w:hint="eastAsia" w:cs="Times New Roman"/>
                <w:sz w:val="24"/>
                <w:highlight w:val="none"/>
                <w:lang w:val="en-US" w:eastAsia="zh-CN"/>
              </w:rPr>
              <w:t>h；</w:t>
            </w:r>
            <w:r>
              <w:rPr>
                <w:rFonts w:hint="eastAsia" w:ascii="Times New Roman" w:hAnsi="Times New Roman" w:eastAsia="宋体" w:cs="Times New Roman"/>
                <w:sz w:val="24"/>
                <w:highlight w:val="none"/>
                <w:lang w:val="en-US" w:eastAsia="zh-CN"/>
              </w:rPr>
              <w:t>排放浓度为</w:t>
            </w:r>
            <w:r>
              <w:rPr>
                <w:rFonts w:hint="eastAsia" w:cs="Times New Roman"/>
                <w:sz w:val="24"/>
                <w:highlight w:val="none"/>
                <w:lang w:val="en-US" w:eastAsia="zh-CN"/>
              </w:rPr>
              <w:t>3.2</w:t>
            </w:r>
            <w:r>
              <w:rPr>
                <w:rFonts w:hint="eastAsia" w:ascii="Times New Roman" w:hAnsi="Times New Roman" w:eastAsia="宋体" w:cs="Times New Roman"/>
                <w:sz w:val="24"/>
                <w:highlight w:val="none"/>
                <w:lang w:val="en-US" w:eastAsia="zh-CN"/>
              </w:rPr>
              <w:t>mg/m</w:t>
            </w:r>
            <w:r>
              <w:rPr>
                <w:rFonts w:hint="eastAsia" w:ascii="Times New Roman" w:hAnsi="Times New Roman" w:eastAsia="宋体" w:cs="Times New Roman"/>
                <w:sz w:val="24"/>
                <w:highlight w:val="none"/>
                <w:vertAlign w:val="superscript"/>
                <w:lang w:val="en-US" w:eastAsia="zh-CN"/>
              </w:rPr>
              <w:t>3</w:t>
            </w:r>
            <w:r>
              <w:rPr>
                <w:rFonts w:hint="eastAsia" w:ascii="Times New Roman" w:hAnsi="Times New Roman" w:eastAsia="宋体" w:cs="Times New Roman"/>
                <w:sz w:val="24"/>
                <w:highlight w:val="none"/>
                <w:lang w:val="en-US" w:eastAsia="zh-CN"/>
              </w:rPr>
              <w:t>，排放量为</w:t>
            </w:r>
            <w:r>
              <w:rPr>
                <w:rFonts w:hint="eastAsia" w:cs="Times New Roman"/>
                <w:sz w:val="24"/>
                <w:highlight w:val="none"/>
                <w:lang w:val="en-US" w:eastAsia="zh-CN"/>
              </w:rPr>
              <w:t>0.14</w:t>
            </w:r>
            <w:r>
              <w:rPr>
                <w:rFonts w:hint="eastAsia" w:ascii="Times New Roman" w:hAnsi="Times New Roman" w:eastAsia="宋体" w:cs="Times New Roman"/>
                <w:sz w:val="24"/>
                <w:highlight w:val="none"/>
                <w:lang w:val="en-US" w:eastAsia="zh-CN"/>
              </w:rPr>
              <w:t>t/a</w:t>
            </w:r>
            <w:r>
              <w:rPr>
                <w:rFonts w:ascii="Times New Roman" w:hAnsi="Times New Roman"/>
                <w:sz w:val="24"/>
                <w:highlight w:val="none"/>
              </w:rPr>
              <w:t>。</w:t>
            </w:r>
          </w:p>
          <w:p w14:paraId="280F1B81">
            <w:pPr>
              <w:autoSpaceDE w:val="0"/>
              <w:adjustRightInd w:val="0"/>
              <w:spacing w:line="360" w:lineRule="auto"/>
              <w:ind w:firstLine="480" w:firstLineChars="200"/>
              <w:rPr>
                <w:rFonts w:ascii="Times New Roman" w:hAnsi="Times New Roman"/>
                <w:sz w:val="24"/>
                <w:highlight w:val="none"/>
              </w:rPr>
            </w:pPr>
            <w:r>
              <w:rPr>
                <w:rFonts w:hint="eastAsia" w:ascii="Times New Roman" w:hAnsi="Times New Roman" w:eastAsia="宋体" w:cs="Times New Roman"/>
                <w:sz w:val="24"/>
                <w:highlight w:val="none"/>
                <w:lang w:val="en-US" w:eastAsia="zh-CN"/>
              </w:rPr>
              <w:t>异味气体：HW08废矿物油与含废矿物油废物中（900-210-08）含油废水处理中隔油、气浮、沉淀等处理过程中产生的浮油、浮渣和污泥（不包括废水生化处理污泥）</w:t>
            </w:r>
            <w:r>
              <w:rPr>
                <w:rFonts w:hint="eastAsia" w:cs="Times New Roman"/>
                <w:sz w:val="24"/>
                <w:highlight w:val="none"/>
                <w:lang w:val="en-US" w:eastAsia="zh-CN"/>
              </w:rPr>
              <w:t>贮存中会产生异味气体，</w:t>
            </w:r>
            <w:r>
              <w:rPr>
                <w:rFonts w:hint="eastAsia" w:ascii="Times New Roman" w:hAnsi="Times New Roman"/>
                <w:sz w:val="24"/>
                <w:highlight w:val="none"/>
              </w:rPr>
              <w:t>类比</w:t>
            </w:r>
            <w:r>
              <w:rPr>
                <w:rFonts w:hint="eastAsia"/>
                <w:sz w:val="24"/>
                <w:highlight w:val="none"/>
                <w:lang w:eastAsia="zh-CN"/>
              </w:rPr>
              <w:t>《</w:t>
            </w:r>
            <w:r>
              <w:rPr>
                <w:rFonts w:hint="eastAsia" w:ascii="Times New Roman" w:hAnsi="Times New Roman"/>
                <w:sz w:val="24"/>
                <w:highlight w:val="none"/>
              </w:rPr>
              <w:t>承德双然环保科技有限公司新建</w:t>
            </w:r>
            <w:r>
              <w:rPr>
                <w:rFonts w:hint="eastAsia"/>
                <w:sz w:val="24"/>
                <w:highlight w:val="none"/>
                <w:lang w:eastAsia="zh-CN"/>
              </w:rPr>
              <w:t>危险废物收集贮存库</w:t>
            </w:r>
            <w:r>
              <w:rPr>
                <w:rFonts w:hint="eastAsia" w:ascii="Times New Roman" w:hAnsi="Times New Roman"/>
                <w:sz w:val="24"/>
                <w:highlight w:val="none"/>
              </w:rPr>
              <w:t>项目</w:t>
            </w:r>
            <w:r>
              <w:rPr>
                <w:rFonts w:hint="eastAsia"/>
                <w:sz w:val="24"/>
                <w:highlight w:val="none"/>
                <w:lang w:eastAsia="zh-CN"/>
              </w:rPr>
              <w:t>》</w:t>
            </w:r>
            <w:r>
              <w:rPr>
                <w:rFonts w:hint="eastAsia" w:ascii="Times New Roman" w:hAnsi="Times New Roman"/>
                <w:sz w:val="24"/>
                <w:highlight w:val="none"/>
              </w:rPr>
              <w:t>的</w:t>
            </w:r>
            <w:r>
              <w:rPr>
                <w:rFonts w:hint="eastAsia"/>
                <w:sz w:val="24"/>
                <w:highlight w:val="none"/>
                <w:lang w:val="en-US" w:eastAsia="zh-CN"/>
              </w:rPr>
              <w:t>竣工环境保护验收检测报告，</w:t>
            </w:r>
            <w:r>
              <w:rPr>
                <w:rFonts w:hint="eastAsia" w:ascii="Times New Roman" w:hAnsi="Times New Roman"/>
                <w:sz w:val="24"/>
                <w:highlight w:val="none"/>
              </w:rPr>
              <w:t>承德双然环保科技有限公司</w:t>
            </w:r>
            <w:r>
              <w:rPr>
                <w:rFonts w:hint="eastAsia"/>
                <w:sz w:val="24"/>
                <w:highlight w:val="none"/>
                <w:lang w:val="en-US" w:eastAsia="zh-CN"/>
              </w:rPr>
              <w:t>产生异味气体的危险废物贮存量为180吨，本项目危险废物贮存量为153吨，根据《检测报告》</w:t>
            </w:r>
            <w:r>
              <w:rPr>
                <w:rFonts w:hint="eastAsia" w:ascii="Times New Roman" w:hAnsi="Times New Roman" w:eastAsia="宋体" w:cs="Times New Roman"/>
                <w:sz w:val="24"/>
                <w:highlight w:val="none"/>
                <w:lang w:val="en-US" w:eastAsia="zh-CN"/>
              </w:rPr>
              <w:t>（</w:t>
            </w:r>
            <w:r>
              <w:rPr>
                <w:rFonts w:hint="default" w:ascii="Times New Roman" w:hAnsi="Times New Roman" w:eastAsia="宋体" w:cs="Times New Roman"/>
                <w:sz w:val="24"/>
                <w:highlight w:val="none"/>
                <w:lang w:eastAsia="zh-CN"/>
              </w:rPr>
              <w:t>圣合</w:t>
            </w:r>
            <w:r>
              <w:rPr>
                <w:rFonts w:hint="eastAsia" w:cs="Times New Roman"/>
                <w:sz w:val="24"/>
                <w:highlight w:val="none"/>
                <w:lang w:eastAsia="zh-CN"/>
              </w:rPr>
              <w:t>（</w:t>
            </w:r>
            <w:r>
              <w:rPr>
                <w:rFonts w:hint="default" w:ascii="Times New Roman" w:hAnsi="Times New Roman" w:eastAsia="宋体" w:cs="Times New Roman"/>
                <w:sz w:val="24"/>
                <w:highlight w:val="none"/>
                <w:lang w:eastAsia="zh-CN"/>
              </w:rPr>
              <w:t>检</w:t>
            </w:r>
            <w:r>
              <w:rPr>
                <w:rFonts w:hint="eastAsia" w:cs="Times New Roman"/>
                <w:sz w:val="24"/>
                <w:highlight w:val="none"/>
                <w:lang w:eastAsia="zh-CN"/>
              </w:rPr>
              <w:t>）</w:t>
            </w:r>
            <w:r>
              <w:rPr>
                <w:rFonts w:hint="default" w:ascii="Times New Roman" w:hAnsi="Times New Roman" w:eastAsia="宋体" w:cs="Times New Roman"/>
                <w:sz w:val="24"/>
                <w:highlight w:val="none"/>
                <w:lang w:eastAsia="zh-CN"/>
              </w:rPr>
              <w:t>字</w:t>
            </w:r>
            <w:r>
              <w:rPr>
                <w:rFonts w:hint="eastAsia" w:ascii="Times New Roman" w:hAnsi="Times New Roman" w:eastAsia="宋体" w:cs="Times New Roman"/>
                <w:sz w:val="24"/>
                <w:highlight w:val="none"/>
                <w:lang w:eastAsia="zh-CN"/>
              </w:rPr>
              <w:t>WT2021-2217</w:t>
            </w:r>
            <w:r>
              <w:rPr>
                <w:rFonts w:hint="eastAsia" w:ascii="Times New Roman" w:hAnsi="Times New Roman" w:eastAsia="宋体" w:cs="Times New Roman"/>
                <w:sz w:val="24"/>
                <w:highlight w:val="none"/>
                <w:lang w:val="en-US" w:eastAsia="zh-CN"/>
              </w:rPr>
              <w:t>）可知，氨的排放</w:t>
            </w:r>
            <w:r>
              <w:rPr>
                <w:rFonts w:hint="eastAsia" w:cs="Times New Roman"/>
                <w:sz w:val="24"/>
                <w:highlight w:val="none"/>
                <w:lang w:val="en-US" w:eastAsia="zh-CN"/>
              </w:rPr>
              <w:t>速率</w:t>
            </w:r>
            <w:r>
              <w:rPr>
                <w:rFonts w:hint="eastAsia" w:ascii="Times New Roman" w:hAnsi="Times New Roman" w:eastAsia="宋体" w:cs="Times New Roman"/>
                <w:sz w:val="24"/>
                <w:highlight w:val="none"/>
                <w:lang w:val="en-US" w:eastAsia="zh-CN"/>
              </w:rPr>
              <w:t>为</w:t>
            </w:r>
            <w:r>
              <w:rPr>
                <w:rFonts w:hint="eastAsia" w:cs="Times New Roman"/>
                <w:sz w:val="24"/>
                <w:highlight w:val="none"/>
                <w:lang w:val="en-US" w:eastAsia="zh-CN"/>
              </w:rPr>
              <w:t>0.0173</w:t>
            </w:r>
            <w:r>
              <w:rPr>
                <w:rFonts w:hint="eastAsia" w:ascii="Times New Roman" w:hAnsi="Times New Roman" w:eastAsia="宋体" w:cs="Times New Roman"/>
                <w:sz w:val="24"/>
                <w:highlight w:val="none"/>
                <w:lang w:val="en-US" w:eastAsia="zh-CN"/>
              </w:rPr>
              <w:t>kg/h，</w:t>
            </w:r>
            <w:r>
              <w:rPr>
                <w:rFonts w:hint="eastAsia" w:cs="Times New Roman"/>
                <w:sz w:val="24"/>
                <w:highlight w:val="none"/>
                <w:lang w:val="en-US" w:eastAsia="zh-CN"/>
              </w:rPr>
              <w:t>硫化氢</w:t>
            </w:r>
            <w:r>
              <w:rPr>
                <w:rFonts w:hint="eastAsia" w:ascii="Times New Roman" w:hAnsi="Times New Roman" w:eastAsia="宋体" w:cs="Times New Roman"/>
                <w:sz w:val="24"/>
                <w:highlight w:val="none"/>
                <w:lang w:val="en-US" w:eastAsia="zh-CN"/>
              </w:rPr>
              <w:t>排放</w:t>
            </w:r>
            <w:r>
              <w:rPr>
                <w:rFonts w:hint="eastAsia" w:cs="Times New Roman"/>
                <w:sz w:val="24"/>
                <w:highlight w:val="none"/>
                <w:lang w:val="en-US" w:eastAsia="zh-CN"/>
              </w:rPr>
              <w:t>速率</w:t>
            </w:r>
            <w:r>
              <w:rPr>
                <w:rFonts w:hint="eastAsia" w:ascii="Times New Roman" w:hAnsi="Times New Roman" w:eastAsia="宋体" w:cs="Times New Roman"/>
                <w:sz w:val="24"/>
                <w:highlight w:val="none"/>
                <w:lang w:val="en-US" w:eastAsia="zh-CN"/>
              </w:rPr>
              <w:t>为0.</w:t>
            </w:r>
            <w:r>
              <w:rPr>
                <w:rFonts w:hint="eastAsia" w:cs="Times New Roman"/>
                <w:sz w:val="24"/>
                <w:highlight w:val="none"/>
                <w:lang w:val="en-US" w:eastAsia="zh-CN"/>
              </w:rPr>
              <w:t>0342</w:t>
            </w:r>
            <w:r>
              <w:rPr>
                <w:rFonts w:hint="eastAsia" w:ascii="Times New Roman" w:hAnsi="Times New Roman" w:eastAsia="宋体" w:cs="Times New Roman"/>
                <w:sz w:val="24"/>
                <w:highlight w:val="none"/>
                <w:lang w:val="en-US" w:eastAsia="zh-CN"/>
              </w:rPr>
              <w:t>kg/h，则</w:t>
            </w:r>
            <w:r>
              <w:rPr>
                <w:rFonts w:hint="eastAsia" w:cs="Times New Roman"/>
                <w:sz w:val="24"/>
                <w:highlight w:val="none"/>
                <w:lang w:val="en-US" w:eastAsia="zh-CN"/>
              </w:rPr>
              <w:t>折合本项目</w:t>
            </w:r>
            <w:r>
              <w:rPr>
                <w:rFonts w:hint="eastAsia" w:ascii="Times New Roman" w:hAnsi="Times New Roman" w:eastAsia="宋体" w:cs="Times New Roman"/>
                <w:sz w:val="24"/>
                <w:highlight w:val="none"/>
                <w:lang w:val="en-US" w:eastAsia="zh-CN"/>
              </w:rPr>
              <w:t>氨的排放速率为0.0</w:t>
            </w:r>
            <w:r>
              <w:rPr>
                <w:rFonts w:hint="eastAsia" w:cs="Times New Roman"/>
                <w:sz w:val="24"/>
                <w:highlight w:val="none"/>
                <w:lang w:val="en-US" w:eastAsia="zh-CN"/>
              </w:rPr>
              <w:t>15</w:t>
            </w:r>
            <w:r>
              <w:rPr>
                <w:rFonts w:hint="eastAsia" w:ascii="Times New Roman" w:hAnsi="Times New Roman" w:eastAsia="宋体" w:cs="Times New Roman"/>
                <w:sz w:val="24"/>
                <w:highlight w:val="none"/>
                <w:lang w:val="en-US" w:eastAsia="zh-CN"/>
              </w:rPr>
              <w:t>kg/h</w:t>
            </w:r>
            <w:r>
              <w:rPr>
                <w:rFonts w:hint="eastAsia" w:cs="Times New Roman"/>
                <w:sz w:val="24"/>
                <w:highlight w:val="none"/>
                <w:lang w:val="en-US" w:eastAsia="zh-CN"/>
              </w:rPr>
              <w:t>，排放浓度3</w:t>
            </w:r>
            <w:r>
              <w:rPr>
                <w:rFonts w:hint="eastAsia" w:ascii="Times New Roman" w:hAnsi="Times New Roman" w:eastAsia="宋体" w:cs="Times New Roman"/>
                <w:sz w:val="24"/>
                <w:highlight w:val="none"/>
                <w:lang w:val="en-US" w:eastAsia="zh-CN"/>
              </w:rPr>
              <w:t>mg/m</w:t>
            </w:r>
            <w:r>
              <w:rPr>
                <w:rFonts w:hint="eastAsia" w:ascii="Times New Roman" w:hAnsi="Times New Roman" w:eastAsia="宋体" w:cs="Times New Roman"/>
                <w:sz w:val="24"/>
                <w:highlight w:val="none"/>
                <w:vertAlign w:val="superscript"/>
                <w:lang w:val="en-US" w:eastAsia="zh-CN"/>
              </w:rPr>
              <w:t>3</w:t>
            </w:r>
            <w:r>
              <w:rPr>
                <w:rFonts w:hint="eastAsia" w:cs="Times New Roman"/>
                <w:sz w:val="24"/>
                <w:highlight w:val="none"/>
                <w:lang w:val="en-US" w:eastAsia="zh-CN"/>
              </w:rPr>
              <w:t>，</w:t>
            </w:r>
            <w:r>
              <w:rPr>
                <w:rFonts w:hint="eastAsia" w:ascii="Times New Roman" w:hAnsi="Times New Roman" w:eastAsia="宋体" w:cs="Times New Roman"/>
                <w:sz w:val="24"/>
                <w:highlight w:val="none"/>
                <w:lang w:val="en-US" w:eastAsia="zh-CN"/>
              </w:rPr>
              <w:t>排放量为0.</w:t>
            </w:r>
            <w:r>
              <w:rPr>
                <w:rFonts w:hint="eastAsia" w:cs="Times New Roman"/>
                <w:sz w:val="24"/>
                <w:highlight w:val="none"/>
                <w:lang w:val="en-US" w:eastAsia="zh-CN"/>
              </w:rPr>
              <w:t>131</w:t>
            </w:r>
            <w:r>
              <w:rPr>
                <w:rFonts w:hint="eastAsia" w:ascii="Times New Roman" w:hAnsi="Times New Roman" w:eastAsia="宋体" w:cs="Times New Roman"/>
                <w:sz w:val="24"/>
                <w:highlight w:val="none"/>
                <w:lang w:val="en-US" w:eastAsia="zh-CN"/>
              </w:rPr>
              <w:t>t/a，</w:t>
            </w:r>
            <w:r>
              <w:rPr>
                <w:rFonts w:hint="eastAsia" w:cs="Times New Roman"/>
                <w:sz w:val="24"/>
                <w:highlight w:val="none"/>
                <w:lang w:val="en-US" w:eastAsia="zh-CN"/>
              </w:rPr>
              <w:t>硫化氢</w:t>
            </w:r>
            <w:r>
              <w:rPr>
                <w:rFonts w:hint="eastAsia" w:ascii="Times New Roman" w:hAnsi="Times New Roman" w:eastAsia="宋体" w:cs="Times New Roman"/>
                <w:sz w:val="24"/>
                <w:highlight w:val="none"/>
                <w:lang w:val="en-US" w:eastAsia="zh-CN"/>
              </w:rPr>
              <w:t>排放速率为</w:t>
            </w:r>
            <w:r>
              <w:rPr>
                <w:rFonts w:hint="eastAsia" w:cs="Times New Roman"/>
                <w:sz w:val="24"/>
                <w:highlight w:val="none"/>
                <w:lang w:val="en-US" w:eastAsia="zh-CN"/>
              </w:rPr>
              <w:t>0.029</w:t>
            </w:r>
            <w:r>
              <w:rPr>
                <w:rFonts w:hint="eastAsia" w:ascii="Times New Roman" w:hAnsi="Times New Roman" w:eastAsia="宋体" w:cs="Times New Roman"/>
                <w:sz w:val="24"/>
                <w:highlight w:val="none"/>
                <w:lang w:val="en-US" w:eastAsia="zh-CN"/>
              </w:rPr>
              <w:t>kg/h</w:t>
            </w:r>
            <w:r>
              <w:rPr>
                <w:rFonts w:hint="eastAsia" w:cs="Times New Roman"/>
                <w:sz w:val="24"/>
                <w:highlight w:val="none"/>
                <w:lang w:val="en-US" w:eastAsia="zh-CN"/>
              </w:rPr>
              <w:t>，</w:t>
            </w:r>
            <w:r>
              <w:rPr>
                <w:rFonts w:hint="eastAsia" w:ascii="Times New Roman" w:hAnsi="Times New Roman" w:eastAsia="宋体" w:cs="Times New Roman"/>
                <w:sz w:val="24"/>
                <w:highlight w:val="none"/>
                <w:lang w:val="en-US" w:eastAsia="zh-CN"/>
              </w:rPr>
              <w:t>排放量为</w:t>
            </w:r>
            <w:r>
              <w:rPr>
                <w:rFonts w:hint="eastAsia" w:cs="Times New Roman"/>
                <w:sz w:val="24"/>
                <w:highlight w:val="none"/>
                <w:lang w:val="en-US" w:eastAsia="zh-CN"/>
              </w:rPr>
              <w:t>0.254</w:t>
            </w:r>
            <w:r>
              <w:rPr>
                <w:rFonts w:hint="eastAsia" w:ascii="Times New Roman" w:hAnsi="Times New Roman" w:eastAsia="宋体" w:cs="Times New Roman"/>
                <w:sz w:val="24"/>
                <w:highlight w:val="none"/>
                <w:lang w:val="en-US" w:eastAsia="zh-CN"/>
              </w:rPr>
              <w:t>t/a</w:t>
            </w:r>
            <w:r>
              <w:rPr>
                <w:rFonts w:hint="eastAsia" w:cs="Times New Roman"/>
                <w:sz w:val="24"/>
                <w:highlight w:val="none"/>
                <w:lang w:val="en-US" w:eastAsia="zh-CN"/>
              </w:rPr>
              <w:t>，排放浓度5.8</w:t>
            </w:r>
            <w:r>
              <w:rPr>
                <w:rFonts w:hint="eastAsia" w:ascii="Times New Roman" w:hAnsi="Times New Roman" w:eastAsia="宋体" w:cs="Times New Roman"/>
                <w:sz w:val="24"/>
                <w:highlight w:val="none"/>
                <w:lang w:val="en-US" w:eastAsia="zh-CN"/>
              </w:rPr>
              <w:t>mg/m</w:t>
            </w:r>
            <w:r>
              <w:rPr>
                <w:rFonts w:hint="eastAsia" w:ascii="Times New Roman" w:hAnsi="Times New Roman" w:eastAsia="宋体" w:cs="Times New Roman"/>
                <w:sz w:val="24"/>
                <w:highlight w:val="none"/>
                <w:vertAlign w:val="superscript"/>
                <w:lang w:val="en-US" w:eastAsia="zh-CN"/>
              </w:rPr>
              <w:t>3</w:t>
            </w:r>
            <w:r>
              <w:rPr>
                <w:rFonts w:hint="eastAsia" w:ascii="Times New Roman" w:hAnsi="Times New Roman"/>
                <w:sz w:val="24"/>
                <w:highlight w:val="none"/>
              </w:rPr>
              <w:t>。</w:t>
            </w:r>
          </w:p>
          <w:p w14:paraId="4D42DD8E">
            <w:pPr>
              <w:autoSpaceDE w:val="0"/>
              <w:adjustRightInd w:val="0"/>
              <w:spacing w:line="360" w:lineRule="auto"/>
              <w:ind w:firstLine="480" w:firstLineChars="200"/>
              <w:rPr>
                <w:rFonts w:ascii="Times New Roman" w:hAnsi="Times New Roman"/>
                <w:sz w:val="24"/>
                <w:highlight w:val="none"/>
              </w:rPr>
            </w:pPr>
            <w:r>
              <w:rPr>
                <w:rFonts w:ascii="Times New Roman" w:hAnsi="Times New Roman"/>
                <w:sz w:val="24"/>
                <w:highlight w:val="none"/>
              </w:rPr>
              <w:t>根据建设单位提供的资料，项目转运站库房封闭，设集气罩及收集管道，收集后的废气经</w:t>
            </w:r>
            <w:r>
              <w:rPr>
                <w:rFonts w:hint="eastAsia" w:ascii="Times New Roman" w:hAnsi="Times New Roman"/>
                <w:sz w:val="24"/>
                <w:highlight w:val="none"/>
              </w:rPr>
              <w:t>两级活性炭吸附</w:t>
            </w:r>
            <w:r>
              <w:rPr>
                <w:rFonts w:ascii="Times New Roman" w:hAnsi="Times New Roman"/>
                <w:sz w:val="24"/>
                <w:highlight w:val="none"/>
              </w:rPr>
              <w:t>装置处理后经1根15m高排气筒（DA00</w:t>
            </w:r>
            <w:r>
              <w:rPr>
                <w:rFonts w:hint="eastAsia" w:ascii="Times New Roman" w:hAnsi="Times New Roman"/>
                <w:sz w:val="24"/>
                <w:highlight w:val="none"/>
                <w:lang w:val="en-US" w:eastAsia="zh-CN"/>
              </w:rPr>
              <w:t>2</w:t>
            </w:r>
            <w:r>
              <w:rPr>
                <w:rFonts w:ascii="Times New Roman" w:hAnsi="Times New Roman"/>
                <w:sz w:val="24"/>
                <w:highlight w:val="none"/>
              </w:rPr>
              <w:t>）排放。废气收集效率按照</w:t>
            </w:r>
            <w:r>
              <w:rPr>
                <w:rFonts w:hint="eastAsia" w:ascii="Times New Roman" w:hAnsi="Times New Roman"/>
                <w:sz w:val="24"/>
                <w:highlight w:val="none"/>
              </w:rPr>
              <w:t>90</w:t>
            </w:r>
            <w:r>
              <w:rPr>
                <w:rFonts w:ascii="Times New Roman" w:hAnsi="Times New Roman"/>
                <w:sz w:val="24"/>
                <w:highlight w:val="none"/>
              </w:rPr>
              <w:t>%计，</w:t>
            </w:r>
            <w:r>
              <w:rPr>
                <w:rFonts w:hint="eastAsia" w:ascii="Times New Roman" w:hAnsi="Times New Roman"/>
                <w:sz w:val="24"/>
                <w:highlight w:val="none"/>
              </w:rPr>
              <w:t>两级活性炭吸附</w:t>
            </w:r>
            <w:r>
              <w:rPr>
                <w:rFonts w:ascii="Times New Roman" w:hAnsi="Times New Roman"/>
                <w:sz w:val="24"/>
                <w:highlight w:val="none"/>
              </w:rPr>
              <w:t>装置处理效率按照</w:t>
            </w:r>
            <w:r>
              <w:rPr>
                <w:rFonts w:hint="eastAsia" w:ascii="Times New Roman" w:hAnsi="Times New Roman"/>
                <w:sz w:val="24"/>
                <w:highlight w:val="none"/>
                <w:lang w:val="en-US" w:eastAsia="zh-CN"/>
              </w:rPr>
              <w:t>80</w:t>
            </w:r>
            <w:r>
              <w:rPr>
                <w:rFonts w:ascii="Times New Roman" w:hAnsi="Times New Roman"/>
                <w:sz w:val="24"/>
                <w:highlight w:val="none"/>
              </w:rPr>
              <w:t>%计</w:t>
            </w:r>
            <w:r>
              <w:rPr>
                <w:rFonts w:hint="eastAsia" w:ascii="Times New Roman" w:hAnsi="Times New Roman"/>
                <w:sz w:val="24"/>
                <w:highlight w:val="none"/>
                <w:lang w:eastAsia="zh-CN"/>
              </w:rPr>
              <w:t>，</w:t>
            </w:r>
            <w:r>
              <w:rPr>
                <w:rFonts w:hint="eastAsia" w:ascii="Times New Roman" w:hAnsi="Times New Roman"/>
                <w:sz w:val="24"/>
                <w:highlight w:val="none"/>
                <w:lang w:val="en-US" w:eastAsia="zh-CN"/>
              </w:rPr>
              <w:t>风机风量按5000m</w:t>
            </w:r>
            <w:r>
              <w:rPr>
                <w:rFonts w:hint="eastAsia" w:ascii="Times New Roman" w:hAnsi="Times New Roman"/>
                <w:sz w:val="24"/>
                <w:highlight w:val="none"/>
                <w:vertAlign w:val="superscript"/>
                <w:lang w:val="en-US" w:eastAsia="zh-CN"/>
              </w:rPr>
              <w:t>3</w:t>
            </w:r>
            <w:r>
              <w:rPr>
                <w:rFonts w:hint="eastAsia" w:ascii="Times New Roman" w:hAnsi="Times New Roman"/>
                <w:sz w:val="24"/>
                <w:highlight w:val="none"/>
                <w:lang w:val="en-US" w:eastAsia="zh-CN"/>
              </w:rPr>
              <w:t>/h计</w:t>
            </w:r>
            <w:r>
              <w:rPr>
                <w:rFonts w:ascii="Times New Roman" w:hAnsi="Times New Roman"/>
                <w:sz w:val="24"/>
                <w:highlight w:val="none"/>
              </w:rPr>
              <w:t>。</w:t>
            </w:r>
          </w:p>
          <w:p w14:paraId="3AC241B5">
            <w:pPr>
              <w:spacing w:line="360" w:lineRule="auto"/>
              <w:ind w:firstLine="482"/>
              <w:rPr>
                <w:sz w:val="24"/>
                <w:highlight w:val="none"/>
              </w:rPr>
            </w:pPr>
            <w:r>
              <w:rPr>
                <w:rFonts w:hint="default" w:ascii="Times New Roman" w:hAnsi="Times New Roman" w:cs="Times New Roman"/>
                <w:bCs/>
                <w:kern w:val="2"/>
                <w:highlight w:val="none"/>
                <w:lang w:bidi="ar-SA"/>
              </w:rPr>
              <w:t>本项目各产污工序大气污染物产生及排放情况详见下表</w:t>
            </w:r>
            <w:r>
              <w:rPr>
                <w:rFonts w:hint="eastAsia"/>
                <w:sz w:val="24"/>
                <w:highlight w:val="none"/>
              </w:rPr>
              <w:t>：</w:t>
            </w:r>
          </w:p>
          <w:p w14:paraId="5E94E2BF">
            <w:pPr>
              <w:pStyle w:val="48"/>
              <w:numPr>
                <w:ilvl w:val="0"/>
                <w:numId w:val="9"/>
              </w:numPr>
              <w:spacing w:line="360" w:lineRule="auto"/>
              <w:ind w:left="0" w:firstLine="0" w:firstLineChars="0"/>
              <w:jc w:val="center"/>
              <w:rPr>
                <w:rFonts w:ascii="Times New Roman" w:hAnsi="Times New Roman" w:eastAsia="宋体"/>
                <w:highlight w:val="none"/>
              </w:rPr>
            </w:pPr>
            <w:r>
              <w:rPr>
                <w:rFonts w:hint="eastAsia" w:ascii="Times New Roman" w:hAnsi="Times New Roman" w:eastAsia="宋体"/>
                <w:b/>
                <w:color w:val="000000"/>
                <w:sz w:val="21"/>
                <w:szCs w:val="21"/>
                <w:highlight w:val="none"/>
              </w:rPr>
              <w:t>各工序污染物产生及排放情况一览表</w:t>
            </w:r>
          </w:p>
          <w:tbl>
            <w:tblPr>
              <w:tblStyle w:val="2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4"/>
              <w:gridCol w:w="980"/>
              <w:gridCol w:w="1024"/>
              <w:gridCol w:w="1024"/>
              <w:gridCol w:w="1024"/>
              <w:gridCol w:w="665"/>
              <w:gridCol w:w="839"/>
              <w:gridCol w:w="1120"/>
              <w:gridCol w:w="1066"/>
            </w:tblGrid>
            <w:tr w14:paraId="1E6E5F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pct"/>
                  <w:noWrap w:val="0"/>
                  <w:vAlign w:val="center"/>
                </w:tcPr>
                <w:p w14:paraId="0E7E4A09">
                  <w:pPr>
                    <w:snapToGrid w:val="0"/>
                    <w:jc w:val="center"/>
                    <w:rPr>
                      <w:rFonts w:hint="default" w:ascii="Times New Roman" w:hAnsi="Times New Roman" w:eastAsia="宋体" w:cs="Times New Roman"/>
                      <w:b/>
                      <w:bCs/>
                      <w:szCs w:val="21"/>
                      <w:highlight w:val="none"/>
                    </w:rPr>
                  </w:pPr>
                  <w:r>
                    <w:rPr>
                      <w:rFonts w:hint="default" w:ascii="Times New Roman" w:hAnsi="Times New Roman" w:eastAsia="宋体" w:cs="Times New Roman"/>
                      <w:b/>
                      <w:bCs/>
                      <w:szCs w:val="21"/>
                      <w:highlight w:val="none"/>
                    </w:rPr>
                    <w:t>产污环节</w:t>
                  </w:r>
                </w:p>
              </w:tc>
              <w:tc>
                <w:tcPr>
                  <w:tcW w:w="579" w:type="pct"/>
                  <w:noWrap w:val="0"/>
                  <w:vAlign w:val="center"/>
                </w:tcPr>
                <w:p w14:paraId="63C10255">
                  <w:pPr>
                    <w:snapToGrid w:val="0"/>
                    <w:jc w:val="center"/>
                    <w:rPr>
                      <w:rFonts w:hint="default" w:ascii="Times New Roman" w:hAnsi="Times New Roman" w:eastAsia="宋体" w:cs="Times New Roman"/>
                      <w:b/>
                      <w:bCs/>
                      <w:szCs w:val="21"/>
                      <w:highlight w:val="none"/>
                    </w:rPr>
                  </w:pPr>
                  <w:r>
                    <w:rPr>
                      <w:rFonts w:hint="default" w:ascii="Times New Roman" w:hAnsi="Times New Roman" w:eastAsia="宋体" w:cs="Times New Roman"/>
                      <w:b/>
                      <w:bCs/>
                      <w:szCs w:val="21"/>
                      <w:highlight w:val="none"/>
                    </w:rPr>
                    <w:t>污染物种类</w:t>
                  </w:r>
                </w:p>
              </w:tc>
              <w:tc>
                <w:tcPr>
                  <w:tcW w:w="605" w:type="pct"/>
                  <w:noWrap w:val="0"/>
                  <w:vAlign w:val="center"/>
                </w:tcPr>
                <w:p w14:paraId="2E770D32">
                  <w:pPr>
                    <w:snapToGrid w:val="0"/>
                    <w:jc w:val="center"/>
                    <w:rPr>
                      <w:rFonts w:hint="default" w:ascii="Times New Roman" w:hAnsi="Times New Roman" w:eastAsia="宋体" w:cs="Times New Roman"/>
                      <w:b/>
                      <w:bCs/>
                      <w:szCs w:val="21"/>
                      <w:highlight w:val="none"/>
                      <w:lang w:val="en-US"/>
                    </w:rPr>
                  </w:pPr>
                  <w:r>
                    <w:rPr>
                      <w:rFonts w:hint="eastAsia" w:ascii="Times New Roman" w:hAnsi="Times New Roman" w:eastAsia="宋体" w:cs="Times New Roman"/>
                      <w:b/>
                      <w:bCs/>
                      <w:szCs w:val="21"/>
                      <w:highlight w:val="none"/>
                      <w:lang w:val="en-US" w:eastAsia="zh-CN"/>
                    </w:rPr>
                    <w:t>产生浓度mg/m</w:t>
                  </w:r>
                  <w:r>
                    <w:rPr>
                      <w:rFonts w:hint="eastAsia" w:ascii="Times New Roman" w:hAnsi="Times New Roman" w:eastAsia="宋体" w:cs="Times New Roman"/>
                      <w:b/>
                      <w:bCs/>
                      <w:szCs w:val="21"/>
                      <w:highlight w:val="none"/>
                      <w:vertAlign w:val="superscript"/>
                      <w:lang w:val="en-US" w:eastAsia="zh-CN"/>
                    </w:rPr>
                    <w:t>3</w:t>
                  </w:r>
                </w:p>
              </w:tc>
              <w:tc>
                <w:tcPr>
                  <w:tcW w:w="605" w:type="pct"/>
                  <w:noWrap w:val="0"/>
                  <w:vAlign w:val="center"/>
                </w:tcPr>
                <w:p w14:paraId="0AD28098">
                  <w:pPr>
                    <w:snapToGrid w:val="0"/>
                    <w:jc w:val="center"/>
                    <w:rPr>
                      <w:rFonts w:hint="default" w:ascii="Times New Roman" w:hAnsi="Times New Roman" w:eastAsia="宋体" w:cs="Times New Roman"/>
                      <w:b/>
                      <w:bCs/>
                      <w:szCs w:val="21"/>
                      <w:highlight w:val="none"/>
                    </w:rPr>
                  </w:pPr>
                  <w:r>
                    <w:rPr>
                      <w:rFonts w:hint="eastAsia" w:ascii="Times New Roman" w:hAnsi="Times New Roman" w:eastAsia="宋体" w:cs="Times New Roman"/>
                      <w:b/>
                      <w:bCs/>
                      <w:szCs w:val="21"/>
                      <w:highlight w:val="none"/>
                      <w:lang w:val="en-US" w:eastAsia="zh-CN"/>
                    </w:rPr>
                    <w:t>产生</w:t>
                  </w:r>
                  <w:r>
                    <w:rPr>
                      <w:rFonts w:hint="default" w:ascii="Times New Roman" w:hAnsi="Times New Roman" w:eastAsia="宋体" w:cs="Times New Roman"/>
                      <w:b/>
                      <w:bCs/>
                      <w:szCs w:val="21"/>
                      <w:highlight w:val="none"/>
                    </w:rPr>
                    <w:t>速率kg/h</w:t>
                  </w:r>
                </w:p>
              </w:tc>
              <w:tc>
                <w:tcPr>
                  <w:tcW w:w="605" w:type="pct"/>
                  <w:noWrap w:val="0"/>
                  <w:vAlign w:val="center"/>
                </w:tcPr>
                <w:p w14:paraId="52F458A7">
                  <w:pPr>
                    <w:snapToGrid w:val="0"/>
                    <w:jc w:val="center"/>
                    <w:rPr>
                      <w:rFonts w:hint="default" w:ascii="Times New Roman" w:hAnsi="Times New Roman" w:eastAsia="宋体" w:cs="Times New Roman"/>
                      <w:b/>
                      <w:bCs/>
                      <w:szCs w:val="21"/>
                      <w:highlight w:val="none"/>
                      <w:lang w:val="en-US" w:eastAsia="zh-CN"/>
                    </w:rPr>
                  </w:pPr>
                  <w:r>
                    <w:rPr>
                      <w:rFonts w:hint="default" w:ascii="Times New Roman" w:hAnsi="Times New Roman" w:eastAsia="宋体" w:cs="Times New Roman"/>
                      <w:b/>
                      <w:bCs/>
                      <w:szCs w:val="21"/>
                      <w:highlight w:val="none"/>
                    </w:rPr>
                    <w:t>产生量</w:t>
                  </w:r>
                  <w:r>
                    <w:rPr>
                      <w:rFonts w:hint="eastAsia" w:ascii="Times New Roman" w:hAnsi="Times New Roman" w:eastAsia="宋体" w:cs="Times New Roman"/>
                      <w:b/>
                      <w:bCs/>
                      <w:szCs w:val="21"/>
                      <w:highlight w:val="none"/>
                      <w:lang w:val="en-US" w:eastAsia="zh-CN"/>
                    </w:rPr>
                    <w:t>t/a</w:t>
                  </w:r>
                </w:p>
              </w:tc>
              <w:tc>
                <w:tcPr>
                  <w:tcW w:w="393" w:type="pct"/>
                  <w:noWrap w:val="0"/>
                  <w:vAlign w:val="center"/>
                </w:tcPr>
                <w:p w14:paraId="2EBF1F79">
                  <w:pPr>
                    <w:snapToGrid w:val="0"/>
                    <w:jc w:val="center"/>
                    <w:rPr>
                      <w:rFonts w:hint="default" w:ascii="Times New Roman" w:hAnsi="Times New Roman" w:eastAsia="宋体" w:cs="Times New Roman"/>
                      <w:b/>
                      <w:bCs/>
                      <w:szCs w:val="21"/>
                      <w:highlight w:val="none"/>
                    </w:rPr>
                  </w:pPr>
                  <w:r>
                    <w:rPr>
                      <w:rFonts w:hint="default" w:ascii="Times New Roman" w:hAnsi="Times New Roman" w:eastAsia="宋体" w:cs="Times New Roman"/>
                      <w:b/>
                      <w:bCs/>
                      <w:szCs w:val="21"/>
                      <w:highlight w:val="none"/>
                    </w:rPr>
                    <w:t>排放方式</w:t>
                  </w:r>
                </w:p>
              </w:tc>
              <w:tc>
                <w:tcPr>
                  <w:tcW w:w="496" w:type="pct"/>
                  <w:noWrap w:val="0"/>
                  <w:vAlign w:val="center"/>
                </w:tcPr>
                <w:p w14:paraId="564890FF">
                  <w:pPr>
                    <w:snapToGrid w:val="0"/>
                    <w:jc w:val="center"/>
                    <w:rPr>
                      <w:rFonts w:hint="default" w:ascii="Times New Roman" w:hAnsi="Times New Roman" w:eastAsia="宋体" w:cs="Times New Roman"/>
                      <w:b/>
                      <w:bCs/>
                      <w:szCs w:val="21"/>
                      <w:highlight w:val="none"/>
                    </w:rPr>
                  </w:pPr>
                  <w:r>
                    <w:rPr>
                      <w:rFonts w:hint="default" w:ascii="Times New Roman" w:hAnsi="Times New Roman" w:eastAsia="宋体" w:cs="Times New Roman"/>
                      <w:b/>
                      <w:bCs/>
                      <w:szCs w:val="21"/>
                      <w:highlight w:val="none"/>
                    </w:rPr>
                    <w:t>排放浓度</w:t>
                  </w:r>
                  <w:r>
                    <w:rPr>
                      <w:rFonts w:hint="eastAsia" w:ascii="Times New Roman" w:hAnsi="Times New Roman" w:eastAsia="宋体" w:cs="Times New Roman"/>
                      <w:b/>
                      <w:bCs/>
                      <w:szCs w:val="21"/>
                      <w:highlight w:val="none"/>
                      <w:lang w:val="en-US" w:eastAsia="zh-CN"/>
                    </w:rPr>
                    <w:t>mg/m</w:t>
                  </w:r>
                  <w:r>
                    <w:rPr>
                      <w:rFonts w:hint="eastAsia" w:ascii="Times New Roman" w:hAnsi="Times New Roman" w:eastAsia="宋体" w:cs="Times New Roman"/>
                      <w:b/>
                      <w:bCs/>
                      <w:szCs w:val="21"/>
                      <w:highlight w:val="none"/>
                      <w:vertAlign w:val="superscript"/>
                      <w:lang w:val="en-US" w:eastAsia="zh-CN"/>
                    </w:rPr>
                    <w:t>3</w:t>
                  </w:r>
                </w:p>
              </w:tc>
              <w:tc>
                <w:tcPr>
                  <w:tcW w:w="662" w:type="pct"/>
                  <w:noWrap w:val="0"/>
                  <w:vAlign w:val="center"/>
                </w:tcPr>
                <w:p w14:paraId="496E0CC4">
                  <w:pPr>
                    <w:snapToGrid w:val="0"/>
                    <w:jc w:val="center"/>
                    <w:rPr>
                      <w:rFonts w:hint="default" w:ascii="Times New Roman" w:hAnsi="Times New Roman" w:eastAsia="宋体" w:cs="Times New Roman"/>
                      <w:b/>
                      <w:bCs/>
                      <w:szCs w:val="21"/>
                      <w:highlight w:val="none"/>
                    </w:rPr>
                  </w:pPr>
                  <w:r>
                    <w:rPr>
                      <w:rFonts w:hint="eastAsia" w:ascii="Times New Roman" w:hAnsi="Times New Roman" w:eastAsia="宋体" w:cs="Times New Roman"/>
                      <w:b/>
                      <w:bCs/>
                      <w:szCs w:val="21"/>
                      <w:highlight w:val="none"/>
                      <w:lang w:val="en-US" w:eastAsia="zh-CN"/>
                    </w:rPr>
                    <w:t>排放</w:t>
                  </w:r>
                  <w:r>
                    <w:rPr>
                      <w:rFonts w:hint="default" w:ascii="Times New Roman" w:hAnsi="Times New Roman" w:eastAsia="宋体" w:cs="Times New Roman"/>
                      <w:b/>
                      <w:bCs/>
                      <w:szCs w:val="21"/>
                      <w:highlight w:val="none"/>
                    </w:rPr>
                    <w:t>速率kg/h</w:t>
                  </w:r>
                </w:p>
              </w:tc>
              <w:tc>
                <w:tcPr>
                  <w:tcW w:w="630" w:type="pct"/>
                  <w:noWrap w:val="0"/>
                  <w:vAlign w:val="center"/>
                </w:tcPr>
                <w:p w14:paraId="453C657E">
                  <w:pPr>
                    <w:snapToGrid w:val="0"/>
                    <w:jc w:val="center"/>
                    <w:rPr>
                      <w:rFonts w:hint="default" w:ascii="Times New Roman" w:hAnsi="Times New Roman" w:eastAsia="宋体" w:cs="Times New Roman"/>
                      <w:b/>
                      <w:bCs/>
                      <w:szCs w:val="21"/>
                      <w:highlight w:val="none"/>
                    </w:rPr>
                  </w:pPr>
                  <w:r>
                    <w:rPr>
                      <w:rFonts w:hint="default" w:ascii="Times New Roman" w:hAnsi="Times New Roman" w:eastAsia="宋体" w:cs="Times New Roman"/>
                      <w:b/>
                      <w:bCs/>
                      <w:szCs w:val="21"/>
                      <w:highlight w:val="none"/>
                    </w:rPr>
                    <w:t>污染物排放量t/a</w:t>
                  </w:r>
                </w:p>
              </w:tc>
            </w:tr>
            <w:tr w14:paraId="7639C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1" w:hRule="atLeast"/>
                <w:jc w:val="center"/>
              </w:trPr>
              <w:tc>
                <w:tcPr>
                  <w:tcW w:w="422" w:type="pct"/>
                  <w:vMerge w:val="restart"/>
                  <w:noWrap w:val="0"/>
                  <w:vAlign w:val="center"/>
                </w:tcPr>
                <w:p w14:paraId="08DE80A6">
                  <w:pPr>
                    <w:snapToGrid w:val="0"/>
                    <w:jc w:val="center"/>
                    <w:rPr>
                      <w:rFonts w:ascii="Times New Roman" w:hAnsi="Times New Roman" w:eastAsia="宋体" w:cs="Times New Roman"/>
                      <w:szCs w:val="21"/>
                      <w:highlight w:val="none"/>
                    </w:rPr>
                  </w:pPr>
                  <w:r>
                    <w:rPr>
                      <w:rFonts w:ascii="Times New Roman" w:hAnsi="Times New Roman" w:eastAsia="宋体" w:cs="Times New Roman"/>
                      <w:szCs w:val="21"/>
                      <w:highlight w:val="none"/>
                    </w:rPr>
                    <w:t>危险废物贮存</w:t>
                  </w:r>
                </w:p>
              </w:tc>
              <w:tc>
                <w:tcPr>
                  <w:tcW w:w="579" w:type="pct"/>
                  <w:noWrap w:val="0"/>
                  <w:vAlign w:val="center"/>
                </w:tcPr>
                <w:p w14:paraId="1864738A">
                  <w:pPr>
                    <w:snapToGrid w:val="0"/>
                    <w:jc w:val="center"/>
                    <w:rPr>
                      <w:rFonts w:ascii="Times New Roman" w:hAnsi="Times New Roman" w:eastAsia="宋体" w:cs="Times New Roman"/>
                      <w:szCs w:val="21"/>
                      <w:highlight w:val="none"/>
                    </w:rPr>
                  </w:pPr>
                  <w:r>
                    <w:rPr>
                      <w:rFonts w:ascii="Times New Roman" w:hAnsi="Times New Roman" w:eastAsia="宋体" w:cs="Times New Roman"/>
                      <w:szCs w:val="21"/>
                      <w:highlight w:val="none"/>
                    </w:rPr>
                    <w:t>非甲烷总烃</w:t>
                  </w:r>
                </w:p>
              </w:tc>
              <w:tc>
                <w:tcPr>
                  <w:tcW w:w="605" w:type="pct"/>
                  <w:noWrap w:val="0"/>
                  <w:vAlign w:val="center"/>
                </w:tcPr>
                <w:p w14:paraId="538FBE1C">
                  <w:pPr>
                    <w:snapToGri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18.2</w:t>
                  </w:r>
                </w:p>
              </w:tc>
              <w:tc>
                <w:tcPr>
                  <w:tcW w:w="605" w:type="pct"/>
                  <w:noWrap w:val="0"/>
                  <w:vAlign w:val="center"/>
                </w:tcPr>
                <w:p w14:paraId="43C26B73">
                  <w:pPr>
                    <w:snapToGrid w:val="0"/>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0.</w:t>
                  </w:r>
                  <w:r>
                    <w:rPr>
                      <w:rFonts w:hint="eastAsia" w:cs="Times New Roman"/>
                      <w:szCs w:val="21"/>
                      <w:highlight w:val="none"/>
                      <w:lang w:val="en-US" w:eastAsia="zh-CN"/>
                    </w:rPr>
                    <w:t>091</w:t>
                  </w:r>
                </w:p>
              </w:tc>
              <w:tc>
                <w:tcPr>
                  <w:tcW w:w="605" w:type="pct"/>
                  <w:noWrap w:val="0"/>
                  <w:vAlign w:val="center"/>
                </w:tcPr>
                <w:p w14:paraId="6483D629">
                  <w:pPr>
                    <w:snapToGri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0.796</w:t>
                  </w:r>
                </w:p>
              </w:tc>
              <w:tc>
                <w:tcPr>
                  <w:tcW w:w="393" w:type="pct"/>
                  <w:vMerge w:val="restart"/>
                  <w:noWrap w:val="0"/>
                  <w:vAlign w:val="center"/>
                </w:tcPr>
                <w:p w14:paraId="32D12DF6">
                  <w:pPr>
                    <w:snapToGrid w:val="0"/>
                    <w:jc w:val="center"/>
                    <w:rPr>
                      <w:rFonts w:ascii="Times New Roman" w:hAnsi="Times New Roman" w:eastAsia="宋体" w:cs="Times New Roman"/>
                      <w:szCs w:val="21"/>
                      <w:highlight w:val="none"/>
                    </w:rPr>
                  </w:pPr>
                  <w:r>
                    <w:rPr>
                      <w:rFonts w:ascii="Times New Roman" w:hAnsi="Times New Roman" w:eastAsia="宋体" w:cs="Times New Roman"/>
                      <w:szCs w:val="21"/>
                      <w:highlight w:val="none"/>
                    </w:rPr>
                    <w:t>有组织</w:t>
                  </w:r>
                </w:p>
              </w:tc>
              <w:tc>
                <w:tcPr>
                  <w:tcW w:w="496" w:type="pct"/>
                  <w:noWrap w:val="0"/>
                  <w:vAlign w:val="center"/>
                </w:tcPr>
                <w:p w14:paraId="629BB08E">
                  <w:pPr>
                    <w:snapToGri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3.2</w:t>
                  </w:r>
                </w:p>
              </w:tc>
              <w:tc>
                <w:tcPr>
                  <w:tcW w:w="662" w:type="pct"/>
                  <w:noWrap w:val="0"/>
                  <w:vAlign w:val="center"/>
                </w:tcPr>
                <w:p w14:paraId="1C70CEED">
                  <w:pPr>
                    <w:snapToGri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0.016</w:t>
                  </w:r>
                </w:p>
              </w:tc>
              <w:tc>
                <w:tcPr>
                  <w:tcW w:w="630" w:type="pct"/>
                  <w:noWrap w:val="0"/>
                  <w:vAlign w:val="center"/>
                </w:tcPr>
                <w:p w14:paraId="261E87C3">
                  <w:pPr>
                    <w:snapToGri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0.143</w:t>
                  </w:r>
                </w:p>
              </w:tc>
            </w:tr>
            <w:tr w14:paraId="509E8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422" w:type="pct"/>
                  <w:vMerge w:val="continue"/>
                  <w:noWrap w:val="0"/>
                  <w:vAlign w:val="center"/>
                </w:tcPr>
                <w:p w14:paraId="00260B3C">
                  <w:pPr>
                    <w:snapToGrid w:val="0"/>
                    <w:jc w:val="center"/>
                    <w:rPr>
                      <w:rFonts w:ascii="Times New Roman" w:hAnsi="Times New Roman" w:eastAsia="宋体" w:cs="Times New Roman"/>
                      <w:szCs w:val="21"/>
                      <w:highlight w:val="none"/>
                    </w:rPr>
                  </w:pPr>
                </w:p>
              </w:tc>
              <w:tc>
                <w:tcPr>
                  <w:tcW w:w="579" w:type="pct"/>
                  <w:noWrap w:val="0"/>
                  <w:vAlign w:val="center"/>
                </w:tcPr>
                <w:p w14:paraId="6CC9B031">
                  <w:pPr>
                    <w:snapToGrid w:val="0"/>
                    <w:jc w:val="center"/>
                    <w:rPr>
                      <w:rFonts w:hint="eastAsia" w:ascii="Times New Roman" w:hAnsi="Times New Roman" w:eastAsia="宋体" w:cs="Times New Roman"/>
                      <w:szCs w:val="21"/>
                      <w:highlight w:val="none"/>
                      <w:lang w:eastAsia="zh-CN"/>
                    </w:rPr>
                  </w:pPr>
                  <w:r>
                    <w:rPr>
                      <w:rFonts w:hint="eastAsia" w:cs="Times New Roman"/>
                      <w:szCs w:val="21"/>
                      <w:highlight w:val="none"/>
                      <w:lang w:val="en-US" w:eastAsia="zh-CN"/>
                    </w:rPr>
                    <w:t>硫</w:t>
                  </w:r>
                  <w:r>
                    <w:rPr>
                      <w:rFonts w:hint="eastAsia" w:cs="Times New Roman"/>
                      <w:szCs w:val="21"/>
                      <w:highlight w:val="none"/>
                      <w:lang w:eastAsia="zh-CN"/>
                    </w:rPr>
                    <w:t>化氢</w:t>
                  </w:r>
                </w:p>
              </w:tc>
              <w:tc>
                <w:tcPr>
                  <w:tcW w:w="605" w:type="pct"/>
                  <w:noWrap w:val="0"/>
                  <w:vAlign w:val="center"/>
                </w:tcPr>
                <w:p w14:paraId="161DA4C2">
                  <w:pPr>
                    <w:snapToGri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16.6</w:t>
                  </w:r>
                </w:p>
              </w:tc>
              <w:tc>
                <w:tcPr>
                  <w:tcW w:w="605" w:type="pct"/>
                  <w:noWrap w:val="0"/>
                  <w:vAlign w:val="center"/>
                </w:tcPr>
                <w:p w14:paraId="36F99F3F">
                  <w:pPr>
                    <w:snapToGri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0.083</w:t>
                  </w:r>
                </w:p>
              </w:tc>
              <w:tc>
                <w:tcPr>
                  <w:tcW w:w="605" w:type="pct"/>
                  <w:noWrap w:val="0"/>
                  <w:vAlign w:val="center"/>
                </w:tcPr>
                <w:p w14:paraId="2F4978C8">
                  <w:pPr>
                    <w:snapToGri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0.728</w:t>
                  </w:r>
                </w:p>
              </w:tc>
              <w:tc>
                <w:tcPr>
                  <w:tcW w:w="393" w:type="pct"/>
                  <w:vMerge w:val="continue"/>
                  <w:noWrap w:val="0"/>
                  <w:vAlign w:val="center"/>
                </w:tcPr>
                <w:p w14:paraId="638A9418">
                  <w:pPr>
                    <w:snapToGrid w:val="0"/>
                    <w:jc w:val="center"/>
                    <w:rPr>
                      <w:rFonts w:ascii="Times New Roman" w:hAnsi="Times New Roman" w:eastAsia="宋体" w:cs="Times New Roman"/>
                      <w:szCs w:val="21"/>
                      <w:highlight w:val="none"/>
                    </w:rPr>
                  </w:pPr>
                </w:p>
              </w:tc>
              <w:tc>
                <w:tcPr>
                  <w:tcW w:w="496" w:type="pct"/>
                  <w:noWrap w:val="0"/>
                  <w:vAlign w:val="center"/>
                </w:tcPr>
                <w:p w14:paraId="2EFE3F8C">
                  <w:pPr>
                    <w:snapToGri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5.8</w:t>
                  </w:r>
                </w:p>
              </w:tc>
              <w:tc>
                <w:tcPr>
                  <w:tcW w:w="662" w:type="pct"/>
                  <w:noWrap w:val="0"/>
                  <w:vAlign w:val="center"/>
                </w:tcPr>
                <w:p w14:paraId="6B05D6FC">
                  <w:pPr>
                    <w:snapToGri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0.029</w:t>
                  </w:r>
                </w:p>
              </w:tc>
              <w:tc>
                <w:tcPr>
                  <w:tcW w:w="630" w:type="pct"/>
                  <w:noWrap w:val="0"/>
                  <w:vAlign w:val="center"/>
                </w:tcPr>
                <w:p w14:paraId="32ED1789">
                  <w:pPr>
                    <w:snapToGri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0.131</w:t>
                  </w:r>
                </w:p>
              </w:tc>
            </w:tr>
            <w:tr w14:paraId="242BCA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pct"/>
                  <w:vMerge w:val="continue"/>
                  <w:noWrap w:val="0"/>
                  <w:vAlign w:val="center"/>
                </w:tcPr>
                <w:p w14:paraId="011239F5">
                  <w:pPr>
                    <w:snapToGrid w:val="0"/>
                    <w:jc w:val="center"/>
                    <w:rPr>
                      <w:rFonts w:ascii="Times New Roman" w:hAnsi="Times New Roman" w:eastAsia="宋体" w:cs="Times New Roman"/>
                      <w:szCs w:val="21"/>
                      <w:highlight w:val="none"/>
                    </w:rPr>
                  </w:pPr>
                </w:p>
              </w:tc>
              <w:tc>
                <w:tcPr>
                  <w:tcW w:w="579" w:type="pct"/>
                  <w:noWrap w:val="0"/>
                  <w:vAlign w:val="center"/>
                </w:tcPr>
                <w:p w14:paraId="2CCC0ACC">
                  <w:pPr>
                    <w:snapToGrid w:val="0"/>
                    <w:jc w:val="center"/>
                    <w:rPr>
                      <w:rFonts w:ascii="Times New Roman" w:hAnsi="Times New Roman" w:eastAsia="宋体" w:cs="Times New Roman"/>
                      <w:szCs w:val="21"/>
                      <w:highlight w:val="none"/>
                    </w:rPr>
                  </w:pPr>
                  <w:r>
                    <w:rPr>
                      <w:rFonts w:ascii="Times New Roman" w:hAnsi="Times New Roman" w:eastAsia="宋体" w:cs="Times New Roman"/>
                      <w:szCs w:val="21"/>
                      <w:highlight w:val="none"/>
                    </w:rPr>
                    <w:t>氨</w:t>
                  </w:r>
                </w:p>
              </w:tc>
              <w:tc>
                <w:tcPr>
                  <w:tcW w:w="605" w:type="pct"/>
                  <w:noWrap w:val="0"/>
                  <w:vAlign w:val="center"/>
                </w:tcPr>
                <w:p w14:paraId="176C75C8">
                  <w:pPr>
                    <w:snapToGri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32.2</w:t>
                  </w:r>
                </w:p>
              </w:tc>
              <w:tc>
                <w:tcPr>
                  <w:tcW w:w="605" w:type="pct"/>
                  <w:noWrap w:val="0"/>
                  <w:vAlign w:val="center"/>
                </w:tcPr>
                <w:p w14:paraId="00D596D8">
                  <w:pPr>
                    <w:snapToGri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0.161</w:t>
                  </w:r>
                </w:p>
              </w:tc>
              <w:tc>
                <w:tcPr>
                  <w:tcW w:w="605" w:type="pct"/>
                  <w:noWrap w:val="0"/>
                  <w:vAlign w:val="center"/>
                </w:tcPr>
                <w:p w14:paraId="7F9D357E">
                  <w:pPr>
                    <w:snapToGri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1.411</w:t>
                  </w:r>
                </w:p>
              </w:tc>
              <w:tc>
                <w:tcPr>
                  <w:tcW w:w="393" w:type="pct"/>
                  <w:vMerge w:val="continue"/>
                  <w:noWrap w:val="0"/>
                  <w:vAlign w:val="center"/>
                </w:tcPr>
                <w:p w14:paraId="356E8C73">
                  <w:pPr>
                    <w:snapToGrid w:val="0"/>
                    <w:jc w:val="center"/>
                    <w:rPr>
                      <w:rFonts w:ascii="Times New Roman" w:hAnsi="Times New Roman" w:eastAsia="宋体" w:cs="Times New Roman"/>
                      <w:szCs w:val="21"/>
                      <w:highlight w:val="none"/>
                    </w:rPr>
                  </w:pPr>
                </w:p>
              </w:tc>
              <w:tc>
                <w:tcPr>
                  <w:tcW w:w="496" w:type="pct"/>
                  <w:shd w:val="clear" w:color="auto" w:fill="auto"/>
                  <w:noWrap w:val="0"/>
                  <w:vAlign w:val="center"/>
                </w:tcPr>
                <w:p w14:paraId="340A76E2">
                  <w:pPr>
                    <w:snapToGrid w:val="0"/>
                    <w:jc w:val="center"/>
                    <w:rPr>
                      <w:rFonts w:hint="default" w:ascii="Times New Roman" w:hAnsi="Times New Roman" w:eastAsia="宋体" w:cs="Times New Roman"/>
                      <w:kern w:val="2"/>
                      <w:sz w:val="21"/>
                      <w:szCs w:val="21"/>
                      <w:highlight w:val="none"/>
                      <w:lang w:val="en-US" w:eastAsia="zh-CN" w:bidi="ar-SA"/>
                    </w:rPr>
                  </w:pPr>
                  <w:r>
                    <w:rPr>
                      <w:rFonts w:hint="eastAsia" w:cs="Times New Roman"/>
                      <w:szCs w:val="21"/>
                      <w:highlight w:val="none"/>
                      <w:lang w:val="en-US" w:eastAsia="zh-CN"/>
                    </w:rPr>
                    <w:t>3</w:t>
                  </w:r>
                </w:p>
              </w:tc>
              <w:tc>
                <w:tcPr>
                  <w:tcW w:w="662" w:type="pct"/>
                  <w:shd w:val="clear" w:color="auto" w:fill="auto"/>
                  <w:noWrap w:val="0"/>
                  <w:vAlign w:val="center"/>
                </w:tcPr>
                <w:p w14:paraId="18BBC55E">
                  <w:pPr>
                    <w:snapToGrid w:val="0"/>
                    <w:jc w:val="center"/>
                    <w:rPr>
                      <w:rFonts w:hint="default" w:ascii="Times New Roman" w:hAnsi="Times New Roman" w:eastAsia="宋体" w:cs="Times New Roman"/>
                      <w:kern w:val="2"/>
                      <w:sz w:val="21"/>
                      <w:szCs w:val="21"/>
                      <w:highlight w:val="none"/>
                      <w:lang w:val="en-US" w:eastAsia="zh-CN" w:bidi="ar-SA"/>
                    </w:rPr>
                  </w:pPr>
                  <w:r>
                    <w:rPr>
                      <w:rFonts w:hint="eastAsia" w:cs="Times New Roman"/>
                      <w:szCs w:val="21"/>
                      <w:highlight w:val="none"/>
                      <w:lang w:val="en-US" w:eastAsia="zh-CN"/>
                    </w:rPr>
                    <w:t>0.015</w:t>
                  </w:r>
                </w:p>
              </w:tc>
              <w:tc>
                <w:tcPr>
                  <w:tcW w:w="630" w:type="pct"/>
                  <w:shd w:val="clear" w:color="auto" w:fill="auto"/>
                  <w:noWrap w:val="0"/>
                  <w:vAlign w:val="center"/>
                </w:tcPr>
                <w:p w14:paraId="6311F92A">
                  <w:pPr>
                    <w:snapToGrid w:val="0"/>
                    <w:jc w:val="center"/>
                    <w:rPr>
                      <w:rFonts w:hint="default" w:ascii="Times New Roman" w:hAnsi="Times New Roman" w:eastAsia="宋体" w:cs="Times New Roman"/>
                      <w:kern w:val="2"/>
                      <w:sz w:val="21"/>
                      <w:szCs w:val="21"/>
                      <w:highlight w:val="none"/>
                      <w:lang w:val="en-US" w:eastAsia="zh-CN" w:bidi="ar-SA"/>
                    </w:rPr>
                  </w:pPr>
                  <w:r>
                    <w:rPr>
                      <w:rFonts w:hint="eastAsia" w:cs="Times New Roman"/>
                      <w:szCs w:val="21"/>
                      <w:highlight w:val="none"/>
                      <w:lang w:val="en-US" w:eastAsia="zh-CN"/>
                    </w:rPr>
                    <w:t>0.254</w:t>
                  </w:r>
                </w:p>
              </w:tc>
            </w:tr>
            <w:tr w14:paraId="524766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pct"/>
                  <w:vMerge w:val="continue"/>
                  <w:noWrap w:val="0"/>
                  <w:vAlign w:val="center"/>
                </w:tcPr>
                <w:p w14:paraId="0F6C8C34">
                  <w:pPr>
                    <w:snapToGrid w:val="0"/>
                    <w:jc w:val="center"/>
                    <w:rPr>
                      <w:rFonts w:ascii="Times New Roman" w:hAnsi="Times New Roman" w:eastAsia="宋体" w:cs="Times New Roman"/>
                      <w:szCs w:val="21"/>
                      <w:highlight w:val="none"/>
                    </w:rPr>
                  </w:pPr>
                </w:p>
              </w:tc>
              <w:tc>
                <w:tcPr>
                  <w:tcW w:w="579" w:type="pct"/>
                  <w:noWrap w:val="0"/>
                  <w:vAlign w:val="center"/>
                </w:tcPr>
                <w:p w14:paraId="76E35EE2">
                  <w:pPr>
                    <w:snapToGrid w:val="0"/>
                    <w:jc w:val="center"/>
                    <w:rPr>
                      <w:rFonts w:ascii="Times New Roman" w:hAnsi="Times New Roman" w:eastAsia="宋体" w:cs="Times New Roman"/>
                      <w:szCs w:val="21"/>
                      <w:highlight w:val="none"/>
                    </w:rPr>
                  </w:pPr>
                  <w:r>
                    <w:rPr>
                      <w:rFonts w:ascii="Times New Roman" w:hAnsi="Times New Roman" w:eastAsia="宋体" w:cs="Times New Roman"/>
                      <w:szCs w:val="21"/>
                      <w:highlight w:val="none"/>
                    </w:rPr>
                    <w:t>氯化氢</w:t>
                  </w:r>
                </w:p>
              </w:tc>
              <w:tc>
                <w:tcPr>
                  <w:tcW w:w="605" w:type="pct"/>
                  <w:noWrap w:val="0"/>
                  <w:vAlign w:val="center"/>
                </w:tcPr>
                <w:p w14:paraId="2DE2F71E">
                  <w:pPr>
                    <w:snapToGri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340</w:t>
                  </w:r>
                </w:p>
              </w:tc>
              <w:tc>
                <w:tcPr>
                  <w:tcW w:w="605" w:type="pct"/>
                  <w:noWrap w:val="0"/>
                  <w:vAlign w:val="center"/>
                </w:tcPr>
                <w:p w14:paraId="7958F3BC">
                  <w:pPr>
                    <w:snapToGri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1.7</w:t>
                  </w:r>
                </w:p>
              </w:tc>
              <w:tc>
                <w:tcPr>
                  <w:tcW w:w="605" w:type="pct"/>
                  <w:noWrap w:val="0"/>
                  <w:vAlign w:val="center"/>
                </w:tcPr>
                <w:p w14:paraId="57A87C72">
                  <w:pPr>
                    <w:snapToGri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0.0408</w:t>
                  </w:r>
                </w:p>
              </w:tc>
              <w:tc>
                <w:tcPr>
                  <w:tcW w:w="393" w:type="pct"/>
                  <w:vMerge w:val="continue"/>
                  <w:noWrap w:val="0"/>
                  <w:vAlign w:val="center"/>
                </w:tcPr>
                <w:p w14:paraId="20426472">
                  <w:pPr>
                    <w:snapToGrid w:val="0"/>
                    <w:jc w:val="center"/>
                    <w:rPr>
                      <w:rFonts w:ascii="Times New Roman" w:hAnsi="Times New Roman" w:eastAsia="宋体" w:cs="Times New Roman"/>
                      <w:szCs w:val="21"/>
                      <w:highlight w:val="none"/>
                    </w:rPr>
                  </w:pPr>
                </w:p>
              </w:tc>
              <w:tc>
                <w:tcPr>
                  <w:tcW w:w="496" w:type="pct"/>
                  <w:noWrap w:val="0"/>
                  <w:vAlign w:val="center"/>
                </w:tcPr>
                <w:p w14:paraId="5A010180">
                  <w:pPr>
                    <w:snapToGri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12.2</w:t>
                  </w:r>
                </w:p>
              </w:tc>
              <w:tc>
                <w:tcPr>
                  <w:tcW w:w="662" w:type="pct"/>
                  <w:noWrap w:val="0"/>
                  <w:vAlign w:val="center"/>
                </w:tcPr>
                <w:p w14:paraId="433AEC55">
                  <w:pPr>
                    <w:snapToGri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0.061</w:t>
                  </w:r>
                </w:p>
              </w:tc>
              <w:tc>
                <w:tcPr>
                  <w:tcW w:w="630" w:type="pct"/>
                  <w:noWrap w:val="0"/>
                  <w:vAlign w:val="center"/>
                </w:tcPr>
                <w:p w14:paraId="7CA92075">
                  <w:pPr>
                    <w:snapToGri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0.003672</w:t>
                  </w:r>
                </w:p>
              </w:tc>
            </w:tr>
            <w:tr w14:paraId="0249D5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pct"/>
                  <w:vMerge w:val="continue"/>
                  <w:noWrap w:val="0"/>
                  <w:vAlign w:val="center"/>
                </w:tcPr>
                <w:p w14:paraId="2C3F3A42">
                  <w:pPr>
                    <w:snapToGrid w:val="0"/>
                    <w:jc w:val="center"/>
                    <w:rPr>
                      <w:rFonts w:ascii="Times New Roman" w:hAnsi="Times New Roman" w:eastAsia="宋体" w:cs="Times New Roman"/>
                      <w:szCs w:val="21"/>
                      <w:highlight w:val="none"/>
                    </w:rPr>
                  </w:pPr>
                </w:p>
              </w:tc>
              <w:tc>
                <w:tcPr>
                  <w:tcW w:w="579" w:type="pct"/>
                  <w:noWrap w:val="0"/>
                  <w:vAlign w:val="center"/>
                </w:tcPr>
                <w:p w14:paraId="2A4DBF89">
                  <w:pPr>
                    <w:snapToGrid w:val="0"/>
                    <w:jc w:val="center"/>
                    <w:rPr>
                      <w:rFonts w:ascii="Times New Roman" w:hAnsi="Times New Roman" w:eastAsia="宋体" w:cs="Times New Roman"/>
                      <w:szCs w:val="21"/>
                      <w:highlight w:val="none"/>
                    </w:rPr>
                  </w:pPr>
                  <w:r>
                    <w:rPr>
                      <w:rFonts w:ascii="Times New Roman" w:hAnsi="Times New Roman" w:eastAsia="宋体" w:cs="Times New Roman"/>
                      <w:szCs w:val="21"/>
                      <w:highlight w:val="none"/>
                    </w:rPr>
                    <w:t>臭气浓度</w:t>
                  </w:r>
                </w:p>
              </w:tc>
              <w:tc>
                <w:tcPr>
                  <w:tcW w:w="605" w:type="pct"/>
                  <w:noWrap w:val="0"/>
                  <w:vAlign w:val="center"/>
                </w:tcPr>
                <w:p w14:paraId="6E8C9033">
                  <w:pPr>
                    <w:snapToGrid w:val="0"/>
                    <w:jc w:val="center"/>
                    <w:rPr>
                      <w:rFonts w:hint="eastAsia" w:ascii="Times New Roman" w:hAnsi="Times New Roman" w:eastAsia="宋体" w:cs="Times New Roman"/>
                      <w:szCs w:val="21"/>
                      <w:highlight w:val="none"/>
                      <w:lang w:val="en-US" w:eastAsia="zh-CN"/>
                    </w:rPr>
                  </w:pPr>
                  <w:r>
                    <w:rPr>
                      <w:rFonts w:ascii="Times New Roman" w:hAnsi="Times New Roman" w:eastAsia="宋体" w:cs="Times New Roman"/>
                      <w:szCs w:val="21"/>
                      <w:highlight w:val="none"/>
                    </w:rPr>
                    <w:t>&lt;2000</w:t>
                  </w:r>
                </w:p>
              </w:tc>
              <w:tc>
                <w:tcPr>
                  <w:tcW w:w="605" w:type="pct"/>
                  <w:noWrap w:val="0"/>
                  <w:vAlign w:val="center"/>
                </w:tcPr>
                <w:p w14:paraId="560EE121">
                  <w:pPr>
                    <w:snapToGrid w:val="0"/>
                    <w:jc w:val="center"/>
                    <w:rPr>
                      <w:rFonts w:hint="eastAsia"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w:t>
                  </w:r>
                </w:p>
              </w:tc>
              <w:tc>
                <w:tcPr>
                  <w:tcW w:w="605" w:type="pct"/>
                  <w:noWrap w:val="0"/>
                  <w:vAlign w:val="center"/>
                </w:tcPr>
                <w:p w14:paraId="7B675B45">
                  <w:pPr>
                    <w:snapToGrid w:val="0"/>
                    <w:jc w:val="center"/>
                    <w:rPr>
                      <w:rFonts w:hint="eastAsia"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w:t>
                  </w:r>
                </w:p>
              </w:tc>
              <w:tc>
                <w:tcPr>
                  <w:tcW w:w="393" w:type="pct"/>
                  <w:vMerge w:val="continue"/>
                  <w:noWrap w:val="0"/>
                  <w:vAlign w:val="center"/>
                </w:tcPr>
                <w:p w14:paraId="32C2B447">
                  <w:pPr>
                    <w:snapToGrid w:val="0"/>
                    <w:jc w:val="center"/>
                    <w:rPr>
                      <w:rFonts w:ascii="Times New Roman" w:hAnsi="Times New Roman" w:eastAsia="宋体" w:cs="Times New Roman"/>
                      <w:szCs w:val="21"/>
                      <w:highlight w:val="none"/>
                    </w:rPr>
                  </w:pPr>
                </w:p>
              </w:tc>
              <w:tc>
                <w:tcPr>
                  <w:tcW w:w="496" w:type="pct"/>
                  <w:noWrap w:val="0"/>
                  <w:vAlign w:val="center"/>
                </w:tcPr>
                <w:p w14:paraId="13E78EAB">
                  <w:pPr>
                    <w:snapToGrid w:val="0"/>
                    <w:jc w:val="center"/>
                    <w:rPr>
                      <w:rFonts w:hint="default" w:ascii="Times New Roman" w:hAnsi="Times New Roman" w:eastAsia="宋体" w:cs="Times New Roman"/>
                      <w:szCs w:val="21"/>
                      <w:highlight w:val="none"/>
                      <w:lang w:val="en-US" w:eastAsia="zh-CN"/>
                    </w:rPr>
                  </w:pPr>
                  <w:r>
                    <w:rPr>
                      <w:rFonts w:ascii="Times New Roman" w:hAnsi="Times New Roman" w:eastAsia="宋体" w:cs="Times New Roman"/>
                      <w:szCs w:val="21"/>
                      <w:highlight w:val="none"/>
                    </w:rPr>
                    <w:t>&lt;2000</w:t>
                  </w:r>
                </w:p>
              </w:tc>
              <w:tc>
                <w:tcPr>
                  <w:tcW w:w="662" w:type="pct"/>
                  <w:noWrap w:val="0"/>
                  <w:vAlign w:val="center"/>
                </w:tcPr>
                <w:p w14:paraId="21592FFA">
                  <w:pPr>
                    <w:snapToGrid w:val="0"/>
                    <w:jc w:val="center"/>
                    <w:rPr>
                      <w:rFonts w:hint="eastAsia"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w:t>
                  </w:r>
                </w:p>
              </w:tc>
              <w:tc>
                <w:tcPr>
                  <w:tcW w:w="630" w:type="pct"/>
                  <w:noWrap w:val="0"/>
                  <w:vAlign w:val="center"/>
                </w:tcPr>
                <w:p w14:paraId="4B360C2F">
                  <w:pPr>
                    <w:snapToGrid w:val="0"/>
                    <w:jc w:val="center"/>
                    <w:rPr>
                      <w:rFonts w:ascii="Times New Roman" w:hAnsi="Times New Roman" w:eastAsia="宋体" w:cs="Times New Roman"/>
                      <w:szCs w:val="21"/>
                      <w:highlight w:val="none"/>
                    </w:rPr>
                  </w:pPr>
                  <w:r>
                    <w:rPr>
                      <w:rFonts w:ascii="Times New Roman" w:hAnsi="Times New Roman" w:eastAsia="宋体" w:cs="Times New Roman"/>
                      <w:szCs w:val="21"/>
                      <w:highlight w:val="none"/>
                    </w:rPr>
                    <w:t>/</w:t>
                  </w:r>
                </w:p>
              </w:tc>
            </w:tr>
            <w:tr w14:paraId="3BFE81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pct"/>
                  <w:vMerge w:val="restart"/>
                  <w:noWrap w:val="0"/>
                  <w:vAlign w:val="center"/>
                </w:tcPr>
                <w:p w14:paraId="0DC844AC">
                  <w:pPr>
                    <w:snapToGrid w:val="0"/>
                    <w:jc w:val="center"/>
                    <w:rPr>
                      <w:rFonts w:ascii="Times New Roman" w:hAnsi="Times New Roman" w:eastAsia="宋体" w:cs="Times New Roman"/>
                      <w:szCs w:val="21"/>
                      <w:highlight w:val="none"/>
                    </w:rPr>
                  </w:pPr>
                  <w:r>
                    <w:rPr>
                      <w:rFonts w:ascii="Times New Roman" w:hAnsi="Times New Roman" w:eastAsia="宋体" w:cs="Times New Roman"/>
                      <w:szCs w:val="21"/>
                      <w:highlight w:val="none"/>
                    </w:rPr>
                    <w:t>危险废物贮存</w:t>
                  </w:r>
                </w:p>
              </w:tc>
              <w:tc>
                <w:tcPr>
                  <w:tcW w:w="579" w:type="pct"/>
                  <w:noWrap w:val="0"/>
                  <w:vAlign w:val="center"/>
                </w:tcPr>
                <w:p w14:paraId="54A8F128">
                  <w:pPr>
                    <w:snapToGrid w:val="0"/>
                    <w:jc w:val="center"/>
                    <w:rPr>
                      <w:rFonts w:ascii="Times New Roman" w:hAnsi="Times New Roman" w:eastAsia="宋体" w:cs="Times New Roman"/>
                      <w:szCs w:val="21"/>
                      <w:highlight w:val="none"/>
                    </w:rPr>
                  </w:pPr>
                  <w:r>
                    <w:rPr>
                      <w:rFonts w:ascii="Times New Roman" w:hAnsi="Times New Roman" w:eastAsia="宋体" w:cs="Times New Roman"/>
                      <w:szCs w:val="21"/>
                      <w:highlight w:val="none"/>
                    </w:rPr>
                    <w:t>非甲烷总烃</w:t>
                  </w:r>
                </w:p>
              </w:tc>
              <w:tc>
                <w:tcPr>
                  <w:tcW w:w="605" w:type="pct"/>
                  <w:noWrap w:val="0"/>
                  <w:vAlign w:val="center"/>
                </w:tcPr>
                <w:p w14:paraId="2C13ED6F">
                  <w:pPr>
                    <w:snapToGrid w:val="0"/>
                    <w:jc w:val="center"/>
                    <w:rPr>
                      <w:rFonts w:ascii="Times New Roman" w:hAnsi="Times New Roman" w:eastAsia="宋体" w:cs="Times New Roman"/>
                      <w:szCs w:val="21"/>
                      <w:highlight w:val="none"/>
                    </w:rPr>
                  </w:pPr>
                  <w:r>
                    <w:rPr>
                      <w:rFonts w:hint="eastAsia" w:ascii="Times New Roman" w:hAnsi="Times New Roman" w:eastAsia="宋体" w:cs="Times New Roman"/>
                      <w:szCs w:val="21"/>
                      <w:highlight w:val="none"/>
                      <w:lang w:val="en-US" w:eastAsia="zh-CN"/>
                    </w:rPr>
                    <w:t>/</w:t>
                  </w:r>
                </w:p>
              </w:tc>
              <w:tc>
                <w:tcPr>
                  <w:tcW w:w="605" w:type="pct"/>
                  <w:noWrap w:val="0"/>
                  <w:vAlign w:val="center"/>
                </w:tcPr>
                <w:p w14:paraId="12A72123">
                  <w:pPr>
                    <w:snapToGrid w:val="0"/>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0.0</w:t>
                  </w:r>
                  <w:r>
                    <w:rPr>
                      <w:rFonts w:hint="eastAsia" w:cs="Times New Roman"/>
                      <w:szCs w:val="21"/>
                      <w:highlight w:val="none"/>
                      <w:lang w:val="en-US" w:eastAsia="zh-CN"/>
                    </w:rPr>
                    <w:t>09</w:t>
                  </w:r>
                </w:p>
              </w:tc>
              <w:tc>
                <w:tcPr>
                  <w:tcW w:w="605" w:type="pct"/>
                  <w:noWrap w:val="0"/>
                  <w:vAlign w:val="center"/>
                </w:tcPr>
                <w:p w14:paraId="258B43E0">
                  <w:pPr>
                    <w:snapToGrid w:val="0"/>
                    <w:jc w:val="center"/>
                    <w:rPr>
                      <w:rFonts w:hint="default"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0.</w:t>
                  </w:r>
                  <w:r>
                    <w:rPr>
                      <w:rFonts w:hint="eastAsia" w:cs="Times New Roman"/>
                      <w:szCs w:val="21"/>
                      <w:highlight w:val="none"/>
                      <w:lang w:val="en-US" w:eastAsia="zh-CN"/>
                    </w:rPr>
                    <w:t>0796</w:t>
                  </w:r>
                </w:p>
              </w:tc>
              <w:tc>
                <w:tcPr>
                  <w:tcW w:w="393" w:type="pct"/>
                  <w:vMerge w:val="restart"/>
                  <w:noWrap w:val="0"/>
                  <w:vAlign w:val="center"/>
                </w:tcPr>
                <w:p w14:paraId="3D932D46">
                  <w:pPr>
                    <w:snapToGrid w:val="0"/>
                    <w:jc w:val="center"/>
                    <w:rPr>
                      <w:rFonts w:ascii="Times New Roman" w:hAnsi="Times New Roman" w:eastAsia="宋体" w:cs="Times New Roman"/>
                      <w:szCs w:val="21"/>
                      <w:highlight w:val="none"/>
                    </w:rPr>
                  </w:pPr>
                  <w:r>
                    <w:rPr>
                      <w:rFonts w:ascii="Times New Roman" w:hAnsi="Times New Roman" w:eastAsia="宋体" w:cs="Times New Roman"/>
                      <w:szCs w:val="21"/>
                      <w:highlight w:val="none"/>
                    </w:rPr>
                    <w:t>无组织</w:t>
                  </w:r>
                </w:p>
              </w:tc>
              <w:tc>
                <w:tcPr>
                  <w:tcW w:w="496" w:type="pct"/>
                  <w:noWrap w:val="0"/>
                  <w:vAlign w:val="center"/>
                </w:tcPr>
                <w:p w14:paraId="58104012">
                  <w:pPr>
                    <w:snapToGrid w:val="0"/>
                    <w:jc w:val="center"/>
                    <w:rPr>
                      <w:rFonts w:ascii="Times New Roman" w:hAnsi="Times New Roman" w:eastAsia="宋体" w:cs="Times New Roman"/>
                      <w:szCs w:val="21"/>
                      <w:highlight w:val="none"/>
                    </w:rPr>
                  </w:pPr>
                  <w:r>
                    <w:rPr>
                      <w:rFonts w:hint="eastAsia" w:ascii="Times New Roman" w:hAnsi="Times New Roman" w:eastAsia="宋体" w:cs="Times New Roman"/>
                      <w:szCs w:val="21"/>
                      <w:highlight w:val="none"/>
                      <w:lang w:val="en-US" w:eastAsia="zh-CN"/>
                    </w:rPr>
                    <w:t>/</w:t>
                  </w:r>
                </w:p>
              </w:tc>
              <w:tc>
                <w:tcPr>
                  <w:tcW w:w="662" w:type="pct"/>
                  <w:shd w:val="clear" w:color="auto" w:fill="auto"/>
                  <w:noWrap w:val="0"/>
                  <w:vAlign w:val="center"/>
                </w:tcPr>
                <w:p w14:paraId="510673F7">
                  <w:pPr>
                    <w:snapToGri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zCs w:val="21"/>
                      <w:highlight w:val="none"/>
                      <w:lang w:val="en-US" w:eastAsia="zh-CN"/>
                    </w:rPr>
                    <w:t>0.0</w:t>
                  </w:r>
                  <w:r>
                    <w:rPr>
                      <w:rFonts w:hint="eastAsia" w:cs="Times New Roman"/>
                      <w:szCs w:val="21"/>
                      <w:highlight w:val="none"/>
                      <w:lang w:val="en-US" w:eastAsia="zh-CN"/>
                    </w:rPr>
                    <w:t>09</w:t>
                  </w:r>
                </w:p>
              </w:tc>
              <w:tc>
                <w:tcPr>
                  <w:tcW w:w="630" w:type="pct"/>
                  <w:shd w:val="clear" w:color="auto" w:fill="auto"/>
                  <w:noWrap w:val="0"/>
                  <w:vAlign w:val="center"/>
                </w:tcPr>
                <w:p w14:paraId="2D8175F7">
                  <w:pPr>
                    <w:snapToGri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zCs w:val="21"/>
                      <w:highlight w:val="none"/>
                      <w:lang w:val="en-US" w:eastAsia="zh-CN"/>
                    </w:rPr>
                    <w:t>0.</w:t>
                  </w:r>
                  <w:r>
                    <w:rPr>
                      <w:rFonts w:hint="eastAsia" w:cs="Times New Roman"/>
                      <w:szCs w:val="21"/>
                      <w:highlight w:val="none"/>
                      <w:lang w:val="en-US" w:eastAsia="zh-CN"/>
                    </w:rPr>
                    <w:t>0796</w:t>
                  </w:r>
                </w:p>
              </w:tc>
            </w:tr>
            <w:tr w14:paraId="2E2B54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pct"/>
                  <w:vMerge w:val="continue"/>
                  <w:noWrap w:val="0"/>
                  <w:vAlign w:val="center"/>
                </w:tcPr>
                <w:p w14:paraId="7DC96DE9">
                  <w:pPr>
                    <w:snapToGrid w:val="0"/>
                    <w:jc w:val="center"/>
                    <w:rPr>
                      <w:rFonts w:ascii="Times New Roman" w:hAnsi="Times New Roman" w:eastAsia="宋体" w:cs="Times New Roman"/>
                      <w:szCs w:val="21"/>
                      <w:highlight w:val="none"/>
                    </w:rPr>
                  </w:pPr>
                </w:p>
              </w:tc>
              <w:tc>
                <w:tcPr>
                  <w:tcW w:w="579" w:type="pct"/>
                  <w:noWrap w:val="0"/>
                  <w:vAlign w:val="center"/>
                </w:tcPr>
                <w:p w14:paraId="5576564A">
                  <w:pPr>
                    <w:snapToGrid w:val="0"/>
                    <w:jc w:val="center"/>
                    <w:rPr>
                      <w:rFonts w:hint="eastAsia" w:ascii="Times New Roman" w:hAnsi="Times New Roman" w:eastAsia="宋体" w:cs="Times New Roman"/>
                      <w:szCs w:val="21"/>
                      <w:highlight w:val="none"/>
                      <w:lang w:eastAsia="zh-CN"/>
                    </w:rPr>
                  </w:pPr>
                  <w:r>
                    <w:rPr>
                      <w:rFonts w:hint="eastAsia" w:cs="Times New Roman"/>
                      <w:szCs w:val="21"/>
                      <w:highlight w:val="none"/>
                      <w:lang w:val="en-US" w:eastAsia="zh-CN"/>
                    </w:rPr>
                    <w:t>硫</w:t>
                  </w:r>
                  <w:r>
                    <w:rPr>
                      <w:rFonts w:hint="eastAsia" w:cs="Times New Roman"/>
                      <w:szCs w:val="21"/>
                      <w:highlight w:val="none"/>
                      <w:lang w:eastAsia="zh-CN"/>
                    </w:rPr>
                    <w:t>化氢</w:t>
                  </w:r>
                </w:p>
              </w:tc>
              <w:tc>
                <w:tcPr>
                  <w:tcW w:w="605" w:type="pct"/>
                  <w:noWrap w:val="0"/>
                  <w:vAlign w:val="center"/>
                </w:tcPr>
                <w:p w14:paraId="55446EEA">
                  <w:pPr>
                    <w:snapToGrid w:val="0"/>
                    <w:jc w:val="center"/>
                    <w:rPr>
                      <w:rFonts w:ascii="Times New Roman" w:hAnsi="Times New Roman" w:eastAsia="宋体" w:cs="Times New Roman"/>
                      <w:szCs w:val="21"/>
                      <w:highlight w:val="none"/>
                    </w:rPr>
                  </w:pPr>
                  <w:r>
                    <w:rPr>
                      <w:rFonts w:hint="eastAsia" w:ascii="Times New Roman" w:hAnsi="Times New Roman" w:eastAsia="宋体" w:cs="Times New Roman"/>
                      <w:szCs w:val="21"/>
                      <w:highlight w:val="none"/>
                      <w:lang w:val="en-US" w:eastAsia="zh-CN"/>
                    </w:rPr>
                    <w:t>/</w:t>
                  </w:r>
                </w:p>
              </w:tc>
              <w:tc>
                <w:tcPr>
                  <w:tcW w:w="605" w:type="pct"/>
                  <w:noWrap w:val="0"/>
                  <w:vAlign w:val="center"/>
                </w:tcPr>
                <w:p w14:paraId="1A9EA8F3">
                  <w:pPr>
                    <w:snapToGri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0.0083</w:t>
                  </w:r>
                </w:p>
              </w:tc>
              <w:tc>
                <w:tcPr>
                  <w:tcW w:w="605" w:type="pct"/>
                  <w:noWrap w:val="0"/>
                  <w:vAlign w:val="center"/>
                </w:tcPr>
                <w:p w14:paraId="0630D544">
                  <w:pPr>
                    <w:snapToGri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0.0728</w:t>
                  </w:r>
                </w:p>
              </w:tc>
              <w:tc>
                <w:tcPr>
                  <w:tcW w:w="393" w:type="pct"/>
                  <w:vMerge w:val="continue"/>
                  <w:noWrap w:val="0"/>
                  <w:vAlign w:val="center"/>
                </w:tcPr>
                <w:p w14:paraId="67BF0919">
                  <w:pPr>
                    <w:snapToGrid w:val="0"/>
                    <w:jc w:val="center"/>
                    <w:rPr>
                      <w:rFonts w:ascii="Times New Roman" w:hAnsi="Times New Roman" w:eastAsia="宋体" w:cs="Times New Roman"/>
                      <w:szCs w:val="21"/>
                      <w:highlight w:val="none"/>
                    </w:rPr>
                  </w:pPr>
                </w:p>
              </w:tc>
              <w:tc>
                <w:tcPr>
                  <w:tcW w:w="496" w:type="pct"/>
                  <w:noWrap w:val="0"/>
                  <w:vAlign w:val="center"/>
                </w:tcPr>
                <w:p w14:paraId="7D4A2166">
                  <w:pPr>
                    <w:snapToGrid w:val="0"/>
                    <w:jc w:val="center"/>
                    <w:rPr>
                      <w:rFonts w:ascii="Times New Roman" w:hAnsi="Times New Roman" w:eastAsia="宋体" w:cs="Times New Roman"/>
                      <w:szCs w:val="21"/>
                      <w:highlight w:val="none"/>
                    </w:rPr>
                  </w:pPr>
                  <w:r>
                    <w:rPr>
                      <w:rFonts w:hint="eastAsia" w:ascii="Times New Roman" w:hAnsi="Times New Roman" w:eastAsia="宋体" w:cs="Times New Roman"/>
                      <w:szCs w:val="21"/>
                      <w:highlight w:val="none"/>
                      <w:lang w:val="en-US" w:eastAsia="zh-CN"/>
                    </w:rPr>
                    <w:t>/</w:t>
                  </w:r>
                </w:p>
              </w:tc>
              <w:tc>
                <w:tcPr>
                  <w:tcW w:w="662" w:type="pct"/>
                  <w:shd w:val="clear" w:color="auto" w:fill="auto"/>
                  <w:noWrap w:val="0"/>
                  <w:vAlign w:val="center"/>
                </w:tcPr>
                <w:p w14:paraId="1AD366DB">
                  <w:pPr>
                    <w:snapToGrid w:val="0"/>
                    <w:jc w:val="center"/>
                    <w:rPr>
                      <w:rFonts w:hint="default" w:ascii="Times New Roman" w:hAnsi="Times New Roman" w:eastAsia="宋体" w:cs="Times New Roman"/>
                      <w:kern w:val="2"/>
                      <w:sz w:val="21"/>
                      <w:szCs w:val="21"/>
                      <w:highlight w:val="none"/>
                      <w:lang w:val="en-US" w:eastAsia="zh-CN" w:bidi="ar-SA"/>
                    </w:rPr>
                  </w:pPr>
                  <w:r>
                    <w:rPr>
                      <w:rFonts w:hint="eastAsia" w:cs="Times New Roman"/>
                      <w:szCs w:val="21"/>
                      <w:highlight w:val="none"/>
                      <w:lang w:val="en-US" w:eastAsia="zh-CN"/>
                    </w:rPr>
                    <w:t>0.0083</w:t>
                  </w:r>
                </w:p>
              </w:tc>
              <w:tc>
                <w:tcPr>
                  <w:tcW w:w="630" w:type="pct"/>
                  <w:shd w:val="clear" w:color="auto" w:fill="auto"/>
                  <w:noWrap w:val="0"/>
                  <w:vAlign w:val="center"/>
                </w:tcPr>
                <w:p w14:paraId="60B59AF1">
                  <w:pPr>
                    <w:snapToGrid w:val="0"/>
                    <w:jc w:val="center"/>
                    <w:rPr>
                      <w:rFonts w:hint="default" w:ascii="Times New Roman" w:hAnsi="Times New Roman" w:eastAsia="宋体" w:cs="Times New Roman"/>
                      <w:kern w:val="2"/>
                      <w:sz w:val="21"/>
                      <w:szCs w:val="21"/>
                      <w:highlight w:val="none"/>
                      <w:lang w:val="en-US" w:eastAsia="zh-CN" w:bidi="ar-SA"/>
                    </w:rPr>
                  </w:pPr>
                  <w:r>
                    <w:rPr>
                      <w:rFonts w:hint="eastAsia" w:cs="Times New Roman"/>
                      <w:szCs w:val="21"/>
                      <w:highlight w:val="none"/>
                      <w:lang w:val="en-US" w:eastAsia="zh-CN"/>
                    </w:rPr>
                    <w:t>0.0728</w:t>
                  </w:r>
                </w:p>
              </w:tc>
            </w:tr>
            <w:tr w14:paraId="5392F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pct"/>
                  <w:vMerge w:val="continue"/>
                  <w:noWrap w:val="0"/>
                  <w:vAlign w:val="center"/>
                </w:tcPr>
                <w:p w14:paraId="38E4BDD3">
                  <w:pPr>
                    <w:snapToGrid w:val="0"/>
                    <w:jc w:val="center"/>
                    <w:rPr>
                      <w:rFonts w:ascii="Times New Roman" w:hAnsi="Times New Roman" w:eastAsia="宋体" w:cs="Times New Roman"/>
                      <w:szCs w:val="21"/>
                      <w:highlight w:val="none"/>
                    </w:rPr>
                  </w:pPr>
                </w:p>
              </w:tc>
              <w:tc>
                <w:tcPr>
                  <w:tcW w:w="579" w:type="pct"/>
                  <w:noWrap w:val="0"/>
                  <w:vAlign w:val="center"/>
                </w:tcPr>
                <w:p w14:paraId="72B1CF2A">
                  <w:pPr>
                    <w:snapToGrid w:val="0"/>
                    <w:jc w:val="center"/>
                    <w:rPr>
                      <w:rFonts w:ascii="Times New Roman" w:hAnsi="Times New Roman" w:eastAsia="宋体" w:cs="Times New Roman"/>
                      <w:szCs w:val="21"/>
                      <w:highlight w:val="none"/>
                    </w:rPr>
                  </w:pPr>
                  <w:r>
                    <w:rPr>
                      <w:rFonts w:ascii="Times New Roman" w:hAnsi="Times New Roman" w:eastAsia="宋体" w:cs="Times New Roman"/>
                      <w:szCs w:val="21"/>
                      <w:highlight w:val="none"/>
                    </w:rPr>
                    <w:t>氨</w:t>
                  </w:r>
                </w:p>
              </w:tc>
              <w:tc>
                <w:tcPr>
                  <w:tcW w:w="605" w:type="pct"/>
                  <w:noWrap w:val="0"/>
                  <w:vAlign w:val="center"/>
                </w:tcPr>
                <w:p w14:paraId="0D9C0CCB">
                  <w:pPr>
                    <w:snapToGrid w:val="0"/>
                    <w:jc w:val="center"/>
                    <w:rPr>
                      <w:rFonts w:ascii="Times New Roman" w:hAnsi="Times New Roman" w:eastAsia="宋体" w:cs="Times New Roman"/>
                      <w:szCs w:val="21"/>
                      <w:highlight w:val="none"/>
                    </w:rPr>
                  </w:pPr>
                  <w:r>
                    <w:rPr>
                      <w:rFonts w:hint="eastAsia" w:ascii="Times New Roman" w:hAnsi="Times New Roman" w:eastAsia="宋体" w:cs="Times New Roman"/>
                      <w:szCs w:val="21"/>
                      <w:highlight w:val="none"/>
                      <w:lang w:val="en-US" w:eastAsia="zh-CN"/>
                    </w:rPr>
                    <w:t>/</w:t>
                  </w:r>
                </w:p>
              </w:tc>
              <w:tc>
                <w:tcPr>
                  <w:tcW w:w="605" w:type="pct"/>
                  <w:noWrap w:val="0"/>
                  <w:vAlign w:val="center"/>
                </w:tcPr>
                <w:p w14:paraId="793B83A2">
                  <w:pPr>
                    <w:snapToGri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0.0161</w:t>
                  </w:r>
                </w:p>
              </w:tc>
              <w:tc>
                <w:tcPr>
                  <w:tcW w:w="605" w:type="pct"/>
                  <w:noWrap w:val="0"/>
                  <w:vAlign w:val="center"/>
                </w:tcPr>
                <w:p w14:paraId="0DBECF30">
                  <w:pPr>
                    <w:snapToGrid w:val="0"/>
                    <w:jc w:val="center"/>
                    <w:rPr>
                      <w:rFonts w:hint="default" w:ascii="Times New Roman" w:hAnsi="Times New Roman" w:eastAsia="宋体" w:cs="Times New Roman"/>
                      <w:szCs w:val="21"/>
                      <w:highlight w:val="none"/>
                      <w:lang w:val="en-US" w:eastAsia="zh-CN"/>
                    </w:rPr>
                  </w:pPr>
                  <w:r>
                    <w:rPr>
                      <w:rFonts w:hint="eastAsia" w:cs="Times New Roman"/>
                      <w:szCs w:val="21"/>
                      <w:highlight w:val="none"/>
                      <w:lang w:val="en-US" w:eastAsia="zh-CN"/>
                    </w:rPr>
                    <w:t>0.1411</w:t>
                  </w:r>
                </w:p>
              </w:tc>
              <w:tc>
                <w:tcPr>
                  <w:tcW w:w="393" w:type="pct"/>
                  <w:vMerge w:val="continue"/>
                  <w:noWrap w:val="0"/>
                  <w:vAlign w:val="center"/>
                </w:tcPr>
                <w:p w14:paraId="26A6A5BF">
                  <w:pPr>
                    <w:snapToGrid w:val="0"/>
                    <w:jc w:val="center"/>
                    <w:rPr>
                      <w:rFonts w:ascii="Times New Roman" w:hAnsi="Times New Roman" w:eastAsia="宋体" w:cs="Times New Roman"/>
                      <w:szCs w:val="21"/>
                      <w:highlight w:val="none"/>
                    </w:rPr>
                  </w:pPr>
                </w:p>
              </w:tc>
              <w:tc>
                <w:tcPr>
                  <w:tcW w:w="496" w:type="pct"/>
                  <w:noWrap w:val="0"/>
                  <w:vAlign w:val="center"/>
                </w:tcPr>
                <w:p w14:paraId="3AC3D0D0">
                  <w:pPr>
                    <w:snapToGrid w:val="0"/>
                    <w:jc w:val="center"/>
                    <w:rPr>
                      <w:rFonts w:ascii="Times New Roman" w:hAnsi="Times New Roman" w:eastAsia="宋体" w:cs="Times New Roman"/>
                      <w:szCs w:val="21"/>
                      <w:highlight w:val="none"/>
                    </w:rPr>
                  </w:pPr>
                  <w:r>
                    <w:rPr>
                      <w:rFonts w:hint="eastAsia" w:ascii="Times New Roman" w:hAnsi="Times New Roman" w:eastAsia="宋体" w:cs="Times New Roman"/>
                      <w:szCs w:val="21"/>
                      <w:highlight w:val="none"/>
                      <w:lang w:val="en-US" w:eastAsia="zh-CN"/>
                    </w:rPr>
                    <w:t>/</w:t>
                  </w:r>
                </w:p>
              </w:tc>
              <w:tc>
                <w:tcPr>
                  <w:tcW w:w="662" w:type="pct"/>
                  <w:shd w:val="clear" w:color="auto" w:fill="auto"/>
                  <w:noWrap w:val="0"/>
                  <w:vAlign w:val="center"/>
                </w:tcPr>
                <w:p w14:paraId="0E675FC0">
                  <w:pPr>
                    <w:snapToGrid w:val="0"/>
                    <w:jc w:val="center"/>
                    <w:rPr>
                      <w:rFonts w:hint="default" w:ascii="Times New Roman" w:hAnsi="Times New Roman" w:eastAsia="宋体" w:cs="Times New Roman"/>
                      <w:kern w:val="2"/>
                      <w:sz w:val="21"/>
                      <w:szCs w:val="21"/>
                      <w:highlight w:val="none"/>
                      <w:lang w:val="en-US" w:eastAsia="zh-CN" w:bidi="ar-SA"/>
                    </w:rPr>
                  </w:pPr>
                  <w:r>
                    <w:rPr>
                      <w:rFonts w:hint="eastAsia" w:cs="Times New Roman"/>
                      <w:szCs w:val="21"/>
                      <w:highlight w:val="none"/>
                      <w:lang w:val="en-US" w:eastAsia="zh-CN"/>
                    </w:rPr>
                    <w:t>0.0161</w:t>
                  </w:r>
                </w:p>
              </w:tc>
              <w:tc>
                <w:tcPr>
                  <w:tcW w:w="630" w:type="pct"/>
                  <w:shd w:val="clear" w:color="auto" w:fill="auto"/>
                  <w:noWrap w:val="0"/>
                  <w:vAlign w:val="center"/>
                </w:tcPr>
                <w:p w14:paraId="1A18388F">
                  <w:pPr>
                    <w:snapToGrid w:val="0"/>
                    <w:jc w:val="center"/>
                    <w:rPr>
                      <w:rFonts w:hint="default" w:ascii="Times New Roman" w:hAnsi="Times New Roman" w:eastAsia="宋体" w:cs="Times New Roman"/>
                      <w:kern w:val="2"/>
                      <w:sz w:val="21"/>
                      <w:szCs w:val="21"/>
                      <w:highlight w:val="none"/>
                      <w:lang w:val="en-US" w:eastAsia="zh-CN" w:bidi="ar-SA"/>
                    </w:rPr>
                  </w:pPr>
                  <w:r>
                    <w:rPr>
                      <w:rFonts w:hint="eastAsia" w:cs="Times New Roman"/>
                      <w:szCs w:val="21"/>
                      <w:highlight w:val="none"/>
                      <w:lang w:val="en-US" w:eastAsia="zh-CN"/>
                    </w:rPr>
                    <w:t>0.1411</w:t>
                  </w:r>
                </w:p>
              </w:tc>
            </w:tr>
            <w:tr w14:paraId="78993B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422" w:type="pct"/>
                  <w:vMerge w:val="continue"/>
                  <w:noWrap w:val="0"/>
                  <w:vAlign w:val="center"/>
                </w:tcPr>
                <w:p w14:paraId="40D45ECE">
                  <w:pPr>
                    <w:snapToGrid w:val="0"/>
                    <w:jc w:val="center"/>
                    <w:rPr>
                      <w:rFonts w:ascii="Times New Roman" w:hAnsi="Times New Roman" w:eastAsia="宋体" w:cs="Times New Roman"/>
                      <w:szCs w:val="21"/>
                      <w:highlight w:val="none"/>
                    </w:rPr>
                  </w:pPr>
                </w:p>
              </w:tc>
              <w:tc>
                <w:tcPr>
                  <w:tcW w:w="579" w:type="pct"/>
                  <w:noWrap w:val="0"/>
                  <w:vAlign w:val="center"/>
                </w:tcPr>
                <w:p w14:paraId="7B84CBDA">
                  <w:pPr>
                    <w:snapToGrid w:val="0"/>
                    <w:jc w:val="center"/>
                    <w:rPr>
                      <w:rFonts w:ascii="Times New Roman" w:hAnsi="Times New Roman" w:eastAsia="宋体" w:cs="Times New Roman"/>
                      <w:szCs w:val="21"/>
                      <w:highlight w:val="none"/>
                    </w:rPr>
                  </w:pPr>
                  <w:r>
                    <w:rPr>
                      <w:rFonts w:ascii="Times New Roman" w:hAnsi="Times New Roman" w:eastAsia="宋体" w:cs="Times New Roman"/>
                      <w:szCs w:val="21"/>
                      <w:highlight w:val="none"/>
                    </w:rPr>
                    <w:t>氯化氢</w:t>
                  </w:r>
                </w:p>
              </w:tc>
              <w:tc>
                <w:tcPr>
                  <w:tcW w:w="605" w:type="pct"/>
                  <w:noWrap w:val="0"/>
                  <w:vAlign w:val="center"/>
                </w:tcPr>
                <w:p w14:paraId="5EA093B4">
                  <w:pPr>
                    <w:snapToGrid w:val="0"/>
                    <w:jc w:val="center"/>
                    <w:rPr>
                      <w:rFonts w:ascii="Times New Roman" w:hAnsi="Times New Roman" w:eastAsia="宋体" w:cs="Times New Roman"/>
                      <w:szCs w:val="21"/>
                      <w:highlight w:val="none"/>
                    </w:rPr>
                  </w:pPr>
                  <w:r>
                    <w:rPr>
                      <w:rFonts w:hint="eastAsia" w:ascii="Times New Roman" w:hAnsi="Times New Roman" w:eastAsia="宋体" w:cs="Times New Roman"/>
                      <w:szCs w:val="21"/>
                      <w:highlight w:val="none"/>
                      <w:lang w:val="en-US" w:eastAsia="zh-CN"/>
                    </w:rPr>
                    <w:t>/</w:t>
                  </w:r>
                </w:p>
              </w:tc>
              <w:tc>
                <w:tcPr>
                  <w:tcW w:w="605" w:type="pct"/>
                  <w:shd w:val="clear" w:color="auto" w:fill="auto"/>
                  <w:noWrap w:val="0"/>
                  <w:vAlign w:val="center"/>
                </w:tcPr>
                <w:p w14:paraId="64701FEA">
                  <w:pPr>
                    <w:snapToGri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zCs w:val="21"/>
                      <w:highlight w:val="none"/>
                      <w:lang w:val="en-US" w:eastAsia="zh-CN"/>
                    </w:rPr>
                    <w:t>0.0</w:t>
                  </w:r>
                  <w:r>
                    <w:rPr>
                      <w:rFonts w:hint="eastAsia" w:cs="Times New Roman"/>
                      <w:szCs w:val="21"/>
                      <w:highlight w:val="none"/>
                      <w:lang w:val="en-US" w:eastAsia="zh-CN"/>
                    </w:rPr>
                    <w:t>005</w:t>
                  </w:r>
                </w:p>
              </w:tc>
              <w:tc>
                <w:tcPr>
                  <w:tcW w:w="605" w:type="pct"/>
                  <w:shd w:val="clear" w:color="auto" w:fill="auto"/>
                  <w:noWrap w:val="0"/>
                  <w:vAlign w:val="center"/>
                </w:tcPr>
                <w:p w14:paraId="5CB66D9B">
                  <w:pPr>
                    <w:snapToGri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zCs w:val="21"/>
                      <w:highlight w:val="none"/>
                      <w:lang w:val="en-US" w:eastAsia="zh-CN"/>
                    </w:rPr>
                    <w:t>0.00</w:t>
                  </w:r>
                  <w:r>
                    <w:rPr>
                      <w:rFonts w:hint="eastAsia" w:cs="Times New Roman"/>
                      <w:szCs w:val="21"/>
                      <w:highlight w:val="none"/>
                      <w:lang w:val="en-US" w:eastAsia="zh-CN"/>
                    </w:rPr>
                    <w:t>4</w:t>
                  </w:r>
                </w:p>
              </w:tc>
              <w:tc>
                <w:tcPr>
                  <w:tcW w:w="393" w:type="pct"/>
                  <w:vMerge w:val="continue"/>
                  <w:noWrap w:val="0"/>
                  <w:vAlign w:val="center"/>
                </w:tcPr>
                <w:p w14:paraId="65B1855C">
                  <w:pPr>
                    <w:snapToGrid w:val="0"/>
                    <w:jc w:val="center"/>
                    <w:rPr>
                      <w:rFonts w:ascii="Times New Roman" w:hAnsi="Times New Roman" w:eastAsia="宋体" w:cs="Times New Roman"/>
                      <w:szCs w:val="21"/>
                      <w:highlight w:val="none"/>
                    </w:rPr>
                  </w:pPr>
                </w:p>
              </w:tc>
              <w:tc>
                <w:tcPr>
                  <w:tcW w:w="496" w:type="pct"/>
                  <w:noWrap w:val="0"/>
                  <w:vAlign w:val="center"/>
                </w:tcPr>
                <w:p w14:paraId="5A5A3418">
                  <w:pPr>
                    <w:snapToGrid w:val="0"/>
                    <w:jc w:val="center"/>
                    <w:rPr>
                      <w:rFonts w:ascii="Times New Roman" w:hAnsi="Times New Roman" w:eastAsia="宋体" w:cs="Times New Roman"/>
                      <w:szCs w:val="21"/>
                      <w:highlight w:val="none"/>
                    </w:rPr>
                  </w:pPr>
                  <w:r>
                    <w:rPr>
                      <w:rFonts w:hint="eastAsia" w:ascii="Times New Roman" w:hAnsi="Times New Roman" w:eastAsia="宋体" w:cs="Times New Roman"/>
                      <w:szCs w:val="21"/>
                      <w:highlight w:val="none"/>
                      <w:lang w:val="en-US" w:eastAsia="zh-CN"/>
                    </w:rPr>
                    <w:t>/</w:t>
                  </w:r>
                </w:p>
              </w:tc>
              <w:tc>
                <w:tcPr>
                  <w:tcW w:w="662" w:type="pct"/>
                  <w:shd w:val="clear" w:color="auto" w:fill="auto"/>
                  <w:noWrap w:val="0"/>
                  <w:vAlign w:val="center"/>
                </w:tcPr>
                <w:p w14:paraId="01CD5E31">
                  <w:pPr>
                    <w:snapToGri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zCs w:val="21"/>
                      <w:highlight w:val="none"/>
                      <w:lang w:val="en-US" w:eastAsia="zh-CN"/>
                    </w:rPr>
                    <w:t>0.0</w:t>
                  </w:r>
                  <w:r>
                    <w:rPr>
                      <w:rFonts w:hint="eastAsia" w:cs="Times New Roman"/>
                      <w:szCs w:val="21"/>
                      <w:highlight w:val="none"/>
                      <w:lang w:val="en-US" w:eastAsia="zh-CN"/>
                    </w:rPr>
                    <w:t>005</w:t>
                  </w:r>
                </w:p>
              </w:tc>
              <w:tc>
                <w:tcPr>
                  <w:tcW w:w="630" w:type="pct"/>
                  <w:shd w:val="clear" w:color="auto" w:fill="auto"/>
                  <w:noWrap w:val="0"/>
                  <w:vAlign w:val="center"/>
                </w:tcPr>
                <w:p w14:paraId="27F1AACC">
                  <w:pPr>
                    <w:snapToGri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zCs w:val="21"/>
                      <w:highlight w:val="none"/>
                      <w:lang w:val="en-US" w:eastAsia="zh-CN"/>
                    </w:rPr>
                    <w:t>0.00</w:t>
                  </w:r>
                  <w:r>
                    <w:rPr>
                      <w:rFonts w:hint="eastAsia" w:cs="Times New Roman"/>
                      <w:szCs w:val="21"/>
                      <w:highlight w:val="none"/>
                      <w:lang w:val="en-US" w:eastAsia="zh-CN"/>
                    </w:rPr>
                    <w:t>4</w:t>
                  </w:r>
                </w:p>
              </w:tc>
            </w:tr>
            <w:tr w14:paraId="4BC6E0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2" w:type="pct"/>
                  <w:vMerge w:val="continue"/>
                  <w:noWrap w:val="0"/>
                  <w:vAlign w:val="center"/>
                </w:tcPr>
                <w:p w14:paraId="33D8074D">
                  <w:pPr>
                    <w:snapToGrid w:val="0"/>
                    <w:jc w:val="center"/>
                    <w:rPr>
                      <w:rFonts w:ascii="Times New Roman" w:hAnsi="Times New Roman" w:eastAsia="宋体" w:cs="Times New Roman"/>
                      <w:szCs w:val="21"/>
                      <w:highlight w:val="none"/>
                    </w:rPr>
                  </w:pPr>
                </w:p>
              </w:tc>
              <w:tc>
                <w:tcPr>
                  <w:tcW w:w="579" w:type="pct"/>
                  <w:noWrap w:val="0"/>
                  <w:vAlign w:val="center"/>
                </w:tcPr>
                <w:p w14:paraId="3C3A9DF3">
                  <w:pPr>
                    <w:snapToGrid w:val="0"/>
                    <w:jc w:val="center"/>
                    <w:rPr>
                      <w:rFonts w:ascii="Times New Roman" w:hAnsi="Times New Roman" w:eastAsia="宋体" w:cs="Times New Roman"/>
                      <w:szCs w:val="21"/>
                      <w:highlight w:val="none"/>
                    </w:rPr>
                  </w:pPr>
                  <w:r>
                    <w:rPr>
                      <w:rFonts w:ascii="Times New Roman" w:hAnsi="Times New Roman" w:eastAsia="宋体" w:cs="Times New Roman"/>
                      <w:szCs w:val="21"/>
                      <w:highlight w:val="none"/>
                    </w:rPr>
                    <w:t>臭气浓度</w:t>
                  </w:r>
                </w:p>
              </w:tc>
              <w:tc>
                <w:tcPr>
                  <w:tcW w:w="605" w:type="pct"/>
                  <w:noWrap w:val="0"/>
                  <w:vAlign w:val="center"/>
                </w:tcPr>
                <w:p w14:paraId="0094ED1D">
                  <w:pPr>
                    <w:snapToGrid w:val="0"/>
                    <w:jc w:val="center"/>
                    <w:rPr>
                      <w:rFonts w:ascii="Times New Roman" w:hAnsi="Times New Roman" w:eastAsia="宋体" w:cs="Times New Roman"/>
                      <w:szCs w:val="21"/>
                      <w:highlight w:val="none"/>
                    </w:rPr>
                  </w:pPr>
                  <w:r>
                    <w:rPr>
                      <w:rFonts w:ascii="Times New Roman" w:hAnsi="Times New Roman" w:eastAsia="宋体" w:cs="Times New Roman"/>
                      <w:szCs w:val="21"/>
                      <w:highlight w:val="none"/>
                    </w:rPr>
                    <w:t>&lt;20</w:t>
                  </w:r>
                </w:p>
              </w:tc>
              <w:tc>
                <w:tcPr>
                  <w:tcW w:w="605" w:type="pct"/>
                  <w:noWrap w:val="0"/>
                  <w:vAlign w:val="center"/>
                </w:tcPr>
                <w:p w14:paraId="4E9F8C2E">
                  <w:pPr>
                    <w:snapToGrid w:val="0"/>
                    <w:jc w:val="center"/>
                    <w:rPr>
                      <w:rFonts w:hint="eastAsia"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w:t>
                  </w:r>
                </w:p>
              </w:tc>
              <w:tc>
                <w:tcPr>
                  <w:tcW w:w="605" w:type="pct"/>
                  <w:noWrap w:val="0"/>
                  <w:vAlign w:val="center"/>
                </w:tcPr>
                <w:p w14:paraId="0EE98C3C">
                  <w:pPr>
                    <w:snapToGrid w:val="0"/>
                    <w:jc w:val="center"/>
                    <w:rPr>
                      <w:rFonts w:hint="eastAsia"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w:t>
                  </w:r>
                </w:p>
              </w:tc>
              <w:tc>
                <w:tcPr>
                  <w:tcW w:w="393" w:type="pct"/>
                  <w:vMerge w:val="continue"/>
                  <w:noWrap w:val="0"/>
                  <w:vAlign w:val="center"/>
                </w:tcPr>
                <w:p w14:paraId="0BD7CD68">
                  <w:pPr>
                    <w:snapToGrid w:val="0"/>
                    <w:jc w:val="center"/>
                    <w:rPr>
                      <w:rFonts w:ascii="Times New Roman" w:hAnsi="Times New Roman" w:eastAsia="宋体" w:cs="Times New Roman"/>
                      <w:szCs w:val="21"/>
                      <w:highlight w:val="none"/>
                    </w:rPr>
                  </w:pPr>
                </w:p>
              </w:tc>
              <w:tc>
                <w:tcPr>
                  <w:tcW w:w="496" w:type="pct"/>
                  <w:noWrap w:val="0"/>
                  <w:vAlign w:val="center"/>
                </w:tcPr>
                <w:p w14:paraId="57EC6437">
                  <w:pPr>
                    <w:snapToGrid w:val="0"/>
                    <w:jc w:val="center"/>
                    <w:rPr>
                      <w:rFonts w:ascii="Times New Roman" w:hAnsi="Times New Roman" w:eastAsia="宋体" w:cs="Times New Roman"/>
                      <w:szCs w:val="21"/>
                      <w:highlight w:val="none"/>
                    </w:rPr>
                  </w:pPr>
                  <w:r>
                    <w:rPr>
                      <w:rFonts w:ascii="Times New Roman" w:hAnsi="Times New Roman" w:eastAsia="宋体" w:cs="Times New Roman"/>
                      <w:szCs w:val="21"/>
                      <w:highlight w:val="none"/>
                    </w:rPr>
                    <w:t>&lt;20</w:t>
                  </w:r>
                </w:p>
              </w:tc>
              <w:tc>
                <w:tcPr>
                  <w:tcW w:w="662" w:type="pct"/>
                  <w:noWrap w:val="0"/>
                  <w:vAlign w:val="center"/>
                </w:tcPr>
                <w:p w14:paraId="0A27EE34">
                  <w:pPr>
                    <w:snapToGrid w:val="0"/>
                    <w:jc w:val="center"/>
                    <w:rPr>
                      <w:rFonts w:hint="eastAsia" w:ascii="Times New Roman" w:hAnsi="Times New Roman" w:eastAsia="宋体" w:cs="Times New Roman"/>
                      <w:szCs w:val="21"/>
                      <w:highlight w:val="none"/>
                      <w:lang w:val="en-US" w:eastAsia="zh-CN"/>
                    </w:rPr>
                  </w:pPr>
                  <w:r>
                    <w:rPr>
                      <w:rFonts w:hint="eastAsia" w:ascii="Times New Roman" w:hAnsi="Times New Roman" w:eastAsia="宋体" w:cs="Times New Roman"/>
                      <w:szCs w:val="21"/>
                      <w:highlight w:val="none"/>
                      <w:lang w:val="en-US" w:eastAsia="zh-CN"/>
                    </w:rPr>
                    <w:t>/</w:t>
                  </w:r>
                </w:p>
              </w:tc>
              <w:tc>
                <w:tcPr>
                  <w:tcW w:w="630" w:type="pct"/>
                  <w:noWrap w:val="0"/>
                  <w:vAlign w:val="center"/>
                </w:tcPr>
                <w:p w14:paraId="7414CA94">
                  <w:pPr>
                    <w:snapToGrid w:val="0"/>
                    <w:jc w:val="center"/>
                    <w:rPr>
                      <w:rFonts w:ascii="Times New Roman" w:hAnsi="Times New Roman" w:eastAsia="宋体" w:cs="Times New Roman"/>
                      <w:szCs w:val="21"/>
                      <w:highlight w:val="none"/>
                    </w:rPr>
                  </w:pPr>
                  <w:r>
                    <w:rPr>
                      <w:rFonts w:ascii="Times New Roman" w:hAnsi="Times New Roman" w:eastAsia="宋体" w:cs="Times New Roman"/>
                      <w:szCs w:val="21"/>
                      <w:highlight w:val="none"/>
                    </w:rPr>
                    <w:t>/</w:t>
                  </w:r>
                </w:p>
              </w:tc>
            </w:tr>
          </w:tbl>
          <w:p w14:paraId="028BE2A9">
            <w:pPr>
              <w:spacing w:line="360" w:lineRule="auto"/>
              <w:ind w:firstLine="482"/>
              <w:rPr>
                <w:b/>
                <w:sz w:val="24"/>
                <w:highlight w:val="none"/>
              </w:rPr>
            </w:pPr>
            <w:r>
              <w:rPr>
                <w:rFonts w:hint="eastAsia"/>
                <w:b/>
                <w:sz w:val="24"/>
                <w:highlight w:val="none"/>
              </w:rPr>
              <w:t>（</w:t>
            </w:r>
            <w:r>
              <w:rPr>
                <w:b/>
                <w:sz w:val="24"/>
                <w:highlight w:val="none"/>
              </w:rPr>
              <w:t>3</w:t>
            </w:r>
            <w:r>
              <w:rPr>
                <w:rFonts w:hint="eastAsia"/>
                <w:b/>
                <w:sz w:val="24"/>
                <w:highlight w:val="none"/>
              </w:rPr>
              <w:t>）大气污染物治理措施</w:t>
            </w:r>
          </w:p>
          <w:p w14:paraId="13B03F2B">
            <w:pPr>
              <w:spacing w:line="360" w:lineRule="auto"/>
              <w:ind w:firstLine="482"/>
              <w:rPr>
                <w:bCs/>
                <w:sz w:val="24"/>
                <w:highlight w:val="none"/>
              </w:rPr>
            </w:pPr>
            <w:r>
              <w:rPr>
                <w:rFonts w:hint="eastAsia"/>
                <w:bCs/>
                <w:sz w:val="24"/>
                <w:highlight w:val="none"/>
              </w:rPr>
              <w:t>项目共设置</w:t>
            </w:r>
            <w:r>
              <w:rPr>
                <w:rFonts w:hint="eastAsia"/>
                <w:bCs/>
                <w:sz w:val="24"/>
                <w:highlight w:val="none"/>
                <w:lang w:val="en-US" w:eastAsia="zh-CN"/>
              </w:rPr>
              <w:t>1</w:t>
            </w:r>
            <w:r>
              <w:rPr>
                <w:rFonts w:hint="eastAsia"/>
                <w:bCs/>
                <w:sz w:val="24"/>
                <w:highlight w:val="none"/>
              </w:rPr>
              <w:t>套</w:t>
            </w:r>
            <w:r>
              <w:rPr>
                <w:rFonts w:hint="eastAsia"/>
                <w:bCs/>
                <w:sz w:val="24"/>
                <w:highlight w:val="none"/>
                <w:lang w:val="en-US" w:eastAsia="zh-CN"/>
              </w:rPr>
              <w:t>两级活性炭装置和1套碱液喷淋装置</w:t>
            </w:r>
            <w:r>
              <w:rPr>
                <w:rFonts w:hint="eastAsia"/>
                <w:bCs/>
                <w:sz w:val="24"/>
                <w:highlight w:val="none"/>
              </w:rPr>
              <w:t>，详细情况见下表：</w:t>
            </w:r>
          </w:p>
          <w:p w14:paraId="11436AE5">
            <w:pPr>
              <w:pStyle w:val="48"/>
              <w:numPr>
                <w:ilvl w:val="0"/>
                <w:numId w:val="9"/>
              </w:numPr>
              <w:spacing w:line="360" w:lineRule="auto"/>
              <w:ind w:left="0" w:firstLine="0" w:firstLineChars="0"/>
              <w:jc w:val="center"/>
              <w:rPr>
                <w:rFonts w:ascii="Times New Roman" w:hAnsi="Times New Roman" w:eastAsia="宋体"/>
                <w:b/>
                <w:sz w:val="21"/>
                <w:highlight w:val="none"/>
              </w:rPr>
            </w:pPr>
            <w:r>
              <w:rPr>
                <w:rFonts w:hint="eastAsia" w:ascii="Times New Roman" w:hAnsi="Times New Roman" w:eastAsia="宋体"/>
                <w:b/>
                <w:sz w:val="21"/>
                <w:highlight w:val="none"/>
              </w:rPr>
              <w:t>项目大气污染物治理措施情况一览表</w:t>
            </w:r>
          </w:p>
          <w:tbl>
            <w:tblPr>
              <w:tblStyle w:val="2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96"/>
              <w:gridCol w:w="1355"/>
              <w:gridCol w:w="1455"/>
              <w:gridCol w:w="1220"/>
              <w:gridCol w:w="1547"/>
              <w:gridCol w:w="1485"/>
            </w:tblGrid>
            <w:tr w14:paraId="0E001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5" w:type="pct"/>
                  <w:vAlign w:val="center"/>
                </w:tcPr>
                <w:p w14:paraId="57356B83">
                  <w:pPr>
                    <w:snapToGrid w:val="0"/>
                    <w:jc w:val="center"/>
                    <w:rPr>
                      <w:b/>
                      <w:bCs/>
                      <w:szCs w:val="21"/>
                      <w:highlight w:val="none"/>
                    </w:rPr>
                  </w:pPr>
                  <w:r>
                    <w:rPr>
                      <w:b/>
                      <w:bCs/>
                      <w:szCs w:val="21"/>
                      <w:highlight w:val="none"/>
                    </w:rPr>
                    <w:t>污染治理设施</w:t>
                  </w:r>
                </w:p>
              </w:tc>
              <w:tc>
                <w:tcPr>
                  <w:tcW w:w="801" w:type="pct"/>
                  <w:vAlign w:val="center"/>
                </w:tcPr>
                <w:p w14:paraId="376A6526">
                  <w:pPr>
                    <w:snapToGrid w:val="0"/>
                    <w:jc w:val="center"/>
                    <w:rPr>
                      <w:b/>
                      <w:bCs/>
                      <w:szCs w:val="21"/>
                      <w:highlight w:val="none"/>
                    </w:rPr>
                  </w:pPr>
                  <w:r>
                    <w:rPr>
                      <w:b/>
                      <w:bCs/>
                      <w:szCs w:val="21"/>
                      <w:highlight w:val="none"/>
                    </w:rPr>
                    <w:t>治理设施编号</w:t>
                  </w:r>
                </w:p>
              </w:tc>
              <w:tc>
                <w:tcPr>
                  <w:tcW w:w="860" w:type="pct"/>
                  <w:vAlign w:val="center"/>
                </w:tcPr>
                <w:p w14:paraId="07B72425">
                  <w:pPr>
                    <w:snapToGrid w:val="0"/>
                    <w:jc w:val="center"/>
                    <w:rPr>
                      <w:b/>
                      <w:bCs/>
                      <w:szCs w:val="21"/>
                      <w:highlight w:val="none"/>
                    </w:rPr>
                  </w:pPr>
                  <w:r>
                    <w:rPr>
                      <w:b/>
                      <w:bCs/>
                      <w:szCs w:val="21"/>
                      <w:highlight w:val="none"/>
                    </w:rPr>
                    <w:t>处理能力（m³/h）</w:t>
                  </w:r>
                </w:p>
              </w:tc>
              <w:tc>
                <w:tcPr>
                  <w:tcW w:w="721" w:type="pct"/>
                  <w:vAlign w:val="center"/>
                </w:tcPr>
                <w:p w14:paraId="17F261E8">
                  <w:pPr>
                    <w:snapToGrid w:val="0"/>
                    <w:jc w:val="center"/>
                    <w:rPr>
                      <w:b/>
                      <w:bCs/>
                      <w:szCs w:val="21"/>
                      <w:highlight w:val="none"/>
                    </w:rPr>
                  </w:pPr>
                  <w:r>
                    <w:rPr>
                      <w:b/>
                      <w:bCs/>
                      <w:sz w:val="18"/>
                      <w:szCs w:val="21"/>
                      <w:highlight w:val="none"/>
                    </w:rPr>
                    <w:t>收集效率（%）</w:t>
                  </w:r>
                </w:p>
              </w:tc>
              <w:tc>
                <w:tcPr>
                  <w:tcW w:w="914" w:type="pct"/>
                  <w:vAlign w:val="center"/>
                </w:tcPr>
                <w:p w14:paraId="48A2B92D">
                  <w:pPr>
                    <w:snapToGrid w:val="0"/>
                    <w:jc w:val="center"/>
                    <w:rPr>
                      <w:b/>
                      <w:bCs/>
                      <w:szCs w:val="21"/>
                      <w:highlight w:val="none"/>
                    </w:rPr>
                  </w:pPr>
                  <w:r>
                    <w:rPr>
                      <w:b/>
                      <w:bCs/>
                      <w:sz w:val="18"/>
                      <w:szCs w:val="21"/>
                      <w:highlight w:val="none"/>
                    </w:rPr>
                    <w:t>治理工艺去除率（%）</w:t>
                  </w:r>
                </w:p>
              </w:tc>
              <w:tc>
                <w:tcPr>
                  <w:tcW w:w="877" w:type="pct"/>
                  <w:vAlign w:val="center"/>
                </w:tcPr>
                <w:p w14:paraId="25A6E085">
                  <w:pPr>
                    <w:snapToGrid w:val="0"/>
                    <w:jc w:val="center"/>
                    <w:rPr>
                      <w:b/>
                      <w:bCs/>
                      <w:szCs w:val="21"/>
                      <w:highlight w:val="none"/>
                    </w:rPr>
                  </w:pPr>
                  <w:r>
                    <w:rPr>
                      <w:b/>
                      <w:bCs/>
                      <w:szCs w:val="21"/>
                      <w:highlight w:val="none"/>
                    </w:rPr>
                    <w:t>是否为可行技术</w:t>
                  </w:r>
                </w:p>
              </w:tc>
            </w:tr>
            <w:tr w14:paraId="25686F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5" w:type="pct"/>
                  <w:vAlign w:val="center"/>
                </w:tcPr>
                <w:p w14:paraId="618FCF8E">
                  <w:pPr>
                    <w:snapToGrid w:val="0"/>
                    <w:jc w:val="center"/>
                    <w:rPr>
                      <w:rFonts w:hint="eastAsia" w:eastAsia="宋体"/>
                      <w:szCs w:val="21"/>
                      <w:highlight w:val="none"/>
                      <w:lang w:val="en-US" w:eastAsia="zh-CN"/>
                    </w:rPr>
                  </w:pPr>
                  <w:r>
                    <w:rPr>
                      <w:rFonts w:hint="eastAsia"/>
                      <w:szCs w:val="21"/>
                      <w:highlight w:val="none"/>
                    </w:rPr>
                    <w:t>碱液喷淋</w:t>
                  </w:r>
                  <w:r>
                    <w:rPr>
                      <w:rFonts w:hint="eastAsia"/>
                      <w:szCs w:val="21"/>
                      <w:highlight w:val="none"/>
                      <w:lang w:val="en-US" w:eastAsia="zh-CN"/>
                    </w:rPr>
                    <w:t>装置</w:t>
                  </w:r>
                </w:p>
              </w:tc>
              <w:tc>
                <w:tcPr>
                  <w:tcW w:w="801" w:type="pct"/>
                  <w:vAlign w:val="center"/>
                </w:tcPr>
                <w:p w14:paraId="651A5639">
                  <w:pPr>
                    <w:snapToGrid w:val="0"/>
                    <w:jc w:val="center"/>
                    <w:rPr>
                      <w:rFonts w:hint="eastAsia" w:eastAsia="宋体"/>
                      <w:szCs w:val="21"/>
                      <w:highlight w:val="none"/>
                      <w:lang w:val="en-US" w:eastAsia="zh-CN"/>
                    </w:rPr>
                  </w:pPr>
                  <w:r>
                    <w:rPr>
                      <w:rFonts w:hint="eastAsia"/>
                      <w:szCs w:val="21"/>
                      <w:highlight w:val="none"/>
                    </w:rPr>
                    <w:t>T</w:t>
                  </w:r>
                  <w:r>
                    <w:rPr>
                      <w:szCs w:val="21"/>
                      <w:highlight w:val="none"/>
                    </w:rPr>
                    <w:t>A00</w:t>
                  </w:r>
                  <w:r>
                    <w:rPr>
                      <w:rFonts w:hint="eastAsia"/>
                      <w:szCs w:val="21"/>
                      <w:highlight w:val="none"/>
                      <w:lang w:val="en-US" w:eastAsia="zh-CN"/>
                    </w:rPr>
                    <w:t>1</w:t>
                  </w:r>
                </w:p>
              </w:tc>
              <w:tc>
                <w:tcPr>
                  <w:tcW w:w="860" w:type="pct"/>
                  <w:vAlign w:val="center"/>
                </w:tcPr>
                <w:p w14:paraId="3E6AA82B">
                  <w:pPr>
                    <w:snapToGrid w:val="0"/>
                    <w:jc w:val="center"/>
                    <w:rPr>
                      <w:rFonts w:hint="default" w:eastAsia="宋体"/>
                      <w:szCs w:val="21"/>
                      <w:highlight w:val="none"/>
                      <w:lang w:val="en-US" w:eastAsia="zh-CN"/>
                    </w:rPr>
                  </w:pPr>
                  <w:r>
                    <w:rPr>
                      <w:rFonts w:hint="eastAsia"/>
                      <w:szCs w:val="21"/>
                      <w:highlight w:val="none"/>
                      <w:lang w:val="en-US" w:eastAsia="zh-CN"/>
                    </w:rPr>
                    <w:t>5000</w:t>
                  </w:r>
                </w:p>
              </w:tc>
              <w:tc>
                <w:tcPr>
                  <w:tcW w:w="721" w:type="pct"/>
                  <w:vAlign w:val="center"/>
                </w:tcPr>
                <w:p w14:paraId="1CC23CD6">
                  <w:pPr>
                    <w:snapToGrid w:val="0"/>
                    <w:jc w:val="center"/>
                    <w:rPr>
                      <w:rFonts w:hint="default" w:eastAsia="宋体"/>
                      <w:szCs w:val="21"/>
                      <w:highlight w:val="none"/>
                      <w:lang w:val="en-US" w:eastAsia="zh-CN"/>
                    </w:rPr>
                  </w:pPr>
                  <w:r>
                    <w:rPr>
                      <w:rFonts w:hint="eastAsia"/>
                      <w:szCs w:val="21"/>
                      <w:highlight w:val="none"/>
                      <w:lang w:val="en-US" w:eastAsia="zh-CN"/>
                    </w:rPr>
                    <w:t>90</w:t>
                  </w:r>
                </w:p>
              </w:tc>
              <w:tc>
                <w:tcPr>
                  <w:tcW w:w="914" w:type="pct"/>
                  <w:vAlign w:val="center"/>
                </w:tcPr>
                <w:p w14:paraId="62A48E98">
                  <w:pPr>
                    <w:snapToGrid w:val="0"/>
                    <w:jc w:val="center"/>
                    <w:rPr>
                      <w:rFonts w:hint="default" w:eastAsia="宋体"/>
                      <w:szCs w:val="21"/>
                      <w:highlight w:val="none"/>
                      <w:lang w:val="en-US" w:eastAsia="zh-CN"/>
                    </w:rPr>
                  </w:pPr>
                  <w:r>
                    <w:rPr>
                      <w:rFonts w:hint="eastAsia"/>
                      <w:szCs w:val="21"/>
                      <w:highlight w:val="none"/>
                      <w:lang w:val="en-US" w:eastAsia="zh-CN"/>
                    </w:rPr>
                    <w:t>90</w:t>
                  </w:r>
                </w:p>
              </w:tc>
              <w:tc>
                <w:tcPr>
                  <w:tcW w:w="877" w:type="pct"/>
                  <w:vAlign w:val="center"/>
                </w:tcPr>
                <w:p w14:paraId="5DFF478A">
                  <w:pPr>
                    <w:snapToGrid w:val="0"/>
                    <w:jc w:val="center"/>
                    <w:rPr>
                      <w:szCs w:val="21"/>
                      <w:highlight w:val="none"/>
                    </w:rPr>
                  </w:pPr>
                  <w:r>
                    <w:rPr>
                      <w:rFonts w:hint="eastAsia"/>
                      <w:szCs w:val="21"/>
                      <w:highlight w:val="none"/>
                    </w:rPr>
                    <w:t>是</w:t>
                  </w:r>
                </w:p>
              </w:tc>
            </w:tr>
            <w:tr w14:paraId="71D196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825" w:type="pct"/>
                  <w:vAlign w:val="center"/>
                </w:tcPr>
                <w:p w14:paraId="71092F93">
                  <w:pPr>
                    <w:snapToGrid w:val="0"/>
                    <w:jc w:val="center"/>
                    <w:rPr>
                      <w:rFonts w:hint="eastAsia" w:eastAsia="宋体"/>
                      <w:szCs w:val="21"/>
                      <w:highlight w:val="none"/>
                      <w:lang w:val="en-US" w:eastAsia="zh-CN"/>
                    </w:rPr>
                  </w:pPr>
                  <w:r>
                    <w:rPr>
                      <w:rFonts w:hint="eastAsia"/>
                      <w:szCs w:val="21"/>
                      <w:highlight w:val="none"/>
                    </w:rPr>
                    <w:t>两级活性炭</w:t>
                  </w:r>
                  <w:r>
                    <w:rPr>
                      <w:rFonts w:hint="eastAsia"/>
                      <w:szCs w:val="21"/>
                      <w:highlight w:val="none"/>
                      <w:lang w:val="en-US" w:eastAsia="zh-CN"/>
                    </w:rPr>
                    <w:t>装置</w:t>
                  </w:r>
                </w:p>
              </w:tc>
              <w:tc>
                <w:tcPr>
                  <w:tcW w:w="801" w:type="pct"/>
                  <w:vAlign w:val="center"/>
                </w:tcPr>
                <w:p w14:paraId="0873033B">
                  <w:pPr>
                    <w:snapToGrid w:val="0"/>
                    <w:jc w:val="center"/>
                    <w:rPr>
                      <w:rFonts w:hint="eastAsia" w:eastAsia="宋体"/>
                      <w:szCs w:val="21"/>
                      <w:highlight w:val="none"/>
                      <w:lang w:val="en-US" w:eastAsia="zh-CN"/>
                    </w:rPr>
                  </w:pPr>
                  <w:r>
                    <w:rPr>
                      <w:rFonts w:hint="eastAsia"/>
                      <w:szCs w:val="21"/>
                      <w:highlight w:val="none"/>
                    </w:rPr>
                    <w:t>T</w:t>
                  </w:r>
                  <w:r>
                    <w:rPr>
                      <w:szCs w:val="21"/>
                      <w:highlight w:val="none"/>
                    </w:rPr>
                    <w:t>A00</w:t>
                  </w:r>
                  <w:r>
                    <w:rPr>
                      <w:rFonts w:hint="eastAsia"/>
                      <w:szCs w:val="21"/>
                      <w:highlight w:val="none"/>
                      <w:lang w:val="en-US" w:eastAsia="zh-CN"/>
                    </w:rPr>
                    <w:t>2</w:t>
                  </w:r>
                </w:p>
              </w:tc>
              <w:tc>
                <w:tcPr>
                  <w:tcW w:w="860" w:type="pct"/>
                  <w:vAlign w:val="center"/>
                </w:tcPr>
                <w:p w14:paraId="3F4FA668">
                  <w:pPr>
                    <w:snapToGrid w:val="0"/>
                    <w:jc w:val="center"/>
                    <w:rPr>
                      <w:szCs w:val="21"/>
                      <w:highlight w:val="none"/>
                    </w:rPr>
                  </w:pPr>
                  <w:r>
                    <w:rPr>
                      <w:rFonts w:hint="eastAsia"/>
                      <w:szCs w:val="21"/>
                      <w:highlight w:val="none"/>
                      <w:lang w:val="en-US" w:eastAsia="zh-CN"/>
                    </w:rPr>
                    <w:t>5000</w:t>
                  </w:r>
                </w:p>
              </w:tc>
              <w:tc>
                <w:tcPr>
                  <w:tcW w:w="721" w:type="pct"/>
                  <w:vAlign w:val="center"/>
                </w:tcPr>
                <w:p w14:paraId="6DAFB18E">
                  <w:pPr>
                    <w:snapToGrid w:val="0"/>
                    <w:jc w:val="center"/>
                    <w:rPr>
                      <w:rFonts w:hint="eastAsia" w:eastAsia="宋体"/>
                      <w:szCs w:val="21"/>
                      <w:highlight w:val="none"/>
                      <w:lang w:val="en-US" w:eastAsia="zh-CN"/>
                    </w:rPr>
                  </w:pPr>
                  <w:r>
                    <w:rPr>
                      <w:rFonts w:hint="eastAsia"/>
                      <w:szCs w:val="21"/>
                      <w:highlight w:val="none"/>
                    </w:rPr>
                    <w:t>9</w:t>
                  </w:r>
                  <w:r>
                    <w:rPr>
                      <w:rFonts w:hint="eastAsia"/>
                      <w:szCs w:val="21"/>
                      <w:highlight w:val="none"/>
                      <w:lang w:val="en-US" w:eastAsia="zh-CN"/>
                    </w:rPr>
                    <w:t>0</w:t>
                  </w:r>
                </w:p>
              </w:tc>
              <w:tc>
                <w:tcPr>
                  <w:tcW w:w="914" w:type="pct"/>
                  <w:vAlign w:val="center"/>
                </w:tcPr>
                <w:p w14:paraId="083B8342">
                  <w:pPr>
                    <w:snapToGrid w:val="0"/>
                    <w:jc w:val="center"/>
                    <w:rPr>
                      <w:rFonts w:hint="default" w:eastAsia="宋体"/>
                      <w:szCs w:val="21"/>
                      <w:highlight w:val="none"/>
                      <w:lang w:val="en-US" w:eastAsia="zh-CN"/>
                    </w:rPr>
                  </w:pPr>
                  <w:r>
                    <w:rPr>
                      <w:rFonts w:hint="eastAsia"/>
                      <w:szCs w:val="21"/>
                      <w:highlight w:val="none"/>
                      <w:lang w:val="en-US" w:eastAsia="zh-CN"/>
                    </w:rPr>
                    <w:t>80</w:t>
                  </w:r>
                </w:p>
              </w:tc>
              <w:tc>
                <w:tcPr>
                  <w:tcW w:w="877" w:type="pct"/>
                  <w:vAlign w:val="center"/>
                </w:tcPr>
                <w:p w14:paraId="6E273964">
                  <w:pPr>
                    <w:snapToGrid w:val="0"/>
                    <w:jc w:val="center"/>
                    <w:rPr>
                      <w:szCs w:val="21"/>
                      <w:highlight w:val="none"/>
                    </w:rPr>
                  </w:pPr>
                  <w:r>
                    <w:rPr>
                      <w:rFonts w:hint="eastAsia"/>
                      <w:szCs w:val="21"/>
                      <w:highlight w:val="none"/>
                    </w:rPr>
                    <w:t>是</w:t>
                  </w:r>
                </w:p>
              </w:tc>
            </w:tr>
          </w:tbl>
          <w:p w14:paraId="60F4FEFB">
            <w:pPr>
              <w:snapToGrid w:val="0"/>
              <w:spacing w:before="120" w:beforeLines="50" w:line="360" w:lineRule="auto"/>
              <w:ind w:firstLine="480" w:firstLineChars="200"/>
              <w:jc w:val="left"/>
              <w:rPr>
                <w:sz w:val="24"/>
                <w:highlight w:val="none"/>
              </w:rPr>
            </w:pPr>
            <w:r>
              <w:rPr>
                <w:rFonts w:hint="eastAsia"/>
                <w:sz w:val="24"/>
                <w:highlight w:val="none"/>
              </w:rPr>
              <w:t>对上述污染治理设施简述其可行性：</w:t>
            </w:r>
          </w:p>
          <w:p w14:paraId="31E6DC59">
            <w:pPr>
              <w:snapToGrid w:val="0"/>
              <w:spacing w:line="360" w:lineRule="auto"/>
              <w:ind w:firstLine="480" w:firstLineChars="200"/>
              <w:rPr>
                <w:sz w:val="24"/>
                <w:highlight w:val="none"/>
              </w:rPr>
            </w:pPr>
            <w:r>
              <w:rPr>
                <w:rFonts w:hint="eastAsia" w:cs="Calibri"/>
                <w:sz w:val="24"/>
                <w:highlight w:val="none"/>
              </w:rPr>
              <w:t>由于活性炭微孔表面上存在着未平衡和未饱和的分子引力或化学键力，因此</w:t>
            </w:r>
            <w:r>
              <w:rPr>
                <w:rFonts w:hint="eastAsia" w:cs="Calibri"/>
                <w:sz w:val="24"/>
                <w:highlight w:val="none"/>
                <w:lang w:eastAsia="zh-CN"/>
              </w:rPr>
              <w:t>当</w:t>
            </w:r>
            <w:r>
              <w:rPr>
                <w:rFonts w:hint="eastAsia" w:cs="Calibri"/>
                <w:sz w:val="24"/>
                <w:highlight w:val="none"/>
              </w:rPr>
              <w:t>活性炭微孔表面与气体接触时，就能吸引气体分子，使其</w:t>
            </w:r>
            <w:r>
              <w:rPr>
                <w:rFonts w:hint="eastAsia" w:cs="Calibri"/>
                <w:sz w:val="24"/>
                <w:highlight w:val="none"/>
                <w:lang w:eastAsia="zh-CN"/>
              </w:rPr>
              <w:t>凝聚</w:t>
            </w:r>
            <w:r>
              <w:rPr>
                <w:rFonts w:hint="eastAsia" w:cs="Calibri"/>
                <w:sz w:val="24"/>
                <w:highlight w:val="none"/>
              </w:rPr>
              <w:t>并保持在固体表面，此现象称为吸附。利用活性炭微孔表面的吸附能力，使废气与大表面的多孔性活性炭相接触，废气中的非甲烷总烃、氨、</w:t>
            </w:r>
            <w:r>
              <w:rPr>
                <w:rFonts w:hint="eastAsia" w:cs="Calibri"/>
                <w:sz w:val="24"/>
                <w:highlight w:val="none"/>
                <w:lang w:val="en-US" w:eastAsia="zh-CN"/>
              </w:rPr>
              <w:t>硫</w:t>
            </w:r>
            <w:r>
              <w:rPr>
                <w:rFonts w:hint="eastAsia" w:cs="Calibri"/>
                <w:sz w:val="24"/>
                <w:highlight w:val="none"/>
                <w:lang w:eastAsia="zh-CN"/>
              </w:rPr>
              <w:t>化氢</w:t>
            </w:r>
            <w:r>
              <w:rPr>
                <w:rFonts w:hint="eastAsia" w:cs="Calibri"/>
                <w:sz w:val="24"/>
                <w:highlight w:val="none"/>
              </w:rPr>
              <w:t>被吸附在活性炭微孔表面上，使其与气体混合物分离，达到净化目的。</w:t>
            </w:r>
          </w:p>
          <w:p w14:paraId="7A7B768F">
            <w:pPr>
              <w:snapToGrid w:val="0"/>
              <w:spacing w:line="360" w:lineRule="auto"/>
              <w:ind w:firstLine="480" w:firstLineChars="200"/>
              <w:rPr>
                <w:rFonts w:hint="eastAsia"/>
                <w:color w:val="auto"/>
                <w:sz w:val="24"/>
                <w:highlight w:val="none"/>
              </w:rPr>
            </w:pPr>
            <w:r>
              <w:rPr>
                <w:rFonts w:hint="eastAsia"/>
                <w:color w:val="auto"/>
                <w:sz w:val="24"/>
                <w:highlight w:val="none"/>
              </w:rPr>
              <w:t>《排污许可申请与核发技术规范工业固体废物和危险废物治理》（HJ1033-2019）</w:t>
            </w:r>
            <w:r>
              <w:rPr>
                <w:rFonts w:hint="eastAsia"/>
                <w:color w:val="auto"/>
                <w:sz w:val="24"/>
                <w:highlight w:val="none"/>
                <w:lang w:eastAsia="zh-CN"/>
              </w:rPr>
              <w:t>中未明确危废暂存产生的氯化氢的治理措施，本项目采用的</w:t>
            </w:r>
            <w:r>
              <w:rPr>
                <w:rFonts w:hint="eastAsia"/>
                <w:color w:val="auto"/>
                <w:sz w:val="24"/>
                <w:highlight w:val="none"/>
              </w:rPr>
              <w:t>碱液喷淋是将塔内气体由风机送入，气体由下向上，吸收液由耐酸泵打入塔顶通过布液装置均匀向下喷淋，形成逆流吸收，中和后的气体经塔内除雾后，经烟筒排入大气。碱液喷淋是目前治理酸性气体应用较为广泛的一种方法，对本项目产生的氯化氢具有较高的去除效率。</w:t>
            </w:r>
          </w:p>
          <w:p w14:paraId="1571C32F">
            <w:pPr>
              <w:snapToGrid w:val="0"/>
              <w:spacing w:line="360" w:lineRule="auto"/>
              <w:ind w:firstLine="480" w:firstLineChars="200"/>
              <w:rPr>
                <w:sz w:val="24"/>
                <w:highlight w:val="none"/>
              </w:rPr>
            </w:pPr>
            <w:r>
              <w:rPr>
                <w:rFonts w:hint="eastAsia" w:ascii="Times New Roman" w:hAnsi="Times New Roman"/>
                <w:sz w:val="24"/>
                <w:highlight w:val="none"/>
              </w:rPr>
              <w:t>综上所述，项目采用的大气污染防治措施</w:t>
            </w:r>
            <w:r>
              <w:rPr>
                <w:rFonts w:ascii="Times New Roman" w:hAnsi="Times New Roman"/>
                <w:sz w:val="24"/>
                <w:highlight w:val="none"/>
              </w:rPr>
              <w:t>实用性强，效果明显，项目采用的</w:t>
            </w:r>
            <w:r>
              <w:rPr>
                <w:rFonts w:hint="eastAsia" w:ascii="Times New Roman" w:hAnsi="Times New Roman"/>
                <w:sz w:val="24"/>
                <w:highlight w:val="none"/>
              </w:rPr>
              <w:t>大气污染防治措施可行</w:t>
            </w:r>
            <w:r>
              <w:rPr>
                <w:sz w:val="24"/>
                <w:highlight w:val="none"/>
              </w:rPr>
              <w:t>。</w:t>
            </w:r>
          </w:p>
          <w:p w14:paraId="3520BB6B">
            <w:pPr>
              <w:spacing w:line="360" w:lineRule="auto"/>
              <w:ind w:firstLine="480"/>
              <w:rPr>
                <w:b/>
                <w:sz w:val="24"/>
                <w:highlight w:val="none"/>
              </w:rPr>
            </w:pPr>
            <w:r>
              <w:rPr>
                <w:rFonts w:hint="eastAsia"/>
                <w:b/>
                <w:sz w:val="24"/>
                <w:highlight w:val="none"/>
              </w:rPr>
              <w:t>（</w:t>
            </w:r>
            <w:r>
              <w:rPr>
                <w:b/>
                <w:sz w:val="24"/>
                <w:highlight w:val="none"/>
              </w:rPr>
              <w:t>4</w:t>
            </w:r>
            <w:r>
              <w:rPr>
                <w:rFonts w:hint="eastAsia"/>
                <w:b/>
                <w:sz w:val="24"/>
                <w:highlight w:val="none"/>
              </w:rPr>
              <w:t>）排放口基本情况</w:t>
            </w:r>
          </w:p>
          <w:p w14:paraId="43C2D083">
            <w:pPr>
              <w:spacing w:line="360" w:lineRule="auto"/>
              <w:ind w:firstLine="480"/>
              <w:rPr>
                <w:sz w:val="24"/>
                <w:highlight w:val="none"/>
              </w:rPr>
            </w:pPr>
            <w:r>
              <w:rPr>
                <w:sz w:val="24"/>
                <w:highlight w:val="none"/>
              </w:rPr>
              <w:t>项目共设置大气污染物排放口</w:t>
            </w:r>
            <w:r>
              <w:rPr>
                <w:rFonts w:hint="eastAsia"/>
                <w:sz w:val="24"/>
                <w:highlight w:val="none"/>
                <w:lang w:val="en-US" w:eastAsia="zh-CN"/>
              </w:rPr>
              <w:t>2</w:t>
            </w:r>
            <w:r>
              <w:rPr>
                <w:sz w:val="24"/>
                <w:highlight w:val="none"/>
              </w:rPr>
              <w:t>个，排放口基本情况详见下表：</w:t>
            </w:r>
          </w:p>
          <w:p w14:paraId="640993FE">
            <w:pPr>
              <w:pStyle w:val="48"/>
              <w:numPr>
                <w:ilvl w:val="0"/>
                <w:numId w:val="9"/>
              </w:numPr>
              <w:spacing w:line="360" w:lineRule="auto"/>
              <w:ind w:left="0" w:firstLine="0" w:firstLineChars="0"/>
              <w:jc w:val="center"/>
              <w:rPr>
                <w:rFonts w:ascii="Times New Roman" w:hAnsi="Times New Roman" w:eastAsia="宋体"/>
                <w:b/>
                <w:sz w:val="21"/>
                <w:highlight w:val="none"/>
              </w:rPr>
            </w:pPr>
            <w:r>
              <w:rPr>
                <w:rFonts w:hint="eastAsia" w:ascii="Times New Roman" w:hAnsi="Times New Roman" w:eastAsia="宋体"/>
                <w:b/>
                <w:sz w:val="21"/>
                <w:highlight w:val="none"/>
              </w:rPr>
              <w:t>项目大气污染物排放口基本情况一览表</w:t>
            </w:r>
          </w:p>
          <w:tbl>
            <w:tblPr>
              <w:tblStyle w:val="22"/>
              <w:tblW w:w="500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2"/>
              <w:gridCol w:w="1703"/>
              <w:gridCol w:w="1291"/>
              <w:gridCol w:w="1196"/>
              <w:gridCol w:w="671"/>
              <w:gridCol w:w="774"/>
              <w:gridCol w:w="810"/>
              <w:gridCol w:w="1096"/>
            </w:tblGrid>
            <w:tr w14:paraId="59876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9" w:hRule="atLeast"/>
                <w:jc w:val="center"/>
              </w:trPr>
              <w:tc>
                <w:tcPr>
                  <w:tcW w:w="545" w:type="pct"/>
                  <w:vMerge w:val="restart"/>
                  <w:vAlign w:val="center"/>
                </w:tcPr>
                <w:p w14:paraId="27C326B4">
                  <w:pPr>
                    <w:pStyle w:val="2"/>
                    <w:snapToGrid w:val="0"/>
                    <w:spacing w:line="240" w:lineRule="auto"/>
                    <w:ind w:left="0" w:leftChars="0"/>
                    <w:rPr>
                      <w:b/>
                      <w:w w:val="100"/>
                      <w:sz w:val="21"/>
                      <w:szCs w:val="21"/>
                      <w:highlight w:val="none"/>
                    </w:rPr>
                  </w:pPr>
                  <w:r>
                    <w:rPr>
                      <w:b/>
                      <w:w w:val="100"/>
                      <w:sz w:val="21"/>
                      <w:szCs w:val="21"/>
                      <w:highlight w:val="none"/>
                    </w:rPr>
                    <w:t>编号</w:t>
                  </w:r>
                </w:p>
              </w:tc>
              <w:tc>
                <w:tcPr>
                  <w:tcW w:w="1006" w:type="pct"/>
                  <w:vMerge w:val="restart"/>
                  <w:vAlign w:val="center"/>
                </w:tcPr>
                <w:p w14:paraId="04B07F5E">
                  <w:pPr>
                    <w:pStyle w:val="2"/>
                    <w:snapToGrid w:val="0"/>
                    <w:spacing w:line="240" w:lineRule="auto"/>
                    <w:ind w:left="0" w:leftChars="0"/>
                    <w:rPr>
                      <w:b/>
                      <w:w w:val="100"/>
                      <w:sz w:val="21"/>
                      <w:szCs w:val="21"/>
                      <w:highlight w:val="none"/>
                    </w:rPr>
                  </w:pPr>
                  <w:r>
                    <w:rPr>
                      <w:b/>
                      <w:w w:val="100"/>
                      <w:sz w:val="21"/>
                      <w:szCs w:val="21"/>
                      <w:highlight w:val="none"/>
                    </w:rPr>
                    <w:t>名称</w:t>
                  </w:r>
                </w:p>
              </w:tc>
              <w:tc>
                <w:tcPr>
                  <w:tcW w:w="1468" w:type="pct"/>
                  <w:gridSpan w:val="2"/>
                  <w:vAlign w:val="center"/>
                </w:tcPr>
                <w:p w14:paraId="0212E091">
                  <w:pPr>
                    <w:pStyle w:val="2"/>
                    <w:snapToGrid w:val="0"/>
                    <w:spacing w:line="240" w:lineRule="auto"/>
                    <w:ind w:left="0" w:leftChars="0"/>
                    <w:rPr>
                      <w:b/>
                      <w:w w:val="100"/>
                      <w:sz w:val="21"/>
                      <w:szCs w:val="21"/>
                      <w:highlight w:val="none"/>
                    </w:rPr>
                  </w:pPr>
                  <w:r>
                    <w:rPr>
                      <w:b/>
                      <w:w w:val="100"/>
                      <w:sz w:val="21"/>
                      <w:szCs w:val="21"/>
                      <w:highlight w:val="none"/>
                    </w:rPr>
                    <w:t>排气筒底部中心坐标</w:t>
                  </w:r>
                </w:p>
              </w:tc>
              <w:tc>
                <w:tcPr>
                  <w:tcW w:w="396" w:type="pct"/>
                  <w:vMerge w:val="restart"/>
                  <w:vAlign w:val="center"/>
                </w:tcPr>
                <w:p w14:paraId="293DBC9F">
                  <w:pPr>
                    <w:pStyle w:val="2"/>
                    <w:snapToGrid w:val="0"/>
                    <w:spacing w:line="240" w:lineRule="auto"/>
                    <w:ind w:left="0" w:leftChars="0"/>
                    <w:rPr>
                      <w:b/>
                      <w:w w:val="100"/>
                      <w:sz w:val="21"/>
                      <w:szCs w:val="21"/>
                      <w:highlight w:val="none"/>
                    </w:rPr>
                  </w:pPr>
                  <w:r>
                    <w:rPr>
                      <w:b/>
                      <w:w w:val="100"/>
                      <w:sz w:val="21"/>
                      <w:szCs w:val="21"/>
                      <w:highlight w:val="none"/>
                    </w:rPr>
                    <w:t>排气筒</w:t>
                  </w:r>
                  <w:r>
                    <w:rPr>
                      <w:rFonts w:hint="eastAsia"/>
                      <w:b/>
                      <w:w w:val="100"/>
                      <w:sz w:val="21"/>
                      <w:szCs w:val="21"/>
                      <w:highlight w:val="none"/>
                    </w:rPr>
                    <w:t>内径</w:t>
                  </w:r>
                  <w:r>
                    <w:rPr>
                      <w:b/>
                      <w:w w:val="100"/>
                      <w:sz w:val="21"/>
                      <w:szCs w:val="21"/>
                      <w:highlight w:val="none"/>
                    </w:rPr>
                    <w:t>/m</w:t>
                  </w:r>
                </w:p>
              </w:tc>
              <w:tc>
                <w:tcPr>
                  <w:tcW w:w="457" w:type="pct"/>
                  <w:vMerge w:val="restart"/>
                  <w:vAlign w:val="center"/>
                </w:tcPr>
                <w:p w14:paraId="4079DE1B">
                  <w:pPr>
                    <w:pStyle w:val="2"/>
                    <w:snapToGrid w:val="0"/>
                    <w:spacing w:line="240" w:lineRule="auto"/>
                    <w:ind w:left="0" w:leftChars="0"/>
                    <w:rPr>
                      <w:b/>
                      <w:w w:val="100"/>
                      <w:sz w:val="21"/>
                      <w:szCs w:val="21"/>
                      <w:highlight w:val="none"/>
                    </w:rPr>
                  </w:pPr>
                  <w:r>
                    <w:rPr>
                      <w:b/>
                      <w:w w:val="100"/>
                      <w:sz w:val="21"/>
                      <w:szCs w:val="21"/>
                      <w:highlight w:val="none"/>
                    </w:rPr>
                    <w:t>排气筒高度/m</w:t>
                  </w:r>
                </w:p>
              </w:tc>
              <w:tc>
                <w:tcPr>
                  <w:tcW w:w="478" w:type="pct"/>
                  <w:vMerge w:val="restart"/>
                  <w:vAlign w:val="center"/>
                </w:tcPr>
                <w:p w14:paraId="1E4A8116">
                  <w:pPr>
                    <w:pStyle w:val="2"/>
                    <w:snapToGrid w:val="0"/>
                    <w:spacing w:line="240" w:lineRule="auto"/>
                    <w:ind w:left="0" w:leftChars="0"/>
                    <w:rPr>
                      <w:b/>
                      <w:w w:val="100"/>
                      <w:sz w:val="21"/>
                      <w:szCs w:val="21"/>
                      <w:highlight w:val="none"/>
                    </w:rPr>
                  </w:pPr>
                  <w:r>
                    <w:rPr>
                      <w:b/>
                      <w:w w:val="100"/>
                      <w:sz w:val="21"/>
                      <w:szCs w:val="21"/>
                      <w:highlight w:val="none"/>
                    </w:rPr>
                    <w:t>烟气温度/℃</w:t>
                  </w:r>
                </w:p>
              </w:tc>
              <w:tc>
                <w:tcPr>
                  <w:tcW w:w="647" w:type="pct"/>
                  <w:vMerge w:val="restart"/>
                  <w:vAlign w:val="center"/>
                </w:tcPr>
                <w:p w14:paraId="2B46E337">
                  <w:pPr>
                    <w:pStyle w:val="2"/>
                    <w:snapToGrid w:val="0"/>
                    <w:spacing w:line="240" w:lineRule="auto"/>
                    <w:ind w:left="0" w:leftChars="0"/>
                    <w:rPr>
                      <w:b/>
                      <w:w w:val="100"/>
                      <w:sz w:val="21"/>
                      <w:szCs w:val="21"/>
                      <w:highlight w:val="none"/>
                    </w:rPr>
                  </w:pPr>
                  <w:r>
                    <w:rPr>
                      <w:rFonts w:hint="eastAsia"/>
                      <w:b/>
                      <w:w w:val="100"/>
                      <w:sz w:val="21"/>
                      <w:szCs w:val="21"/>
                      <w:highlight w:val="none"/>
                    </w:rPr>
                    <w:t>排放口类型</w:t>
                  </w:r>
                </w:p>
              </w:tc>
            </w:tr>
            <w:tr w14:paraId="5746EA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5" w:type="pct"/>
                  <w:vMerge w:val="continue"/>
                  <w:vAlign w:val="center"/>
                </w:tcPr>
                <w:p w14:paraId="3B857941">
                  <w:pPr>
                    <w:pStyle w:val="2"/>
                    <w:snapToGrid w:val="0"/>
                    <w:spacing w:line="240" w:lineRule="auto"/>
                    <w:ind w:left="0" w:leftChars="0"/>
                    <w:rPr>
                      <w:b/>
                      <w:w w:val="100"/>
                      <w:sz w:val="21"/>
                      <w:szCs w:val="21"/>
                      <w:highlight w:val="none"/>
                    </w:rPr>
                  </w:pPr>
                </w:p>
              </w:tc>
              <w:tc>
                <w:tcPr>
                  <w:tcW w:w="1006" w:type="pct"/>
                  <w:vMerge w:val="continue"/>
                  <w:vAlign w:val="center"/>
                </w:tcPr>
                <w:p w14:paraId="0A897C32">
                  <w:pPr>
                    <w:pStyle w:val="2"/>
                    <w:snapToGrid w:val="0"/>
                    <w:spacing w:line="240" w:lineRule="auto"/>
                    <w:ind w:left="0" w:leftChars="0"/>
                    <w:rPr>
                      <w:b/>
                      <w:w w:val="100"/>
                      <w:sz w:val="21"/>
                      <w:szCs w:val="21"/>
                      <w:highlight w:val="none"/>
                    </w:rPr>
                  </w:pPr>
                </w:p>
              </w:tc>
              <w:tc>
                <w:tcPr>
                  <w:tcW w:w="762" w:type="pct"/>
                  <w:vAlign w:val="center"/>
                </w:tcPr>
                <w:p w14:paraId="576E4BE0">
                  <w:pPr>
                    <w:pStyle w:val="2"/>
                    <w:snapToGrid w:val="0"/>
                    <w:spacing w:line="240" w:lineRule="auto"/>
                    <w:ind w:left="0" w:leftChars="0"/>
                    <w:rPr>
                      <w:b/>
                      <w:w w:val="100"/>
                      <w:sz w:val="21"/>
                      <w:szCs w:val="21"/>
                      <w:highlight w:val="none"/>
                    </w:rPr>
                  </w:pPr>
                  <w:r>
                    <w:rPr>
                      <w:b/>
                      <w:w w:val="100"/>
                      <w:sz w:val="21"/>
                      <w:szCs w:val="21"/>
                      <w:highlight w:val="none"/>
                    </w:rPr>
                    <w:t>E</w:t>
                  </w:r>
                </w:p>
              </w:tc>
              <w:tc>
                <w:tcPr>
                  <w:tcW w:w="706" w:type="pct"/>
                  <w:vAlign w:val="center"/>
                </w:tcPr>
                <w:p w14:paraId="3D61B5AE">
                  <w:pPr>
                    <w:pStyle w:val="2"/>
                    <w:snapToGrid w:val="0"/>
                    <w:spacing w:line="240" w:lineRule="auto"/>
                    <w:ind w:left="0" w:leftChars="0"/>
                    <w:rPr>
                      <w:b/>
                      <w:w w:val="100"/>
                      <w:sz w:val="21"/>
                      <w:szCs w:val="21"/>
                      <w:highlight w:val="none"/>
                    </w:rPr>
                  </w:pPr>
                  <w:r>
                    <w:rPr>
                      <w:b/>
                      <w:w w:val="100"/>
                      <w:sz w:val="21"/>
                      <w:szCs w:val="21"/>
                      <w:highlight w:val="none"/>
                    </w:rPr>
                    <w:t>N</w:t>
                  </w:r>
                </w:p>
              </w:tc>
              <w:tc>
                <w:tcPr>
                  <w:tcW w:w="396" w:type="pct"/>
                  <w:vMerge w:val="continue"/>
                  <w:vAlign w:val="center"/>
                </w:tcPr>
                <w:p w14:paraId="68839DDD">
                  <w:pPr>
                    <w:pStyle w:val="2"/>
                    <w:snapToGrid w:val="0"/>
                    <w:spacing w:line="240" w:lineRule="auto"/>
                    <w:ind w:left="0" w:leftChars="0"/>
                    <w:rPr>
                      <w:b/>
                      <w:w w:val="100"/>
                      <w:sz w:val="21"/>
                      <w:szCs w:val="21"/>
                      <w:highlight w:val="none"/>
                    </w:rPr>
                  </w:pPr>
                </w:p>
              </w:tc>
              <w:tc>
                <w:tcPr>
                  <w:tcW w:w="457" w:type="pct"/>
                  <w:vMerge w:val="continue"/>
                  <w:vAlign w:val="center"/>
                </w:tcPr>
                <w:p w14:paraId="1C4C1655">
                  <w:pPr>
                    <w:pStyle w:val="2"/>
                    <w:snapToGrid w:val="0"/>
                    <w:spacing w:line="240" w:lineRule="auto"/>
                    <w:ind w:left="0" w:leftChars="0"/>
                    <w:rPr>
                      <w:b/>
                      <w:w w:val="100"/>
                      <w:sz w:val="21"/>
                      <w:szCs w:val="21"/>
                      <w:highlight w:val="none"/>
                    </w:rPr>
                  </w:pPr>
                </w:p>
              </w:tc>
              <w:tc>
                <w:tcPr>
                  <w:tcW w:w="478" w:type="pct"/>
                  <w:vMerge w:val="continue"/>
                  <w:vAlign w:val="center"/>
                </w:tcPr>
                <w:p w14:paraId="2E0175B3">
                  <w:pPr>
                    <w:pStyle w:val="2"/>
                    <w:snapToGrid w:val="0"/>
                    <w:spacing w:line="240" w:lineRule="auto"/>
                    <w:ind w:left="0" w:leftChars="0"/>
                    <w:rPr>
                      <w:b/>
                      <w:w w:val="100"/>
                      <w:sz w:val="21"/>
                      <w:szCs w:val="21"/>
                      <w:highlight w:val="none"/>
                    </w:rPr>
                  </w:pPr>
                </w:p>
              </w:tc>
              <w:tc>
                <w:tcPr>
                  <w:tcW w:w="647" w:type="pct"/>
                  <w:vMerge w:val="continue"/>
                  <w:vAlign w:val="center"/>
                </w:tcPr>
                <w:p w14:paraId="090D1E0F">
                  <w:pPr>
                    <w:pStyle w:val="2"/>
                    <w:snapToGrid w:val="0"/>
                    <w:spacing w:line="240" w:lineRule="auto"/>
                    <w:ind w:left="0" w:leftChars="0"/>
                    <w:rPr>
                      <w:b/>
                      <w:w w:val="100"/>
                      <w:sz w:val="21"/>
                      <w:szCs w:val="21"/>
                      <w:highlight w:val="none"/>
                    </w:rPr>
                  </w:pPr>
                </w:p>
              </w:tc>
            </w:tr>
            <w:tr w14:paraId="341278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5" w:type="pct"/>
                  <w:vAlign w:val="center"/>
                </w:tcPr>
                <w:p w14:paraId="56A32F3F">
                  <w:pPr>
                    <w:adjustRightInd w:val="0"/>
                    <w:snapToGrid w:val="0"/>
                    <w:jc w:val="center"/>
                    <w:rPr>
                      <w:bCs/>
                      <w:spacing w:val="-11"/>
                      <w:szCs w:val="21"/>
                      <w:highlight w:val="none"/>
                    </w:rPr>
                  </w:pPr>
                  <w:r>
                    <w:rPr>
                      <w:bCs/>
                      <w:spacing w:val="-11"/>
                      <w:szCs w:val="21"/>
                      <w:highlight w:val="none"/>
                    </w:rPr>
                    <w:t>DA001</w:t>
                  </w:r>
                </w:p>
              </w:tc>
              <w:tc>
                <w:tcPr>
                  <w:tcW w:w="1006" w:type="pct"/>
                  <w:shd w:val="clear" w:color="auto" w:fill="auto"/>
                  <w:vAlign w:val="center"/>
                </w:tcPr>
                <w:p w14:paraId="4D587627">
                  <w:pPr>
                    <w:jc w:val="center"/>
                    <w:rPr>
                      <w:rFonts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碱液喷淋</w:t>
                  </w:r>
                  <w:r>
                    <w:rPr>
                      <w:rFonts w:hint="eastAsia"/>
                      <w:szCs w:val="21"/>
                      <w:highlight w:val="none"/>
                    </w:rPr>
                    <w:t>排气筒</w:t>
                  </w:r>
                </w:p>
              </w:tc>
              <w:tc>
                <w:tcPr>
                  <w:tcW w:w="762" w:type="pct"/>
                  <w:vAlign w:val="center"/>
                </w:tcPr>
                <w:p w14:paraId="55B99015">
                  <w:pPr>
                    <w:widowControl/>
                    <w:adjustRightInd w:val="0"/>
                    <w:snapToGrid w:val="0"/>
                    <w:jc w:val="center"/>
                    <w:textAlignment w:val="center"/>
                    <w:rPr>
                      <w:bCs/>
                      <w:szCs w:val="21"/>
                      <w:highlight w:val="none"/>
                    </w:rPr>
                  </w:pPr>
                  <w:r>
                    <w:rPr>
                      <w:rFonts w:hint="eastAsia"/>
                      <w:bCs/>
                      <w:szCs w:val="21"/>
                      <w:highlight w:val="none"/>
                    </w:rPr>
                    <w:t>118.568605</w:t>
                  </w:r>
                  <w:r>
                    <w:rPr>
                      <w:bCs/>
                      <w:szCs w:val="21"/>
                      <w:highlight w:val="none"/>
                    </w:rPr>
                    <w:t>°</w:t>
                  </w:r>
                </w:p>
              </w:tc>
              <w:tc>
                <w:tcPr>
                  <w:tcW w:w="706" w:type="pct"/>
                  <w:vAlign w:val="center"/>
                </w:tcPr>
                <w:p w14:paraId="4AD94E45">
                  <w:pPr>
                    <w:widowControl/>
                    <w:adjustRightInd w:val="0"/>
                    <w:snapToGrid w:val="0"/>
                    <w:jc w:val="center"/>
                    <w:textAlignment w:val="center"/>
                    <w:rPr>
                      <w:bCs/>
                      <w:szCs w:val="21"/>
                      <w:highlight w:val="none"/>
                    </w:rPr>
                  </w:pPr>
                  <w:r>
                    <w:rPr>
                      <w:rFonts w:hint="eastAsia"/>
                      <w:bCs/>
                      <w:szCs w:val="21"/>
                      <w:highlight w:val="none"/>
                    </w:rPr>
                    <w:t>40.671542</w:t>
                  </w:r>
                  <w:r>
                    <w:rPr>
                      <w:bCs/>
                      <w:szCs w:val="21"/>
                      <w:highlight w:val="none"/>
                    </w:rPr>
                    <w:t>°</w:t>
                  </w:r>
                </w:p>
              </w:tc>
              <w:tc>
                <w:tcPr>
                  <w:tcW w:w="396" w:type="pct"/>
                  <w:vAlign w:val="center"/>
                </w:tcPr>
                <w:p w14:paraId="0D9C8257">
                  <w:pPr>
                    <w:widowControl/>
                    <w:jc w:val="center"/>
                    <w:textAlignment w:val="center"/>
                    <w:rPr>
                      <w:rFonts w:hint="eastAsia" w:eastAsia="宋体"/>
                      <w:szCs w:val="21"/>
                      <w:highlight w:val="none"/>
                      <w:lang w:val="en-US" w:eastAsia="zh-CN"/>
                    </w:rPr>
                  </w:pPr>
                  <w:r>
                    <w:rPr>
                      <w:rFonts w:hint="eastAsia"/>
                      <w:szCs w:val="21"/>
                      <w:highlight w:val="none"/>
                    </w:rPr>
                    <w:t>0.</w:t>
                  </w:r>
                  <w:r>
                    <w:rPr>
                      <w:rFonts w:hint="eastAsia"/>
                      <w:szCs w:val="21"/>
                      <w:highlight w:val="none"/>
                      <w:lang w:val="en-US" w:eastAsia="zh-CN"/>
                    </w:rPr>
                    <w:t>3</w:t>
                  </w:r>
                </w:p>
              </w:tc>
              <w:tc>
                <w:tcPr>
                  <w:tcW w:w="457" w:type="pct"/>
                  <w:vAlign w:val="center"/>
                </w:tcPr>
                <w:p w14:paraId="4840EBD7">
                  <w:pPr>
                    <w:snapToGrid w:val="0"/>
                    <w:jc w:val="center"/>
                    <w:rPr>
                      <w:rFonts w:hint="default" w:eastAsia="宋体"/>
                      <w:szCs w:val="21"/>
                      <w:highlight w:val="none"/>
                      <w:lang w:val="en-US" w:eastAsia="zh-CN"/>
                    </w:rPr>
                  </w:pPr>
                  <w:r>
                    <w:rPr>
                      <w:rFonts w:hint="eastAsia"/>
                      <w:szCs w:val="21"/>
                      <w:highlight w:val="none"/>
                      <w:lang w:val="en-US" w:eastAsia="zh-CN"/>
                    </w:rPr>
                    <w:t>15</w:t>
                  </w:r>
                </w:p>
              </w:tc>
              <w:tc>
                <w:tcPr>
                  <w:tcW w:w="478" w:type="pct"/>
                  <w:vAlign w:val="center"/>
                </w:tcPr>
                <w:p w14:paraId="7DA485B2">
                  <w:pPr>
                    <w:snapToGrid w:val="0"/>
                    <w:jc w:val="center"/>
                    <w:rPr>
                      <w:rFonts w:hint="default" w:eastAsia="宋体"/>
                      <w:szCs w:val="21"/>
                      <w:highlight w:val="none"/>
                      <w:lang w:val="en-US" w:eastAsia="zh-CN"/>
                    </w:rPr>
                  </w:pPr>
                  <w:r>
                    <w:rPr>
                      <w:rFonts w:hint="eastAsia"/>
                      <w:szCs w:val="21"/>
                      <w:highlight w:val="none"/>
                      <w:lang w:val="en-US" w:eastAsia="zh-CN"/>
                    </w:rPr>
                    <w:t>20</w:t>
                  </w:r>
                </w:p>
              </w:tc>
              <w:tc>
                <w:tcPr>
                  <w:tcW w:w="647" w:type="pct"/>
                  <w:vAlign w:val="center"/>
                </w:tcPr>
                <w:p w14:paraId="2BAA01C4">
                  <w:pPr>
                    <w:jc w:val="center"/>
                    <w:rPr>
                      <w:kern w:val="0"/>
                      <w:szCs w:val="21"/>
                      <w:highlight w:val="none"/>
                      <w:lang w:bidi="ar"/>
                    </w:rPr>
                  </w:pPr>
                  <w:r>
                    <w:rPr>
                      <w:rFonts w:hint="eastAsia"/>
                      <w:kern w:val="0"/>
                      <w:szCs w:val="21"/>
                      <w:highlight w:val="none"/>
                      <w:lang w:bidi="ar"/>
                    </w:rPr>
                    <w:t>一般排放口</w:t>
                  </w:r>
                </w:p>
              </w:tc>
            </w:tr>
            <w:tr w14:paraId="1DF43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5" w:type="pct"/>
                  <w:vAlign w:val="center"/>
                </w:tcPr>
                <w:p w14:paraId="43AC285D">
                  <w:pPr>
                    <w:adjustRightInd w:val="0"/>
                    <w:snapToGrid w:val="0"/>
                    <w:jc w:val="center"/>
                    <w:rPr>
                      <w:bCs/>
                      <w:spacing w:val="-11"/>
                      <w:szCs w:val="21"/>
                      <w:highlight w:val="none"/>
                    </w:rPr>
                  </w:pPr>
                  <w:r>
                    <w:rPr>
                      <w:bCs/>
                      <w:spacing w:val="-11"/>
                      <w:szCs w:val="21"/>
                      <w:highlight w:val="none"/>
                    </w:rPr>
                    <w:t>DA002</w:t>
                  </w:r>
                </w:p>
              </w:tc>
              <w:tc>
                <w:tcPr>
                  <w:tcW w:w="1006" w:type="pct"/>
                  <w:vAlign w:val="center"/>
                </w:tcPr>
                <w:p w14:paraId="3E95555F">
                  <w:pPr>
                    <w:snapToGrid w:val="0"/>
                    <w:jc w:val="center"/>
                    <w:rPr>
                      <w:rFonts w:hint="default"/>
                      <w:szCs w:val="21"/>
                      <w:highlight w:val="none"/>
                      <w:lang w:val="en-US"/>
                    </w:rPr>
                  </w:pPr>
                  <w:r>
                    <w:rPr>
                      <w:rFonts w:hint="eastAsia"/>
                      <w:szCs w:val="21"/>
                      <w:highlight w:val="none"/>
                      <w:lang w:val="en-US" w:eastAsia="zh-CN"/>
                    </w:rPr>
                    <w:t>活性炭吸附装置排气筒</w:t>
                  </w:r>
                </w:p>
              </w:tc>
              <w:tc>
                <w:tcPr>
                  <w:tcW w:w="762" w:type="pct"/>
                  <w:vAlign w:val="center"/>
                </w:tcPr>
                <w:p w14:paraId="01F8F256">
                  <w:pPr>
                    <w:widowControl/>
                    <w:adjustRightInd w:val="0"/>
                    <w:snapToGrid w:val="0"/>
                    <w:jc w:val="center"/>
                    <w:textAlignment w:val="center"/>
                    <w:rPr>
                      <w:bCs/>
                      <w:szCs w:val="21"/>
                      <w:highlight w:val="none"/>
                    </w:rPr>
                  </w:pPr>
                  <w:r>
                    <w:rPr>
                      <w:rFonts w:hint="eastAsia"/>
                      <w:bCs/>
                      <w:szCs w:val="21"/>
                      <w:highlight w:val="none"/>
                    </w:rPr>
                    <w:t>118.568476</w:t>
                  </w:r>
                  <w:r>
                    <w:rPr>
                      <w:bCs/>
                      <w:szCs w:val="21"/>
                      <w:highlight w:val="none"/>
                    </w:rPr>
                    <w:t>°</w:t>
                  </w:r>
                </w:p>
              </w:tc>
              <w:tc>
                <w:tcPr>
                  <w:tcW w:w="706" w:type="pct"/>
                  <w:vAlign w:val="center"/>
                </w:tcPr>
                <w:p w14:paraId="46757208">
                  <w:pPr>
                    <w:widowControl/>
                    <w:adjustRightInd w:val="0"/>
                    <w:snapToGrid w:val="0"/>
                    <w:jc w:val="center"/>
                    <w:textAlignment w:val="center"/>
                    <w:rPr>
                      <w:bCs/>
                      <w:szCs w:val="21"/>
                      <w:highlight w:val="none"/>
                    </w:rPr>
                  </w:pPr>
                  <w:r>
                    <w:rPr>
                      <w:rFonts w:hint="eastAsia"/>
                      <w:bCs/>
                      <w:szCs w:val="21"/>
                      <w:highlight w:val="none"/>
                    </w:rPr>
                    <w:t>40.671584</w:t>
                  </w:r>
                  <w:r>
                    <w:rPr>
                      <w:bCs/>
                      <w:szCs w:val="21"/>
                      <w:highlight w:val="none"/>
                    </w:rPr>
                    <w:t>°</w:t>
                  </w:r>
                </w:p>
              </w:tc>
              <w:tc>
                <w:tcPr>
                  <w:tcW w:w="396" w:type="pct"/>
                  <w:vAlign w:val="center"/>
                </w:tcPr>
                <w:p w14:paraId="22A47DDE">
                  <w:pPr>
                    <w:widowControl/>
                    <w:jc w:val="center"/>
                    <w:textAlignment w:val="center"/>
                    <w:rPr>
                      <w:rFonts w:hint="eastAsia" w:eastAsia="宋体"/>
                      <w:szCs w:val="21"/>
                      <w:highlight w:val="none"/>
                      <w:lang w:val="en-US" w:eastAsia="zh-CN"/>
                    </w:rPr>
                  </w:pPr>
                  <w:r>
                    <w:rPr>
                      <w:rFonts w:hint="eastAsia"/>
                      <w:szCs w:val="21"/>
                      <w:highlight w:val="none"/>
                    </w:rPr>
                    <w:t>0.</w:t>
                  </w:r>
                  <w:r>
                    <w:rPr>
                      <w:rFonts w:hint="eastAsia"/>
                      <w:szCs w:val="21"/>
                      <w:highlight w:val="none"/>
                      <w:lang w:val="en-US" w:eastAsia="zh-CN"/>
                    </w:rPr>
                    <w:t>3</w:t>
                  </w:r>
                </w:p>
              </w:tc>
              <w:tc>
                <w:tcPr>
                  <w:tcW w:w="457" w:type="pct"/>
                  <w:vAlign w:val="center"/>
                </w:tcPr>
                <w:p w14:paraId="1B7D79C7">
                  <w:pPr>
                    <w:snapToGrid w:val="0"/>
                    <w:jc w:val="center"/>
                    <w:rPr>
                      <w:szCs w:val="21"/>
                      <w:highlight w:val="none"/>
                    </w:rPr>
                  </w:pPr>
                  <w:r>
                    <w:rPr>
                      <w:szCs w:val="21"/>
                      <w:highlight w:val="none"/>
                    </w:rPr>
                    <w:t>15</w:t>
                  </w:r>
                </w:p>
              </w:tc>
              <w:tc>
                <w:tcPr>
                  <w:tcW w:w="478" w:type="pct"/>
                  <w:vAlign w:val="center"/>
                </w:tcPr>
                <w:p w14:paraId="37B58FC0">
                  <w:pPr>
                    <w:snapToGrid w:val="0"/>
                    <w:jc w:val="center"/>
                    <w:rPr>
                      <w:szCs w:val="21"/>
                      <w:highlight w:val="none"/>
                    </w:rPr>
                  </w:pPr>
                  <w:r>
                    <w:rPr>
                      <w:szCs w:val="21"/>
                      <w:highlight w:val="none"/>
                    </w:rPr>
                    <w:t>20</w:t>
                  </w:r>
                </w:p>
              </w:tc>
              <w:tc>
                <w:tcPr>
                  <w:tcW w:w="647" w:type="pct"/>
                  <w:vAlign w:val="center"/>
                </w:tcPr>
                <w:p w14:paraId="4B588507">
                  <w:pPr>
                    <w:jc w:val="center"/>
                    <w:rPr>
                      <w:kern w:val="0"/>
                      <w:szCs w:val="21"/>
                      <w:highlight w:val="none"/>
                      <w:lang w:bidi="ar"/>
                    </w:rPr>
                  </w:pPr>
                  <w:r>
                    <w:rPr>
                      <w:rFonts w:hint="eastAsia"/>
                      <w:kern w:val="0"/>
                      <w:szCs w:val="21"/>
                      <w:highlight w:val="none"/>
                      <w:lang w:bidi="ar"/>
                    </w:rPr>
                    <w:t>一般排放口</w:t>
                  </w:r>
                </w:p>
              </w:tc>
            </w:tr>
          </w:tbl>
          <w:p w14:paraId="388061E8">
            <w:pPr>
              <w:spacing w:before="120" w:beforeLines="50" w:line="360" w:lineRule="auto"/>
              <w:ind w:firstLine="482"/>
              <w:rPr>
                <w:b/>
                <w:sz w:val="24"/>
                <w:highlight w:val="none"/>
              </w:rPr>
            </w:pPr>
            <w:r>
              <w:rPr>
                <w:rFonts w:hint="eastAsia"/>
                <w:b/>
                <w:sz w:val="24"/>
                <w:highlight w:val="none"/>
              </w:rPr>
              <w:t>（</w:t>
            </w:r>
            <w:r>
              <w:rPr>
                <w:b/>
                <w:sz w:val="24"/>
                <w:highlight w:val="none"/>
              </w:rPr>
              <w:t>5</w:t>
            </w:r>
            <w:r>
              <w:rPr>
                <w:rFonts w:hint="eastAsia"/>
                <w:b/>
                <w:sz w:val="24"/>
                <w:highlight w:val="none"/>
              </w:rPr>
              <w:t>）污染物达标排放情况</w:t>
            </w:r>
          </w:p>
          <w:p w14:paraId="3038C877">
            <w:pPr>
              <w:spacing w:line="360" w:lineRule="auto"/>
              <w:ind w:firstLine="480"/>
              <w:rPr>
                <w:sz w:val="24"/>
                <w:highlight w:val="none"/>
              </w:rPr>
            </w:pPr>
            <w:r>
              <w:rPr>
                <w:sz w:val="24"/>
                <w:highlight w:val="none"/>
              </w:rPr>
              <w:t>①</w:t>
            </w:r>
            <w:r>
              <w:rPr>
                <w:rFonts w:hint="eastAsia"/>
                <w:sz w:val="24"/>
                <w:highlight w:val="none"/>
              </w:rPr>
              <w:t>有组织达标排放分析</w:t>
            </w:r>
          </w:p>
          <w:p w14:paraId="39500D42">
            <w:pPr>
              <w:snapToGrid w:val="0"/>
              <w:spacing w:line="360" w:lineRule="auto"/>
              <w:ind w:firstLine="480" w:firstLineChars="200"/>
              <w:jc w:val="left"/>
              <w:rPr>
                <w:sz w:val="24"/>
                <w:highlight w:val="none"/>
              </w:rPr>
            </w:pPr>
            <w:r>
              <w:rPr>
                <w:sz w:val="24"/>
                <w:highlight w:val="none"/>
              </w:rPr>
              <w:t>项目各工序有组织排放情况详见下表：</w:t>
            </w:r>
          </w:p>
          <w:p w14:paraId="142D7247">
            <w:pPr>
              <w:pStyle w:val="48"/>
              <w:numPr>
                <w:ilvl w:val="0"/>
                <w:numId w:val="9"/>
              </w:numPr>
              <w:spacing w:line="360" w:lineRule="auto"/>
              <w:ind w:left="0" w:firstLine="0" w:firstLineChars="0"/>
              <w:jc w:val="center"/>
              <w:rPr>
                <w:rFonts w:ascii="Times New Roman" w:hAnsi="Times New Roman" w:eastAsia="宋体"/>
                <w:b/>
                <w:sz w:val="21"/>
                <w:highlight w:val="none"/>
              </w:rPr>
            </w:pPr>
            <w:r>
              <w:rPr>
                <w:rFonts w:hint="eastAsia" w:ascii="Times New Roman" w:hAnsi="Times New Roman" w:eastAsia="宋体"/>
                <w:b/>
                <w:sz w:val="21"/>
                <w:highlight w:val="none"/>
              </w:rPr>
              <w:t>项目大气污染物有组织排放情况一览表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5"/>
              <w:gridCol w:w="1354"/>
              <w:gridCol w:w="1340"/>
              <w:gridCol w:w="1073"/>
              <w:gridCol w:w="998"/>
              <w:gridCol w:w="1180"/>
              <w:gridCol w:w="1024"/>
              <w:gridCol w:w="667"/>
            </w:tblGrid>
            <w:tr w14:paraId="3B3F35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5" w:type="dxa"/>
                  <w:vMerge w:val="restart"/>
                  <w:vAlign w:val="center"/>
                </w:tcPr>
                <w:p w14:paraId="10AB3EC3">
                  <w:pPr>
                    <w:snapToGrid w:val="0"/>
                    <w:jc w:val="center"/>
                    <w:rPr>
                      <w:b/>
                      <w:bCs/>
                      <w:szCs w:val="21"/>
                      <w:highlight w:val="none"/>
                    </w:rPr>
                  </w:pPr>
                  <w:r>
                    <w:rPr>
                      <w:b/>
                      <w:bCs/>
                      <w:szCs w:val="21"/>
                      <w:highlight w:val="none"/>
                    </w:rPr>
                    <w:t>排气筒</w:t>
                  </w:r>
                </w:p>
              </w:tc>
              <w:tc>
                <w:tcPr>
                  <w:tcW w:w="1355" w:type="dxa"/>
                  <w:vMerge w:val="restart"/>
                  <w:vAlign w:val="center"/>
                </w:tcPr>
                <w:p w14:paraId="14937FA8">
                  <w:pPr>
                    <w:snapToGrid w:val="0"/>
                    <w:jc w:val="center"/>
                    <w:rPr>
                      <w:b/>
                      <w:bCs/>
                      <w:szCs w:val="21"/>
                      <w:highlight w:val="none"/>
                    </w:rPr>
                  </w:pPr>
                  <w:r>
                    <w:rPr>
                      <w:b/>
                      <w:bCs/>
                      <w:szCs w:val="21"/>
                      <w:highlight w:val="none"/>
                    </w:rPr>
                    <w:t>产污节点</w:t>
                  </w:r>
                </w:p>
              </w:tc>
              <w:tc>
                <w:tcPr>
                  <w:tcW w:w="1341" w:type="dxa"/>
                  <w:vMerge w:val="restart"/>
                  <w:vAlign w:val="center"/>
                </w:tcPr>
                <w:p w14:paraId="79950813">
                  <w:pPr>
                    <w:snapToGrid w:val="0"/>
                    <w:jc w:val="center"/>
                    <w:rPr>
                      <w:b/>
                      <w:bCs/>
                      <w:szCs w:val="21"/>
                      <w:highlight w:val="none"/>
                    </w:rPr>
                  </w:pPr>
                  <w:r>
                    <w:rPr>
                      <w:b/>
                      <w:bCs/>
                      <w:szCs w:val="21"/>
                      <w:highlight w:val="none"/>
                    </w:rPr>
                    <w:t>污染物</w:t>
                  </w:r>
                </w:p>
              </w:tc>
              <w:tc>
                <w:tcPr>
                  <w:tcW w:w="2071" w:type="dxa"/>
                  <w:gridSpan w:val="2"/>
                  <w:vAlign w:val="center"/>
                </w:tcPr>
                <w:p w14:paraId="6563BC02">
                  <w:pPr>
                    <w:snapToGrid w:val="0"/>
                    <w:jc w:val="center"/>
                    <w:rPr>
                      <w:b/>
                      <w:bCs/>
                      <w:szCs w:val="21"/>
                      <w:highlight w:val="none"/>
                    </w:rPr>
                  </w:pPr>
                  <w:r>
                    <w:rPr>
                      <w:b/>
                      <w:bCs/>
                      <w:szCs w:val="21"/>
                      <w:highlight w:val="none"/>
                    </w:rPr>
                    <w:t>有组织排放参数</w:t>
                  </w:r>
                </w:p>
              </w:tc>
              <w:tc>
                <w:tcPr>
                  <w:tcW w:w="2204" w:type="dxa"/>
                  <w:gridSpan w:val="2"/>
                  <w:vAlign w:val="center"/>
                </w:tcPr>
                <w:p w14:paraId="3E30835A">
                  <w:pPr>
                    <w:pStyle w:val="74"/>
                    <w:spacing w:line="240" w:lineRule="auto"/>
                    <w:jc w:val="center"/>
                    <w:rPr>
                      <w:rFonts w:ascii="Times New Roman" w:hAnsi="Times New Roman" w:eastAsia="宋体" w:cs="Times New Roman"/>
                      <w:b/>
                      <w:szCs w:val="21"/>
                      <w:highlight w:val="none"/>
                    </w:rPr>
                  </w:pPr>
                  <w:r>
                    <w:rPr>
                      <w:rFonts w:ascii="Times New Roman" w:hAnsi="Times New Roman" w:eastAsia="宋体" w:cs="Times New Roman"/>
                      <w:b/>
                      <w:szCs w:val="21"/>
                      <w:highlight w:val="none"/>
                    </w:rPr>
                    <w:t>排放标准</w:t>
                  </w:r>
                </w:p>
              </w:tc>
              <w:tc>
                <w:tcPr>
                  <w:tcW w:w="667" w:type="dxa"/>
                  <w:vMerge w:val="restart"/>
                  <w:vAlign w:val="center"/>
                </w:tcPr>
                <w:p w14:paraId="662BD960">
                  <w:pPr>
                    <w:snapToGrid w:val="0"/>
                    <w:jc w:val="center"/>
                    <w:rPr>
                      <w:b/>
                      <w:bCs/>
                      <w:szCs w:val="21"/>
                      <w:highlight w:val="none"/>
                    </w:rPr>
                  </w:pPr>
                  <w:r>
                    <w:rPr>
                      <w:b/>
                      <w:bCs/>
                      <w:szCs w:val="21"/>
                      <w:highlight w:val="none"/>
                    </w:rPr>
                    <w:t>是否达标</w:t>
                  </w:r>
                </w:p>
              </w:tc>
            </w:tr>
            <w:tr w14:paraId="112678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5" w:type="dxa"/>
                  <w:vMerge w:val="continue"/>
                  <w:vAlign w:val="center"/>
                </w:tcPr>
                <w:p w14:paraId="02E9EDDB">
                  <w:pPr>
                    <w:snapToGrid w:val="0"/>
                    <w:jc w:val="center"/>
                    <w:rPr>
                      <w:b/>
                      <w:bCs/>
                      <w:szCs w:val="21"/>
                      <w:highlight w:val="none"/>
                    </w:rPr>
                  </w:pPr>
                </w:p>
              </w:tc>
              <w:tc>
                <w:tcPr>
                  <w:tcW w:w="1355" w:type="dxa"/>
                  <w:vMerge w:val="continue"/>
                  <w:vAlign w:val="center"/>
                </w:tcPr>
                <w:p w14:paraId="6356A0BB">
                  <w:pPr>
                    <w:snapToGrid w:val="0"/>
                    <w:jc w:val="center"/>
                    <w:rPr>
                      <w:b/>
                      <w:bCs/>
                      <w:szCs w:val="21"/>
                      <w:highlight w:val="none"/>
                    </w:rPr>
                  </w:pPr>
                </w:p>
              </w:tc>
              <w:tc>
                <w:tcPr>
                  <w:tcW w:w="1341" w:type="dxa"/>
                  <w:vMerge w:val="continue"/>
                  <w:vAlign w:val="center"/>
                </w:tcPr>
                <w:p w14:paraId="0D610C4B">
                  <w:pPr>
                    <w:snapToGrid w:val="0"/>
                    <w:jc w:val="center"/>
                    <w:rPr>
                      <w:b/>
                      <w:bCs/>
                      <w:szCs w:val="21"/>
                      <w:highlight w:val="none"/>
                    </w:rPr>
                  </w:pPr>
                </w:p>
              </w:tc>
              <w:tc>
                <w:tcPr>
                  <w:tcW w:w="1073" w:type="dxa"/>
                  <w:vAlign w:val="center"/>
                </w:tcPr>
                <w:p w14:paraId="5F214201">
                  <w:pPr>
                    <w:snapToGrid w:val="0"/>
                    <w:jc w:val="center"/>
                    <w:rPr>
                      <w:b/>
                      <w:bCs/>
                      <w:szCs w:val="21"/>
                      <w:highlight w:val="none"/>
                    </w:rPr>
                  </w:pPr>
                  <w:r>
                    <w:rPr>
                      <w:b/>
                      <w:bCs/>
                      <w:szCs w:val="21"/>
                      <w:highlight w:val="none"/>
                    </w:rPr>
                    <w:t>排放浓度</w:t>
                  </w:r>
                  <w:r>
                    <w:rPr>
                      <w:rFonts w:hint="eastAsia"/>
                      <w:b/>
                      <w:bCs/>
                      <w:szCs w:val="21"/>
                      <w:highlight w:val="none"/>
                      <w:lang w:eastAsia="zh-CN"/>
                    </w:rPr>
                    <w:t>（</w:t>
                  </w:r>
                  <w:r>
                    <w:rPr>
                      <w:b/>
                      <w:bCs/>
                      <w:szCs w:val="21"/>
                      <w:highlight w:val="none"/>
                    </w:rPr>
                    <w:t>mg/m³)</w:t>
                  </w:r>
                </w:p>
              </w:tc>
              <w:tc>
                <w:tcPr>
                  <w:tcW w:w="998" w:type="dxa"/>
                  <w:vAlign w:val="center"/>
                </w:tcPr>
                <w:p w14:paraId="19EE1960">
                  <w:pPr>
                    <w:snapToGrid w:val="0"/>
                    <w:jc w:val="center"/>
                    <w:rPr>
                      <w:b/>
                      <w:bCs/>
                      <w:szCs w:val="21"/>
                      <w:highlight w:val="none"/>
                    </w:rPr>
                  </w:pPr>
                  <w:r>
                    <w:rPr>
                      <w:b/>
                      <w:bCs/>
                      <w:szCs w:val="21"/>
                      <w:highlight w:val="none"/>
                    </w:rPr>
                    <w:t>排放速率</w:t>
                  </w:r>
                  <w:r>
                    <w:rPr>
                      <w:rFonts w:hint="eastAsia"/>
                      <w:b/>
                      <w:bCs/>
                      <w:szCs w:val="21"/>
                      <w:highlight w:val="none"/>
                      <w:lang w:eastAsia="zh-CN"/>
                    </w:rPr>
                    <w:t>（</w:t>
                  </w:r>
                  <w:r>
                    <w:rPr>
                      <w:b/>
                      <w:bCs/>
                      <w:szCs w:val="21"/>
                      <w:highlight w:val="none"/>
                    </w:rPr>
                    <w:t>kg/h)</w:t>
                  </w:r>
                </w:p>
              </w:tc>
              <w:tc>
                <w:tcPr>
                  <w:tcW w:w="1180" w:type="dxa"/>
                  <w:vAlign w:val="center"/>
                </w:tcPr>
                <w:p w14:paraId="5E5038C3">
                  <w:pPr>
                    <w:pStyle w:val="74"/>
                    <w:spacing w:line="240" w:lineRule="auto"/>
                    <w:jc w:val="center"/>
                    <w:rPr>
                      <w:rFonts w:ascii="Times New Roman" w:hAnsi="Times New Roman" w:eastAsia="宋体" w:cs="Times New Roman"/>
                      <w:b/>
                      <w:bCs/>
                      <w:szCs w:val="21"/>
                      <w:highlight w:val="none"/>
                    </w:rPr>
                  </w:pPr>
                  <w:r>
                    <w:rPr>
                      <w:rFonts w:ascii="Times New Roman" w:hAnsi="Times New Roman" w:eastAsia="宋体" w:cs="Times New Roman"/>
                      <w:b/>
                      <w:szCs w:val="21"/>
                      <w:highlight w:val="none"/>
                    </w:rPr>
                    <w:t>排放限值</w:t>
                  </w:r>
                  <w:r>
                    <w:rPr>
                      <w:rFonts w:hint="eastAsia" w:ascii="Times New Roman" w:hAnsi="Times New Roman" w:eastAsia="宋体" w:cs="Times New Roman"/>
                      <w:b/>
                      <w:szCs w:val="21"/>
                      <w:highlight w:val="none"/>
                      <w:lang w:eastAsia="zh-CN"/>
                    </w:rPr>
                    <w:t>（</w:t>
                  </w:r>
                  <w:r>
                    <w:rPr>
                      <w:rFonts w:ascii="Times New Roman" w:hAnsi="Times New Roman" w:eastAsia="宋体" w:cs="Times New Roman"/>
                      <w:b/>
                      <w:bCs/>
                      <w:szCs w:val="21"/>
                      <w:highlight w:val="none"/>
                    </w:rPr>
                    <w:t>mg/m³</w:t>
                  </w:r>
                  <w:r>
                    <w:rPr>
                      <w:b/>
                      <w:bCs/>
                      <w:szCs w:val="21"/>
                      <w:highlight w:val="none"/>
                    </w:rPr>
                    <w:t>)</w:t>
                  </w:r>
                </w:p>
              </w:tc>
              <w:tc>
                <w:tcPr>
                  <w:tcW w:w="1024" w:type="dxa"/>
                  <w:vAlign w:val="center"/>
                </w:tcPr>
                <w:p w14:paraId="469E7638">
                  <w:pPr>
                    <w:pStyle w:val="74"/>
                    <w:spacing w:line="240" w:lineRule="auto"/>
                    <w:jc w:val="center"/>
                    <w:rPr>
                      <w:rFonts w:ascii="Times New Roman" w:hAnsi="Times New Roman" w:eastAsia="宋体" w:cs="Times New Roman"/>
                      <w:b/>
                      <w:szCs w:val="21"/>
                      <w:highlight w:val="none"/>
                    </w:rPr>
                  </w:pPr>
                  <w:r>
                    <w:rPr>
                      <w:rFonts w:ascii="Times New Roman" w:hAnsi="Times New Roman" w:eastAsia="宋体" w:cs="Times New Roman"/>
                      <w:b/>
                      <w:bCs/>
                      <w:szCs w:val="21"/>
                      <w:highlight w:val="none"/>
                    </w:rPr>
                    <w:t>排放速率</w:t>
                  </w:r>
                  <w:r>
                    <w:rPr>
                      <w:rFonts w:hint="eastAsia" w:ascii="Times New Roman" w:hAnsi="Times New Roman" w:eastAsia="宋体" w:cs="Times New Roman"/>
                      <w:b/>
                      <w:bCs/>
                      <w:szCs w:val="21"/>
                      <w:highlight w:val="none"/>
                      <w:lang w:eastAsia="zh-CN"/>
                    </w:rPr>
                    <w:t>（</w:t>
                  </w:r>
                  <w:r>
                    <w:rPr>
                      <w:rFonts w:ascii="Times New Roman" w:hAnsi="Times New Roman" w:eastAsia="宋体" w:cs="Times New Roman"/>
                      <w:b/>
                      <w:bCs/>
                      <w:szCs w:val="21"/>
                      <w:highlight w:val="none"/>
                    </w:rPr>
                    <w:t>kg/h</w:t>
                  </w:r>
                  <w:r>
                    <w:rPr>
                      <w:b/>
                      <w:bCs/>
                      <w:szCs w:val="21"/>
                      <w:highlight w:val="none"/>
                    </w:rPr>
                    <w:t>)</w:t>
                  </w:r>
                </w:p>
              </w:tc>
              <w:tc>
                <w:tcPr>
                  <w:tcW w:w="667" w:type="dxa"/>
                  <w:vMerge w:val="continue"/>
                  <w:vAlign w:val="center"/>
                </w:tcPr>
                <w:p w14:paraId="482A12F7">
                  <w:pPr>
                    <w:snapToGrid w:val="0"/>
                    <w:jc w:val="center"/>
                    <w:rPr>
                      <w:b/>
                      <w:bCs/>
                      <w:szCs w:val="21"/>
                      <w:highlight w:val="none"/>
                    </w:rPr>
                  </w:pPr>
                </w:p>
              </w:tc>
            </w:tr>
            <w:tr w14:paraId="5217F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825" w:type="dxa"/>
                  <w:vAlign w:val="center"/>
                </w:tcPr>
                <w:p w14:paraId="5224BFAF">
                  <w:pPr>
                    <w:adjustRightInd w:val="0"/>
                    <w:snapToGrid w:val="0"/>
                    <w:jc w:val="center"/>
                    <w:rPr>
                      <w:bCs/>
                      <w:spacing w:val="-11"/>
                      <w:szCs w:val="21"/>
                      <w:highlight w:val="none"/>
                    </w:rPr>
                  </w:pPr>
                  <w:r>
                    <w:rPr>
                      <w:bCs/>
                      <w:spacing w:val="-11"/>
                      <w:szCs w:val="21"/>
                      <w:highlight w:val="none"/>
                    </w:rPr>
                    <w:t>DA001</w:t>
                  </w:r>
                </w:p>
              </w:tc>
              <w:tc>
                <w:tcPr>
                  <w:tcW w:w="1355" w:type="dxa"/>
                  <w:vAlign w:val="center"/>
                </w:tcPr>
                <w:p w14:paraId="66DA6B06">
                  <w:pPr>
                    <w:jc w:val="center"/>
                    <w:rPr>
                      <w:szCs w:val="21"/>
                      <w:highlight w:val="none"/>
                    </w:rPr>
                  </w:pPr>
                  <w:r>
                    <w:rPr>
                      <w:rFonts w:hint="eastAsia"/>
                      <w:szCs w:val="21"/>
                      <w:highlight w:val="none"/>
                      <w:lang w:val="en-US" w:eastAsia="zh-CN"/>
                    </w:rPr>
                    <w:t>碱液喷淋</w:t>
                  </w:r>
                  <w:r>
                    <w:rPr>
                      <w:rFonts w:hint="eastAsia"/>
                      <w:szCs w:val="21"/>
                      <w:highlight w:val="none"/>
                    </w:rPr>
                    <w:t>排气筒</w:t>
                  </w:r>
                </w:p>
              </w:tc>
              <w:tc>
                <w:tcPr>
                  <w:tcW w:w="1341" w:type="dxa"/>
                  <w:shd w:val="clear" w:color="auto" w:fill="auto"/>
                  <w:vAlign w:val="center"/>
                </w:tcPr>
                <w:p w14:paraId="6448A5D6">
                  <w:pPr>
                    <w:jc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氯化氢</w:t>
                  </w:r>
                </w:p>
              </w:tc>
              <w:tc>
                <w:tcPr>
                  <w:tcW w:w="1073" w:type="dxa"/>
                  <w:shd w:val="clear" w:color="auto" w:fill="auto"/>
                  <w:vAlign w:val="center"/>
                </w:tcPr>
                <w:p w14:paraId="520EE8B8">
                  <w:pPr>
                    <w:jc w:val="center"/>
                    <w:rPr>
                      <w:rFonts w:hint="default" w:ascii="Times New Roman" w:hAnsi="Times New Roman" w:eastAsia="宋体" w:cs="Times New Roman"/>
                      <w:kern w:val="0"/>
                      <w:sz w:val="21"/>
                      <w:szCs w:val="21"/>
                      <w:highlight w:val="none"/>
                      <w:lang w:val="en-US" w:eastAsia="zh-CN" w:bidi="ar"/>
                    </w:rPr>
                  </w:pPr>
                  <w:r>
                    <w:rPr>
                      <w:rFonts w:hint="eastAsia" w:cs="Times New Roman"/>
                      <w:kern w:val="0"/>
                      <w:sz w:val="21"/>
                      <w:szCs w:val="21"/>
                      <w:highlight w:val="none"/>
                      <w:lang w:val="en-US" w:eastAsia="zh-CN" w:bidi="ar"/>
                    </w:rPr>
                    <w:t>12.2</w:t>
                  </w:r>
                </w:p>
              </w:tc>
              <w:tc>
                <w:tcPr>
                  <w:tcW w:w="998" w:type="dxa"/>
                  <w:shd w:val="clear" w:color="auto" w:fill="auto"/>
                  <w:vAlign w:val="center"/>
                </w:tcPr>
                <w:p w14:paraId="2102BCDA">
                  <w:pPr>
                    <w:jc w:val="center"/>
                    <w:rPr>
                      <w:rFonts w:hint="default"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0.061</w:t>
                  </w:r>
                </w:p>
              </w:tc>
              <w:tc>
                <w:tcPr>
                  <w:tcW w:w="1180" w:type="dxa"/>
                  <w:shd w:val="clear" w:color="auto" w:fill="auto"/>
                  <w:vAlign w:val="center"/>
                </w:tcPr>
                <w:p w14:paraId="0113C127">
                  <w:pPr>
                    <w:snapToGrid w:val="0"/>
                    <w:jc w:val="center"/>
                    <w:rPr>
                      <w:rFonts w:hint="default"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100</w:t>
                  </w:r>
                </w:p>
              </w:tc>
              <w:tc>
                <w:tcPr>
                  <w:tcW w:w="1024" w:type="dxa"/>
                  <w:shd w:val="clear" w:color="auto" w:fill="auto"/>
                  <w:vAlign w:val="center"/>
                </w:tcPr>
                <w:p w14:paraId="6DE5B35B">
                  <w:pPr>
                    <w:snapToGrid w:val="0"/>
                    <w:jc w:val="center"/>
                    <w:rPr>
                      <w:rFonts w:hint="default"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0.26</w:t>
                  </w:r>
                </w:p>
              </w:tc>
              <w:tc>
                <w:tcPr>
                  <w:tcW w:w="667" w:type="dxa"/>
                  <w:vAlign w:val="center"/>
                </w:tcPr>
                <w:p w14:paraId="201EA120">
                  <w:pPr>
                    <w:snapToGrid w:val="0"/>
                    <w:jc w:val="center"/>
                    <w:rPr>
                      <w:szCs w:val="21"/>
                      <w:highlight w:val="none"/>
                    </w:rPr>
                  </w:pPr>
                  <w:r>
                    <w:rPr>
                      <w:szCs w:val="21"/>
                      <w:highlight w:val="none"/>
                    </w:rPr>
                    <w:t>达标</w:t>
                  </w:r>
                </w:p>
              </w:tc>
            </w:tr>
            <w:tr w14:paraId="3B996D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5" w:type="dxa"/>
                  <w:vMerge w:val="restart"/>
                  <w:vAlign w:val="center"/>
                </w:tcPr>
                <w:p w14:paraId="58E4A35D">
                  <w:pPr>
                    <w:adjustRightInd w:val="0"/>
                    <w:snapToGrid w:val="0"/>
                    <w:jc w:val="center"/>
                    <w:rPr>
                      <w:bCs/>
                      <w:spacing w:val="-11"/>
                      <w:szCs w:val="21"/>
                      <w:highlight w:val="none"/>
                    </w:rPr>
                  </w:pPr>
                  <w:r>
                    <w:rPr>
                      <w:bCs/>
                      <w:spacing w:val="-11"/>
                      <w:szCs w:val="21"/>
                      <w:highlight w:val="none"/>
                    </w:rPr>
                    <w:t>DA002</w:t>
                  </w:r>
                </w:p>
              </w:tc>
              <w:tc>
                <w:tcPr>
                  <w:tcW w:w="1355" w:type="dxa"/>
                  <w:vMerge w:val="restart"/>
                  <w:vAlign w:val="center"/>
                </w:tcPr>
                <w:p w14:paraId="565C1B73">
                  <w:pPr>
                    <w:snapToGrid w:val="0"/>
                    <w:jc w:val="center"/>
                    <w:rPr>
                      <w:szCs w:val="21"/>
                      <w:highlight w:val="none"/>
                    </w:rPr>
                  </w:pPr>
                  <w:r>
                    <w:rPr>
                      <w:rFonts w:hint="eastAsia"/>
                      <w:szCs w:val="21"/>
                      <w:highlight w:val="none"/>
                      <w:lang w:val="en-US" w:eastAsia="zh-CN"/>
                    </w:rPr>
                    <w:t>活性炭吸附装置排气筒</w:t>
                  </w:r>
                </w:p>
              </w:tc>
              <w:tc>
                <w:tcPr>
                  <w:tcW w:w="1341" w:type="dxa"/>
                  <w:vAlign w:val="center"/>
                </w:tcPr>
                <w:p w14:paraId="2695DD80">
                  <w:pPr>
                    <w:jc w:val="center"/>
                    <w:rPr>
                      <w:rFonts w:hint="eastAsia" w:eastAsia="宋体"/>
                      <w:szCs w:val="21"/>
                      <w:highlight w:val="none"/>
                      <w:lang w:eastAsia="zh-CN"/>
                    </w:rPr>
                  </w:pPr>
                  <w:r>
                    <w:rPr>
                      <w:rFonts w:hint="eastAsia"/>
                      <w:szCs w:val="21"/>
                      <w:highlight w:val="none"/>
                      <w:lang w:val="en-US" w:eastAsia="zh-CN"/>
                    </w:rPr>
                    <w:t>非甲烷总烃</w:t>
                  </w:r>
                </w:p>
              </w:tc>
              <w:tc>
                <w:tcPr>
                  <w:tcW w:w="1073" w:type="dxa"/>
                  <w:shd w:val="clear" w:color="auto" w:fill="auto"/>
                  <w:vAlign w:val="center"/>
                </w:tcPr>
                <w:p w14:paraId="5E5F3F5B">
                  <w:pPr>
                    <w:widowControl/>
                    <w:jc w:val="center"/>
                    <w:textAlignment w:val="center"/>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3.2</w:t>
                  </w:r>
                </w:p>
              </w:tc>
              <w:tc>
                <w:tcPr>
                  <w:tcW w:w="998" w:type="dxa"/>
                  <w:shd w:val="clear" w:color="auto" w:fill="auto"/>
                  <w:vAlign w:val="center"/>
                </w:tcPr>
                <w:p w14:paraId="070E6752">
                  <w:pPr>
                    <w:widowControl/>
                    <w:jc w:val="center"/>
                    <w:textAlignment w:val="center"/>
                    <w:rPr>
                      <w:rFonts w:hint="default"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0.016</w:t>
                  </w:r>
                </w:p>
              </w:tc>
              <w:tc>
                <w:tcPr>
                  <w:tcW w:w="1180" w:type="dxa"/>
                  <w:vAlign w:val="center"/>
                </w:tcPr>
                <w:p w14:paraId="4E9E5F6C">
                  <w:pPr>
                    <w:snapToGrid w:val="0"/>
                    <w:jc w:val="center"/>
                    <w:rPr>
                      <w:rFonts w:hint="default" w:eastAsia="宋体"/>
                      <w:szCs w:val="21"/>
                      <w:highlight w:val="none"/>
                      <w:lang w:val="en-US" w:eastAsia="zh-CN"/>
                    </w:rPr>
                  </w:pPr>
                  <w:r>
                    <w:rPr>
                      <w:rFonts w:hint="eastAsia"/>
                      <w:szCs w:val="21"/>
                      <w:highlight w:val="none"/>
                      <w:lang w:val="en-US" w:eastAsia="zh-CN"/>
                    </w:rPr>
                    <w:t>80</w:t>
                  </w:r>
                </w:p>
              </w:tc>
              <w:tc>
                <w:tcPr>
                  <w:tcW w:w="1024" w:type="dxa"/>
                  <w:vAlign w:val="center"/>
                </w:tcPr>
                <w:p w14:paraId="2CBF99A3">
                  <w:pPr>
                    <w:snapToGrid w:val="0"/>
                    <w:jc w:val="center"/>
                    <w:rPr>
                      <w:rFonts w:hint="eastAsia" w:eastAsia="宋体"/>
                      <w:szCs w:val="21"/>
                      <w:highlight w:val="none"/>
                      <w:lang w:eastAsia="zh-CN"/>
                    </w:rPr>
                  </w:pPr>
                  <w:r>
                    <w:rPr>
                      <w:rFonts w:hint="eastAsia"/>
                      <w:szCs w:val="21"/>
                      <w:highlight w:val="none"/>
                      <w:lang w:val="en-US" w:eastAsia="zh-CN"/>
                    </w:rPr>
                    <w:t>/</w:t>
                  </w:r>
                </w:p>
              </w:tc>
              <w:tc>
                <w:tcPr>
                  <w:tcW w:w="667" w:type="dxa"/>
                  <w:vAlign w:val="center"/>
                </w:tcPr>
                <w:p w14:paraId="4D75CF2A">
                  <w:pPr>
                    <w:snapToGrid w:val="0"/>
                    <w:jc w:val="center"/>
                    <w:rPr>
                      <w:szCs w:val="21"/>
                      <w:highlight w:val="none"/>
                    </w:rPr>
                  </w:pPr>
                  <w:r>
                    <w:rPr>
                      <w:szCs w:val="21"/>
                      <w:highlight w:val="none"/>
                    </w:rPr>
                    <w:t>达标</w:t>
                  </w:r>
                </w:p>
              </w:tc>
            </w:tr>
            <w:tr w14:paraId="2C3C92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5" w:type="dxa"/>
                  <w:vMerge w:val="continue"/>
                  <w:vAlign w:val="center"/>
                </w:tcPr>
                <w:p w14:paraId="6887A953">
                  <w:pPr>
                    <w:adjustRightInd w:val="0"/>
                    <w:snapToGrid w:val="0"/>
                    <w:jc w:val="center"/>
                    <w:rPr>
                      <w:bCs/>
                      <w:spacing w:val="-11"/>
                      <w:szCs w:val="21"/>
                      <w:highlight w:val="none"/>
                    </w:rPr>
                  </w:pPr>
                </w:p>
              </w:tc>
              <w:tc>
                <w:tcPr>
                  <w:tcW w:w="1355" w:type="dxa"/>
                  <w:vMerge w:val="continue"/>
                  <w:vAlign w:val="center"/>
                </w:tcPr>
                <w:p w14:paraId="17530470">
                  <w:pPr>
                    <w:snapToGrid w:val="0"/>
                    <w:jc w:val="center"/>
                    <w:rPr>
                      <w:rFonts w:hint="eastAsia"/>
                      <w:szCs w:val="21"/>
                      <w:highlight w:val="none"/>
                      <w:lang w:val="en-US" w:eastAsia="zh-CN"/>
                    </w:rPr>
                  </w:pPr>
                </w:p>
              </w:tc>
              <w:tc>
                <w:tcPr>
                  <w:tcW w:w="1341" w:type="dxa"/>
                  <w:vAlign w:val="center"/>
                </w:tcPr>
                <w:p w14:paraId="3081FA35">
                  <w:pPr>
                    <w:jc w:val="center"/>
                    <w:rPr>
                      <w:rFonts w:hint="default"/>
                      <w:szCs w:val="21"/>
                      <w:highlight w:val="none"/>
                      <w:lang w:val="en-US" w:eastAsia="zh-CN"/>
                    </w:rPr>
                  </w:pPr>
                  <w:r>
                    <w:rPr>
                      <w:rFonts w:hint="eastAsia"/>
                      <w:szCs w:val="21"/>
                      <w:highlight w:val="none"/>
                      <w:lang w:val="en-US" w:eastAsia="zh-CN"/>
                    </w:rPr>
                    <w:t>氨</w:t>
                  </w:r>
                </w:p>
              </w:tc>
              <w:tc>
                <w:tcPr>
                  <w:tcW w:w="1073" w:type="dxa"/>
                  <w:shd w:val="clear" w:color="auto" w:fill="auto"/>
                  <w:vAlign w:val="center"/>
                </w:tcPr>
                <w:p w14:paraId="054DBA73">
                  <w:pPr>
                    <w:widowControl/>
                    <w:jc w:val="center"/>
                    <w:textAlignment w:val="center"/>
                    <w:rPr>
                      <w:rFonts w:hint="default" w:cs="Times New Roman"/>
                      <w:kern w:val="2"/>
                      <w:sz w:val="21"/>
                      <w:szCs w:val="21"/>
                      <w:highlight w:val="none"/>
                      <w:lang w:val="en-US" w:eastAsia="zh-CN" w:bidi="ar-SA"/>
                    </w:rPr>
                  </w:pPr>
                  <w:r>
                    <w:rPr>
                      <w:rFonts w:hint="eastAsia" w:cs="Times New Roman"/>
                      <w:kern w:val="2"/>
                      <w:sz w:val="21"/>
                      <w:szCs w:val="21"/>
                      <w:highlight w:val="none"/>
                      <w:lang w:val="en-US" w:eastAsia="zh-CN" w:bidi="ar-SA"/>
                    </w:rPr>
                    <w:t>3</w:t>
                  </w:r>
                </w:p>
              </w:tc>
              <w:tc>
                <w:tcPr>
                  <w:tcW w:w="998" w:type="dxa"/>
                  <w:shd w:val="clear" w:color="auto" w:fill="auto"/>
                  <w:vAlign w:val="center"/>
                </w:tcPr>
                <w:p w14:paraId="7531051F">
                  <w:pPr>
                    <w:widowControl/>
                    <w:jc w:val="center"/>
                    <w:textAlignment w:val="center"/>
                    <w:rPr>
                      <w:rFonts w:hint="default"/>
                      <w:kern w:val="0"/>
                      <w:szCs w:val="21"/>
                      <w:highlight w:val="none"/>
                      <w:lang w:val="en-US" w:eastAsia="zh-CN" w:bidi="ar"/>
                    </w:rPr>
                  </w:pPr>
                  <w:r>
                    <w:rPr>
                      <w:rFonts w:hint="eastAsia"/>
                      <w:kern w:val="0"/>
                      <w:szCs w:val="21"/>
                      <w:highlight w:val="none"/>
                      <w:lang w:val="en-US" w:eastAsia="zh-CN" w:bidi="ar"/>
                    </w:rPr>
                    <w:t>0.015</w:t>
                  </w:r>
                </w:p>
              </w:tc>
              <w:tc>
                <w:tcPr>
                  <w:tcW w:w="1180" w:type="dxa"/>
                  <w:vAlign w:val="center"/>
                </w:tcPr>
                <w:p w14:paraId="6E6A1578">
                  <w:pPr>
                    <w:snapToGrid w:val="0"/>
                    <w:jc w:val="center"/>
                    <w:rPr>
                      <w:rFonts w:hint="default"/>
                      <w:szCs w:val="21"/>
                      <w:highlight w:val="none"/>
                      <w:lang w:val="en-US" w:eastAsia="zh-CN"/>
                    </w:rPr>
                  </w:pPr>
                  <w:r>
                    <w:rPr>
                      <w:rFonts w:hint="eastAsia"/>
                      <w:szCs w:val="21"/>
                      <w:highlight w:val="none"/>
                      <w:lang w:val="en-US" w:eastAsia="zh-CN"/>
                    </w:rPr>
                    <w:t>/</w:t>
                  </w:r>
                </w:p>
              </w:tc>
              <w:tc>
                <w:tcPr>
                  <w:tcW w:w="1024" w:type="dxa"/>
                  <w:vAlign w:val="center"/>
                </w:tcPr>
                <w:p w14:paraId="0FC6504F">
                  <w:pPr>
                    <w:snapToGrid w:val="0"/>
                    <w:jc w:val="center"/>
                    <w:rPr>
                      <w:rFonts w:hint="default"/>
                      <w:szCs w:val="21"/>
                      <w:highlight w:val="none"/>
                      <w:lang w:val="en-US" w:eastAsia="zh-CN"/>
                    </w:rPr>
                  </w:pPr>
                  <w:r>
                    <w:rPr>
                      <w:rFonts w:hint="eastAsia"/>
                      <w:szCs w:val="21"/>
                      <w:highlight w:val="none"/>
                      <w:lang w:val="en-US" w:eastAsia="zh-CN"/>
                    </w:rPr>
                    <w:t>4.9</w:t>
                  </w:r>
                </w:p>
              </w:tc>
              <w:tc>
                <w:tcPr>
                  <w:tcW w:w="667" w:type="dxa"/>
                  <w:vAlign w:val="center"/>
                </w:tcPr>
                <w:p w14:paraId="39185D07">
                  <w:pPr>
                    <w:snapToGrid w:val="0"/>
                    <w:jc w:val="center"/>
                    <w:rPr>
                      <w:szCs w:val="21"/>
                      <w:highlight w:val="none"/>
                    </w:rPr>
                  </w:pPr>
                  <w:r>
                    <w:rPr>
                      <w:szCs w:val="21"/>
                      <w:highlight w:val="none"/>
                    </w:rPr>
                    <w:t>达标</w:t>
                  </w:r>
                </w:p>
              </w:tc>
            </w:tr>
            <w:tr w14:paraId="74E1FF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5" w:type="dxa"/>
                  <w:vMerge w:val="continue"/>
                  <w:vAlign w:val="center"/>
                </w:tcPr>
                <w:p w14:paraId="481CC0B6">
                  <w:pPr>
                    <w:adjustRightInd w:val="0"/>
                    <w:snapToGrid w:val="0"/>
                    <w:jc w:val="center"/>
                    <w:rPr>
                      <w:bCs/>
                      <w:spacing w:val="-11"/>
                      <w:szCs w:val="21"/>
                      <w:highlight w:val="none"/>
                    </w:rPr>
                  </w:pPr>
                </w:p>
              </w:tc>
              <w:tc>
                <w:tcPr>
                  <w:tcW w:w="1355" w:type="dxa"/>
                  <w:vMerge w:val="continue"/>
                  <w:vAlign w:val="center"/>
                </w:tcPr>
                <w:p w14:paraId="214EA5F5">
                  <w:pPr>
                    <w:snapToGrid w:val="0"/>
                    <w:jc w:val="center"/>
                    <w:rPr>
                      <w:rFonts w:hint="eastAsia"/>
                      <w:szCs w:val="21"/>
                      <w:highlight w:val="none"/>
                      <w:lang w:val="en-US" w:eastAsia="zh-CN"/>
                    </w:rPr>
                  </w:pPr>
                </w:p>
              </w:tc>
              <w:tc>
                <w:tcPr>
                  <w:tcW w:w="1341" w:type="dxa"/>
                  <w:vAlign w:val="center"/>
                </w:tcPr>
                <w:p w14:paraId="5C3C024E">
                  <w:pPr>
                    <w:jc w:val="center"/>
                    <w:rPr>
                      <w:rFonts w:hint="default"/>
                      <w:szCs w:val="21"/>
                      <w:highlight w:val="none"/>
                      <w:lang w:val="en-US" w:eastAsia="zh-CN"/>
                    </w:rPr>
                  </w:pPr>
                  <w:r>
                    <w:rPr>
                      <w:rFonts w:hint="eastAsia"/>
                      <w:szCs w:val="21"/>
                      <w:highlight w:val="none"/>
                      <w:lang w:val="en-US" w:eastAsia="zh-CN"/>
                    </w:rPr>
                    <w:t>硫化氢</w:t>
                  </w:r>
                </w:p>
              </w:tc>
              <w:tc>
                <w:tcPr>
                  <w:tcW w:w="1073" w:type="dxa"/>
                  <w:shd w:val="clear" w:color="auto" w:fill="auto"/>
                  <w:vAlign w:val="center"/>
                </w:tcPr>
                <w:p w14:paraId="7E94EC55">
                  <w:pPr>
                    <w:widowControl/>
                    <w:jc w:val="center"/>
                    <w:textAlignment w:val="center"/>
                    <w:rPr>
                      <w:rFonts w:hint="default" w:cs="Times New Roman"/>
                      <w:kern w:val="2"/>
                      <w:sz w:val="21"/>
                      <w:szCs w:val="21"/>
                      <w:highlight w:val="none"/>
                      <w:lang w:val="en-US" w:eastAsia="zh-CN" w:bidi="ar-SA"/>
                    </w:rPr>
                  </w:pPr>
                  <w:r>
                    <w:rPr>
                      <w:rFonts w:hint="eastAsia" w:cs="Times New Roman"/>
                      <w:kern w:val="2"/>
                      <w:sz w:val="21"/>
                      <w:szCs w:val="21"/>
                      <w:highlight w:val="none"/>
                      <w:lang w:val="en-US" w:eastAsia="zh-CN" w:bidi="ar-SA"/>
                    </w:rPr>
                    <w:t>5.8</w:t>
                  </w:r>
                </w:p>
              </w:tc>
              <w:tc>
                <w:tcPr>
                  <w:tcW w:w="998" w:type="dxa"/>
                  <w:shd w:val="clear" w:color="auto" w:fill="auto"/>
                  <w:vAlign w:val="center"/>
                </w:tcPr>
                <w:p w14:paraId="7BC0EC41">
                  <w:pPr>
                    <w:widowControl/>
                    <w:jc w:val="center"/>
                    <w:textAlignment w:val="center"/>
                    <w:rPr>
                      <w:rFonts w:hint="default"/>
                      <w:kern w:val="0"/>
                      <w:szCs w:val="21"/>
                      <w:highlight w:val="none"/>
                      <w:lang w:val="en-US" w:eastAsia="zh-CN" w:bidi="ar"/>
                    </w:rPr>
                  </w:pPr>
                  <w:r>
                    <w:rPr>
                      <w:rFonts w:hint="eastAsia"/>
                      <w:kern w:val="0"/>
                      <w:szCs w:val="21"/>
                      <w:highlight w:val="none"/>
                      <w:lang w:val="en-US" w:eastAsia="zh-CN" w:bidi="ar"/>
                    </w:rPr>
                    <w:t>0.029</w:t>
                  </w:r>
                </w:p>
              </w:tc>
              <w:tc>
                <w:tcPr>
                  <w:tcW w:w="1180" w:type="dxa"/>
                  <w:vAlign w:val="center"/>
                </w:tcPr>
                <w:p w14:paraId="618B31AB">
                  <w:pPr>
                    <w:snapToGrid w:val="0"/>
                    <w:jc w:val="center"/>
                    <w:rPr>
                      <w:rFonts w:hint="default"/>
                      <w:szCs w:val="21"/>
                      <w:highlight w:val="none"/>
                      <w:lang w:val="en-US" w:eastAsia="zh-CN"/>
                    </w:rPr>
                  </w:pPr>
                  <w:r>
                    <w:rPr>
                      <w:rFonts w:hint="eastAsia"/>
                      <w:szCs w:val="21"/>
                      <w:highlight w:val="none"/>
                      <w:lang w:val="en-US" w:eastAsia="zh-CN"/>
                    </w:rPr>
                    <w:t>/</w:t>
                  </w:r>
                </w:p>
              </w:tc>
              <w:tc>
                <w:tcPr>
                  <w:tcW w:w="1024" w:type="dxa"/>
                  <w:vAlign w:val="center"/>
                </w:tcPr>
                <w:p w14:paraId="63966FFA">
                  <w:pPr>
                    <w:snapToGrid w:val="0"/>
                    <w:jc w:val="center"/>
                    <w:rPr>
                      <w:rFonts w:hint="default"/>
                      <w:szCs w:val="21"/>
                      <w:highlight w:val="none"/>
                      <w:lang w:val="en-US" w:eastAsia="zh-CN"/>
                    </w:rPr>
                  </w:pPr>
                  <w:r>
                    <w:rPr>
                      <w:rFonts w:hint="eastAsia"/>
                      <w:szCs w:val="21"/>
                      <w:highlight w:val="none"/>
                      <w:lang w:val="en-US" w:eastAsia="zh-CN"/>
                    </w:rPr>
                    <w:t>0.33</w:t>
                  </w:r>
                </w:p>
              </w:tc>
              <w:tc>
                <w:tcPr>
                  <w:tcW w:w="667" w:type="dxa"/>
                  <w:vAlign w:val="center"/>
                </w:tcPr>
                <w:p w14:paraId="6C48215D">
                  <w:pPr>
                    <w:snapToGrid w:val="0"/>
                    <w:jc w:val="center"/>
                    <w:rPr>
                      <w:szCs w:val="21"/>
                      <w:highlight w:val="none"/>
                    </w:rPr>
                  </w:pPr>
                  <w:r>
                    <w:rPr>
                      <w:szCs w:val="21"/>
                      <w:highlight w:val="none"/>
                    </w:rPr>
                    <w:t>达标</w:t>
                  </w:r>
                </w:p>
              </w:tc>
            </w:tr>
            <w:tr w14:paraId="1522AC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5" w:type="dxa"/>
                  <w:vMerge w:val="continue"/>
                  <w:vAlign w:val="center"/>
                </w:tcPr>
                <w:p w14:paraId="78FF56DA">
                  <w:pPr>
                    <w:adjustRightInd w:val="0"/>
                    <w:snapToGrid w:val="0"/>
                    <w:jc w:val="center"/>
                    <w:rPr>
                      <w:bCs/>
                      <w:spacing w:val="-11"/>
                      <w:szCs w:val="21"/>
                      <w:highlight w:val="none"/>
                    </w:rPr>
                  </w:pPr>
                </w:p>
              </w:tc>
              <w:tc>
                <w:tcPr>
                  <w:tcW w:w="1355" w:type="dxa"/>
                  <w:vMerge w:val="continue"/>
                  <w:vAlign w:val="center"/>
                </w:tcPr>
                <w:p w14:paraId="201B0B80">
                  <w:pPr>
                    <w:snapToGrid w:val="0"/>
                    <w:jc w:val="center"/>
                    <w:rPr>
                      <w:rFonts w:hint="eastAsia"/>
                      <w:szCs w:val="21"/>
                      <w:highlight w:val="none"/>
                      <w:lang w:val="en-US" w:eastAsia="zh-CN"/>
                    </w:rPr>
                  </w:pPr>
                </w:p>
              </w:tc>
              <w:tc>
                <w:tcPr>
                  <w:tcW w:w="1341" w:type="dxa"/>
                  <w:vAlign w:val="center"/>
                </w:tcPr>
                <w:p w14:paraId="039F1103">
                  <w:pPr>
                    <w:jc w:val="center"/>
                    <w:rPr>
                      <w:rFonts w:hint="default"/>
                      <w:szCs w:val="21"/>
                      <w:highlight w:val="none"/>
                      <w:lang w:val="en-US" w:eastAsia="zh-CN"/>
                    </w:rPr>
                  </w:pPr>
                  <w:r>
                    <w:rPr>
                      <w:rFonts w:hint="eastAsia"/>
                      <w:szCs w:val="21"/>
                      <w:highlight w:val="none"/>
                      <w:lang w:val="en-US" w:eastAsia="zh-CN"/>
                    </w:rPr>
                    <w:t>臭气浓度</w:t>
                  </w:r>
                </w:p>
              </w:tc>
              <w:tc>
                <w:tcPr>
                  <w:tcW w:w="1073" w:type="dxa"/>
                  <w:shd w:val="clear" w:color="auto" w:fill="auto"/>
                  <w:vAlign w:val="center"/>
                </w:tcPr>
                <w:p w14:paraId="71844ED9">
                  <w:pPr>
                    <w:widowControl/>
                    <w:jc w:val="center"/>
                    <w:textAlignment w:val="center"/>
                    <w:rPr>
                      <w:rFonts w:hint="default" w:cs="Times New Roman"/>
                      <w:kern w:val="2"/>
                      <w:sz w:val="21"/>
                      <w:szCs w:val="21"/>
                      <w:highlight w:val="none"/>
                      <w:lang w:val="en-US" w:eastAsia="zh-CN" w:bidi="ar-SA"/>
                    </w:rPr>
                  </w:pPr>
                  <w:r>
                    <w:rPr>
                      <w:rFonts w:hint="eastAsia" w:cs="Times New Roman"/>
                      <w:kern w:val="2"/>
                      <w:sz w:val="21"/>
                      <w:szCs w:val="21"/>
                      <w:highlight w:val="none"/>
                      <w:lang w:val="en-US" w:eastAsia="zh-CN" w:bidi="ar-SA"/>
                    </w:rPr>
                    <w:t>＜2000</w:t>
                  </w:r>
                </w:p>
              </w:tc>
              <w:tc>
                <w:tcPr>
                  <w:tcW w:w="998" w:type="dxa"/>
                  <w:shd w:val="clear" w:color="auto" w:fill="auto"/>
                  <w:vAlign w:val="center"/>
                </w:tcPr>
                <w:p w14:paraId="51009AA8">
                  <w:pPr>
                    <w:widowControl/>
                    <w:jc w:val="center"/>
                    <w:textAlignment w:val="center"/>
                    <w:rPr>
                      <w:rFonts w:hint="default"/>
                      <w:kern w:val="0"/>
                      <w:szCs w:val="21"/>
                      <w:highlight w:val="none"/>
                      <w:lang w:val="en-US" w:eastAsia="zh-CN" w:bidi="ar"/>
                    </w:rPr>
                  </w:pPr>
                  <w:r>
                    <w:rPr>
                      <w:rFonts w:hint="eastAsia"/>
                      <w:kern w:val="0"/>
                      <w:szCs w:val="21"/>
                      <w:highlight w:val="none"/>
                      <w:lang w:val="en-US" w:eastAsia="zh-CN" w:bidi="ar"/>
                    </w:rPr>
                    <w:t>/</w:t>
                  </w:r>
                </w:p>
              </w:tc>
              <w:tc>
                <w:tcPr>
                  <w:tcW w:w="1180" w:type="dxa"/>
                  <w:vAlign w:val="center"/>
                </w:tcPr>
                <w:p w14:paraId="1DF5C13A">
                  <w:pPr>
                    <w:snapToGrid w:val="0"/>
                    <w:jc w:val="center"/>
                    <w:rPr>
                      <w:rFonts w:hint="default"/>
                      <w:szCs w:val="21"/>
                      <w:highlight w:val="none"/>
                      <w:lang w:val="en-US" w:eastAsia="zh-CN"/>
                    </w:rPr>
                  </w:pPr>
                  <w:r>
                    <w:rPr>
                      <w:rFonts w:hint="eastAsia"/>
                      <w:szCs w:val="21"/>
                      <w:highlight w:val="none"/>
                      <w:lang w:val="en-US" w:eastAsia="zh-CN"/>
                    </w:rPr>
                    <w:t>2000</w:t>
                  </w:r>
                </w:p>
              </w:tc>
              <w:tc>
                <w:tcPr>
                  <w:tcW w:w="1024" w:type="dxa"/>
                  <w:vAlign w:val="center"/>
                </w:tcPr>
                <w:p w14:paraId="6F0715FB">
                  <w:pPr>
                    <w:snapToGrid w:val="0"/>
                    <w:jc w:val="center"/>
                    <w:rPr>
                      <w:rFonts w:hint="default"/>
                      <w:szCs w:val="21"/>
                      <w:highlight w:val="none"/>
                      <w:lang w:val="en-US" w:eastAsia="zh-CN"/>
                    </w:rPr>
                  </w:pPr>
                  <w:r>
                    <w:rPr>
                      <w:rFonts w:hint="eastAsia"/>
                      <w:szCs w:val="21"/>
                      <w:highlight w:val="none"/>
                      <w:lang w:val="en-US" w:eastAsia="zh-CN"/>
                    </w:rPr>
                    <w:t>/</w:t>
                  </w:r>
                </w:p>
              </w:tc>
              <w:tc>
                <w:tcPr>
                  <w:tcW w:w="667" w:type="dxa"/>
                  <w:vAlign w:val="center"/>
                </w:tcPr>
                <w:p w14:paraId="571D2D9D">
                  <w:pPr>
                    <w:snapToGrid w:val="0"/>
                    <w:jc w:val="center"/>
                    <w:rPr>
                      <w:szCs w:val="21"/>
                      <w:highlight w:val="none"/>
                    </w:rPr>
                  </w:pPr>
                  <w:r>
                    <w:rPr>
                      <w:szCs w:val="21"/>
                      <w:highlight w:val="none"/>
                    </w:rPr>
                    <w:t>达标</w:t>
                  </w:r>
                </w:p>
              </w:tc>
            </w:tr>
          </w:tbl>
          <w:p w14:paraId="2383F9B8">
            <w:pPr>
              <w:snapToGrid w:val="0"/>
              <w:spacing w:before="120" w:beforeLines="50" w:line="360" w:lineRule="auto"/>
              <w:ind w:firstLine="480" w:firstLineChars="200"/>
              <w:rPr>
                <w:sz w:val="24"/>
                <w:highlight w:val="none"/>
              </w:rPr>
            </w:pPr>
            <w:r>
              <w:rPr>
                <w:sz w:val="24"/>
                <w:highlight w:val="none"/>
              </w:rPr>
              <w:t>由上表可知，</w:t>
            </w:r>
            <w:r>
              <w:rPr>
                <w:rFonts w:hint="eastAsia" w:ascii="Times New Roman" w:hAnsi="Times New Roman"/>
                <w:sz w:val="24"/>
                <w:highlight w:val="none"/>
              </w:rPr>
              <w:t>氯化氢有组织</w:t>
            </w:r>
            <w:r>
              <w:rPr>
                <w:rFonts w:ascii="Times New Roman" w:hAnsi="Times New Roman"/>
                <w:sz w:val="24"/>
                <w:highlight w:val="none"/>
              </w:rPr>
              <w:t>排放执行《大气污染物综合排放标准》（GB16297-1996）表2二级标准限值</w:t>
            </w:r>
            <w:r>
              <w:rPr>
                <w:rFonts w:hint="eastAsia"/>
                <w:sz w:val="24"/>
                <w:highlight w:val="none"/>
              </w:rPr>
              <w:t>，非甲烷总烃排放满足</w:t>
            </w:r>
            <w:r>
              <w:rPr>
                <w:sz w:val="24"/>
                <w:highlight w:val="none"/>
              </w:rPr>
              <w:t>《工业企业挥发性有机物排放控制标准》（DB13/2322-2016）表1中其他行业标准限值要求</w:t>
            </w:r>
            <w:r>
              <w:rPr>
                <w:rFonts w:hint="eastAsia"/>
                <w:sz w:val="24"/>
                <w:highlight w:val="none"/>
              </w:rPr>
              <w:t>；</w:t>
            </w:r>
            <w:r>
              <w:rPr>
                <w:rFonts w:hint="eastAsia"/>
                <w:bCs/>
                <w:sz w:val="24"/>
                <w:highlight w:val="none"/>
                <w:lang w:val="en-US" w:eastAsia="zh-CN"/>
              </w:rPr>
              <w:t>氨、硫化氢、</w:t>
            </w:r>
            <w:r>
              <w:rPr>
                <w:rFonts w:hint="eastAsia"/>
                <w:bCs/>
                <w:sz w:val="24"/>
                <w:highlight w:val="none"/>
              </w:rPr>
              <w:t>臭气</w:t>
            </w:r>
            <w:r>
              <w:rPr>
                <w:rFonts w:hint="eastAsia"/>
                <w:bCs/>
                <w:sz w:val="24"/>
                <w:highlight w:val="none"/>
                <w:lang w:val="en-US" w:eastAsia="zh-CN"/>
              </w:rPr>
              <w:t>浓度</w:t>
            </w:r>
            <w:r>
              <w:rPr>
                <w:rFonts w:hint="eastAsia"/>
                <w:bCs/>
                <w:sz w:val="24"/>
                <w:highlight w:val="none"/>
              </w:rPr>
              <w:t>排放浓度满足《恶臭污染物排放标准》（GB14554-93）中表2排放限值要求</w:t>
            </w:r>
            <w:r>
              <w:rPr>
                <w:sz w:val="24"/>
                <w:highlight w:val="none"/>
              </w:rPr>
              <w:t>。</w:t>
            </w:r>
          </w:p>
          <w:p w14:paraId="75FCE147">
            <w:pPr>
              <w:topLinePunct/>
              <w:adjustRightInd w:val="0"/>
              <w:snapToGrid w:val="0"/>
              <w:spacing w:line="360" w:lineRule="auto"/>
              <w:ind w:firstLine="480" w:firstLineChars="200"/>
              <w:textAlignment w:val="center"/>
              <w:rPr>
                <w:sz w:val="24"/>
                <w:highlight w:val="none"/>
              </w:rPr>
            </w:pPr>
            <w:r>
              <w:rPr>
                <w:rFonts w:hint="eastAsia" w:ascii="宋体" w:hAnsi="宋体" w:cs="宋体"/>
                <w:sz w:val="24"/>
                <w:highlight w:val="none"/>
              </w:rPr>
              <w:t>②厂界</w:t>
            </w:r>
            <w:r>
              <w:rPr>
                <w:sz w:val="24"/>
                <w:highlight w:val="none"/>
              </w:rPr>
              <w:t>废气排放达标分析</w:t>
            </w:r>
          </w:p>
          <w:p w14:paraId="015B5696">
            <w:pPr>
              <w:snapToGrid w:val="0"/>
              <w:spacing w:line="360" w:lineRule="auto"/>
              <w:ind w:firstLine="480" w:firstLineChars="200"/>
              <w:rPr>
                <w:sz w:val="24"/>
                <w:highlight w:val="none"/>
              </w:rPr>
            </w:pPr>
            <w:r>
              <w:rPr>
                <w:rFonts w:hint="eastAsia"/>
                <w:sz w:val="24"/>
                <w:highlight w:val="none"/>
              </w:rPr>
              <w:t>项目有组织排放参数情况见下表。</w:t>
            </w:r>
          </w:p>
          <w:p w14:paraId="086F6DF4">
            <w:pPr>
              <w:pStyle w:val="48"/>
              <w:numPr>
                <w:ilvl w:val="0"/>
                <w:numId w:val="9"/>
              </w:numPr>
              <w:spacing w:line="360" w:lineRule="auto"/>
              <w:ind w:left="0" w:firstLine="0" w:firstLineChars="0"/>
              <w:jc w:val="center"/>
              <w:rPr>
                <w:rFonts w:ascii="Times New Roman" w:hAnsi="Times New Roman" w:eastAsia="宋体"/>
                <w:b/>
                <w:sz w:val="21"/>
                <w:highlight w:val="none"/>
              </w:rPr>
            </w:pPr>
            <w:r>
              <w:rPr>
                <w:rFonts w:hint="eastAsia" w:ascii="Times New Roman" w:hAnsi="Times New Roman" w:eastAsia="宋体"/>
                <w:b/>
                <w:sz w:val="21"/>
                <w:highlight w:val="none"/>
              </w:rPr>
              <w:t>项目有组织排放参数一览表</w:t>
            </w:r>
          </w:p>
          <w:tbl>
            <w:tblPr>
              <w:tblStyle w:val="22"/>
              <w:tblW w:w="508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0"/>
              <w:gridCol w:w="927"/>
              <w:gridCol w:w="1290"/>
              <w:gridCol w:w="1195"/>
              <w:gridCol w:w="660"/>
              <w:gridCol w:w="663"/>
              <w:gridCol w:w="536"/>
              <w:gridCol w:w="636"/>
              <w:gridCol w:w="441"/>
              <w:gridCol w:w="682"/>
              <w:gridCol w:w="797"/>
            </w:tblGrid>
            <w:tr w14:paraId="22C962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453" w:type="pct"/>
                  <w:vMerge w:val="restart"/>
                  <w:vAlign w:val="center"/>
                </w:tcPr>
                <w:p w14:paraId="6C4FE88C">
                  <w:pPr>
                    <w:pStyle w:val="2"/>
                    <w:snapToGrid w:val="0"/>
                    <w:spacing w:line="240" w:lineRule="auto"/>
                    <w:ind w:left="0" w:leftChars="0"/>
                    <w:rPr>
                      <w:b/>
                      <w:w w:val="100"/>
                      <w:sz w:val="21"/>
                      <w:szCs w:val="21"/>
                      <w:highlight w:val="none"/>
                    </w:rPr>
                  </w:pPr>
                  <w:r>
                    <w:rPr>
                      <w:b/>
                      <w:w w:val="100"/>
                      <w:sz w:val="21"/>
                      <w:szCs w:val="21"/>
                      <w:highlight w:val="none"/>
                    </w:rPr>
                    <w:t>编号</w:t>
                  </w:r>
                </w:p>
              </w:tc>
              <w:tc>
                <w:tcPr>
                  <w:tcW w:w="538" w:type="pct"/>
                  <w:vMerge w:val="restart"/>
                  <w:vAlign w:val="center"/>
                </w:tcPr>
                <w:p w14:paraId="5099343A">
                  <w:pPr>
                    <w:pStyle w:val="2"/>
                    <w:snapToGrid w:val="0"/>
                    <w:spacing w:line="240" w:lineRule="auto"/>
                    <w:ind w:left="0" w:leftChars="0"/>
                    <w:rPr>
                      <w:b/>
                      <w:w w:val="100"/>
                      <w:sz w:val="21"/>
                      <w:szCs w:val="21"/>
                      <w:highlight w:val="none"/>
                    </w:rPr>
                  </w:pPr>
                  <w:r>
                    <w:rPr>
                      <w:b/>
                      <w:w w:val="100"/>
                      <w:sz w:val="21"/>
                      <w:szCs w:val="21"/>
                      <w:highlight w:val="none"/>
                    </w:rPr>
                    <w:t>名称</w:t>
                  </w:r>
                </w:p>
              </w:tc>
              <w:tc>
                <w:tcPr>
                  <w:tcW w:w="1443" w:type="pct"/>
                  <w:gridSpan w:val="2"/>
                  <w:vAlign w:val="center"/>
                </w:tcPr>
                <w:p w14:paraId="2075682B">
                  <w:pPr>
                    <w:pStyle w:val="2"/>
                    <w:snapToGrid w:val="0"/>
                    <w:spacing w:line="240" w:lineRule="auto"/>
                    <w:ind w:left="0" w:leftChars="0"/>
                    <w:rPr>
                      <w:b/>
                      <w:w w:val="100"/>
                      <w:sz w:val="21"/>
                      <w:szCs w:val="21"/>
                      <w:highlight w:val="none"/>
                    </w:rPr>
                  </w:pPr>
                  <w:r>
                    <w:rPr>
                      <w:b/>
                      <w:w w:val="100"/>
                      <w:sz w:val="21"/>
                      <w:szCs w:val="21"/>
                      <w:highlight w:val="none"/>
                    </w:rPr>
                    <w:t>排气筒底部中心坐标</w:t>
                  </w:r>
                </w:p>
              </w:tc>
              <w:tc>
                <w:tcPr>
                  <w:tcW w:w="383" w:type="pct"/>
                  <w:vMerge w:val="restart"/>
                  <w:vAlign w:val="center"/>
                </w:tcPr>
                <w:p w14:paraId="5329FDF4">
                  <w:pPr>
                    <w:pStyle w:val="2"/>
                    <w:snapToGrid w:val="0"/>
                    <w:spacing w:line="240" w:lineRule="auto"/>
                    <w:ind w:left="0" w:leftChars="0"/>
                    <w:rPr>
                      <w:b/>
                      <w:w w:val="100"/>
                      <w:sz w:val="21"/>
                      <w:szCs w:val="21"/>
                      <w:highlight w:val="none"/>
                    </w:rPr>
                  </w:pPr>
                  <w:r>
                    <w:rPr>
                      <w:b/>
                      <w:w w:val="100"/>
                      <w:sz w:val="21"/>
                      <w:szCs w:val="21"/>
                      <w:highlight w:val="none"/>
                    </w:rPr>
                    <w:t>排气筒</w:t>
                  </w:r>
                  <w:r>
                    <w:rPr>
                      <w:rFonts w:hint="eastAsia"/>
                      <w:b/>
                      <w:w w:val="100"/>
                      <w:sz w:val="21"/>
                      <w:szCs w:val="21"/>
                      <w:highlight w:val="none"/>
                    </w:rPr>
                    <w:t>内径</w:t>
                  </w:r>
                  <w:r>
                    <w:rPr>
                      <w:b/>
                      <w:w w:val="100"/>
                      <w:sz w:val="21"/>
                      <w:szCs w:val="21"/>
                      <w:highlight w:val="none"/>
                    </w:rPr>
                    <w:t>/m</w:t>
                  </w:r>
                </w:p>
              </w:tc>
              <w:tc>
                <w:tcPr>
                  <w:tcW w:w="385" w:type="pct"/>
                  <w:vMerge w:val="restart"/>
                  <w:vAlign w:val="center"/>
                </w:tcPr>
                <w:p w14:paraId="0D006CA9">
                  <w:pPr>
                    <w:pStyle w:val="2"/>
                    <w:snapToGrid w:val="0"/>
                    <w:spacing w:line="240" w:lineRule="auto"/>
                    <w:ind w:left="0" w:leftChars="0"/>
                    <w:rPr>
                      <w:b/>
                      <w:w w:val="100"/>
                      <w:sz w:val="21"/>
                      <w:szCs w:val="21"/>
                      <w:highlight w:val="none"/>
                    </w:rPr>
                  </w:pPr>
                  <w:r>
                    <w:rPr>
                      <w:b/>
                      <w:w w:val="100"/>
                      <w:sz w:val="21"/>
                      <w:szCs w:val="21"/>
                      <w:highlight w:val="none"/>
                    </w:rPr>
                    <w:t>排气筒高度/m</w:t>
                  </w:r>
                </w:p>
              </w:tc>
              <w:tc>
                <w:tcPr>
                  <w:tcW w:w="311" w:type="pct"/>
                  <w:vMerge w:val="restart"/>
                  <w:vAlign w:val="center"/>
                </w:tcPr>
                <w:p w14:paraId="64553BE6">
                  <w:pPr>
                    <w:pStyle w:val="2"/>
                    <w:snapToGrid w:val="0"/>
                    <w:spacing w:line="240" w:lineRule="auto"/>
                    <w:ind w:left="0" w:leftChars="0"/>
                    <w:rPr>
                      <w:b/>
                      <w:w w:val="100"/>
                      <w:sz w:val="21"/>
                      <w:szCs w:val="21"/>
                      <w:highlight w:val="none"/>
                    </w:rPr>
                  </w:pPr>
                  <w:r>
                    <w:rPr>
                      <w:b/>
                      <w:w w:val="100"/>
                      <w:sz w:val="21"/>
                      <w:szCs w:val="21"/>
                      <w:highlight w:val="none"/>
                    </w:rPr>
                    <w:t>烟气温度/℃</w:t>
                  </w:r>
                </w:p>
              </w:tc>
              <w:tc>
                <w:tcPr>
                  <w:tcW w:w="369" w:type="pct"/>
                  <w:vMerge w:val="restart"/>
                  <w:vAlign w:val="center"/>
                </w:tcPr>
                <w:p w14:paraId="34E7E2B6">
                  <w:pPr>
                    <w:pStyle w:val="2"/>
                    <w:snapToGrid w:val="0"/>
                    <w:spacing w:line="240" w:lineRule="auto"/>
                    <w:ind w:left="0" w:leftChars="0"/>
                    <w:rPr>
                      <w:b/>
                      <w:w w:val="100"/>
                      <w:sz w:val="21"/>
                      <w:szCs w:val="21"/>
                      <w:highlight w:val="none"/>
                    </w:rPr>
                  </w:pPr>
                  <w:r>
                    <w:rPr>
                      <w:rFonts w:hint="eastAsia"/>
                      <w:b/>
                      <w:w w:val="100"/>
                      <w:sz w:val="21"/>
                      <w:szCs w:val="21"/>
                      <w:highlight w:val="none"/>
                    </w:rPr>
                    <w:t>年排放小时数</w:t>
                  </w:r>
                </w:p>
              </w:tc>
              <w:tc>
                <w:tcPr>
                  <w:tcW w:w="256" w:type="pct"/>
                  <w:vMerge w:val="restart"/>
                  <w:vAlign w:val="center"/>
                </w:tcPr>
                <w:p w14:paraId="3EF13922">
                  <w:pPr>
                    <w:pStyle w:val="2"/>
                    <w:snapToGrid w:val="0"/>
                    <w:spacing w:line="240" w:lineRule="auto"/>
                    <w:ind w:left="0" w:leftChars="0"/>
                    <w:rPr>
                      <w:b/>
                      <w:w w:val="100"/>
                      <w:sz w:val="21"/>
                      <w:szCs w:val="21"/>
                      <w:highlight w:val="none"/>
                    </w:rPr>
                  </w:pPr>
                  <w:r>
                    <w:rPr>
                      <w:rFonts w:hint="eastAsia"/>
                      <w:b/>
                      <w:w w:val="100"/>
                      <w:sz w:val="21"/>
                      <w:szCs w:val="21"/>
                      <w:highlight w:val="none"/>
                    </w:rPr>
                    <w:t>排放工况</w:t>
                  </w:r>
                </w:p>
              </w:tc>
              <w:tc>
                <w:tcPr>
                  <w:tcW w:w="859" w:type="pct"/>
                  <w:gridSpan w:val="2"/>
                  <w:vMerge w:val="restart"/>
                  <w:vAlign w:val="center"/>
                </w:tcPr>
                <w:p w14:paraId="47299F19">
                  <w:pPr>
                    <w:pStyle w:val="2"/>
                    <w:snapToGrid w:val="0"/>
                    <w:spacing w:line="240" w:lineRule="auto"/>
                    <w:ind w:left="0" w:leftChars="0"/>
                    <w:rPr>
                      <w:b/>
                      <w:w w:val="100"/>
                      <w:sz w:val="21"/>
                      <w:szCs w:val="21"/>
                      <w:highlight w:val="none"/>
                    </w:rPr>
                  </w:pPr>
                  <w:r>
                    <w:rPr>
                      <w:rFonts w:hint="eastAsia"/>
                      <w:b/>
                      <w:w w:val="100"/>
                      <w:sz w:val="21"/>
                      <w:szCs w:val="21"/>
                      <w:highlight w:val="none"/>
                    </w:rPr>
                    <w:t>污染物排放速率（kg/h）</w:t>
                  </w:r>
                </w:p>
              </w:tc>
            </w:tr>
            <w:tr w14:paraId="35BDC7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453" w:type="pct"/>
                  <w:vMerge w:val="continue"/>
                  <w:vAlign w:val="center"/>
                </w:tcPr>
                <w:p w14:paraId="22D25328">
                  <w:pPr>
                    <w:pStyle w:val="2"/>
                    <w:snapToGrid w:val="0"/>
                    <w:spacing w:line="240" w:lineRule="auto"/>
                    <w:ind w:left="0" w:leftChars="0"/>
                    <w:rPr>
                      <w:b/>
                      <w:w w:val="100"/>
                      <w:sz w:val="21"/>
                      <w:szCs w:val="21"/>
                      <w:highlight w:val="none"/>
                    </w:rPr>
                  </w:pPr>
                </w:p>
              </w:tc>
              <w:tc>
                <w:tcPr>
                  <w:tcW w:w="538" w:type="pct"/>
                  <w:vMerge w:val="continue"/>
                  <w:vAlign w:val="center"/>
                </w:tcPr>
                <w:p w14:paraId="79CCF1A8">
                  <w:pPr>
                    <w:pStyle w:val="2"/>
                    <w:snapToGrid w:val="0"/>
                    <w:spacing w:line="240" w:lineRule="auto"/>
                    <w:ind w:left="0" w:leftChars="0"/>
                    <w:rPr>
                      <w:b/>
                      <w:w w:val="100"/>
                      <w:sz w:val="21"/>
                      <w:szCs w:val="21"/>
                      <w:highlight w:val="none"/>
                    </w:rPr>
                  </w:pPr>
                </w:p>
              </w:tc>
              <w:tc>
                <w:tcPr>
                  <w:tcW w:w="749" w:type="pct"/>
                  <w:vAlign w:val="center"/>
                </w:tcPr>
                <w:p w14:paraId="465FA8DA">
                  <w:pPr>
                    <w:pStyle w:val="2"/>
                    <w:snapToGrid w:val="0"/>
                    <w:spacing w:line="240" w:lineRule="auto"/>
                    <w:ind w:left="0" w:leftChars="0"/>
                    <w:rPr>
                      <w:b/>
                      <w:w w:val="100"/>
                      <w:sz w:val="21"/>
                      <w:szCs w:val="21"/>
                      <w:highlight w:val="none"/>
                    </w:rPr>
                  </w:pPr>
                  <w:r>
                    <w:rPr>
                      <w:b/>
                      <w:w w:val="100"/>
                      <w:sz w:val="21"/>
                      <w:szCs w:val="21"/>
                      <w:highlight w:val="none"/>
                    </w:rPr>
                    <w:t>E</w:t>
                  </w:r>
                </w:p>
              </w:tc>
              <w:tc>
                <w:tcPr>
                  <w:tcW w:w="694" w:type="pct"/>
                  <w:vAlign w:val="center"/>
                </w:tcPr>
                <w:p w14:paraId="5EDD7F8C">
                  <w:pPr>
                    <w:pStyle w:val="2"/>
                    <w:snapToGrid w:val="0"/>
                    <w:spacing w:line="240" w:lineRule="auto"/>
                    <w:ind w:left="0" w:leftChars="0"/>
                    <w:rPr>
                      <w:b/>
                      <w:w w:val="100"/>
                      <w:sz w:val="21"/>
                      <w:szCs w:val="21"/>
                      <w:highlight w:val="none"/>
                    </w:rPr>
                  </w:pPr>
                  <w:r>
                    <w:rPr>
                      <w:b/>
                      <w:w w:val="100"/>
                      <w:sz w:val="21"/>
                      <w:szCs w:val="21"/>
                      <w:highlight w:val="none"/>
                    </w:rPr>
                    <w:t>N</w:t>
                  </w:r>
                </w:p>
              </w:tc>
              <w:tc>
                <w:tcPr>
                  <w:tcW w:w="383" w:type="pct"/>
                  <w:vMerge w:val="continue"/>
                  <w:vAlign w:val="center"/>
                </w:tcPr>
                <w:p w14:paraId="7272FB38">
                  <w:pPr>
                    <w:pStyle w:val="2"/>
                    <w:snapToGrid w:val="0"/>
                    <w:spacing w:line="240" w:lineRule="auto"/>
                    <w:ind w:left="0" w:leftChars="0"/>
                    <w:rPr>
                      <w:b/>
                      <w:w w:val="100"/>
                      <w:sz w:val="21"/>
                      <w:szCs w:val="21"/>
                      <w:highlight w:val="none"/>
                    </w:rPr>
                  </w:pPr>
                </w:p>
              </w:tc>
              <w:tc>
                <w:tcPr>
                  <w:tcW w:w="385" w:type="pct"/>
                  <w:vMerge w:val="continue"/>
                  <w:vAlign w:val="center"/>
                </w:tcPr>
                <w:p w14:paraId="401C799F">
                  <w:pPr>
                    <w:pStyle w:val="2"/>
                    <w:snapToGrid w:val="0"/>
                    <w:spacing w:line="240" w:lineRule="auto"/>
                    <w:ind w:left="0" w:leftChars="0"/>
                    <w:rPr>
                      <w:b/>
                      <w:w w:val="100"/>
                      <w:sz w:val="21"/>
                      <w:szCs w:val="21"/>
                      <w:highlight w:val="none"/>
                    </w:rPr>
                  </w:pPr>
                </w:p>
              </w:tc>
              <w:tc>
                <w:tcPr>
                  <w:tcW w:w="311" w:type="pct"/>
                  <w:vMerge w:val="continue"/>
                  <w:vAlign w:val="center"/>
                </w:tcPr>
                <w:p w14:paraId="1F72A05B">
                  <w:pPr>
                    <w:pStyle w:val="2"/>
                    <w:snapToGrid w:val="0"/>
                    <w:spacing w:line="240" w:lineRule="auto"/>
                    <w:ind w:left="0" w:leftChars="0"/>
                    <w:rPr>
                      <w:b/>
                      <w:w w:val="100"/>
                      <w:sz w:val="21"/>
                      <w:szCs w:val="21"/>
                      <w:highlight w:val="none"/>
                    </w:rPr>
                  </w:pPr>
                </w:p>
              </w:tc>
              <w:tc>
                <w:tcPr>
                  <w:tcW w:w="369" w:type="pct"/>
                  <w:vMerge w:val="continue"/>
                  <w:vAlign w:val="center"/>
                </w:tcPr>
                <w:p w14:paraId="0B7E8380">
                  <w:pPr>
                    <w:pStyle w:val="2"/>
                    <w:snapToGrid w:val="0"/>
                    <w:spacing w:line="240" w:lineRule="auto"/>
                    <w:ind w:left="0" w:leftChars="0"/>
                    <w:rPr>
                      <w:b/>
                      <w:w w:val="100"/>
                      <w:sz w:val="21"/>
                      <w:szCs w:val="21"/>
                      <w:highlight w:val="none"/>
                    </w:rPr>
                  </w:pPr>
                </w:p>
              </w:tc>
              <w:tc>
                <w:tcPr>
                  <w:tcW w:w="256" w:type="pct"/>
                  <w:vMerge w:val="continue"/>
                  <w:vAlign w:val="center"/>
                </w:tcPr>
                <w:p w14:paraId="0F878112">
                  <w:pPr>
                    <w:pStyle w:val="2"/>
                    <w:snapToGrid w:val="0"/>
                    <w:spacing w:line="240" w:lineRule="auto"/>
                    <w:ind w:left="0" w:leftChars="0"/>
                    <w:rPr>
                      <w:b/>
                      <w:w w:val="100"/>
                      <w:sz w:val="21"/>
                      <w:szCs w:val="21"/>
                      <w:highlight w:val="none"/>
                    </w:rPr>
                  </w:pPr>
                </w:p>
              </w:tc>
              <w:tc>
                <w:tcPr>
                  <w:tcW w:w="859" w:type="pct"/>
                  <w:gridSpan w:val="2"/>
                  <w:vMerge w:val="continue"/>
                  <w:vAlign w:val="center"/>
                </w:tcPr>
                <w:p w14:paraId="5C6F5286">
                  <w:pPr>
                    <w:pStyle w:val="2"/>
                    <w:snapToGrid w:val="0"/>
                    <w:spacing w:line="240" w:lineRule="auto"/>
                    <w:ind w:left="0" w:leftChars="0"/>
                    <w:rPr>
                      <w:b/>
                      <w:w w:val="100"/>
                      <w:sz w:val="21"/>
                      <w:szCs w:val="21"/>
                      <w:highlight w:val="none"/>
                    </w:rPr>
                  </w:pPr>
                </w:p>
              </w:tc>
            </w:tr>
            <w:tr w14:paraId="44E893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453" w:type="pct"/>
                  <w:vAlign w:val="center"/>
                </w:tcPr>
                <w:p w14:paraId="79AEC658">
                  <w:pPr>
                    <w:adjustRightInd w:val="0"/>
                    <w:snapToGrid w:val="0"/>
                    <w:jc w:val="center"/>
                    <w:rPr>
                      <w:bCs/>
                      <w:spacing w:val="-11"/>
                      <w:szCs w:val="21"/>
                      <w:highlight w:val="none"/>
                    </w:rPr>
                  </w:pPr>
                  <w:r>
                    <w:rPr>
                      <w:bCs/>
                      <w:spacing w:val="-11"/>
                      <w:szCs w:val="21"/>
                      <w:highlight w:val="none"/>
                    </w:rPr>
                    <w:t>DA001</w:t>
                  </w:r>
                </w:p>
              </w:tc>
              <w:tc>
                <w:tcPr>
                  <w:tcW w:w="538" w:type="pct"/>
                  <w:shd w:val="clear" w:color="auto" w:fill="auto"/>
                  <w:vAlign w:val="center"/>
                </w:tcPr>
                <w:p w14:paraId="7853B73C">
                  <w:pPr>
                    <w:jc w:val="center"/>
                    <w:rPr>
                      <w:bCs/>
                      <w:spacing w:val="-11"/>
                      <w:szCs w:val="21"/>
                      <w:highlight w:val="none"/>
                    </w:rPr>
                  </w:pPr>
                  <w:r>
                    <w:rPr>
                      <w:rFonts w:hint="eastAsia"/>
                      <w:szCs w:val="21"/>
                      <w:highlight w:val="none"/>
                      <w:lang w:val="en-US" w:eastAsia="zh-CN"/>
                    </w:rPr>
                    <w:t>碱液喷淋</w:t>
                  </w:r>
                  <w:r>
                    <w:rPr>
                      <w:rFonts w:hint="eastAsia"/>
                      <w:szCs w:val="21"/>
                      <w:highlight w:val="none"/>
                    </w:rPr>
                    <w:t>排气筒</w:t>
                  </w:r>
                </w:p>
              </w:tc>
              <w:tc>
                <w:tcPr>
                  <w:tcW w:w="749" w:type="pct"/>
                  <w:vAlign w:val="center"/>
                </w:tcPr>
                <w:p w14:paraId="1FFF33B0">
                  <w:pPr>
                    <w:widowControl/>
                    <w:adjustRightInd w:val="0"/>
                    <w:snapToGrid w:val="0"/>
                    <w:jc w:val="center"/>
                    <w:textAlignment w:val="center"/>
                    <w:rPr>
                      <w:bCs/>
                      <w:spacing w:val="-11"/>
                      <w:szCs w:val="21"/>
                      <w:highlight w:val="none"/>
                    </w:rPr>
                  </w:pPr>
                  <w:r>
                    <w:rPr>
                      <w:rFonts w:hint="eastAsia"/>
                      <w:bCs/>
                      <w:szCs w:val="21"/>
                      <w:highlight w:val="none"/>
                    </w:rPr>
                    <w:t>118.568605</w:t>
                  </w:r>
                  <w:r>
                    <w:rPr>
                      <w:bCs/>
                      <w:szCs w:val="21"/>
                      <w:highlight w:val="none"/>
                    </w:rPr>
                    <w:t>°</w:t>
                  </w:r>
                </w:p>
              </w:tc>
              <w:tc>
                <w:tcPr>
                  <w:tcW w:w="694" w:type="pct"/>
                  <w:vAlign w:val="center"/>
                </w:tcPr>
                <w:p w14:paraId="1C6E9BB1">
                  <w:pPr>
                    <w:widowControl/>
                    <w:adjustRightInd w:val="0"/>
                    <w:snapToGrid w:val="0"/>
                    <w:jc w:val="center"/>
                    <w:textAlignment w:val="center"/>
                    <w:rPr>
                      <w:bCs/>
                      <w:spacing w:val="-11"/>
                      <w:szCs w:val="21"/>
                      <w:highlight w:val="none"/>
                    </w:rPr>
                  </w:pPr>
                  <w:r>
                    <w:rPr>
                      <w:rFonts w:hint="eastAsia"/>
                      <w:bCs/>
                      <w:szCs w:val="21"/>
                      <w:highlight w:val="none"/>
                    </w:rPr>
                    <w:t>40.671542</w:t>
                  </w:r>
                  <w:r>
                    <w:rPr>
                      <w:bCs/>
                      <w:szCs w:val="21"/>
                      <w:highlight w:val="none"/>
                    </w:rPr>
                    <w:t>°</w:t>
                  </w:r>
                </w:p>
              </w:tc>
              <w:tc>
                <w:tcPr>
                  <w:tcW w:w="383" w:type="pct"/>
                  <w:vAlign w:val="center"/>
                </w:tcPr>
                <w:p w14:paraId="5A5783FB">
                  <w:pPr>
                    <w:adjustRightInd w:val="0"/>
                    <w:snapToGrid w:val="0"/>
                    <w:jc w:val="center"/>
                    <w:rPr>
                      <w:rFonts w:hint="eastAsia" w:eastAsia="宋体"/>
                      <w:bCs/>
                      <w:spacing w:val="-11"/>
                      <w:szCs w:val="21"/>
                      <w:highlight w:val="none"/>
                      <w:lang w:val="en-US" w:eastAsia="zh-CN"/>
                    </w:rPr>
                  </w:pPr>
                  <w:r>
                    <w:rPr>
                      <w:rFonts w:hint="eastAsia"/>
                      <w:szCs w:val="21"/>
                      <w:highlight w:val="none"/>
                    </w:rPr>
                    <w:t>0.</w:t>
                  </w:r>
                  <w:r>
                    <w:rPr>
                      <w:rFonts w:hint="eastAsia"/>
                      <w:szCs w:val="21"/>
                      <w:highlight w:val="none"/>
                      <w:lang w:val="en-US" w:eastAsia="zh-CN"/>
                    </w:rPr>
                    <w:t>3</w:t>
                  </w:r>
                </w:p>
              </w:tc>
              <w:tc>
                <w:tcPr>
                  <w:tcW w:w="385" w:type="pct"/>
                  <w:vAlign w:val="center"/>
                </w:tcPr>
                <w:p w14:paraId="6A6F143D">
                  <w:pPr>
                    <w:adjustRightInd w:val="0"/>
                    <w:snapToGrid w:val="0"/>
                    <w:jc w:val="center"/>
                    <w:rPr>
                      <w:rFonts w:hint="default" w:eastAsia="宋体"/>
                      <w:bCs/>
                      <w:spacing w:val="-11"/>
                      <w:szCs w:val="21"/>
                      <w:highlight w:val="none"/>
                      <w:lang w:val="en-US" w:eastAsia="zh-CN"/>
                    </w:rPr>
                  </w:pPr>
                  <w:r>
                    <w:rPr>
                      <w:rFonts w:hint="eastAsia"/>
                      <w:bCs/>
                      <w:spacing w:val="-11"/>
                      <w:szCs w:val="21"/>
                      <w:highlight w:val="none"/>
                      <w:lang w:val="en-US" w:eastAsia="zh-CN"/>
                    </w:rPr>
                    <w:t>48</w:t>
                  </w:r>
                </w:p>
              </w:tc>
              <w:tc>
                <w:tcPr>
                  <w:tcW w:w="311" w:type="pct"/>
                  <w:vAlign w:val="center"/>
                </w:tcPr>
                <w:p w14:paraId="4268631E">
                  <w:pPr>
                    <w:adjustRightInd w:val="0"/>
                    <w:snapToGrid w:val="0"/>
                    <w:jc w:val="center"/>
                    <w:rPr>
                      <w:bCs/>
                      <w:spacing w:val="-11"/>
                      <w:szCs w:val="21"/>
                      <w:highlight w:val="none"/>
                    </w:rPr>
                  </w:pPr>
                  <w:r>
                    <w:rPr>
                      <w:szCs w:val="21"/>
                      <w:highlight w:val="none"/>
                    </w:rPr>
                    <w:t>20</w:t>
                  </w:r>
                </w:p>
              </w:tc>
              <w:tc>
                <w:tcPr>
                  <w:tcW w:w="369" w:type="pct"/>
                  <w:vAlign w:val="center"/>
                </w:tcPr>
                <w:p w14:paraId="39AF5283">
                  <w:pPr>
                    <w:adjustRightInd w:val="0"/>
                    <w:snapToGrid w:val="0"/>
                    <w:jc w:val="center"/>
                    <w:rPr>
                      <w:rFonts w:hint="default" w:eastAsia="宋体"/>
                      <w:bCs/>
                      <w:spacing w:val="-11"/>
                      <w:szCs w:val="21"/>
                      <w:highlight w:val="none"/>
                      <w:lang w:val="en-US" w:eastAsia="zh-CN"/>
                    </w:rPr>
                  </w:pPr>
                  <w:r>
                    <w:rPr>
                      <w:rFonts w:hint="eastAsia"/>
                      <w:kern w:val="0"/>
                      <w:szCs w:val="21"/>
                      <w:highlight w:val="none"/>
                      <w:lang w:val="en-US" w:eastAsia="zh-CN" w:bidi="ar"/>
                    </w:rPr>
                    <w:t>60</w:t>
                  </w:r>
                </w:p>
              </w:tc>
              <w:tc>
                <w:tcPr>
                  <w:tcW w:w="256" w:type="pct"/>
                  <w:vAlign w:val="center"/>
                </w:tcPr>
                <w:p w14:paraId="15FD328D">
                  <w:pPr>
                    <w:adjustRightInd w:val="0"/>
                    <w:snapToGrid w:val="0"/>
                    <w:jc w:val="center"/>
                    <w:rPr>
                      <w:bCs/>
                      <w:spacing w:val="-11"/>
                      <w:szCs w:val="21"/>
                      <w:highlight w:val="none"/>
                    </w:rPr>
                  </w:pPr>
                  <w:r>
                    <w:rPr>
                      <w:rFonts w:hint="eastAsia"/>
                      <w:kern w:val="0"/>
                      <w:szCs w:val="21"/>
                      <w:highlight w:val="none"/>
                      <w:lang w:bidi="ar"/>
                    </w:rPr>
                    <w:t>正常</w:t>
                  </w:r>
                </w:p>
              </w:tc>
              <w:tc>
                <w:tcPr>
                  <w:tcW w:w="396" w:type="pct"/>
                  <w:shd w:val="clear" w:color="auto" w:fill="auto"/>
                  <w:vAlign w:val="center"/>
                </w:tcPr>
                <w:p w14:paraId="2D88FF39">
                  <w:pPr>
                    <w:snapToGrid w:val="0"/>
                    <w:jc w:val="center"/>
                    <w:rPr>
                      <w:rFonts w:hint="eastAsia" w:ascii="Times New Roman" w:hAnsi="Times New Roman" w:eastAsia="宋体" w:cs="Times New Roman"/>
                      <w:kern w:val="0"/>
                      <w:sz w:val="21"/>
                      <w:szCs w:val="21"/>
                      <w:highlight w:val="none"/>
                      <w:lang w:val="en-US" w:eastAsia="zh-CN" w:bidi="ar"/>
                    </w:rPr>
                  </w:pPr>
                  <w:r>
                    <w:rPr>
                      <w:rFonts w:ascii="Times New Roman" w:hAnsi="Times New Roman" w:eastAsia="宋体" w:cs="Times New Roman"/>
                      <w:szCs w:val="21"/>
                      <w:highlight w:val="none"/>
                    </w:rPr>
                    <w:t>氯化氢</w:t>
                  </w:r>
                </w:p>
              </w:tc>
              <w:tc>
                <w:tcPr>
                  <w:tcW w:w="462" w:type="pct"/>
                  <w:shd w:val="clear" w:color="auto" w:fill="auto"/>
                  <w:vAlign w:val="center"/>
                </w:tcPr>
                <w:p w14:paraId="7BB409CA">
                  <w:pPr>
                    <w:jc w:val="center"/>
                    <w:rPr>
                      <w:rFonts w:hint="default" w:ascii="Times New Roman" w:hAnsi="Times New Roman" w:eastAsia="宋体" w:cs="Times New Roman"/>
                      <w:kern w:val="0"/>
                      <w:sz w:val="21"/>
                      <w:szCs w:val="21"/>
                      <w:highlight w:val="none"/>
                      <w:lang w:val="en-US" w:eastAsia="zh-CN" w:bidi="ar"/>
                    </w:rPr>
                  </w:pPr>
                  <w:r>
                    <w:rPr>
                      <w:rFonts w:hint="eastAsia" w:cs="Times New Roman"/>
                      <w:kern w:val="0"/>
                      <w:sz w:val="21"/>
                      <w:szCs w:val="21"/>
                      <w:highlight w:val="none"/>
                      <w:lang w:val="en-US" w:eastAsia="zh-CN" w:bidi="ar"/>
                    </w:rPr>
                    <w:t>0.061</w:t>
                  </w:r>
                </w:p>
              </w:tc>
            </w:tr>
            <w:tr w14:paraId="6A9925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453" w:type="pct"/>
                  <w:vMerge w:val="restart"/>
                  <w:vAlign w:val="center"/>
                </w:tcPr>
                <w:p w14:paraId="29753E84">
                  <w:pPr>
                    <w:adjustRightInd w:val="0"/>
                    <w:snapToGrid w:val="0"/>
                    <w:jc w:val="center"/>
                    <w:rPr>
                      <w:szCs w:val="21"/>
                      <w:highlight w:val="none"/>
                    </w:rPr>
                  </w:pPr>
                  <w:r>
                    <w:rPr>
                      <w:bCs/>
                      <w:spacing w:val="-11"/>
                      <w:szCs w:val="21"/>
                      <w:highlight w:val="none"/>
                    </w:rPr>
                    <w:t>DA002</w:t>
                  </w:r>
                </w:p>
              </w:tc>
              <w:tc>
                <w:tcPr>
                  <w:tcW w:w="538" w:type="pct"/>
                  <w:vMerge w:val="restart"/>
                  <w:shd w:val="clear" w:color="auto" w:fill="auto"/>
                  <w:vAlign w:val="center"/>
                </w:tcPr>
                <w:p w14:paraId="11EC276C">
                  <w:pPr>
                    <w:snapToGrid w:val="0"/>
                    <w:jc w:val="center"/>
                    <w:rPr>
                      <w:rFonts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活性炭吸附装置排气筒</w:t>
                  </w:r>
                </w:p>
              </w:tc>
              <w:tc>
                <w:tcPr>
                  <w:tcW w:w="749" w:type="pct"/>
                  <w:vMerge w:val="restart"/>
                  <w:shd w:val="clear" w:color="auto" w:fill="auto"/>
                  <w:vAlign w:val="center"/>
                </w:tcPr>
                <w:p w14:paraId="2BB10911">
                  <w:pPr>
                    <w:widowControl/>
                    <w:adjustRightInd w:val="0"/>
                    <w:snapToGrid w:val="0"/>
                    <w:jc w:val="center"/>
                    <w:textAlignment w:val="center"/>
                    <w:rPr>
                      <w:rFonts w:ascii="Times New Roman" w:hAnsi="Times New Roman" w:eastAsia="宋体" w:cs="Times New Roman"/>
                      <w:bCs/>
                      <w:kern w:val="2"/>
                      <w:sz w:val="21"/>
                      <w:szCs w:val="21"/>
                      <w:highlight w:val="none"/>
                      <w:lang w:val="en-US" w:eastAsia="zh-CN" w:bidi="ar-SA"/>
                    </w:rPr>
                  </w:pPr>
                  <w:r>
                    <w:rPr>
                      <w:rFonts w:hint="eastAsia"/>
                      <w:bCs/>
                      <w:szCs w:val="21"/>
                      <w:highlight w:val="none"/>
                    </w:rPr>
                    <w:t>118.568476</w:t>
                  </w:r>
                  <w:r>
                    <w:rPr>
                      <w:bCs/>
                      <w:szCs w:val="21"/>
                      <w:highlight w:val="none"/>
                    </w:rPr>
                    <w:t>°</w:t>
                  </w:r>
                </w:p>
              </w:tc>
              <w:tc>
                <w:tcPr>
                  <w:tcW w:w="694" w:type="pct"/>
                  <w:vMerge w:val="restart"/>
                  <w:shd w:val="clear" w:color="auto" w:fill="auto"/>
                  <w:vAlign w:val="center"/>
                </w:tcPr>
                <w:p w14:paraId="41B598CF">
                  <w:pPr>
                    <w:widowControl/>
                    <w:adjustRightInd w:val="0"/>
                    <w:snapToGrid w:val="0"/>
                    <w:jc w:val="center"/>
                    <w:textAlignment w:val="center"/>
                    <w:rPr>
                      <w:rFonts w:ascii="Times New Roman" w:hAnsi="Times New Roman" w:eastAsia="宋体" w:cs="Times New Roman"/>
                      <w:bCs/>
                      <w:kern w:val="2"/>
                      <w:sz w:val="21"/>
                      <w:szCs w:val="21"/>
                      <w:highlight w:val="none"/>
                      <w:lang w:val="en-US" w:eastAsia="zh-CN" w:bidi="ar-SA"/>
                    </w:rPr>
                  </w:pPr>
                  <w:r>
                    <w:rPr>
                      <w:rFonts w:hint="eastAsia"/>
                      <w:bCs/>
                      <w:szCs w:val="21"/>
                      <w:highlight w:val="none"/>
                    </w:rPr>
                    <w:t>40.671584</w:t>
                  </w:r>
                  <w:r>
                    <w:rPr>
                      <w:bCs/>
                      <w:szCs w:val="21"/>
                      <w:highlight w:val="none"/>
                    </w:rPr>
                    <w:t>°</w:t>
                  </w:r>
                </w:p>
              </w:tc>
              <w:tc>
                <w:tcPr>
                  <w:tcW w:w="383" w:type="pct"/>
                  <w:vMerge w:val="restart"/>
                  <w:vAlign w:val="center"/>
                </w:tcPr>
                <w:p w14:paraId="6EB4098C">
                  <w:pPr>
                    <w:adjustRightInd w:val="0"/>
                    <w:snapToGrid w:val="0"/>
                    <w:jc w:val="center"/>
                    <w:rPr>
                      <w:rFonts w:hint="eastAsia" w:eastAsia="宋体"/>
                      <w:szCs w:val="21"/>
                      <w:highlight w:val="none"/>
                      <w:lang w:val="en-US" w:eastAsia="zh-CN"/>
                    </w:rPr>
                  </w:pPr>
                  <w:r>
                    <w:rPr>
                      <w:rFonts w:hint="eastAsia"/>
                      <w:szCs w:val="21"/>
                      <w:highlight w:val="none"/>
                    </w:rPr>
                    <w:t>0.</w:t>
                  </w:r>
                  <w:r>
                    <w:rPr>
                      <w:rFonts w:hint="eastAsia"/>
                      <w:szCs w:val="21"/>
                      <w:highlight w:val="none"/>
                      <w:lang w:val="en-US" w:eastAsia="zh-CN"/>
                    </w:rPr>
                    <w:t>3</w:t>
                  </w:r>
                </w:p>
              </w:tc>
              <w:tc>
                <w:tcPr>
                  <w:tcW w:w="385" w:type="pct"/>
                  <w:vMerge w:val="restart"/>
                  <w:vAlign w:val="center"/>
                </w:tcPr>
                <w:p w14:paraId="0BDF4396">
                  <w:pPr>
                    <w:adjustRightInd w:val="0"/>
                    <w:snapToGrid w:val="0"/>
                    <w:jc w:val="center"/>
                    <w:rPr>
                      <w:szCs w:val="21"/>
                      <w:highlight w:val="none"/>
                    </w:rPr>
                  </w:pPr>
                  <w:r>
                    <w:rPr>
                      <w:szCs w:val="21"/>
                      <w:highlight w:val="none"/>
                    </w:rPr>
                    <w:t>15</w:t>
                  </w:r>
                </w:p>
              </w:tc>
              <w:tc>
                <w:tcPr>
                  <w:tcW w:w="311" w:type="pct"/>
                  <w:vMerge w:val="restart"/>
                  <w:vAlign w:val="center"/>
                </w:tcPr>
                <w:p w14:paraId="0F30918F">
                  <w:pPr>
                    <w:adjustRightInd w:val="0"/>
                    <w:snapToGrid w:val="0"/>
                    <w:jc w:val="center"/>
                    <w:rPr>
                      <w:szCs w:val="21"/>
                      <w:highlight w:val="none"/>
                    </w:rPr>
                  </w:pPr>
                  <w:r>
                    <w:rPr>
                      <w:szCs w:val="21"/>
                      <w:highlight w:val="none"/>
                    </w:rPr>
                    <w:t>20</w:t>
                  </w:r>
                </w:p>
              </w:tc>
              <w:tc>
                <w:tcPr>
                  <w:tcW w:w="369" w:type="pct"/>
                  <w:vMerge w:val="restart"/>
                  <w:vAlign w:val="center"/>
                </w:tcPr>
                <w:p w14:paraId="554CDA0A">
                  <w:pPr>
                    <w:adjustRightInd w:val="0"/>
                    <w:snapToGrid w:val="0"/>
                    <w:jc w:val="center"/>
                    <w:rPr>
                      <w:rFonts w:hint="default"/>
                      <w:szCs w:val="21"/>
                      <w:highlight w:val="none"/>
                      <w:lang w:val="en-US"/>
                    </w:rPr>
                  </w:pPr>
                  <w:r>
                    <w:rPr>
                      <w:rFonts w:hint="eastAsia"/>
                      <w:kern w:val="0"/>
                      <w:szCs w:val="21"/>
                      <w:highlight w:val="none"/>
                      <w:lang w:val="en-US" w:eastAsia="zh-CN" w:bidi="ar"/>
                    </w:rPr>
                    <w:t>8760</w:t>
                  </w:r>
                </w:p>
              </w:tc>
              <w:tc>
                <w:tcPr>
                  <w:tcW w:w="256" w:type="pct"/>
                  <w:vMerge w:val="restart"/>
                  <w:vAlign w:val="center"/>
                </w:tcPr>
                <w:p w14:paraId="0055893A">
                  <w:pPr>
                    <w:adjustRightInd w:val="0"/>
                    <w:snapToGrid w:val="0"/>
                    <w:jc w:val="center"/>
                    <w:rPr>
                      <w:szCs w:val="21"/>
                      <w:highlight w:val="none"/>
                    </w:rPr>
                  </w:pPr>
                  <w:r>
                    <w:rPr>
                      <w:rFonts w:hint="eastAsia"/>
                      <w:kern w:val="0"/>
                      <w:szCs w:val="21"/>
                      <w:highlight w:val="none"/>
                      <w:lang w:bidi="ar"/>
                    </w:rPr>
                    <w:t>正常</w:t>
                  </w:r>
                </w:p>
              </w:tc>
              <w:tc>
                <w:tcPr>
                  <w:tcW w:w="396" w:type="pct"/>
                  <w:vAlign w:val="center"/>
                </w:tcPr>
                <w:p w14:paraId="6C7E3682">
                  <w:pPr>
                    <w:adjustRightInd w:val="0"/>
                    <w:snapToGrid w:val="0"/>
                    <w:jc w:val="center"/>
                    <w:rPr>
                      <w:rFonts w:hint="eastAsia" w:eastAsia="宋体"/>
                      <w:szCs w:val="21"/>
                      <w:highlight w:val="none"/>
                      <w:lang w:eastAsia="zh-CN"/>
                    </w:rPr>
                  </w:pPr>
                  <w:r>
                    <w:rPr>
                      <w:rFonts w:hint="eastAsia"/>
                      <w:kern w:val="0"/>
                      <w:szCs w:val="21"/>
                      <w:highlight w:val="none"/>
                      <w:lang w:val="en-US" w:eastAsia="zh-CN" w:bidi="ar"/>
                    </w:rPr>
                    <w:t>非甲烷总烃</w:t>
                  </w:r>
                </w:p>
              </w:tc>
              <w:tc>
                <w:tcPr>
                  <w:tcW w:w="462" w:type="pct"/>
                  <w:shd w:val="clear" w:color="auto" w:fill="auto"/>
                  <w:vAlign w:val="center"/>
                </w:tcPr>
                <w:p w14:paraId="40FDFB29">
                  <w:pPr>
                    <w:widowControl/>
                    <w:jc w:val="center"/>
                    <w:textAlignment w:val="center"/>
                    <w:rPr>
                      <w:rFonts w:hint="default" w:ascii="Times New Roman" w:hAnsi="Times New Roman" w:eastAsia="宋体" w:cs="Times New Roman"/>
                      <w:kern w:val="0"/>
                      <w:sz w:val="21"/>
                      <w:szCs w:val="21"/>
                      <w:highlight w:val="none"/>
                      <w:lang w:val="en-US" w:eastAsia="zh-CN" w:bidi="ar"/>
                    </w:rPr>
                  </w:pPr>
                  <w:r>
                    <w:rPr>
                      <w:rFonts w:hint="eastAsia"/>
                      <w:kern w:val="0"/>
                      <w:szCs w:val="21"/>
                      <w:highlight w:val="none"/>
                      <w:lang w:val="en-US" w:eastAsia="zh-CN" w:bidi="ar"/>
                    </w:rPr>
                    <w:t>0.016</w:t>
                  </w:r>
                </w:p>
              </w:tc>
            </w:tr>
            <w:tr w14:paraId="7D55C9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453" w:type="pct"/>
                  <w:vMerge w:val="continue"/>
                  <w:vAlign w:val="center"/>
                </w:tcPr>
                <w:p w14:paraId="6B9DFDCC">
                  <w:pPr>
                    <w:adjustRightInd w:val="0"/>
                    <w:snapToGrid w:val="0"/>
                    <w:jc w:val="center"/>
                    <w:rPr>
                      <w:bCs/>
                      <w:spacing w:val="-11"/>
                      <w:szCs w:val="21"/>
                      <w:highlight w:val="none"/>
                    </w:rPr>
                  </w:pPr>
                </w:p>
              </w:tc>
              <w:tc>
                <w:tcPr>
                  <w:tcW w:w="538" w:type="pct"/>
                  <w:vMerge w:val="continue"/>
                  <w:shd w:val="clear" w:color="auto" w:fill="auto"/>
                  <w:vAlign w:val="center"/>
                </w:tcPr>
                <w:p w14:paraId="4FB5E06D">
                  <w:pPr>
                    <w:snapToGrid w:val="0"/>
                    <w:jc w:val="center"/>
                    <w:rPr>
                      <w:rFonts w:hint="eastAsia"/>
                      <w:szCs w:val="21"/>
                      <w:highlight w:val="none"/>
                      <w:lang w:val="en-US" w:eastAsia="zh-CN"/>
                    </w:rPr>
                  </w:pPr>
                </w:p>
              </w:tc>
              <w:tc>
                <w:tcPr>
                  <w:tcW w:w="749" w:type="pct"/>
                  <w:vMerge w:val="continue"/>
                  <w:shd w:val="clear" w:color="auto" w:fill="auto"/>
                  <w:vAlign w:val="center"/>
                </w:tcPr>
                <w:p w14:paraId="7467026D">
                  <w:pPr>
                    <w:widowControl/>
                    <w:adjustRightInd w:val="0"/>
                    <w:snapToGrid w:val="0"/>
                    <w:jc w:val="center"/>
                    <w:textAlignment w:val="center"/>
                    <w:rPr>
                      <w:rFonts w:hint="eastAsia"/>
                      <w:bCs/>
                      <w:szCs w:val="21"/>
                      <w:highlight w:val="none"/>
                    </w:rPr>
                  </w:pPr>
                </w:p>
              </w:tc>
              <w:tc>
                <w:tcPr>
                  <w:tcW w:w="694" w:type="pct"/>
                  <w:vMerge w:val="continue"/>
                  <w:shd w:val="clear" w:color="auto" w:fill="auto"/>
                  <w:vAlign w:val="center"/>
                </w:tcPr>
                <w:p w14:paraId="24FE036F">
                  <w:pPr>
                    <w:widowControl/>
                    <w:adjustRightInd w:val="0"/>
                    <w:snapToGrid w:val="0"/>
                    <w:jc w:val="center"/>
                    <w:textAlignment w:val="center"/>
                    <w:rPr>
                      <w:rFonts w:hint="eastAsia"/>
                      <w:bCs/>
                      <w:szCs w:val="21"/>
                      <w:highlight w:val="none"/>
                    </w:rPr>
                  </w:pPr>
                </w:p>
              </w:tc>
              <w:tc>
                <w:tcPr>
                  <w:tcW w:w="383" w:type="pct"/>
                  <w:vMerge w:val="continue"/>
                  <w:vAlign w:val="center"/>
                </w:tcPr>
                <w:p w14:paraId="28609015">
                  <w:pPr>
                    <w:adjustRightInd w:val="0"/>
                    <w:snapToGrid w:val="0"/>
                    <w:jc w:val="center"/>
                    <w:rPr>
                      <w:rFonts w:hint="eastAsia"/>
                      <w:szCs w:val="21"/>
                      <w:highlight w:val="none"/>
                    </w:rPr>
                  </w:pPr>
                </w:p>
              </w:tc>
              <w:tc>
                <w:tcPr>
                  <w:tcW w:w="385" w:type="pct"/>
                  <w:vMerge w:val="continue"/>
                  <w:vAlign w:val="center"/>
                </w:tcPr>
                <w:p w14:paraId="6F07843D">
                  <w:pPr>
                    <w:adjustRightInd w:val="0"/>
                    <w:snapToGrid w:val="0"/>
                    <w:jc w:val="center"/>
                    <w:rPr>
                      <w:szCs w:val="21"/>
                      <w:highlight w:val="none"/>
                    </w:rPr>
                  </w:pPr>
                </w:p>
              </w:tc>
              <w:tc>
                <w:tcPr>
                  <w:tcW w:w="311" w:type="pct"/>
                  <w:vMerge w:val="continue"/>
                  <w:vAlign w:val="center"/>
                </w:tcPr>
                <w:p w14:paraId="4A847E56">
                  <w:pPr>
                    <w:adjustRightInd w:val="0"/>
                    <w:snapToGrid w:val="0"/>
                    <w:jc w:val="center"/>
                    <w:rPr>
                      <w:szCs w:val="21"/>
                      <w:highlight w:val="none"/>
                    </w:rPr>
                  </w:pPr>
                </w:p>
              </w:tc>
              <w:tc>
                <w:tcPr>
                  <w:tcW w:w="369" w:type="pct"/>
                  <w:vMerge w:val="continue"/>
                  <w:vAlign w:val="center"/>
                </w:tcPr>
                <w:p w14:paraId="29D55D10">
                  <w:pPr>
                    <w:adjustRightInd w:val="0"/>
                    <w:snapToGrid w:val="0"/>
                    <w:jc w:val="center"/>
                    <w:rPr>
                      <w:rFonts w:hint="eastAsia"/>
                      <w:kern w:val="0"/>
                      <w:szCs w:val="21"/>
                      <w:highlight w:val="none"/>
                      <w:lang w:val="en-US" w:eastAsia="zh-CN" w:bidi="ar"/>
                    </w:rPr>
                  </w:pPr>
                </w:p>
              </w:tc>
              <w:tc>
                <w:tcPr>
                  <w:tcW w:w="256" w:type="pct"/>
                  <w:vMerge w:val="continue"/>
                  <w:vAlign w:val="center"/>
                </w:tcPr>
                <w:p w14:paraId="7CAB3CD7">
                  <w:pPr>
                    <w:adjustRightInd w:val="0"/>
                    <w:snapToGrid w:val="0"/>
                    <w:jc w:val="center"/>
                    <w:rPr>
                      <w:rFonts w:hint="eastAsia"/>
                      <w:kern w:val="0"/>
                      <w:szCs w:val="21"/>
                      <w:highlight w:val="none"/>
                      <w:lang w:bidi="ar"/>
                    </w:rPr>
                  </w:pPr>
                </w:p>
              </w:tc>
              <w:tc>
                <w:tcPr>
                  <w:tcW w:w="396" w:type="pct"/>
                  <w:vAlign w:val="center"/>
                </w:tcPr>
                <w:p w14:paraId="2BD24C92">
                  <w:pPr>
                    <w:adjustRightInd w:val="0"/>
                    <w:snapToGrid w:val="0"/>
                    <w:jc w:val="center"/>
                    <w:rPr>
                      <w:rFonts w:hint="default"/>
                      <w:kern w:val="0"/>
                      <w:szCs w:val="21"/>
                      <w:highlight w:val="none"/>
                      <w:lang w:val="en-US" w:eastAsia="zh-CN" w:bidi="ar"/>
                    </w:rPr>
                  </w:pPr>
                  <w:r>
                    <w:rPr>
                      <w:rFonts w:hint="eastAsia"/>
                      <w:kern w:val="0"/>
                      <w:szCs w:val="21"/>
                      <w:highlight w:val="none"/>
                      <w:lang w:val="en-US" w:eastAsia="zh-CN" w:bidi="ar"/>
                    </w:rPr>
                    <w:t>氨</w:t>
                  </w:r>
                </w:p>
              </w:tc>
              <w:tc>
                <w:tcPr>
                  <w:tcW w:w="462" w:type="pct"/>
                  <w:shd w:val="clear" w:color="auto" w:fill="auto"/>
                  <w:vAlign w:val="center"/>
                </w:tcPr>
                <w:p w14:paraId="0EC878E8">
                  <w:pPr>
                    <w:widowControl/>
                    <w:jc w:val="center"/>
                    <w:textAlignment w:val="center"/>
                    <w:rPr>
                      <w:rFonts w:hint="default"/>
                      <w:kern w:val="0"/>
                      <w:szCs w:val="21"/>
                      <w:highlight w:val="none"/>
                      <w:lang w:val="en-US" w:eastAsia="zh-CN" w:bidi="ar"/>
                    </w:rPr>
                  </w:pPr>
                  <w:r>
                    <w:rPr>
                      <w:rFonts w:hint="eastAsia"/>
                      <w:kern w:val="0"/>
                      <w:szCs w:val="21"/>
                      <w:highlight w:val="none"/>
                      <w:lang w:val="en-US" w:eastAsia="zh-CN" w:bidi="ar"/>
                    </w:rPr>
                    <w:t>0.015</w:t>
                  </w:r>
                </w:p>
              </w:tc>
            </w:tr>
            <w:tr w14:paraId="6E0D01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453" w:type="pct"/>
                  <w:vMerge w:val="continue"/>
                  <w:vAlign w:val="center"/>
                </w:tcPr>
                <w:p w14:paraId="6133AC51">
                  <w:pPr>
                    <w:adjustRightInd w:val="0"/>
                    <w:snapToGrid w:val="0"/>
                    <w:jc w:val="center"/>
                    <w:rPr>
                      <w:bCs/>
                      <w:spacing w:val="-11"/>
                      <w:szCs w:val="21"/>
                      <w:highlight w:val="none"/>
                    </w:rPr>
                  </w:pPr>
                </w:p>
              </w:tc>
              <w:tc>
                <w:tcPr>
                  <w:tcW w:w="538" w:type="pct"/>
                  <w:vMerge w:val="continue"/>
                  <w:shd w:val="clear" w:color="auto" w:fill="auto"/>
                  <w:vAlign w:val="center"/>
                </w:tcPr>
                <w:p w14:paraId="444605EA">
                  <w:pPr>
                    <w:snapToGrid w:val="0"/>
                    <w:jc w:val="center"/>
                    <w:rPr>
                      <w:rFonts w:hint="eastAsia"/>
                      <w:szCs w:val="21"/>
                      <w:highlight w:val="none"/>
                      <w:lang w:val="en-US" w:eastAsia="zh-CN"/>
                    </w:rPr>
                  </w:pPr>
                </w:p>
              </w:tc>
              <w:tc>
                <w:tcPr>
                  <w:tcW w:w="749" w:type="pct"/>
                  <w:vMerge w:val="continue"/>
                  <w:shd w:val="clear" w:color="auto" w:fill="auto"/>
                  <w:vAlign w:val="center"/>
                </w:tcPr>
                <w:p w14:paraId="581B3890">
                  <w:pPr>
                    <w:widowControl/>
                    <w:adjustRightInd w:val="0"/>
                    <w:snapToGrid w:val="0"/>
                    <w:jc w:val="center"/>
                    <w:textAlignment w:val="center"/>
                    <w:rPr>
                      <w:rFonts w:hint="eastAsia"/>
                      <w:bCs/>
                      <w:szCs w:val="21"/>
                      <w:highlight w:val="none"/>
                    </w:rPr>
                  </w:pPr>
                </w:p>
              </w:tc>
              <w:tc>
                <w:tcPr>
                  <w:tcW w:w="694" w:type="pct"/>
                  <w:vMerge w:val="continue"/>
                  <w:shd w:val="clear" w:color="auto" w:fill="auto"/>
                  <w:vAlign w:val="center"/>
                </w:tcPr>
                <w:p w14:paraId="778E3159">
                  <w:pPr>
                    <w:widowControl/>
                    <w:adjustRightInd w:val="0"/>
                    <w:snapToGrid w:val="0"/>
                    <w:jc w:val="center"/>
                    <w:textAlignment w:val="center"/>
                    <w:rPr>
                      <w:rFonts w:hint="eastAsia"/>
                      <w:bCs/>
                      <w:szCs w:val="21"/>
                      <w:highlight w:val="none"/>
                    </w:rPr>
                  </w:pPr>
                </w:p>
              </w:tc>
              <w:tc>
                <w:tcPr>
                  <w:tcW w:w="383" w:type="pct"/>
                  <w:vMerge w:val="continue"/>
                  <w:vAlign w:val="center"/>
                </w:tcPr>
                <w:p w14:paraId="2A0E20A6">
                  <w:pPr>
                    <w:adjustRightInd w:val="0"/>
                    <w:snapToGrid w:val="0"/>
                    <w:jc w:val="center"/>
                    <w:rPr>
                      <w:rFonts w:hint="eastAsia"/>
                      <w:szCs w:val="21"/>
                      <w:highlight w:val="none"/>
                    </w:rPr>
                  </w:pPr>
                </w:p>
              </w:tc>
              <w:tc>
                <w:tcPr>
                  <w:tcW w:w="385" w:type="pct"/>
                  <w:vMerge w:val="continue"/>
                  <w:vAlign w:val="center"/>
                </w:tcPr>
                <w:p w14:paraId="4B982543">
                  <w:pPr>
                    <w:adjustRightInd w:val="0"/>
                    <w:snapToGrid w:val="0"/>
                    <w:jc w:val="center"/>
                    <w:rPr>
                      <w:szCs w:val="21"/>
                      <w:highlight w:val="none"/>
                    </w:rPr>
                  </w:pPr>
                </w:p>
              </w:tc>
              <w:tc>
                <w:tcPr>
                  <w:tcW w:w="311" w:type="pct"/>
                  <w:vMerge w:val="continue"/>
                  <w:vAlign w:val="center"/>
                </w:tcPr>
                <w:p w14:paraId="4C8243D2">
                  <w:pPr>
                    <w:adjustRightInd w:val="0"/>
                    <w:snapToGrid w:val="0"/>
                    <w:jc w:val="center"/>
                    <w:rPr>
                      <w:szCs w:val="21"/>
                      <w:highlight w:val="none"/>
                    </w:rPr>
                  </w:pPr>
                </w:p>
              </w:tc>
              <w:tc>
                <w:tcPr>
                  <w:tcW w:w="369" w:type="pct"/>
                  <w:vMerge w:val="continue"/>
                  <w:vAlign w:val="center"/>
                </w:tcPr>
                <w:p w14:paraId="089CAA28">
                  <w:pPr>
                    <w:adjustRightInd w:val="0"/>
                    <w:snapToGrid w:val="0"/>
                    <w:jc w:val="center"/>
                    <w:rPr>
                      <w:rFonts w:hint="eastAsia"/>
                      <w:kern w:val="0"/>
                      <w:szCs w:val="21"/>
                      <w:highlight w:val="none"/>
                      <w:lang w:val="en-US" w:eastAsia="zh-CN" w:bidi="ar"/>
                    </w:rPr>
                  </w:pPr>
                </w:p>
              </w:tc>
              <w:tc>
                <w:tcPr>
                  <w:tcW w:w="256" w:type="pct"/>
                  <w:vMerge w:val="continue"/>
                  <w:vAlign w:val="center"/>
                </w:tcPr>
                <w:p w14:paraId="2425DE22">
                  <w:pPr>
                    <w:adjustRightInd w:val="0"/>
                    <w:snapToGrid w:val="0"/>
                    <w:jc w:val="center"/>
                    <w:rPr>
                      <w:rFonts w:hint="eastAsia"/>
                      <w:kern w:val="0"/>
                      <w:szCs w:val="21"/>
                      <w:highlight w:val="none"/>
                      <w:lang w:bidi="ar"/>
                    </w:rPr>
                  </w:pPr>
                </w:p>
              </w:tc>
              <w:tc>
                <w:tcPr>
                  <w:tcW w:w="396" w:type="pct"/>
                  <w:vAlign w:val="center"/>
                </w:tcPr>
                <w:p w14:paraId="2E20312B">
                  <w:pPr>
                    <w:adjustRightInd w:val="0"/>
                    <w:snapToGrid w:val="0"/>
                    <w:jc w:val="center"/>
                    <w:rPr>
                      <w:rFonts w:hint="default"/>
                      <w:kern w:val="0"/>
                      <w:szCs w:val="21"/>
                      <w:highlight w:val="none"/>
                      <w:lang w:val="en-US" w:eastAsia="zh-CN" w:bidi="ar"/>
                    </w:rPr>
                  </w:pPr>
                  <w:r>
                    <w:rPr>
                      <w:rFonts w:hint="eastAsia"/>
                      <w:kern w:val="0"/>
                      <w:szCs w:val="21"/>
                      <w:highlight w:val="none"/>
                      <w:lang w:val="en-US" w:eastAsia="zh-CN" w:bidi="ar"/>
                    </w:rPr>
                    <w:t>硫化氢</w:t>
                  </w:r>
                </w:p>
              </w:tc>
              <w:tc>
                <w:tcPr>
                  <w:tcW w:w="462" w:type="pct"/>
                  <w:shd w:val="clear" w:color="auto" w:fill="auto"/>
                  <w:vAlign w:val="center"/>
                </w:tcPr>
                <w:p w14:paraId="37A69CB5">
                  <w:pPr>
                    <w:widowControl/>
                    <w:jc w:val="center"/>
                    <w:textAlignment w:val="center"/>
                    <w:rPr>
                      <w:rFonts w:hint="default"/>
                      <w:kern w:val="0"/>
                      <w:szCs w:val="21"/>
                      <w:highlight w:val="none"/>
                      <w:lang w:val="en-US" w:eastAsia="zh-CN" w:bidi="ar"/>
                    </w:rPr>
                  </w:pPr>
                  <w:r>
                    <w:rPr>
                      <w:rFonts w:hint="eastAsia"/>
                      <w:kern w:val="0"/>
                      <w:szCs w:val="21"/>
                      <w:highlight w:val="none"/>
                      <w:lang w:val="en-US" w:eastAsia="zh-CN" w:bidi="ar"/>
                    </w:rPr>
                    <w:t>0.029</w:t>
                  </w:r>
                </w:p>
              </w:tc>
            </w:tr>
          </w:tbl>
          <w:p w14:paraId="58C8A5B2">
            <w:pPr>
              <w:snapToGrid w:val="0"/>
              <w:spacing w:before="120" w:beforeLines="50" w:line="360" w:lineRule="auto"/>
              <w:ind w:firstLine="480" w:firstLineChars="200"/>
              <w:rPr>
                <w:sz w:val="24"/>
                <w:highlight w:val="none"/>
              </w:rPr>
            </w:pPr>
            <w:r>
              <w:rPr>
                <w:rFonts w:hint="eastAsia"/>
                <w:sz w:val="24"/>
                <w:highlight w:val="none"/>
              </w:rPr>
              <w:t>项目无组织排放参数情况见下表。</w:t>
            </w:r>
          </w:p>
          <w:p w14:paraId="248979AE">
            <w:pPr>
              <w:pStyle w:val="48"/>
              <w:numPr>
                <w:ilvl w:val="0"/>
                <w:numId w:val="9"/>
              </w:numPr>
              <w:spacing w:line="360" w:lineRule="auto"/>
              <w:ind w:left="0" w:firstLine="0" w:firstLineChars="0"/>
              <w:jc w:val="center"/>
              <w:rPr>
                <w:rFonts w:ascii="Times New Roman" w:hAnsi="Times New Roman" w:eastAsia="宋体"/>
                <w:b/>
                <w:sz w:val="21"/>
                <w:highlight w:val="none"/>
              </w:rPr>
            </w:pPr>
            <w:r>
              <w:rPr>
                <w:rFonts w:hint="eastAsia" w:ascii="Times New Roman" w:hAnsi="Times New Roman" w:eastAsia="宋体"/>
                <w:b/>
                <w:sz w:val="21"/>
                <w:highlight w:val="none"/>
              </w:rPr>
              <w:t>项目无组织排放参数一览表</w:t>
            </w:r>
          </w:p>
          <w:tbl>
            <w:tblPr>
              <w:tblStyle w:val="2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2"/>
              <w:gridCol w:w="976"/>
              <w:gridCol w:w="846"/>
              <w:gridCol w:w="846"/>
              <w:gridCol w:w="846"/>
              <w:gridCol w:w="846"/>
              <w:gridCol w:w="846"/>
              <w:gridCol w:w="847"/>
              <w:gridCol w:w="847"/>
              <w:gridCol w:w="849"/>
            </w:tblGrid>
            <w:tr w14:paraId="3FB922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3" w:type="dxa"/>
                  <w:vMerge w:val="restart"/>
                  <w:vAlign w:val="center"/>
                </w:tcPr>
                <w:p w14:paraId="1253ADA5">
                  <w:pPr>
                    <w:pStyle w:val="8"/>
                    <w:ind w:firstLine="0"/>
                    <w:jc w:val="center"/>
                    <w:rPr>
                      <w:rFonts w:hAnsi="Times New Roman" w:eastAsia="宋体" w:cs="Times New Roman"/>
                      <w:b/>
                      <w:bCs/>
                      <w:sz w:val="21"/>
                      <w:szCs w:val="21"/>
                      <w:highlight w:val="none"/>
                    </w:rPr>
                  </w:pPr>
                  <w:r>
                    <w:rPr>
                      <w:rFonts w:hAnsi="Times New Roman" w:eastAsia="宋体" w:cs="Times New Roman"/>
                      <w:b/>
                      <w:bCs/>
                      <w:sz w:val="21"/>
                      <w:szCs w:val="21"/>
                      <w:highlight w:val="none"/>
                    </w:rPr>
                    <w:t>名称</w:t>
                  </w:r>
                </w:p>
              </w:tc>
              <w:tc>
                <w:tcPr>
                  <w:tcW w:w="1822" w:type="dxa"/>
                  <w:gridSpan w:val="2"/>
                  <w:vAlign w:val="center"/>
                </w:tcPr>
                <w:p w14:paraId="2F393C74">
                  <w:pPr>
                    <w:pStyle w:val="8"/>
                    <w:ind w:firstLine="0"/>
                    <w:jc w:val="center"/>
                    <w:rPr>
                      <w:rFonts w:hAnsi="Times New Roman" w:eastAsia="宋体" w:cs="Times New Roman"/>
                      <w:b/>
                      <w:bCs/>
                      <w:sz w:val="21"/>
                      <w:szCs w:val="21"/>
                      <w:highlight w:val="none"/>
                    </w:rPr>
                  </w:pPr>
                  <w:r>
                    <w:rPr>
                      <w:rFonts w:hAnsi="Times New Roman" w:eastAsia="宋体" w:cs="Times New Roman"/>
                      <w:b/>
                      <w:bCs/>
                      <w:sz w:val="21"/>
                      <w:szCs w:val="21"/>
                      <w:highlight w:val="none"/>
                    </w:rPr>
                    <w:t>面源起点坐标/m</w:t>
                  </w:r>
                </w:p>
              </w:tc>
              <w:tc>
                <w:tcPr>
                  <w:tcW w:w="846" w:type="dxa"/>
                  <w:vMerge w:val="restart"/>
                  <w:vAlign w:val="center"/>
                </w:tcPr>
                <w:p w14:paraId="41D0F9BE">
                  <w:pPr>
                    <w:pStyle w:val="8"/>
                    <w:ind w:firstLine="0"/>
                    <w:jc w:val="center"/>
                    <w:rPr>
                      <w:rFonts w:hAnsi="Times New Roman" w:eastAsia="宋体" w:cs="Times New Roman"/>
                      <w:b/>
                      <w:bCs/>
                      <w:sz w:val="21"/>
                      <w:szCs w:val="21"/>
                      <w:highlight w:val="none"/>
                    </w:rPr>
                  </w:pPr>
                  <w:r>
                    <w:rPr>
                      <w:rFonts w:hAnsi="Times New Roman" w:eastAsia="宋体" w:cs="Times New Roman"/>
                      <w:b/>
                      <w:bCs/>
                      <w:sz w:val="21"/>
                      <w:szCs w:val="21"/>
                      <w:highlight w:val="none"/>
                    </w:rPr>
                    <w:t>海拔高度/m</w:t>
                  </w:r>
                </w:p>
              </w:tc>
              <w:tc>
                <w:tcPr>
                  <w:tcW w:w="846" w:type="dxa"/>
                  <w:vMerge w:val="restart"/>
                  <w:vAlign w:val="center"/>
                </w:tcPr>
                <w:p w14:paraId="0909D26E">
                  <w:pPr>
                    <w:pStyle w:val="8"/>
                    <w:ind w:firstLine="0"/>
                    <w:jc w:val="center"/>
                    <w:rPr>
                      <w:rFonts w:hAnsi="Times New Roman" w:eastAsia="宋体" w:cs="Times New Roman"/>
                      <w:b/>
                      <w:bCs/>
                      <w:sz w:val="21"/>
                      <w:szCs w:val="21"/>
                      <w:highlight w:val="none"/>
                    </w:rPr>
                  </w:pPr>
                  <w:r>
                    <w:rPr>
                      <w:rFonts w:hAnsi="Times New Roman" w:eastAsia="宋体" w:cs="Times New Roman"/>
                      <w:b/>
                      <w:bCs/>
                      <w:sz w:val="21"/>
                      <w:szCs w:val="21"/>
                      <w:highlight w:val="none"/>
                    </w:rPr>
                    <w:t>长度/m</w:t>
                  </w:r>
                </w:p>
              </w:tc>
              <w:tc>
                <w:tcPr>
                  <w:tcW w:w="846" w:type="dxa"/>
                  <w:vMerge w:val="restart"/>
                  <w:vAlign w:val="center"/>
                </w:tcPr>
                <w:p w14:paraId="58DA88B9">
                  <w:pPr>
                    <w:pStyle w:val="8"/>
                    <w:ind w:firstLine="0"/>
                    <w:jc w:val="center"/>
                    <w:rPr>
                      <w:rFonts w:hAnsi="Times New Roman" w:eastAsia="宋体" w:cs="Times New Roman"/>
                      <w:b/>
                      <w:bCs/>
                      <w:sz w:val="21"/>
                      <w:szCs w:val="21"/>
                      <w:highlight w:val="none"/>
                    </w:rPr>
                  </w:pPr>
                  <w:r>
                    <w:rPr>
                      <w:rFonts w:hAnsi="Times New Roman" w:eastAsia="宋体" w:cs="Times New Roman"/>
                      <w:b/>
                      <w:bCs/>
                      <w:sz w:val="21"/>
                      <w:szCs w:val="21"/>
                      <w:highlight w:val="none"/>
                    </w:rPr>
                    <w:t>宽度/m</w:t>
                  </w:r>
                </w:p>
              </w:tc>
              <w:tc>
                <w:tcPr>
                  <w:tcW w:w="846" w:type="dxa"/>
                  <w:vMerge w:val="restart"/>
                  <w:vAlign w:val="center"/>
                </w:tcPr>
                <w:p w14:paraId="52BBF4FA">
                  <w:pPr>
                    <w:pStyle w:val="8"/>
                    <w:ind w:firstLine="0"/>
                    <w:jc w:val="center"/>
                    <w:rPr>
                      <w:rFonts w:hAnsi="Times New Roman" w:eastAsia="宋体" w:cs="Times New Roman"/>
                      <w:b/>
                      <w:bCs/>
                      <w:sz w:val="21"/>
                      <w:szCs w:val="21"/>
                      <w:highlight w:val="none"/>
                    </w:rPr>
                  </w:pPr>
                  <w:r>
                    <w:rPr>
                      <w:rFonts w:hAnsi="Times New Roman" w:eastAsia="宋体" w:cs="Times New Roman"/>
                      <w:b/>
                      <w:bCs/>
                      <w:sz w:val="21"/>
                      <w:szCs w:val="21"/>
                      <w:highlight w:val="none"/>
                    </w:rPr>
                    <w:t>有效高度</w:t>
                  </w:r>
                </w:p>
              </w:tc>
              <w:tc>
                <w:tcPr>
                  <w:tcW w:w="847" w:type="dxa"/>
                  <w:vMerge w:val="restart"/>
                  <w:vAlign w:val="center"/>
                </w:tcPr>
                <w:p w14:paraId="0FB1F783">
                  <w:pPr>
                    <w:pStyle w:val="8"/>
                    <w:ind w:firstLine="0"/>
                    <w:jc w:val="center"/>
                    <w:rPr>
                      <w:rFonts w:hAnsi="Times New Roman" w:eastAsia="宋体" w:cs="Times New Roman"/>
                      <w:b/>
                      <w:bCs/>
                      <w:sz w:val="21"/>
                      <w:szCs w:val="21"/>
                      <w:highlight w:val="none"/>
                    </w:rPr>
                  </w:pPr>
                  <w:r>
                    <w:rPr>
                      <w:rFonts w:hAnsi="Times New Roman" w:eastAsia="宋体" w:cs="Times New Roman"/>
                      <w:b/>
                      <w:bCs/>
                      <w:sz w:val="21"/>
                      <w:szCs w:val="21"/>
                      <w:highlight w:val="none"/>
                    </w:rPr>
                    <w:t>年排放小时数/h</w:t>
                  </w:r>
                </w:p>
              </w:tc>
              <w:tc>
                <w:tcPr>
                  <w:tcW w:w="1696" w:type="dxa"/>
                  <w:gridSpan w:val="2"/>
                  <w:vMerge w:val="restart"/>
                  <w:vAlign w:val="center"/>
                </w:tcPr>
                <w:p w14:paraId="39710427">
                  <w:pPr>
                    <w:pStyle w:val="8"/>
                    <w:ind w:firstLine="0"/>
                    <w:jc w:val="center"/>
                    <w:rPr>
                      <w:rFonts w:hAnsi="Times New Roman" w:eastAsia="宋体" w:cs="Times New Roman"/>
                      <w:b/>
                      <w:bCs/>
                      <w:sz w:val="21"/>
                      <w:szCs w:val="21"/>
                      <w:highlight w:val="none"/>
                    </w:rPr>
                  </w:pPr>
                  <w:r>
                    <w:rPr>
                      <w:rFonts w:hAnsi="Times New Roman" w:eastAsia="宋体" w:cs="Times New Roman"/>
                      <w:b/>
                      <w:bCs/>
                      <w:sz w:val="21"/>
                      <w:szCs w:val="21"/>
                      <w:highlight w:val="none"/>
                    </w:rPr>
                    <w:t>污染物排放速率（kg/h）</w:t>
                  </w:r>
                </w:p>
              </w:tc>
            </w:tr>
            <w:tr w14:paraId="6439F7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3" w:type="dxa"/>
                  <w:vMerge w:val="continue"/>
                  <w:vAlign w:val="center"/>
                </w:tcPr>
                <w:p w14:paraId="3C69F29B">
                  <w:pPr>
                    <w:pStyle w:val="8"/>
                    <w:ind w:firstLine="0"/>
                    <w:jc w:val="center"/>
                    <w:rPr>
                      <w:rFonts w:hAnsi="Times New Roman" w:eastAsia="宋体" w:cs="Times New Roman"/>
                      <w:b/>
                      <w:bCs/>
                      <w:sz w:val="21"/>
                      <w:szCs w:val="21"/>
                      <w:highlight w:val="none"/>
                    </w:rPr>
                  </w:pPr>
                </w:p>
              </w:tc>
              <w:tc>
                <w:tcPr>
                  <w:tcW w:w="976" w:type="dxa"/>
                  <w:vAlign w:val="center"/>
                </w:tcPr>
                <w:p w14:paraId="478D03B1">
                  <w:pPr>
                    <w:pStyle w:val="8"/>
                    <w:ind w:firstLine="0"/>
                    <w:jc w:val="center"/>
                    <w:rPr>
                      <w:rFonts w:hAnsi="Times New Roman" w:eastAsia="宋体" w:cs="Times New Roman"/>
                      <w:b/>
                      <w:bCs/>
                      <w:sz w:val="21"/>
                      <w:szCs w:val="21"/>
                      <w:highlight w:val="none"/>
                    </w:rPr>
                  </w:pPr>
                  <w:r>
                    <w:rPr>
                      <w:rFonts w:hAnsi="Times New Roman" w:eastAsia="宋体" w:cs="Times New Roman"/>
                      <w:b/>
                      <w:bCs/>
                      <w:sz w:val="21"/>
                      <w:szCs w:val="21"/>
                      <w:highlight w:val="none"/>
                    </w:rPr>
                    <w:t>X</w:t>
                  </w:r>
                </w:p>
              </w:tc>
              <w:tc>
                <w:tcPr>
                  <w:tcW w:w="846" w:type="dxa"/>
                  <w:vAlign w:val="center"/>
                </w:tcPr>
                <w:p w14:paraId="07D37FE9">
                  <w:pPr>
                    <w:pStyle w:val="8"/>
                    <w:ind w:firstLine="0"/>
                    <w:jc w:val="center"/>
                    <w:rPr>
                      <w:rFonts w:hAnsi="Times New Roman" w:eastAsia="宋体" w:cs="Times New Roman"/>
                      <w:b/>
                      <w:bCs/>
                      <w:sz w:val="21"/>
                      <w:szCs w:val="21"/>
                      <w:highlight w:val="none"/>
                    </w:rPr>
                  </w:pPr>
                  <w:r>
                    <w:rPr>
                      <w:rFonts w:hAnsi="Times New Roman" w:eastAsia="宋体" w:cs="Times New Roman"/>
                      <w:b/>
                      <w:bCs/>
                      <w:sz w:val="21"/>
                      <w:szCs w:val="21"/>
                      <w:highlight w:val="none"/>
                    </w:rPr>
                    <w:t>Y</w:t>
                  </w:r>
                </w:p>
              </w:tc>
              <w:tc>
                <w:tcPr>
                  <w:tcW w:w="846" w:type="dxa"/>
                  <w:vMerge w:val="continue"/>
                  <w:vAlign w:val="center"/>
                </w:tcPr>
                <w:p w14:paraId="57DEC29E">
                  <w:pPr>
                    <w:pStyle w:val="8"/>
                    <w:ind w:firstLine="0"/>
                    <w:jc w:val="center"/>
                    <w:rPr>
                      <w:rFonts w:hAnsi="Times New Roman" w:eastAsia="宋体" w:cs="Times New Roman"/>
                      <w:sz w:val="21"/>
                      <w:szCs w:val="21"/>
                      <w:highlight w:val="none"/>
                    </w:rPr>
                  </w:pPr>
                </w:p>
              </w:tc>
              <w:tc>
                <w:tcPr>
                  <w:tcW w:w="846" w:type="dxa"/>
                  <w:vMerge w:val="continue"/>
                  <w:vAlign w:val="center"/>
                </w:tcPr>
                <w:p w14:paraId="17DD115A">
                  <w:pPr>
                    <w:pStyle w:val="8"/>
                    <w:ind w:firstLine="0"/>
                    <w:jc w:val="center"/>
                    <w:rPr>
                      <w:rFonts w:hAnsi="Times New Roman" w:eastAsia="宋体" w:cs="Times New Roman"/>
                      <w:sz w:val="21"/>
                      <w:szCs w:val="21"/>
                      <w:highlight w:val="none"/>
                    </w:rPr>
                  </w:pPr>
                </w:p>
              </w:tc>
              <w:tc>
                <w:tcPr>
                  <w:tcW w:w="846" w:type="dxa"/>
                  <w:vMerge w:val="continue"/>
                  <w:vAlign w:val="center"/>
                </w:tcPr>
                <w:p w14:paraId="16EF5708">
                  <w:pPr>
                    <w:pStyle w:val="8"/>
                    <w:ind w:firstLine="0"/>
                    <w:jc w:val="center"/>
                    <w:rPr>
                      <w:rFonts w:hAnsi="Times New Roman" w:eastAsia="宋体" w:cs="Times New Roman"/>
                      <w:sz w:val="21"/>
                      <w:szCs w:val="21"/>
                      <w:highlight w:val="none"/>
                    </w:rPr>
                  </w:pPr>
                </w:p>
              </w:tc>
              <w:tc>
                <w:tcPr>
                  <w:tcW w:w="846" w:type="dxa"/>
                  <w:vMerge w:val="continue"/>
                  <w:vAlign w:val="center"/>
                </w:tcPr>
                <w:p w14:paraId="76EA7D42">
                  <w:pPr>
                    <w:pStyle w:val="8"/>
                    <w:ind w:firstLine="0"/>
                    <w:jc w:val="center"/>
                    <w:rPr>
                      <w:rFonts w:hAnsi="Times New Roman" w:eastAsia="宋体" w:cs="Times New Roman"/>
                      <w:sz w:val="21"/>
                      <w:szCs w:val="21"/>
                      <w:highlight w:val="none"/>
                    </w:rPr>
                  </w:pPr>
                </w:p>
              </w:tc>
              <w:tc>
                <w:tcPr>
                  <w:tcW w:w="847" w:type="dxa"/>
                  <w:vMerge w:val="continue"/>
                  <w:vAlign w:val="center"/>
                </w:tcPr>
                <w:p w14:paraId="1CD44564">
                  <w:pPr>
                    <w:pStyle w:val="8"/>
                    <w:ind w:firstLine="0"/>
                    <w:jc w:val="center"/>
                    <w:rPr>
                      <w:rFonts w:hAnsi="Times New Roman" w:eastAsia="宋体" w:cs="Times New Roman"/>
                      <w:sz w:val="21"/>
                      <w:szCs w:val="21"/>
                      <w:highlight w:val="none"/>
                    </w:rPr>
                  </w:pPr>
                </w:p>
              </w:tc>
              <w:tc>
                <w:tcPr>
                  <w:tcW w:w="1696" w:type="dxa"/>
                  <w:gridSpan w:val="2"/>
                  <w:vMerge w:val="continue"/>
                  <w:vAlign w:val="center"/>
                </w:tcPr>
                <w:p w14:paraId="1676BCE9">
                  <w:pPr>
                    <w:pStyle w:val="8"/>
                    <w:ind w:firstLine="0"/>
                    <w:jc w:val="center"/>
                    <w:rPr>
                      <w:rFonts w:hAnsi="Times New Roman" w:eastAsia="宋体" w:cs="Times New Roman"/>
                      <w:sz w:val="21"/>
                      <w:szCs w:val="21"/>
                      <w:highlight w:val="none"/>
                    </w:rPr>
                  </w:pPr>
                </w:p>
              </w:tc>
            </w:tr>
            <w:tr w14:paraId="5907EE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713" w:type="dxa"/>
                  <w:vMerge w:val="restart"/>
                  <w:vAlign w:val="center"/>
                </w:tcPr>
                <w:p w14:paraId="36EED9B1">
                  <w:pPr>
                    <w:jc w:val="center"/>
                    <w:rPr>
                      <w:rFonts w:hint="default" w:eastAsia="宋体"/>
                      <w:szCs w:val="21"/>
                      <w:highlight w:val="none"/>
                      <w:lang w:val="en-US" w:eastAsia="zh-CN"/>
                    </w:rPr>
                  </w:pPr>
                  <w:r>
                    <w:rPr>
                      <w:rFonts w:hint="eastAsia"/>
                      <w:szCs w:val="21"/>
                      <w:highlight w:val="none"/>
                      <w:lang w:val="en-US" w:eastAsia="zh-CN"/>
                    </w:rPr>
                    <w:t>危险废物收集贮存库</w:t>
                  </w:r>
                </w:p>
              </w:tc>
              <w:tc>
                <w:tcPr>
                  <w:tcW w:w="976" w:type="dxa"/>
                  <w:vMerge w:val="restart"/>
                  <w:vAlign w:val="center"/>
                </w:tcPr>
                <w:p w14:paraId="042224A9">
                  <w:pPr>
                    <w:pStyle w:val="8"/>
                    <w:ind w:firstLine="0"/>
                    <w:jc w:val="center"/>
                    <w:rPr>
                      <w:rFonts w:hint="default" w:hAnsi="Times New Roman" w:eastAsia="宋体" w:cs="Times New Roman"/>
                      <w:sz w:val="21"/>
                      <w:szCs w:val="21"/>
                      <w:highlight w:val="none"/>
                      <w:lang w:val="en-US" w:eastAsia="zh-CN"/>
                    </w:rPr>
                  </w:pPr>
                  <w:r>
                    <w:rPr>
                      <w:rFonts w:hint="eastAsia" w:hAnsi="Times New Roman" w:eastAsia="宋体" w:cs="Times New Roman"/>
                      <w:sz w:val="21"/>
                      <w:szCs w:val="21"/>
                      <w:highlight w:val="none"/>
                      <w:lang w:val="en-US" w:eastAsia="zh-CN"/>
                    </w:rPr>
                    <w:t>40</w:t>
                  </w:r>
                </w:p>
              </w:tc>
              <w:tc>
                <w:tcPr>
                  <w:tcW w:w="846" w:type="dxa"/>
                  <w:vMerge w:val="restart"/>
                  <w:vAlign w:val="center"/>
                </w:tcPr>
                <w:p w14:paraId="2CE51434">
                  <w:pPr>
                    <w:pStyle w:val="8"/>
                    <w:ind w:firstLine="0"/>
                    <w:jc w:val="center"/>
                    <w:rPr>
                      <w:rFonts w:hint="default" w:hAnsi="Times New Roman" w:eastAsia="宋体" w:cs="Times New Roman"/>
                      <w:sz w:val="21"/>
                      <w:szCs w:val="21"/>
                      <w:highlight w:val="none"/>
                      <w:lang w:val="en-US" w:eastAsia="zh-CN"/>
                    </w:rPr>
                  </w:pPr>
                  <w:r>
                    <w:rPr>
                      <w:rFonts w:hint="eastAsia" w:hAnsi="Times New Roman" w:eastAsia="宋体" w:cs="Times New Roman"/>
                      <w:sz w:val="21"/>
                      <w:szCs w:val="21"/>
                      <w:highlight w:val="none"/>
                      <w:lang w:val="en-US" w:eastAsia="zh-CN"/>
                    </w:rPr>
                    <w:t>24</w:t>
                  </w:r>
                </w:p>
              </w:tc>
              <w:tc>
                <w:tcPr>
                  <w:tcW w:w="846" w:type="dxa"/>
                  <w:vMerge w:val="restart"/>
                  <w:vAlign w:val="center"/>
                </w:tcPr>
                <w:p w14:paraId="6B44DA31">
                  <w:pPr>
                    <w:pStyle w:val="8"/>
                    <w:ind w:firstLine="0"/>
                    <w:jc w:val="center"/>
                    <w:rPr>
                      <w:rFonts w:hint="default" w:hAnsi="Times New Roman" w:eastAsia="宋体" w:cs="Times New Roman"/>
                      <w:sz w:val="21"/>
                      <w:szCs w:val="21"/>
                      <w:highlight w:val="none"/>
                      <w:lang w:val="en-US" w:eastAsia="zh-CN"/>
                    </w:rPr>
                  </w:pPr>
                  <w:r>
                    <w:rPr>
                      <w:rFonts w:hint="eastAsia" w:hAnsi="Times New Roman" w:eastAsia="宋体" w:cs="Times New Roman"/>
                      <w:sz w:val="21"/>
                      <w:szCs w:val="21"/>
                      <w:highlight w:val="none"/>
                      <w:lang w:val="en-US" w:eastAsia="zh-CN"/>
                    </w:rPr>
                    <w:t>366</w:t>
                  </w:r>
                </w:p>
              </w:tc>
              <w:tc>
                <w:tcPr>
                  <w:tcW w:w="846" w:type="dxa"/>
                  <w:vMerge w:val="restart"/>
                  <w:vAlign w:val="center"/>
                </w:tcPr>
                <w:p w14:paraId="4B7378B2">
                  <w:pPr>
                    <w:pStyle w:val="8"/>
                    <w:ind w:firstLine="0"/>
                    <w:jc w:val="center"/>
                    <w:rPr>
                      <w:rFonts w:hint="default" w:hAnsi="Times New Roman" w:eastAsia="宋体" w:cs="Times New Roman"/>
                      <w:sz w:val="21"/>
                      <w:szCs w:val="21"/>
                      <w:highlight w:val="none"/>
                      <w:lang w:val="en-US" w:eastAsia="zh-CN"/>
                    </w:rPr>
                  </w:pPr>
                  <w:r>
                    <w:rPr>
                      <w:rFonts w:hint="eastAsia" w:hAnsi="Times New Roman" w:eastAsia="宋体" w:cs="Times New Roman"/>
                      <w:sz w:val="21"/>
                      <w:szCs w:val="21"/>
                      <w:highlight w:val="none"/>
                      <w:lang w:val="en-US" w:eastAsia="zh-CN"/>
                    </w:rPr>
                    <w:t>71</w:t>
                  </w:r>
                </w:p>
              </w:tc>
              <w:tc>
                <w:tcPr>
                  <w:tcW w:w="846" w:type="dxa"/>
                  <w:vMerge w:val="restart"/>
                  <w:vAlign w:val="center"/>
                </w:tcPr>
                <w:p w14:paraId="27EA17E9">
                  <w:pPr>
                    <w:pStyle w:val="8"/>
                    <w:ind w:firstLine="0"/>
                    <w:jc w:val="center"/>
                    <w:rPr>
                      <w:rFonts w:hint="default" w:hAnsi="Times New Roman" w:eastAsia="宋体" w:cs="Times New Roman"/>
                      <w:sz w:val="21"/>
                      <w:szCs w:val="21"/>
                      <w:highlight w:val="none"/>
                      <w:lang w:val="en-US" w:eastAsia="zh-CN"/>
                    </w:rPr>
                  </w:pPr>
                  <w:r>
                    <w:rPr>
                      <w:rFonts w:hint="eastAsia" w:hAnsi="Times New Roman" w:eastAsia="宋体" w:cs="Times New Roman"/>
                      <w:sz w:val="21"/>
                      <w:szCs w:val="21"/>
                      <w:highlight w:val="none"/>
                      <w:lang w:val="en-US" w:eastAsia="zh-CN"/>
                    </w:rPr>
                    <w:t>35</w:t>
                  </w:r>
                </w:p>
              </w:tc>
              <w:tc>
                <w:tcPr>
                  <w:tcW w:w="846" w:type="dxa"/>
                  <w:vMerge w:val="restart"/>
                  <w:vAlign w:val="center"/>
                </w:tcPr>
                <w:p w14:paraId="5AA417EA">
                  <w:pPr>
                    <w:pStyle w:val="8"/>
                    <w:ind w:firstLine="0"/>
                    <w:jc w:val="center"/>
                    <w:rPr>
                      <w:rFonts w:hint="default" w:hAnsi="Times New Roman" w:eastAsia="宋体" w:cs="Times New Roman"/>
                      <w:sz w:val="21"/>
                      <w:szCs w:val="21"/>
                      <w:highlight w:val="none"/>
                      <w:lang w:val="en-US" w:eastAsia="zh-CN"/>
                    </w:rPr>
                  </w:pPr>
                  <w:r>
                    <w:rPr>
                      <w:rFonts w:hint="eastAsia" w:hAnsi="Times New Roman" w:eastAsia="宋体" w:cs="Times New Roman"/>
                      <w:sz w:val="21"/>
                      <w:szCs w:val="21"/>
                      <w:highlight w:val="none"/>
                      <w:lang w:val="en-US" w:eastAsia="zh-CN"/>
                    </w:rPr>
                    <w:t>9.6</w:t>
                  </w:r>
                </w:p>
              </w:tc>
              <w:tc>
                <w:tcPr>
                  <w:tcW w:w="847" w:type="dxa"/>
                  <w:vMerge w:val="restart"/>
                  <w:vAlign w:val="center"/>
                </w:tcPr>
                <w:p w14:paraId="643656C7">
                  <w:pPr>
                    <w:pStyle w:val="8"/>
                    <w:ind w:firstLine="0"/>
                    <w:jc w:val="center"/>
                    <w:rPr>
                      <w:rFonts w:hint="default" w:hAnsi="Times New Roman" w:eastAsia="宋体" w:cs="Times New Roman"/>
                      <w:sz w:val="21"/>
                      <w:szCs w:val="21"/>
                      <w:highlight w:val="none"/>
                      <w:lang w:val="en-US"/>
                    </w:rPr>
                  </w:pPr>
                  <w:r>
                    <w:rPr>
                      <w:rFonts w:hint="eastAsia" w:hAnsi="Times New Roman" w:eastAsia="宋体" w:cs="Times New Roman"/>
                      <w:sz w:val="21"/>
                      <w:szCs w:val="21"/>
                      <w:highlight w:val="none"/>
                      <w:lang w:val="en-US" w:eastAsia="zh-CN"/>
                    </w:rPr>
                    <w:t>8760</w:t>
                  </w:r>
                </w:p>
              </w:tc>
              <w:tc>
                <w:tcPr>
                  <w:tcW w:w="847" w:type="dxa"/>
                  <w:vAlign w:val="center"/>
                </w:tcPr>
                <w:p w14:paraId="13AC0A47">
                  <w:pPr>
                    <w:snapToGrid w:val="0"/>
                    <w:jc w:val="center"/>
                    <w:rPr>
                      <w:rFonts w:hAnsi="Times New Roman" w:eastAsia="宋体" w:cs="Times New Roman"/>
                      <w:sz w:val="21"/>
                      <w:szCs w:val="21"/>
                      <w:highlight w:val="none"/>
                    </w:rPr>
                  </w:pPr>
                  <w:r>
                    <w:rPr>
                      <w:rFonts w:ascii="Times New Roman" w:hAnsi="Times New Roman" w:eastAsia="宋体" w:cs="Times New Roman"/>
                      <w:szCs w:val="21"/>
                      <w:highlight w:val="none"/>
                    </w:rPr>
                    <w:t>非甲烷总烃</w:t>
                  </w:r>
                </w:p>
              </w:tc>
              <w:tc>
                <w:tcPr>
                  <w:tcW w:w="849" w:type="dxa"/>
                  <w:shd w:val="clear" w:color="auto" w:fill="auto"/>
                  <w:vAlign w:val="center"/>
                </w:tcPr>
                <w:p w14:paraId="4A13148B">
                  <w:pPr>
                    <w:snapToGri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zCs w:val="21"/>
                      <w:highlight w:val="none"/>
                      <w:lang w:val="en-US" w:eastAsia="zh-CN"/>
                    </w:rPr>
                    <w:t>0.0</w:t>
                  </w:r>
                  <w:r>
                    <w:rPr>
                      <w:rFonts w:hint="eastAsia" w:cs="Times New Roman"/>
                      <w:szCs w:val="21"/>
                      <w:highlight w:val="none"/>
                      <w:lang w:val="en-US" w:eastAsia="zh-CN"/>
                    </w:rPr>
                    <w:t>09</w:t>
                  </w:r>
                </w:p>
              </w:tc>
            </w:tr>
            <w:tr w14:paraId="1626D7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trPr>
              <w:tc>
                <w:tcPr>
                  <w:tcW w:w="713" w:type="dxa"/>
                  <w:vMerge w:val="continue"/>
                  <w:vAlign w:val="center"/>
                </w:tcPr>
                <w:p w14:paraId="7B76CE3E">
                  <w:pPr>
                    <w:widowControl/>
                    <w:jc w:val="center"/>
                    <w:textAlignment w:val="center"/>
                    <w:rPr>
                      <w:highlight w:val="none"/>
                    </w:rPr>
                  </w:pPr>
                </w:p>
              </w:tc>
              <w:tc>
                <w:tcPr>
                  <w:tcW w:w="976" w:type="dxa"/>
                  <w:vMerge w:val="continue"/>
                  <w:vAlign w:val="center"/>
                </w:tcPr>
                <w:p w14:paraId="1E968BD8">
                  <w:pPr>
                    <w:widowControl/>
                    <w:jc w:val="center"/>
                    <w:textAlignment w:val="center"/>
                    <w:rPr>
                      <w:highlight w:val="none"/>
                    </w:rPr>
                  </w:pPr>
                </w:p>
              </w:tc>
              <w:tc>
                <w:tcPr>
                  <w:tcW w:w="846" w:type="dxa"/>
                  <w:vMerge w:val="continue"/>
                  <w:vAlign w:val="center"/>
                </w:tcPr>
                <w:p w14:paraId="3CB85669">
                  <w:pPr>
                    <w:widowControl/>
                    <w:jc w:val="center"/>
                    <w:textAlignment w:val="center"/>
                    <w:rPr>
                      <w:highlight w:val="none"/>
                    </w:rPr>
                  </w:pPr>
                </w:p>
              </w:tc>
              <w:tc>
                <w:tcPr>
                  <w:tcW w:w="846" w:type="dxa"/>
                  <w:vMerge w:val="continue"/>
                  <w:vAlign w:val="center"/>
                </w:tcPr>
                <w:p w14:paraId="60FC936E">
                  <w:pPr>
                    <w:widowControl/>
                    <w:jc w:val="center"/>
                    <w:textAlignment w:val="center"/>
                    <w:rPr>
                      <w:highlight w:val="none"/>
                    </w:rPr>
                  </w:pPr>
                </w:p>
              </w:tc>
              <w:tc>
                <w:tcPr>
                  <w:tcW w:w="846" w:type="dxa"/>
                  <w:vMerge w:val="continue"/>
                  <w:vAlign w:val="center"/>
                </w:tcPr>
                <w:p w14:paraId="34593595">
                  <w:pPr>
                    <w:widowControl/>
                    <w:jc w:val="center"/>
                    <w:textAlignment w:val="center"/>
                    <w:rPr>
                      <w:highlight w:val="none"/>
                    </w:rPr>
                  </w:pPr>
                </w:p>
              </w:tc>
              <w:tc>
                <w:tcPr>
                  <w:tcW w:w="846" w:type="dxa"/>
                  <w:vMerge w:val="continue"/>
                  <w:vAlign w:val="center"/>
                </w:tcPr>
                <w:p w14:paraId="4964C853">
                  <w:pPr>
                    <w:widowControl/>
                    <w:jc w:val="center"/>
                    <w:textAlignment w:val="center"/>
                    <w:rPr>
                      <w:highlight w:val="none"/>
                    </w:rPr>
                  </w:pPr>
                </w:p>
              </w:tc>
              <w:tc>
                <w:tcPr>
                  <w:tcW w:w="846" w:type="dxa"/>
                  <w:vMerge w:val="continue"/>
                  <w:vAlign w:val="center"/>
                </w:tcPr>
                <w:p w14:paraId="44535EDA">
                  <w:pPr>
                    <w:widowControl/>
                    <w:jc w:val="center"/>
                    <w:textAlignment w:val="center"/>
                    <w:rPr>
                      <w:highlight w:val="none"/>
                    </w:rPr>
                  </w:pPr>
                </w:p>
              </w:tc>
              <w:tc>
                <w:tcPr>
                  <w:tcW w:w="847" w:type="dxa"/>
                  <w:vMerge w:val="continue"/>
                  <w:vAlign w:val="center"/>
                </w:tcPr>
                <w:p w14:paraId="634C3FA8">
                  <w:pPr>
                    <w:widowControl/>
                    <w:jc w:val="center"/>
                    <w:textAlignment w:val="center"/>
                    <w:rPr>
                      <w:highlight w:val="none"/>
                    </w:rPr>
                  </w:pPr>
                </w:p>
              </w:tc>
              <w:tc>
                <w:tcPr>
                  <w:tcW w:w="847" w:type="dxa"/>
                  <w:vAlign w:val="center"/>
                </w:tcPr>
                <w:p w14:paraId="2CA14908">
                  <w:pPr>
                    <w:snapToGrid w:val="0"/>
                    <w:jc w:val="center"/>
                    <w:rPr>
                      <w:rFonts w:hAnsi="Times New Roman" w:eastAsia="宋体" w:cs="Times New Roman"/>
                      <w:sz w:val="21"/>
                      <w:szCs w:val="21"/>
                      <w:highlight w:val="none"/>
                    </w:rPr>
                  </w:pPr>
                  <w:r>
                    <w:rPr>
                      <w:rFonts w:hint="eastAsia" w:cs="Times New Roman"/>
                      <w:szCs w:val="21"/>
                      <w:highlight w:val="none"/>
                      <w:lang w:val="en-US" w:eastAsia="zh-CN"/>
                    </w:rPr>
                    <w:t>硫</w:t>
                  </w:r>
                  <w:r>
                    <w:rPr>
                      <w:rFonts w:ascii="Times New Roman" w:hAnsi="Times New Roman" w:eastAsia="宋体" w:cs="Times New Roman"/>
                      <w:szCs w:val="21"/>
                      <w:highlight w:val="none"/>
                    </w:rPr>
                    <w:t>化氢</w:t>
                  </w:r>
                </w:p>
              </w:tc>
              <w:tc>
                <w:tcPr>
                  <w:tcW w:w="849" w:type="dxa"/>
                  <w:shd w:val="clear" w:color="auto" w:fill="auto"/>
                  <w:vAlign w:val="center"/>
                </w:tcPr>
                <w:p w14:paraId="573D32D1">
                  <w:pPr>
                    <w:snapToGrid w:val="0"/>
                    <w:jc w:val="center"/>
                    <w:rPr>
                      <w:rFonts w:hint="default" w:ascii="Times New Roman" w:hAnsi="Times New Roman" w:eastAsia="宋体" w:cs="Times New Roman"/>
                      <w:kern w:val="2"/>
                      <w:sz w:val="21"/>
                      <w:szCs w:val="21"/>
                      <w:highlight w:val="none"/>
                      <w:lang w:val="en-US" w:eastAsia="zh-CN" w:bidi="ar-SA"/>
                    </w:rPr>
                  </w:pPr>
                  <w:r>
                    <w:rPr>
                      <w:rFonts w:hint="eastAsia" w:cs="Times New Roman"/>
                      <w:szCs w:val="21"/>
                      <w:highlight w:val="none"/>
                      <w:lang w:val="en-US" w:eastAsia="zh-CN"/>
                    </w:rPr>
                    <w:t>0.0083</w:t>
                  </w:r>
                </w:p>
              </w:tc>
            </w:tr>
            <w:tr w14:paraId="30128A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trPr>
              <w:tc>
                <w:tcPr>
                  <w:tcW w:w="713" w:type="dxa"/>
                  <w:vMerge w:val="continue"/>
                  <w:vAlign w:val="center"/>
                </w:tcPr>
                <w:p w14:paraId="2E48C3E7">
                  <w:pPr>
                    <w:widowControl/>
                    <w:jc w:val="center"/>
                    <w:textAlignment w:val="center"/>
                    <w:rPr>
                      <w:highlight w:val="none"/>
                    </w:rPr>
                  </w:pPr>
                </w:p>
              </w:tc>
              <w:tc>
                <w:tcPr>
                  <w:tcW w:w="976" w:type="dxa"/>
                  <w:vMerge w:val="continue"/>
                  <w:vAlign w:val="center"/>
                </w:tcPr>
                <w:p w14:paraId="357C8683">
                  <w:pPr>
                    <w:widowControl/>
                    <w:jc w:val="center"/>
                    <w:textAlignment w:val="center"/>
                    <w:rPr>
                      <w:highlight w:val="none"/>
                    </w:rPr>
                  </w:pPr>
                </w:p>
              </w:tc>
              <w:tc>
                <w:tcPr>
                  <w:tcW w:w="846" w:type="dxa"/>
                  <w:vMerge w:val="continue"/>
                  <w:vAlign w:val="center"/>
                </w:tcPr>
                <w:p w14:paraId="49767DF9">
                  <w:pPr>
                    <w:widowControl/>
                    <w:jc w:val="center"/>
                    <w:textAlignment w:val="center"/>
                    <w:rPr>
                      <w:highlight w:val="none"/>
                    </w:rPr>
                  </w:pPr>
                </w:p>
              </w:tc>
              <w:tc>
                <w:tcPr>
                  <w:tcW w:w="846" w:type="dxa"/>
                  <w:vMerge w:val="continue"/>
                  <w:vAlign w:val="center"/>
                </w:tcPr>
                <w:p w14:paraId="73B60BCF">
                  <w:pPr>
                    <w:widowControl/>
                    <w:jc w:val="center"/>
                    <w:textAlignment w:val="center"/>
                    <w:rPr>
                      <w:highlight w:val="none"/>
                    </w:rPr>
                  </w:pPr>
                </w:p>
              </w:tc>
              <w:tc>
                <w:tcPr>
                  <w:tcW w:w="846" w:type="dxa"/>
                  <w:vMerge w:val="continue"/>
                  <w:vAlign w:val="center"/>
                </w:tcPr>
                <w:p w14:paraId="52DE1517">
                  <w:pPr>
                    <w:widowControl/>
                    <w:jc w:val="center"/>
                    <w:textAlignment w:val="center"/>
                    <w:rPr>
                      <w:highlight w:val="none"/>
                    </w:rPr>
                  </w:pPr>
                </w:p>
              </w:tc>
              <w:tc>
                <w:tcPr>
                  <w:tcW w:w="846" w:type="dxa"/>
                  <w:vMerge w:val="continue"/>
                  <w:vAlign w:val="center"/>
                </w:tcPr>
                <w:p w14:paraId="796A0820">
                  <w:pPr>
                    <w:widowControl/>
                    <w:jc w:val="center"/>
                    <w:textAlignment w:val="center"/>
                    <w:rPr>
                      <w:highlight w:val="none"/>
                    </w:rPr>
                  </w:pPr>
                </w:p>
              </w:tc>
              <w:tc>
                <w:tcPr>
                  <w:tcW w:w="846" w:type="dxa"/>
                  <w:vMerge w:val="continue"/>
                  <w:vAlign w:val="center"/>
                </w:tcPr>
                <w:p w14:paraId="60E3B14C">
                  <w:pPr>
                    <w:widowControl/>
                    <w:jc w:val="center"/>
                    <w:textAlignment w:val="center"/>
                    <w:rPr>
                      <w:highlight w:val="none"/>
                    </w:rPr>
                  </w:pPr>
                </w:p>
              </w:tc>
              <w:tc>
                <w:tcPr>
                  <w:tcW w:w="847" w:type="dxa"/>
                  <w:vMerge w:val="continue"/>
                  <w:vAlign w:val="center"/>
                </w:tcPr>
                <w:p w14:paraId="50639AEF">
                  <w:pPr>
                    <w:widowControl/>
                    <w:jc w:val="center"/>
                    <w:textAlignment w:val="center"/>
                    <w:rPr>
                      <w:highlight w:val="none"/>
                    </w:rPr>
                  </w:pPr>
                </w:p>
              </w:tc>
              <w:tc>
                <w:tcPr>
                  <w:tcW w:w="847" w:type="dxa"/>
                  <w:vAlign w:val="center"/>
                </w:tcPr>
                <w:p w14:paraId="4A90A8FA">
                  <w:pPr>
                    <w:snapToGrid w:val="0"/>
                    <w:jc w:val="center"/>
                    <w:rPr>
                      <w:rFonts w:hAnsi="Times New Roman" w:eastAsia="宋体" w:cs="Times New Roman"/>
                      <w:sz w:val="21"/>
                      <w:szCs w:val="21"/>
                      <w:highlight w:val="none"/>
                    </w:rPr>
                  </w:pPr>
                  <w:r>
                    <w:rPr>
                      <w:rFonts w:ascii="Times New Roman" w:hAnsi="Times New Roman" w:eastAsia="宋体" w:cs="Times New Roman"/>
                      <w:szCs w:val="21"/>
                      <w:highlight w:val="none"/>
                    </w:rPr>
                    <w:t>氨</w:t>
                  </w:r>
                </w:p>
              </w:tc>
              <w:tc>
                <w:tcPr>
                  <w:tcW w:w="849" w:type="dxa"/>
                  <w:shd w:val="clear" w:color="auto" w:fill="auto"/>
                  <w:vAlign w:val="center"/>
                </w:tcPr>
                <w:p w14:paraId="6495366E">
                  <w:pPr>
                    <w:snapToGrid w:val="0"/>
                    <w:jc w:val="center"/>
                    <w:rPr>
                      <w:rFonts w:hint="default" w:ascii="Times New Roman" w:hAnsi="Times New Roman" w:eastAsia="宋体" w:cs="Times New Roman"/>
                      <w:kern w:val="2"/>
                      <w:sz w:val="21"/>
                      <w:szCs w:val="21"/>
                      <w:highlight w:val="none"/>
                      <w:lang w:val="en-US" w:eastAsia="zh-CN" w:bidi="ar-SA"/>
                    </w:rPr>
                  </w:pPr>
                  <w:r>
                    <w:rPr>
                      <w:rFonts w:hint="eastAsia" w:cs="Times New Roman"/>
                      <w:szCs w:val="21"/>
                      <w:highlight w:val="none"/>
                      <w:lang w:val="en-US" w:eastAsia="zh-CN"/>
                    </w:rPr>
                    <w:t>0.0161</w:t>
                  </w:r>
                </w:p>
              </w:tc>
            </w:tr>
            <w:tr w14:paraId="0D6535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713" w:type="dxa"/>
                  <w:vMerge w:val="continue"/>
                  <w:vAlign w:val="center"/>
                </w:tcPr>
                <w:p w14:paraId="4DCE4BCC">
                  <w:pPr>
                    <w:widowControl/>
                    <w:jc w:val="center"/>
                    <w:textAlignment w:val="center"/>
                    <w:rPr>
                      <w:rFonts w:hAnsi="Times New Roman" w:eastAsia="宋体" w:cs="Times New Roman"/>
                      <w:sz w:val="21"/>
                      <w:szCs w:val="21"/>
                      <w:highlight w:val="none"/>
                    </w:rPr>
                  </w:pPr>
                </w:p>
              </w:tc>
              <w:tc>
                <w:tcPr>
                  <w:tcW w:w="976" w:type="dxa"/>
                  <w:vMerge w:val="continue"/>
                  <w:vAlign w:val="center"/>
                </w:tcPr>
                <w:p w14:paraId="62A26C12">
                  <w:pPr>
                    <w:widowControl/>
                    <w:jc w:val="center"/>
                    <w:textAlignment w:val="center"/>
                    <w:rPr>
                      <w:rFonts w:hAnsi="Times New Roman" w:eastAsia="宋体" w:cs="Times New Roman"/>
                      <w:sz w:val="21"/>
                      <w:szCs w:val="21"/>
                      <w:highlight w:val="none"/>
                    </w:rPr>
                  </w:pPr>
                </w:p>
              </w:tc>
              <w:tc>
                <w:tcPr>
                  <w:tcW w:w="846" w:type="dxa"/>
                  <w:vMerge w:val="continue"/>
                  <w:vAlign w:val="center"/>
                </w:tcPr>
                <w:p w14:paraId="24A5DB37">
                  <w:pPr>
                    <w:widowControl/>
                    <w:jc w:val="center"/>
                    <w:textAlignment w:val="center"/>
                    <w:rPr>
                      <w:rFonts w:hAnsi="Times New Roman" w:eastAsia="宋体" w:cs="Times New Roman"/>
                      <w:sz w:val="21"/>
                      <w:szCs w:val="21"/>
                      <w:highlight w:val="none"/>
                    </w:rPr>
                  </w:pPr>
                </w:p>
              </w:tc>
              <w:tc>
                <w:tcPr>
                  <w:tcW w:w="846" w:type="dxa"/>
                  <w:vMerge w:val="continue"/>
                  <w:vAlign w:val="center"/>
                </w:tcPr>
                <w:p w14:paraId="71890D31">
                  <w:pPr>
                    <w:widowControl/>
                    <w:jc w:val="center"/>
                    <w:textAlignment w:val="center"/>
                    <w:rPr>
                      <w:rFonts w:hAnsi="Times New Roman" w:eastAsia="宋体" w:cs="Times New Roman"/>
                      <w:sz w:val="21"/>
                      <w:szCs w:val="21"/>
                      <w:highlight w:val="none"/>
                    </w:rPr>
                  </w:pPr>
                </w:p>
              </w:tc>
              <w:tc>
                <w:tcPr>
                  <w:tcW w:w="846" w:type="dxa"/>
                  <w:vMerge w:val="continue"/>
                  <w:vAlign w:val="center"/>
                </w:tcPr>
                <w:p w14:paraId="0111F8A4">
                  <w:pPr>
                    <w:widowControl/>
                    <w:jc w:val="center"/>
                    <w:textAlignment w:val="center"/>
                    <w:rPr>
                      <w:rFonts w:hAnsi="Times New Roman" w:eastAsia="宋体" w:cs="Times New Roman"/>
                      <w:sz w:val="21"/>
                      <w:szCs w:val="21"/>
                      <w:highlight w:val="none"/>
                    </w:rPr>
                  </w:pPr>
                </w:p>
              </w:tc>
              <w:tc>
                <w:tcPr>
                  <w:tcW w:w="846" w:type="dxa"/>
                  <w:vMerge w:val="continue"/>
                  <w:vAlign w:val="center"/>
                </w:tcPr>
                <w:p w14:paraId="20384BA4">
                  <w:pPr>
                    <w:widowControl/>
                    <w:jc w:val="center"/>
                    <w:textAlignment w:val="center"/>
                    <w:rPr>
                      <w:rFonts w:hAnsi="Times New Roman" w:eastAsia="宋体" w:cs="Times New Roman"/>
                      <w:sz w:val="21"/>
                      <w:szCs w:val="21"/>
                      <w:highlight w:val="none"/>
                    </w:rPr>
                  </w:pPr>
                </w:p>
              </w:tc>
              <w:tc>
                <w:tcPr>
                  <w:tcW w:w="846" w:type="dxa"/>
                  <w:vMerge w:val="continue"/>
                  <w:vAlign w:val="center"/>
                </w:tcPr>
                <w:p w14:paraId="6109D84F">
                  <w:pPr>
                    <w:widowControl/>
                    <w:jc w:val="center"/>
                    <w:textAlignment w:val="center"/>
                    <w:rPr>
                      <w:rFonts w:hAnsi="Times New Roman" w:eastAsia="宋体" w:cs="Times New Roman"/>
                      <w:sz w:val="21"/>
                      <w:szCs w:val="21"/>
                      <w:highlight w:val="none"/>
                    </w:rPr>
                  </w:pPr>
                </w:p>
              </w:tc>
              <w:tc>
                <w:tcPr>
                  <w:tcW w:w="847" w:type="dxa"/>
                  <w:vMerge w:val="continue"/>
                  <w:vAlign w:val="center"/>
                </w:tcPr>
                <w:p w14:paraId="5494B9B8">
                  <w:pPr>
                    <w:widowControl/>
                    <w:jc w:val="center"/>
                    <w:textAlignment w:val="center"/>
                    <w:rPr>
                      <w:rFonts w:hAnsi="Times New Roman" w:eastAsia="宋体" w:cs="Times New Roman"/>
                      <w:sz w:val="21"/>
                      <w:szCs w:val="21"/>
                      <w:highlight w:val="none"/>
                    </w:rPr>
                  </w:pPr>
                </w:p>
              </w:tc>
              <w:tc>
                <w:tcPr>
                  <w:tcW w:w="847" w:type="dxa"/>
                  <w:vAlign w:val="center"/>
                </w:tcPr>
                <w:p w14:paraId="16C7B761">
                  <w:pPr>
                    <w:snapToGrid w:val="0"/>
                    <w:jc w:val="center"/>
                    <w:rPr>
                      <w:rFonts w:hAnsi="Times New Roman" w:eastAsia="宋体" w:cs="Times New Roman"/>
                      <w:sz w:val="21"/>
                      <w:szCs w:val="21"/>
                      <w:highlight w:val="none"/>
                    </w:rPr>
                  </w:pPr>
                  <w:r>
                    <w:rPr>
                      <w:rFonts w:ascii="Times New Roman" w:hAnsi="Times New Roman" w:eastAsia="宋体" w:cs="Times New Roman"/>
                      <w:szCs w:val="21"/>
                      <w:highlight w:val="none"/>
                    </w:rPr>
                    <w:t>氯化氢</w:t>
                  </w:r>
                </w:p>
              </w:tc>
              <w:tc>
                <w:tcPr>
                  <w:tcW w:w="849" w:type="dxa"/>
                  <w:shd w:val="clear" w:color="auto" w:fill="auto"/>
                  <w:vAlign w:val="center"/>
                </w:tcPr>
                <w:p w14:paraId="4E7FA9A9">
                  <w:pPr>
                    <w:snapToGrid w:val="0"/>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szCs w:val="21"/>
                      <w:highlight w:val="none"/>
                      <w:lang w:val="en-US" w:eastAsia="zh-CN"/>
                    </w:rPr>
                    <w:t>0.0</w:t>
                  </w:r>
                  <w:r>
                    <w:rPr>
                      <w:rFonts w:hint="eastAsia" w:cs="Times New Roman"/>
                      <w:szCs w:val="21"/>
                      <w:highlight w:val="none"/>
                      <w:lang w:val="en-US" w:eastAsia="zh-CN"/>
                    </w:rPr>
                    <w:t>005</w:t>
                  </w:r>
                </w:p>
              </w:tc>
            </w:tr>
          </w:tbl>
          <w:p w14:paraId="3E9EDBDC">
            <w:pPr>
              <w:adjustRightInd w:val="0"/>
              <w:snapToGrid w:val="0"/>
              <w:spacing w:before="120" w:beforeLines="50" w:line="360" w:lineRule="auto"/>
              <w:ind w:firstLine="480" w:firstLineChars="200"/>
              <w:rPr>
                <w:sz w:val="24"/>
                <w:highlight w:val="none"/>
              </w:rPr>
            </w:pPr>
            <w:r>
              <w:rPr>
                <w:sz w:val="24"/>
                <w:highlight w:val="none"/>
              </w:rPr>
              <w:t>项目</w:t>
            </w:r>
            <w:r>
              <w:rPr>
                <w:rFonts w:hint="eastAsia"/>
                <w:sz w:val="24"/>
                <w:highlight w:val="none"/>
              </w:rPr>
              <w:t>各</w:t>
            </w:r>
            <w:r>
              <w:rPr>
                <w:sz w:val="24"/>
                <w:highlight w:val="none"/>
              </w:rPr>
              <w:t>排放源对厂界的距离情况列表如下：</w:t>
            </w:r>
          </w:p>
          <w:p w14:paraId="6F656973">
            <w:pPr>
              <w:pStyle w:val="48"/>
              <w:numPr>
                <w:ilvl w:val="0"/>
                <w:numId w:val="9"/>
              </w:numPr>
              <w:spacing w:line="360" w:lineRule="auto"/>
              <w:ind w:left="0" w:firstLine="0" w:firstLineChars="0"/>
              <w:jc w:val="center"/>
              <w:rPr>
                <w:rFonts w:ascii="Times New Roman" w:hAnsi="Times New Roman" w:eastAsia="宋体"/>
                <w:b/>
                <w:sz w:val="21"/>
                <w:highlight w:val="none"/>
              </w:rPr>
            </w:pPr>
            <w:r>
              <w:rPr>
                <w:rFonts w:hint="eastAsia" w:ascii="Times New Roman" w:hAnsi="Times New Roman" w:eastAsia="宋体"/>
                <w:b/>
                <w:sz w:val="21"/>
                <w:highlight w:val="none"/>
              </w:rPr>
              <w:t>项目各排放</w:t>
            </w:r>
            <w:r>
              <w:rPr>
                <w:rFonts w:ascii="Times New Roman" w:hAnsi="Times New Roman" w:eastAsia="宋体"/>
                <w:b/>
                <w:sz w:val="21"/>
                <w:highlight w:val="none"/>
              </w:rPr>
              <w:t>源距厂界的最近距离一览表</w:t>
            </w:r>
          </w:p>
          <w:tbl>
            <w:tblPr>
              <w:tblStyle w:val="21"/>
              <w:tblW w:w="497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38"/>
              <w:gridCol w:w="1632"/>
              <w:gridCol w:w="1333"/>
              <w:gridCol w:w="1696"/>
              <w:gridCol w:w="1713"/>
            </w:tblGrid>
            <w:tr w14:paraId="413C8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1" w:type="pct"/>
                  <w:vMerge w:val="restart"/>
                  <w:vAlign w:val="center"/>
                </w:tcPr>
                <w:p w14:paraId="02CEF3CF">
                  <w:pPr>
                    <w:pStyle w:val="56"/>
                    <w:spacing w:line="240" w:lineRule="auto"/>
                    <w:rPr>
                      <w:b/>
                      <w:bCs/>
                      <w:highlight w:val="none"/>
                    </w:rPr>
                  </w:pPr>
                  <w:r>
                    <w:rPr>
                      <w:b/>
                      <w:bCs/>
                      <w:highlight w:val="none"/>
                    </w:rPr>
                    <w:t>污染源</w:t>
                  </w:r>
                </w:p>
              </w:tc>
              <w:tc>
                <w:tcPr>
                  <w:tcW w:w="3788" w:type="pct"/>
                  <w:gridSpan w:val="4"/>
                  <w:vAlign w:val="center"/>
                </w:tcPr>
                <w:p w14:paraId="586BF901">
                  <w:pPr>
                    <w:pStyle w:val="56"/>
                    <w:spacing w:line="240" w:lineRule="auto"/>
                    <w:rPr>
                      <w:b/>
                      <w:bCs/>
                      <w:highlight w:val="none"/>
                    </w:rPr>
                  </w:pPr>
                  <w:r>
                    <w:rPr>
                      <w:b/>
                      <w:highlight w:val="none"/>
                    </w:rPr>
                    <w:t>距厂界最近距离（m）</w:t>
                  </w:r>
                </w:p>
              </w:tc>
            </w:tr>
            <w:tr w14:paraId="3461A7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1" w:type="pct"/>
                  <w:vMerge w:val="continue"/>
                  <w:vAlign w:val="center"/>
                </w:tcPr>
                <w:p w14:paraId="4AFB4B71">
                  <w:pPr>
                    <w:pStyle w:val="56"/>
                    <w:spacing w:line="240" w:lineRule="auto"/>
                    <w:rPr>
                      <w:highlight w:val="none"/>
                    </w:rPr>
                  </w:pPr>
                </w:p>
              </w:tc>
              <w:tc>
                <w:tcPr>
                  <w:tcW w:w="970" w:type="pct"/>
                  <w:vAlign w:val="center"/>
                </w:tcPr>
                <w:p w14:paraId="2589F83B">
                  <w:pPr>
                    <w:pStyle w:val="56"/>
                    <w:spacing w:line="240" w:lineRule="auto"/>
                    <w:rPr>
                      <w:b/>
                      <w:bCs/>
                      <w:highlight w:val="none"/>
                    </w:rPr>
                  </w:pPr>
                  <w:r>
                    <w:rPr>
                      <w:b/>
                      <w:bCs/>
                      <w:highlight w:val="none"/>
                    </w:rPr>
                    <w:t>北厂界</w:t>
                  </w:r>
                </w:p>
              </w:tc>
              <w:tc>
                <w:tcPr>
                  <w:tcW w:w="792" w:type="pct"/>
                  <w:vAlign w:val="center"/>
                </w:tcPr>
                <w:p w14:paraId="3904C288">
                  <w:pPr>
                    <w:pStyle w:val="56"/>
                    <w:spacing w:line="240" w:lineRule="auto"/>
                    <w:rPr>
                      <w:b/>
                      <w:bCs/>
                      <w:highlight w:val="none"/>
                    </w:rPr>
                  </w:pPr>
                  <w:r>
                    <w:rPr>
                      <w:b/>
                      <w:bCs/>
                      <w:highlight w:val="none"/>
                    </w:rPr>
                    <w:t>东厂界</w:t>
                  </w:r>
                </w:p>
              </w:tc>
              <w:tc>
                <w:tcPr>
                  <w:tcW w:w="1008" w:type="pct"/>
                  <w:vAlign w:val="center"/>
                </w:tcPr>
                <w:p w14:paraId="06A79FBF">
                  <w:pPr>
                    <w:pStyle w:val="56"/>
                    <w:spacing w:line="240" w:lineRule="auto"/>
                    <w:rPr>
                      <w:b/>
                      <w:bCs/>
                      <w:highlight w:val="none"/>
                    </w:rPr>
                  </w:pPr>
                  <w:r>
                    <w:rPr>
                      <w:b/>
                      <w:bCs/>
                      <w:highlight w:val="none"/>
                    </w:rPr>
                    <w:t>南厂界</w:t>
                  </w:r>
                </w:p>
              </w:tc>
              <w:tc>
                <w:tcPr>
                  <w:tcW w:w="1017" w:type="pct"/>
                  <w:vAlign w:val="center"/>
                </w:tcPr>
                <w:p w14:paraId="67A808AC">
                  <w:pPr>
                    <w:pStyle w:val="56"/>
                    <w:spacing w:line="240" w:lineRule="auto"/>
                    <w:rPr>
                      <w:b/>
                      <w:bCs/>
                      <w:highlight w:val="none"/>
                    </w:rPr>
                  </w:pPr>
                  <w:r>
                    <w:rPr>
                      <w:b/>
                      <w:bCs/>
                      <w:highlight w:val="none"/>
                    </w:rPr>
                    <w:t>西厂界</w:t>
                  </w:r>
                </w:p>
              </w:tc>
            </w:tr>
            <w:tr w14:paraId="1D1380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1" w:type="pct"/>
                  <w:shd w:val="clear" w:color="auto" w:fill="auto"/>
                  <w:vAlign w:val="center"/>
                </w:tcPr>
                <w:p w14:paraId="18405693">
                  <w:pPr>
                    <w:jc w:val="center"/>
                    <w:rPr>
                      <w:rFonts w:hint="default"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危险废物收集贮存库</w:t>
                  </w:r>
                </w:p>
              </w:tc>
              <w:tc>
                <w:tcPr>
                  <w:tcW w:w="970" w:type="pct"/>
                  <w:vAlign w:val="center"/>
                </w:tcPr>
                <w:p w14:paraId="774606D0">
                  <w:pPr>
                    <w:pStyle w:val="56"/>
                    <w:spacing w:line="240" w:lineRule="auto"/>
                    <w:rPr>
                      <w:rFonts w:hint="default" w:eastAsia="宋体"/>
                      <w:highlight w:val="none"/>
                      <w:lang w:val="en-US" w:eastAsia="zh-CN"/>
                    </w:rPr>
                  </w:pPr>
                  <w:r>
                    <w:rPr>
                      <w:rFonts w:hint="eastAsia"/>
                      <w:highlight w:val="none"/>
                      <w:lang w:val="en-US" w:eastAsia="zh-CN"/>
                    </w:rPr>
                    <w:t>50</w:t>
                  </w:r>
                </w:p>
              </w:tc>
              <w:tc>
                <w:tcPr>
                  <w:tcW w:w="792" w:type="pct"/>
                  <w:vAlign w:val="center"/>
                </w:tcPr>
                <w:p w14:paraId="5480495B">
                  <w:pPr>
                    <w:pStyle w:val="56"/>
                    <w:spacing w:line="240" w:lineRule="auto"/>
                    <w:rPr>
                      <w:rFonts w:hint="default" w:eastAsia="宋体"/>
                      <w:highlight w:val="none"/>
                      <w:lang w:val="en-US" w:eastAsia="zh-CN"/>
                    </w:rPr>
                  </w:pPr>
                  <w:r>
                    <w:rPr>
                      <w:rFonts w:hint="eastAsia"/>
                      <w:highlight w:val="none"/>
                      <w:lang w:val="en-US" w:eastAsia="zh-CN"/>
                    </w:rPr>
                    <w:t>22</w:t>
                  </w:r>
                </w:p>
              </w:tc>
              <w:tc>
                <w:tcPr>
                  <w:tcW w:w="1008" w:type="pct"/>
                  <w:vAlign w:val="center"/>
                </w:tcPr>
                <w:p w14:paraId="588B0232">
                  <w:pPr>
                    <w:pStyle w:val="56"/>
                    <w:spacing w:line="240" w:lineRule="auto"/>
                    <w:rPr>
                      <w:rFonts w:hint="eastAsia" w:eastAsia="宋体"/>
                      <w:highlight w:val="none"/>
                      <w:lang w:eastAsia="zh-CN"/>
                    </w:rPr>
                  </w:pPr>
                  <w:r>
                    <w:rPr>
                      <w:rFonts w:hint="eastAsia"/>
                      <w:highlight w:val="none"/>
                      <w:lang w:val="en-US" w:eastAsia="zh-CN"/>
                    </w:rPr>
                    <w:t>5</w:t>
                  </w:r>
                </w:p>
              </w:tc>
              <w:tc>
                <w:tcPr>
                  <w:tcW w:w="1017" w:type="pct"/>
                  <w:vAlign w:val="center"/>
                </w:tcPr>
                <w:p w14:paraId="67E025B5">
                  <w:pPr>
                    <w:pStyle w:val="56"/>
                    <w:spacing w:line="240" w:lineRule="auto"/>
                    <w:rPr>
                      <w:highlight w:val="none"/>
                    </w:rPr>
                  </w:pPr>
                  <w:r>
                    <w:rPr>
                      <w:rFonts w:hint="eastAsia"/>
                      <w:highlight w:val="none"/>
                    </w:rPr>
                    <w:t>5</w:t>
                  </w:r>
                </w:p>
              </w:tc>
            </w:tr>
          </w:tbl>
          <w:p w14:paraId="37CBE662">
            <w:pPr>
              <w:spacing w:before="120" w:beforeLines="50" w:line="360" w:lineRule="auto"/>
              <w:ind w:firstLine="482"/>
              <w:rPr>
                <w:sz w:val="24"/>
                <w:highlight w:val="none"/>
              </w:rPr>
            </w:pPr>
            <w:r>
              <w:rPr>
                <w:rFonts w:hint="eastAsia"/>
                <w:bCs/>
                <w:sz w:val="24"/>
                <w:highlight w:val="none"/>
              </w:rPr>
              <w:t>本次评价</w:t>
            </w:r>
            <w:r>
              <w:rPr>
                <w:bCs/>
                <w:sz w:val="24"/>
                <w:highlight w:val="none"/>
              </w:rPr>
              <w:t>采用预测软件EIAPro2018（版本V2.7.547）中AERSCREEN估算模型估算项目各排放源在</w:t>
            </w:r>
            <w:r>
              <w:rPr>
                <w:rFonts w:hint="eastAsia"/>
                <w:bCs/>
                <w:sz w:val="24"/>
                <w:highlight w:val="none"/>
              </w:rPr>
              <w:t>厂界位置的污染物排放浓度值</w:t>
            </w:r>
            <w:r>
              <w:rPr>
                <w:bCs/>
                <w:sz w:val="24"/>
                <w:highlight w:val="none"/>
              </w:rPr>
              <w:t>。</w:t>
            </w:r>
            <w:r>
              <w:rPr>
                <w:rFonts w:hint="eastAsia"/>
                <w:bCs/>
                <w:sz w:val="24"/>
                <w:highlight w:val="none"/>
              </w:rPr>
              <w:t>估算项目各排放源在厂界位置的污染物排放浓度值，</w:t>
            </w:r>
            <w:r>
              <w:rPr>
                <w:rFonts w:hint="eastAsia"/>
                <w:sz w:val="24"/>
                <w:highlight w:val="none"/>
              </w:rPr>
              <w:t>见下表：</w:t>
            </w:r>
          </w:p>
          <w:p w14:paraId="24521F29">
            <w:pPr>
              <w:pStyle w:val="48"/>
              <w:numPr>
                <w:ilvl w:val="0"/>
                <w:numId w:val="9"/>
              </w:numPr>
              <w:spacing w:line="360" w:lineRule="auto"/>
              <w:ind w:left="0" w:firstLine="0" w:firstLineChars="0"/>
              <w:jc w:val="center"/>
              <w:rPr>
                <w:rFonts w:ascii="Times New Roman" w:hAnsi="Times New Roman" w:eastAsia="宋体"/>
                <w:b/>
                <w:sz w:val="21"/>
                <w:highlight w:val="none"/>
              </w:rPr>
            </w:pPr>
            <w:r>
              <w:rPr>
                <w:rFonts w:hint="eastAsia" w:ascii="Times New Roman" w:hAnsi="Times New Roman" w:eastAsia="宋体"/>
                <w:b/>
                <w:sz w:val="21"/>
                <w:highlight w:val="none"/>
              </w:rPr>
              <w:t>项目厂界达标排放情况一览表</w:t>
            </w:r>
          </w:p>
          <w:tbl>
            <w:tblPr>
              <w:tblStyle w:val="21"/>
              <w:tblW w:w="4973"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161"/>
              <w:gridCol w:w="1038"/>
              <w:gridCol w:w="1692"/>
              <w:gridCol w:w="1105"/>
              <w:gridCol w:w="1105"/>
              <w:gridCol w:w="1105"/>
              <w:gridCol w:w="1204"/>
            </w:tblGrid>
            <w:tr w14:paraId="7C0738F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90" w:type="pct"/>
                  <w:vMerge w:val="restart"/>
                  <w:tcBorders>
                    <w:right w:val="single" w:color="auto" w:sz="4" w:space="0"/>
                  </w:tcBorders>
                  <w:vAlign w:val="center"/>
                </w:tcPr>
                <w:p w14:paraId="0CA636F3">
                  <w:pPr>
                    <w:pStyle w:val="56"/>
                    <w:spacing w:line="240" w:lineRule="auto"/>
                    <w:rPr>
                      <w:b/>
                      <w:bCs/>
                      <w:highlight w:val="none"/>
                    </w:rPr>
                  </w:pPr>
                  <w:r>
                    <w:rPr>
                      <w:b/>
                      <w:bCs/>
                      <w:highlight w:val="none"/>
                    </w:rPr>
                    <w:t>污染源</w:t>
                  </w:r>
                </w:p>
              </w:tc>
              <w:tc>
                <w:tcPr>
                  <w:tcW w:w="617" w:type="pct"/>
                  <w:vMerge w:val="restart"/>
                  <w:tcBorders>
                    <w:left w:val="single" w:color="auto" w:sz="4" w:space="0"/>
                    <w:right w:val="single" w:color="auto" w:sz="4" w:space="0"/>
                  </w:tcBorders>
                  <w:vAlign w:val="center"/>
                </w:tcPr>
                <w:p w14:paraId="5F96D168">
                  <w:pPr>
                    <w:pStyle w:val="56"/>
                    <w:spacing w:line="240" w:lineRule="auto"/>
                    <w:rPr>
                      <w:b/>
                      <w:bCs/>
                      <w:highlight w:val="none"/>
                    </w:rPr>
                  </w:pPr>
                  <w:r>
                    <w:rPr>
                      <w:b/>
                      <w:bCs/>
                      <w:highlight w:val="none"/>
                    </w:rPr>
                    <w:t>污染因子</w:t>
                  </w:r>
                </w:p>
              </w:tc>
              <w:tc>
                <w:tcPr>
                  <w:tcW w:w="1006" w:type="pct"/>
                  <w:vMerge w:val="restart"/>
                  <w:tcBorders>
                    <w:left w:val="single" w:color="auto" w:sz="4" w:space="0"/>
                  </w:tcBorders>
                  <w:vAlign w:val="center"/>
                </w:tcPr>
                <w:p w14:paraId="37EC6769">
                  <w:pPr>
                    <w:pStyle w:val="56"/>
                    <w:spacing w:line="240" w:lineRule="auto"/>
                    <w:rPr>
                      <w:b/>
                      <w:bCs/>
                      <w:highlight w:val="none"/>
                    </w:rPr>
                  </w:pPr>
                  <w:r>
                    <w:rPr>
                      <w:rFonts w:hint="eastAsia"/>
                      <w:b/>
                      <w:bCs/>
                      <w:highlight w:val="none"/>
                    </w:rPr>
                    <w:t>最大落地浓度</w:t>
                  </w:r>
                  <w:r>
                    <w:rPr>
                      <w:b/>
                      <w:bCs/>
                      <w:highlight w:val="none"/>
                    </w:rPr>
                    <w:t>（mg/m</w:t>
                  </w:r>
                  <w:r>
                    <w:rPr>
                      <w:b/>
                      <w:bCs/>
                      <w:highlight w:val="none"/>
                      <w:vertAlign w:val="superscript"/>
                    </w:rPr>
                    <w:t>3</w:t>
                  </w:r>
                  <w:r>
                    <w:rPr>
                      <w:b/>
                      <w:bCs/>
                      <w:highlight w:val="none"/>
                    </w:rPr>
                    <w:t>）</w:t>
                  </w:r>
                </w:p>
              </w:tc>
              <w:tc>
                <w:tcPr>
                  <w:tcW w:w="2686" w:type="pct"/>
                  <w:gridSpan w:val="4"/>
                  <w:vAlign w:val="center"/>
                </w:tcPr>
                <w:p w14:paraId="0347FED1">
                  <w:pPr>
                    <w:pStyle w:val="56"/>
                    <w:spacing w:line="240" w:lineRule="auto"/>
                    <w:rPr>
                      <w:b/>
                      <w:bCs/>
                      <w:highlight w:val="none"/>
                    </w:rPr>
                  </w:pPr>
                  <w:r>
                    <w:rPr>
                      <w:b/>
                      <w:bCs/>
                      <w:highlight w:val="none"/>
                    </w:rPr>
                    <w:t>厂界落地浓度（mg/m</w:t>
                  </w:r>
                  <w:r>
                    <w:rPr>
                      <w:b/>
                      <w:bCs/>
                      <w:highlight w:val="none"/>
                      <w:vertAlign w:val="superscript"/>
                    </w:rPr>
                    <w:t>3</w:t>
                  </w:r>
                  <w:r>
                    <w:rPr>
                      <w:b/>
                      <w:bCs/>
                      <w:highlight w:val="none"/>
                    </w:rPr>
                    <w:t>）</w:t>
                  </w:r>
                </w:p>
              </w:tc>
            </w:tr>
            <w:tr w14:paraId="71C1758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90" w:type="pct"/>
                  <w:vMerge w:val="continue"/>
                  <w:tcBorders>
                    <w:right w:val="single" w:color="auto" w:sz="4" w:space="0"/>
                  </w:tcBorders>
                  <w:vAlign w:val="center"/>
                </w:tcPr>
                <w:p w14:paraId="3C215FE8">
                  <w:pPr>
                    <w:pStyle w:val="56"/>
                    <w:spacing w:line="240" w:lineRule="auto"/>
                    <w:rPr>
                      <w:b/>
                      <w:bCs/>
                      <w:highlight w:val="none"/>
                    </w:rPr>
                  </w:pPr>
                </w:p>
              </w:tc>
              <w:tc>
                <w:tcPr>
                  <w:tcW w:w="617" w:type="pct"/>
                  <w:vMerge w:val="continue"/>
                  <w:tcBorders>
                    <w:left w:val="single" w:color="auto" w:sz="4" w:space="0"/>
                    <w:right w:val="single" w:color="auto" w:sz="4" w:space="0"/>
                  </w:tcBorders>
                  <w:vAlign w:val="center"/>
                </w:tcPr>
                <w:p w14:paraId="676921B8">
                  <w:pPr>
                    <w:pStyle w:val="56"/>
                    <w:spacing w:line="240" w:lineRule="auto"/>
                    <w:rPr>
                      <w:b/>
                      <w:bCs/>
                      <w:highlight w:val="none"/>
                    </w:rPr>
                  </w:pPr>
                </w:p>
              </w:tc>
              <w:tc>
                <w:tcPr>
                  <w:tcW w:w="1006" w:type="pct"/>
                  <w:vMerge w:val="continue"/>
                  <w:tcBorders>
                    <w:left w:val="single" w:color="auto" w:sz="4" w:space="0"/>
                  </w:tcBorders>
                  <w:vAlign w:val="center"/>
                </w:tcPr>
                <w:p w14:paraId="473F72E6">
                  <w:pPr>
                    <w:pStyle w:val="56"/>
                    <w:spacing w:line="240" w:lineRule="auto"/>
                    <w:rPr>
                      <w:highlight w:val="none"/>
                    </w:rPr>
                  </w:pPr>
                </w:p>
              </w:tc>
              <w:tc>
                <w:tcPr>
                  <w:tcW w:w="657" w:type="pct"/>
                  <w:vAlign w:val="center"/>
                </w:tcPr>
                <w:p w14:paraId="6827C056">
                  <w:pPr>
                    <w:pStyle w:val="56"/>
                    <w:spacing w:line="240" w:lineRule="auto"/>
                    <w:rPr>
                      <w:b/>
                      <w:bCs/>
                      <w:highlight w:val="none"/>
                    </w:rPr>
                  </w:pPr>
                  <w:r>
                    <w:rPr>
                      <w:b/>
                      <w:bCs/>
                      <w:highlight w:val="none"/>
                    </w:rPr>
                    <w:t>北厂界</w:t>
                  </w:r>
                </w:p>
              </w:tc>
              <w:tc>
                <w:tcPr>
                  <w:tcW w:w="657" w:type="pct"/>
                  <w:vAlign w:val="center"/>
                </w:tcPr>
                <w:p w14:paraId="580A9AD4">
                  <w:pPr>
                    <w:pStyle w:val="56"/>
                    <w:spacing w:line="240" w:lineRule="auto"/>
                    <w:rPr>
                      <w:b/>
                      <w:bCs/>
                      <w:highlight w:val="none"/>
                    </w:rPr>
                  </w:pPr>
                  <w:r>
                    <w:rPr>
                      <w:b/>
                      <w:bCs/>
                      <w:highlight w:val="none"/>
                    </w:rPr>
                    <w:t>东厂界</w:t>
                  </w:r>
                </w:p>
              </w:tc>
              <w:tc>
                <w:tcPr>
                  <w:tcW w:w="657" w:type="pct"/>
                  <w:vAlign w:val="center"/>
                </w:tcPr>
                <w:p w14:paraId="29E28CF6">
                  <w:pPr>
                    <w:pStyle w:val="56"/>
                    <w:spacing w:line="240" w:lineRule="auto"/>
                    <w:rPr>
                      <w:b/>
                      <w:bCs/>
                      <w:highlight w:val="none"/>
                    </w:rPr>
                  </w:pPr>
                  <w:r>
                    <w:rPr>
                      <w:b/>
                      <w:bCs/>
                      <w:highlight w:val="none"/>
                    </w:rPr>
                    <w:t>南厂界</w:t>
                  </w:r>
                </w:p>
              </w:tc>
              <w:tc>
                <w:tcPr>
                  <w:tcW w:w="714" w:type="pct"/>
                  <w:vAlign w:val="center"/>
                </w:tcPr>
                <w:p w14:paraId="734679F4">
                  <w:pPr>
                    <w:pStyle w:val="56"/>
                    <w:spacing w:line="240" w:lineRule="auto"/>
                    <w:rPr>
                      <w:b/>
                      <w:bCs/>
                      <w:highlight w:val="none"/>
                    </w:rPr>
                  </w:pPr>
                  <w:r>
                    <w:rPr>
                      <w:b/>
                      <w:bCs/>
                      <w:highlight w:val="none"/>
                    </w:rPr>
                    <w:t>西厂界</w:t>
                  </w:r>
                </w:p>
              </w:tc>
            </w:tr>
            <w:tr w14:paraId="7E319F5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90" w:type="pct"/>
                  <w:vMerge w:val="restart"/>
                  <w:tcBorders>
                    <w:right w:val="single" w:color="auto" w:sz="4" w:space="0"/>
                  </w:tcBorders>
                  <w:vAlign w:val="center"/>
                </w:tcPr>
                <w:p w14:paraId="1DDE920C">
                  <w:pPr>
                    <w:jc w:val="center"/>
                    <w:rPr>
                      <w:szCs w:val="21"/>
                      <w:highlight w:val="none"/>
                    </w:rPr>
                  </w:pPr>
                  <w:r>
                    <w:rPr>
                      <w:rFonts w:hint="eastAsia"/>
                      <w:szCs w:val="21"/>
                      <w:highlight w:val="none"/>
                      <w:lang w:val="en-US" w:eastAsia="zh-CN"/>
                    </w:rPr>
                    <w:t>危险废物收集贮存库</w:t>
                  </w:r>
                </w:p>
              </w:tc>
              <w:tc>
                <w:tcPr>
                  <w:tcW w:w="617" w:type="pct"/>
                  <w:tcBorders>
                    <w:left w:val="single" w:color="auto" w:sz="4" w:space="0"/>
                    <w:right w:val="single" w:color="auto" w:sz="4" w:space="0"/>
                  </w:tcBorders>
                  <w:vAlign w:val="center"/>
                </w:tcPr>
                <w:p w14:paraId="7E959E23">
                  <w:pPr>
                    <w:pStyle w:val="56"/>
                    <w:spacing w:line="240" w:lineRule="auto"/>
                    <w:rPr>
                      <w:highlight w:val="none"/>
                    </w:rPr>
                  </w:pPr>
                  <w:r>
                    <w:rPr>
                      <w:rFonts w:ascii="Times New Roman" w:hAnsi="Times New Roman" w:eastAsia="宋体" w:cs="Times New Roman"/>
                      <w:szCs w:val="21"/>
                      <w:highlight w:val="none"/>
                    </w:rPr>
                    <w:t>非甲烷总烃</w:t>
                  </w:r>
                </w:p>
              </w:tc>
              <w:tc>
                <w:tcPr>
                  <w:tcW w:w="1006" w:type="pct"/>
                  <w:tcBorders>
                    <w:left w:val="single" w:color="auto" w:sz="4" w:space="0"/>
                  </w:tcBorders>
                  <w:vAlign w:val="center"/>
                </w:tcPr>
                <w:p w14:paraId="4CE0A55E">
                  <w:pPr>
                    <w:pStyle w:val="56"/>
                    <w:spacing w:line="240" w:lineRule="auto"/>
                    <w:rPr>
                      <w:rFonts w:hint="eastAsia" w:eastAsia="等线"/>
                      <w:color w:val="000000"/>
                      <w:highlight w:val="none"/>
                    </w:rPr>
                  </w:pPr>
                  <w:r>
                    <w:rPr>
                      <w:rFonts w:hint="eastAsia" w:eastAsia="等线"/>
                      <w:color w:val="000000"/>
                      <w:highlight w:val="none"/>
                    </w:rPr>
                    <w:t>0.002195</w:t>
                  </w:r>
                </w:p>
              </w:tc>
              <w:tc>
                <w:tcPr>
                  <w:tcW w:w="657" w:type="pct"/>
                  <w:vAlign w:val="center"/>
                </w:tcPr>
                <w:p w14:paraId="6134DC57">
                  <w:pPr>
                    <w:pStyle w:val="56"/>
                    <w:spacing w:line="240" w:lineRule="auto"/>
                    <w:rPr>
                      <w:highlight w:val="none"/>
                    </w:rPr>
                  </w:pPr>
                  <w:r>
                    <w:rPr>
                      <w:rFonts w:hint="eastAsia"/>
                      <w:highlight w:val="none"/>
                    </w:rPr>
                    <w:t>0.00154</w:t>
                  </w:r>
                </w:p>
              </w:tc>
              <w:tc>
                <w:tcPr>
                  <w:tcW w:w="657" w:type="pct"/>
                  <w:vAlign w:val="center"/>
                </w:tcPr>
                <w:p w14:paraId="43F5E39A">
                  <w:pPr>
                    <w:pStyle w:val="56"/>
                    <w:spacing w:line="240" w:lineRule="auto"/>
                    <w:rPr>
                      <w:rFonts w:hint="eastAsia" w:eastAsia="等线"/>
                      <w:color w:val="000000"/>
                      <w:highlight w:val="none"/>
                    </w:rPr>
                  </w:pPr>
                  <w:r>
                    <w:rPr>
                      <w:rFonts w:hint="eastAsia" w:eastAsia="等线"/>
                      <w:color w:val="000000"/>
                      <w:highlight w:val="none"/>
                    </w:rPr>
                    <w:t>0.00114</w:t>
                  </w:r>
                </w:p>
              </w:tc>
              <w:tc>
                <w:tcPr>
                  <w:tcW w:w="657" w:type="pct"/>
                  <w:vAlign w:val="center"/>
                </w:tcPr>
                <w:p w14:paraId="4B29574C">
                  <w:pPr>
                    <w:pStyle w:val="56"/>
                    <w:spacing w:line="240" w:lineRule="auto"/>
                    <w:rPr>
                      <w:rFonts w:hint="eastAsia" w:eastAsia="等线"/>
                      <w:color w:val="000000"/>
                      <w:highlight w:val="none"/>
                    </w:rPr>
                  </w:pPr>
                  <w:r>
                    <w:rPr>
                      <w:rFonts w:hint="eastAsia" w:eastAsia="等线"/>
                      <w:color w:val="000000"/>
                      <w:highlight w:val="none"/>
                    </w:rPr>
                    <w:t>0.000907</w:t>
                  </w:r>
                </w:p>
              </w:tc>
              <w:tc>
                <w:tcPr>
                  <w:tcW w:w="714" w:type="pct"/>
                  <w:vAlign w:val="center"/>
                </w:tcPr>
                <w:p w14:paraId="0C06DBF9">
                  <w:pPr>
                    <w:pStyle w:val="56"/>
                    <w:spacing w:line="240" w:lineRule="auto"/>
                    <w:rPr>
                      <w:rFonts w:hint="eastAsia" w:eastAsia="等线"/>
                      <w:color w:val="000000"/>
                      <w:highlight w:val="none"/>
                    </w:rPr>
                  </w:pPr>
                  <w:r>
                    <w:rPr>
                      <w:rFonts w:hint="eastAsia" w:eastAsia="等线"/>
                      <w:color w:val="000000"/>
                      <w:highlight w:val="none"/>
                    </w:rPr>
                    <w:t>0.000907</w:t>
                  </w:r>
                </w:p>
              </w:tc>
            </w:tr>
            <w:tr w14:paraId="182A588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90" w:type="pct"/>
                  <w:vMerge w:val="continue"/>
                  <w:tcBorders>
                    <w:right w:val="single" w:color="auto" w:sz="4" w:space="0"/>
                  </w:tcBorders>
                  <w:vAlign w:val="center"/>
                </w:tcPr>
                <w:p w14:paraId="40CCDC07">
                  <w:pPr>
                    <w:jc w:val="center"/>
                    <w:rPr>
                      <w:szCs w:val="21"/>
                      <w:highlight w:val="none"/>
                    </w:rPr>
                  </w:pPr>
                </w:p>
              </w:tc>
              <w:tc>
                <w:tcPr>
                  <w:tcW w:w="1623" w:type="pct"/>
                  <w:gridSpan w:val="2"/>
                  <w:tcBorders>
                    <w:left w:val="single" w:color="auto" w:sz="4" w:space="0"/>
                  </w:tcBorders>
                  <w:shd w:val="clear" w:color="auto" w:fill="auto"/>
                  <w:vAlign w:val="center"/>
                </w:tcPr>
                <w:p w14:paraId="684FB795">
                  <w:pPr>
                    <w:pStyle w:val="56"/>
                    <w:spacing w:line="240" w:lineRule="auto"/>
                    <w:rPr>
                      <w:rFonts w:hint="eastAsia" w:ascii="Times New Roman" w:hAnsi="Times New Roman" w:eastAsia="宋体" w:cs="Times New Roman"/>
                      <w:kern w:val="2"/>
                      <w:sz w:val="21"/>
                      <w:szCs w:val="21"/>
                      <w:highlight w:val="none"/>
                      <w:lang w:val="en-US" w:eastAsia="zh-CN" w:bidi="ar-SA"/>
                    </w:rPr>
                  </w:pPr>
                  <w:r>
                    <w:rPr>
                      <w:bCs/>
                      <w:highlight w:val="none"/>
                    </w:rPr>
                    <w:t>排放标准（</w:t>
                  </w:r>
                  <w:r>
                    <w:rPr>
                      <w:highlight w:val="none"/>
                    </w:rPr>
                    <w:t>mg/m</w:t>
                  </w:r>
                  <w:r>
                    <w:rPr>
                      <w:highlight w:val="none"/>
                      <w:vertAlign w:val="superscript"/>
                    </w:rPr>
                    <w:t>3</w:t>
                  </w:r>
                  <w:r>
                    <w:rPr>
                      <w:bCs/>
                      <w:highlight w:val="none"/>
                    </w:rPr>
                    <w:t>）</w:t>
                  </w:r>
                </w:p>
              </w:tc>
              <w:tc>
                <w:tcPr>
                  <w:tcW w:w="657" w:type="pct"/>
                  <w:shd w:val="clear" w:color="auto" w:fill="auto"/>
                  <w:vAlign w:val="center"/>
                </w:tcPr>
                <w:p w14:paraId="5542C956">
                  <w:pPr>
                    <w:pStyle w:val="56"/>
                    <w:spacing w:line="240" w:lineRule="auto"/>
                    <w:rPr>
                      <w:rFonts w:hint="eastAsia" w:ascii="Times New Roman" w:hAnsi="Times New Roman" w:eastAsia="宋体" w:cs="Times New Roman"/>
                      <w:kern w:val="2"/>
                      <w:sz w:val="21"/>
                      <w:szCs w:val="21"/>
                      <w:highlight w:val="none"/>
                      <w:lang w:val="en-US" w:eastAsia="zh-CN" w:bidi="ar-SA"/>
                    </w:rPr>
                  </w:pPr>
                  <w:r>
                    <w:rPr>
                      <w:highlight w:val="none"/>
                    </w:rPr>
                    <w:t>1.0</w:t>
                  </w:r>
                </w:p>
              </w:tc>
              <w:tc>
                <w:tcPr>
                  <w:tcW w:w="657" w:type="pct"/>
                  <w:shd w:val="clear" w:color="auto" w:fill="auto"/>
                  <w:vAlign w:val="center"/>
                </w:tcPr>
                <w:p w14:paraId="7E32CBE5">
                  <w:pPr>
                    <w:pStyle w:val="56"/>
                    <w:spacing w:line="240" w:lineRule="auto"/>
                    <w:rPr>
                      <w:rFonts w:hint="eastAsia" w:ascii="Times New Roman" w:hAnsi="Times New Roman" w:eastAsia="宋体" w:cs="Times New Roman"/>
                      <w:kern w:val="2"/>
                      <w:sz w:val="21"/>
                      <w:szCs w:val="21"/>
                      <w:highlight w:val="none"/>
                      <w:lang w:val="en-US" w:eastAsia="zh-CN" w:bidi="ar-SA"/>
                    </w:rPr>
                  </w:pPr>
                  <w:r>
                    <w:rPr>
                      <w:highlight w:val="none"/>
                    </w:rPr>
                    <w:t>1.0</w:t>
                  </w:r>
                </w:p>
              </w:tc>
              <w:tc>
                <w:tcPr>
                  <w:tcW w:w="657" w:type="pct"/>
                  <w:shd w:val="clear" w:color="auto" w:fill="auto"/>
                  <w:vAlign w:val="center"/>
                </w:tcPr>
                <w:p w14:paraId="7DC5005B">
                  <w:pPr>
                    <w:pStyle w:val="56"/>
                    <w:spacing w:line="240" w:lineRule="auto"/>
                    <w:rPr>
                      <w:rFonts w:hint="eastAsia" w:ascii="Times New Roman" w:hAnsi="Times New Roman" w:eastAsia="宋体" w:cs="Times New Roman"/>
                      <w:kern w:val="2"/>
                      <w:sz w:val="21"/>
                      <w:szCs w:val="21"/>
                      <w:highlight w:val="none"/>
                      <w:lang w:val="en-US" w:eastAsia="zh-CN" w:bidi="ar-SA"/>
                    </w:rPr>
                  </w:pPr>
                  <w:r>
                    <w:rPr>
                      <w:highlight w:val="none"/>
                    </w:rPr>
                    <w:t>1.0</w:t>
                  </w:r>
                </w:p>
              </w:tc>
              <w:tc>
                <w:tcPr>
                  <w:tcW w:w="714" w:type="pct"/>
                  <w:shd w:val="clear" w:color="auto" w:fill="auto"/>
                  <w:vAlign w:val="center"/>
                </w:tcPr>
                <w:p w14:paraId="09ABA01E">
                  <w:pPr>
                    <w:pStyle w:val="56"/>
                    <w:spacing w:line="240" w:lineRule="auto"/>
                    <w:rPr>
                      <w:rFonts w:hint="eastAsia" w:ascii="Times New Roman" w:hAnsi="Times New Roman" w:eastAsia="宋体" w:cs="Times New Roman"/>
                      <w:kern w:val="2"/>
                      <w:sz w:val="21"/>
                      <w:szCs w:val="21"/>
                      <w:highlight w:val="none"/>
                      <w:lang w:val="en-US" w:eastAsia="zh-CN" w:bidi="ar-SA"/>
                    </w:rPr>
                  </w:pPr>
                  <w:r>
                    <w:rPr>
                      <w:highlight w:val="none"/>
                    </w:rPr>
                    <w:t>1.0</w:t>
                  </w:r>
                </w:p>
              </w:tc>
            </w:tr>
            <w:tr w14:paraId="6C2405B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90" w:type="pct"/>
                  <w:vMerge w:val="continue"/>
                  <w:tcBorders>
                    <w:right w:val="single" w:color="auto" w:sz="4" w:space="0"/>
                  </w:tcBorders>
                  <w:vAlign w:val="center"/>
                </w:tcPr>
                <w:p w14:paraId="18139CE5">
                  <w:pPr>
                    <w:jc w:val="center"/>
                    <w:rPr>
                      <w:szCs w:val="21"/>
                      <w:highlight w:val="none"/>
                    </w:rPr>
                  </w:pPr>
                </w:p>
              </w:tc>
              <w:tc>
                <w:tcPr>
                  <w:tcW w:w="1623" w:type="pct"/>
                  <w:gridSpan w:val="2"/>
                  <w:tcBorders>
                    <w:left w:val="single" w:color="auto" w:sz="4" w:space="0"/>
                  </w:tcBorders>
                  <w:shd w:val="clear" w:color="auto" w:fill="auto"/>
                  <w:vAlign w:val="center"/>
                </w:tcPr>
                <w:p w14:paraId="462076B0">
                  <w:pPr>
                    <w:pStyle w:val="56"/>
                    <w:spacing w:line="240" w:lineRule="auto"/>
                    <w:rPr>
                      <w:rFonts w:hint="eastAsia" w:ascii="Times New Roman" w:hAnsi="Times New Roman" w:eastAsia="宋体" w:cs="Times New Roman"/>
                      <w:kern w:val="2"/>
                      <w:sz w:val="21"/>
                      <w:szCs w:val="21"/>
                      <w:highlight w:val="none"/>
                      <w:lang w:val="en-US" w:eastAsia="zh-CN" w:bidi="ar-SA"/>
                    </w:rPr>
                  </w:pPr>
                  <w:r>
                    <w:rPr>
                      <w:highlight w:val="none"/>
                    </w:rPr>
                    <w:t>达标情况</w:t>
                  </w:r>
                </w:p>
              </w:tc>
              <w:tc>
                <w:tcPr>
                  <w:tcW w:w="657" w:type="pct"/>
                  <w:shd w:val="clear" w:color="auto" w:fill="auto"/>
                  <w:vAlign w:val="center"/>
                </w:tcPr>
                <w:p w14:paraId="7BE46F92">
                  <w:pPr>
                    <w:pStyle w:val="56"/>
                    <w:spacing w:line="240" w:lineRule="auto"/>
                    <w:rPr>
                      <w:rFonts w:hint="eastAsia" w:ascii="Times New Roman" w:hAnsi="Times New Roman" w:eastAsia="宋体" w:cs="Times New Roman"/>
                      <w:kern w:val="2"/>
                      <w:sz w:val="21"/>
                      <w:szCs w:val="21"/>
                      <w:highlight w:val="none"/>
                      <w:lang w:val="en-US" w:eastAsia="zh-CN" w:bidi="ar-SA"/>
                    </w:rPr>
                  </w:pPr>
                  <w:r>
                    <w:rPr>
                      <w:highlight w:val="none"/>
                    </w:rPr>
                    <w:t>达标</w:t>
                  </w:r>
                </w:p>
              </w:tc>
              <w:tc>
                <w:tcPr>
                  <w:tcW w:w="657" w:type="pct"/>
                  <w:shd w:val="clear" w:color="auto" w:fill="auto"/>
                  <w:vAlign w:val="center"/>
                </w:tcPr>
                <w:p w14:paraId="2EAE862D">
                  <w:pPr>
                    <w:pStyle w:val="56"/>
                    <w:spacing w:line="240" w:lineRule="auto"/>
                    <w:rPr>
                      <w:rFonts w:hint="eastAsia" w:ascii="Times New Roman" w:hAnsi="Times New Roman" w:eastAsia="宋体" w:cs="Times New Roman"/>
                      <w:kern w:val="2"/>
                      <w:sz w:val="21"/>
                      <w:szCs w:val="21"/>
                      <w:highlight w:val="none"/>
                      <w:lang w:val="en-US" w:eastAsia="zh-CN" w:bidi="ar-SA"/>
                    </w:rPr>
                  </w:pPr>
                  <w:r>
                    <w:rPr>
                      <w:highlight w:val="none"/>
                    </w:rPr>
                    <w:t>达标</w:t>
                  </w:r>
                </w:p>
              </w:tc>
              <w:tc>
                <w:tcPr>
                  <w:tcW w:w="657" w:type="pct"/>
                  <w:shd w:val="clear" w:color="auto" w:fill="auto"/>
                  <w:vAlign w:val="center"/>
                </w:tcPr>
                <w:p w14:paraId="3F5DED68">
                  <w:pPr>
                    <w:pStyle w:val="56"/>
                    <w:spacing w:line="240" w:lineRule="auto"/>
                    <w:rPr>
                      <w:rFonts w:hint="eastAsia" w:ascii="Times New Roman" w:hAnsi="Times New Roman" w:eastAsia="宋体" w:cs="Times New Roman"/>
                      <w:kern w:val="2"/>
                      <w:sz w:val="21"/>
                      <w:szCs w:val="21"/>
                      <w:highlight w:val="none"/>
                      <w:lang w:val="en-US" w:eastAsia="zh-CN" w:bidi="ar-SA"/>
                    </w:rPr>
                  </w:pPr>
                  <w:r>
                    <w:rPr>
                      <w:highlight w:val="none"/>
                    </w:rPr>
                    <w:t>达标</w:t>
                  </w:r>
                </w:p>
              </w:tc>
              <w:tc>
                <w:tcPr>
                  <w:tcW w:w="714" w:type="pct"/>
                  <w:shd w:val="clear" w:color="auto" w:fill="auto"/>
                  <w:vAlign w:val="center"/>
                </w:tcPr>
                <w:p w14:paraId="45683E50">
                  <w:pPr>
                    <w:pStyle w:val="56"/>
                    <w:spacing w:line="240" w:lineRule="auto"/>
                    <w:rPr>
                      <w:rFonts w:hint="eastAsia" w:ascii="Times New Roman" w:hAnsi="Times New Roman" w:eastAsia="宋体" w:cs="Times New Roman"/>
                      <w:kern w:val="2"/>
                      <w:sz w:val="21"/>
                      <w:szCs w:val="21"/>
                      <w:highlight w:val="none"/>
                      <w:lang w:val="en-US" w:eastAsia="zh-CN" w:bidi="ar-SA"/>
                    </w:rPr>
                  </w:pPr>
                  <w:r>
                    <w:rPr>
                      <w:highlight w:val="none"/>
                    </w:rPr>
                    <w:t>达标</w:t>
                  </w:r>
                </w:p>
              </w:tc>
            </w:tr>
            <w:tr w14:paraId="0E9D18F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90" w:type="pct"/>
                  <w:vMerge w:val="continue"/>
                  <w:tcBorders>
                    <w:right w:val="single" w:color="auto" w:sz="4" w:space="0"/>
                  </w:tcBorders>
                  <w:vAlign w:val="center"/>
                </w:tcPr>
                <w:p w14:paraId="4529A777">
                  <w:pPr>
                    <w:jc w:val="center"/>
                    <w:rPr>
                      <w:szCs w:val="21"/>
                      <w:highlight w:val="none"/>
                    </w:rPr>
                  </w:pPr>
                </w:p>
              </w:tc>
              <w:tc>
                <w:tcPr>
                  <w:tcW w:w="617" w:type="pct"/>
                  <w:tcBorders>
                    <w:left w:val="single" w:color="auto" w:sz="4" w:space="0"/>
                    <w:right w:val="single" w:color="auto" w:sz="4" w:space="0"/>
                  </w:tcBorders>
                  <w:vAlign w:val="center"/>
                </w:tcPr>
                <w:p w14:paraId="6E84FB43">
                  <w:pPr>
                    <w:pStyle w:val="56"/>
                    <w:spacing w:line="240" w:lineRule="auto"/>
                    <w:rPr>
                      <w:rFonts w:hint="eastAsia" w:eastAsia="宋体"/>
                      <w:highlight w:val="none"/>
                      <w:lang w:val="en-US" w:eastAsia="zh-CN"/>
                    </w:rPr>
                  </w:pPr>
                  <w:r>
                    <w:rPr>
                      <w:rFonts w:hint="eastAsia"/>
                      <w:highlight w:val="none"/>
                      <w:lang w:val="en-US" w:eastAsia="zh-CN"/>
                    </w:rPr>
                    <w:t>硫化氢</w:t>
                  </w:r>
                </w:p>
              </w:tc>
              <w:tc>
                <w:tcPr>
                  <w:tcW w:w="1006" w:type="pct"/>
                  <w:tcBorders>
                    <w:left w:val="single" w:color="auto" w:sz="4" w:space="0"/>
                  </w:tcBorders>
                  <w:vAlign w:val="center"/>
                </w:tcPr>
                <w:p w14:paraId="75E43C84">
                  <w:pPr>
                    <w:pStyle w:val="56"/>
                    <w:spacing w:line="240" w:lineRule="auto"/>
                    <w:rPr>
                      <w:rFonts w:hint="eastAsia" w:eastAsia="等线"/>
                      <w:color w:val="000000"/>
                      <w:highlight w:val="none"/>
                    </w:rPr>
                  </w:pPr>
                  <w:r>
                    <w:rPr>
                      <w:rFonts w:hint="eastAsia" w:eastAsia="等线"/>
                      <w:color w:val="000000"/>
                      <w:highlight w:val="none"/>
                    </w:rPr>
                    <w:t>0.006586</w:t>
                  </w:r>
                </w:p>
              </w:tc>
              <w:tc>
                <w:tcPr>
                  <w:tcW w:w="657" w:type="pct"/>
                  <w:vAlign w:val="center"/>
                </w:tcPr>
                <w:p w14:paraId="7249115C">
                  <w:pPr>
                    <w:pStyle w:val="56"/>
                    <w:spacing w:line="240" w:lineRule="auto"/>
                    <w:rPr>
                      <w:rFonts w:hint="eastAsia" w:eastAsia="等线"/>
                      <w:color w:val="000000"/>
                      <w:highlight w:val="none"/>
                    </w:rPr>
                  </w:pPr>
                  <w:r>
                    <w:rPr>
                      <w:rFonts w:hint="eastAsia" w:eastAsia="等线"/>
                      <w:color w:val="000000"/>
                      <w:highlight w:val="none"/>
                    </w:rPr>
                    <w:t>0.004621</w:t>
                  </w:r>
                </w:p>
              </w:tc>
              <w:tc>
                <w:tcPr>
                  <w:tcW w:w="657" w:type="pct"/>
                  <w:vAlign w:val="center"/>
                </w:tcPr>
                <w:p w14:paraId="5E03E03B">
                  <w:pPr>
                    <w:pStyle w:val="56"/>
                    <w:spacing w:line="240" w:lineRule="auto"/>
                    <w:rPr>
                      <w:rFonts w:hint="eastAsia" w:eastAsia="等线"/>
                      <w:color w:val="000000"/>
                      <w:highlight w:val="none"/>
                    </w:rPr>
                  </w:pPr>
                  <w:r>
                    <w:rPr>
                      <w:rFonts w:hint="eastAsia" w:eastAsia="等线"/>
                      <w:color w:val="000000"/>
                      <w:highlight w:val="none"/>
                    </w:rPr>
                    <w:t>0.00342</w:t>
                  </w:r>
                </w:p>
              </w:tc>
              <w:tc>
                <w:tcPr>
                  <w:tcW w:w="657" w:type="pct"/>
                  <w:vAlign w:val="center"/>
                </w:tcPr>
                <w:p w14:paraId="0A610A2C">
                  <w:pPr>
                    <w:pStyle w:val="56"/>
                    <w:spacing w:line="240" w:lineRule="auto"/>
                    <w:rPr>
                      <w:rFonts w:hint="eastAsia" w:eastAsia="等线"/>
                      <w:color w:val="000000"/>
                      <w:highlight w:val="none"/>
                    </w:rPr>
                  </w:pPr>
                  <w:r>
                    <w:rPr>
                      <w:rFonts w:hint="eastAsia" w:eastAsia="等线"/>
                      <w:color w:val="000000"/>
                      <w:highlight w:val="none"/>
                    </w:rPr>
                    <w:t>0.002722</w:t>
                  </w:r>
                </w:p>
              </w:tc>
              <w:tc>
                <w:tcPr>
                  <w:tcW w:w="714" w:type="pct"/>
                  <w:vAlign w:val="center"/>
                </w:tcPr>
                <w:p w14:paraId="51CDED61">
                  <w:pPr>
                    <w:pStyle w:val="56"/>
                    <w:spacing w:line="240" w:lineRule="auto"/>
                    <w:rPr>
                      <w:rFonts w:hint="eastAsia" w:eastAsia="等线"/>
                      <w:color w:val="000000"/>
                      <w:highlight w:val="none"/>
                    </w:rPr>
                  </w:pPr>
                  <w:r>
                    <w:rPr>
                      <w:rFonts w:hint="eastAsia" w:eastAsia="等线"/>
                      <w:color w:val="000000"/>
                      <w:highlight w:val="none"/>
                    </w:rPr>
                    <w:t>0.002722</w:t>
                  </w:r>
                </w:p>
              </w:tc>
            </w:tr>
            <w:tr w14:paraId="3E80CC4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90" w:type="pct"/>
                  <w:vMerge w:val="continue"/>
                  <w:tcBorders>
                    <w:right w:val="single" w:color="auto" w:sz="4" w:space="0"/>
                  </w:tcBorders>
                  <w:vAlign w:val="center"/>
                </w:tcPr>
                <w:p w14:paraId="20652CDC">
                  <w:pPr>
                    <w:jc w:val="center"/>
                    <w:rPr>
                      <w:szCs w:val="21"/>
                      <w:highlight w:val="none"/>
                    </w:rPr>
                  </w:pPr>
                </w:p>
              </w:tc>
              <w:tc>
                <w:tcPr>
                  <w:tcW w:w="1623" w:type="pct"/>
                  <w:gridSpan w:val="2"/>
                  <w:tcBorders>
                    <w:left w:val="single" w:color="auto" w:sz="4" w:space="0"/>
                  </w:tcBorders>
                  <w:shd w:val="clear" w:color="auto" w:fill="auto"/>
                  <w:vAlign w:val="center"/>
                </w:tcPr>
                <w:p w14:paraId="3061D282">
                  <w:pPr>
                    <w:pStyle w:val="56"/>
                    <w:spacing w:line="240" w:lineRule="auto"/>
                    <w:rPr>
                      <w:rFonts w:hint="eastAsia" w:ascii="Times New Roman" w:hAnsi="Times New Roman" w:eastAsia="宋体" w:cs="Times New Roman"/>
                      <w:kern w:val="2"/>
                      <w:sz w:val="21"/>
                      <w:szCs w:val="21"/>
                      <w:highlight w:val="none"/>
                      <w:lang w:val="en-US" w:eastAsia="zh-CN" w:bidi="ar-SA"/>
                    </w:rPr>
                  </w:pPr>
                  <w:r>
                    <w:rPr>
                      <w:bCs/>
                      <w:highlight w:val="none"/>
                    </w:rPr>
                    <w:t>排放标准（</w:t>
                  </w:r>
                  <w:r>
                    <w:rPr>
                      <w:highlight w:val="none"/>
                    </w:rPr>
                    <w:t>mg/m</w:t>
                  </w:r>
                  <w:r>
                    <w:rPr>
                      <w:highlight w:val="none"/>
                      <w:vertAlign w:val="superscript"/>
                    </w:rPr>
                    <w:t>3</w:t>
                  </w:r>
                  <w:r>
                    <w:rPr>
                      <w:bCs/>
                      <w:highlight w:val="none"/>
                    </w:rPr>
                    <w:t>）</w:t>
                  </w:r>
                </w:p>
              </w:tc>
              <w:tc>
                <w:tcPr>
                  <w:tcW w:w="657" w:type="pct"/>
                  <w:shd w:val="clear" w:color="auto" w:fill="auto"/>
                  <w:vAlign w:val="center"/>
                </w:tcPr>
                <w:p w14:paraId="40A1F0BB">
                  <w:pPr>
                    <w:pStyle w:val="56"/>
                    <w:spacing w:line="240" w:lineRule="auto"/>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0.06</w:t>
                  </w:r>
                </w:p>
              </w:tc>
              <w:tc>
                <w:tcPr>
                  <w:tcW w:w="657" w:type="pct"/>
                  <w:shd w:val="clear" w:color="auto" w:fill="auto"/>
                  <w:vAlign w:val="center"/>
                </w:tcPr>
                <w:p w14:paraId="6EA68F61">
                  <w:pPr>
                    <w:pStyle w:val="56"/>
                    <w:spacing w:line="240" w:lineRule="auto"/>
                    <w:rPr>
                      <w:rFonts w:hint="eastAsia"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0.06</w:t>
                  </w:r>
                </w:p>
              </w:tc>
              <w:tc>
                <w:tcPr>
                  <w:tcW w:w="657" w:type="pct"/>
                  <w:shd w:val="clear" w:color="auto" w:fill="auto"/>
                  <w:vAlign w:val="center"/>
                </w:tcPr>
                <w:p w14:paraId="7F565BCA">
                  <w:pPr>
                    <w:pStyle w:val="56"/>
                    <w:spacing w:line="240" w:lineRule="auto"/>
                    <w:rPr>
                      <w:rFonts w:hint="eastAsia"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0.06</w:t>
                  </w:r>
                </w:p>
              </w:tc>
              <w:tc>
                <w:tcPr>
                  <w:tcW w:w="714" w:type="pct"/>
                  <w:shd w:val="clear" w:color="auto" w:fill="auto"/>
                  <w:vAlign w:val="center"/>
                </w:tcPr>
                <w:p w14:paraId="7452E81C">
                  <w:pPr>
                    <w:pStyle w:val="56"/>
                    <w:spacing w:line="240" w:lineRule="auto"/>
                    <w:rPr>
                      <w:rFonts w:hint="eastAsia" w:ascii="Times New Roman" w:hAnsi="Times New Roman" w:eastAsia="宋体" w:cs="Times New Roman"/>
                      <w:kern w:val="2"/>
                      <w:sz w:val="21"/>
                      <w:szCs w:val="21"/>
                      <w:highlight w:val="none"/>
                      <w:lang w:val="en-US" w:eastAsia="zh-CN" w:bidi="ar-SA"/>
                    </w:rPr>
                  </w:pPr>
                  <w:r>
                    <w:rPr>
                      <w:rFonts w:hint="eastAsia" w:ascii="Times New Roman" w:hAnsi="Times New Roman" w:eastAsia="宋体" w:cs="Times New Roman"/>
                      <w:kern w:val="2"/>
                      <w:sz w:val="21"/>
                      <w:szCs w:val="21"/>
                      <w:highlight w:val="none"/>
                      <w:lang w:val="en-US" w:eastAsia="zh-CN" w:bidi="ar-SA"/>
                    </w:rPr>
                    <w:t>0.06</w:t>
                  </w:r>
                </w:p>
              </w:tc>
            </w:tr>
            <w:tr w14:paraId="3F1FD2F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90" w:type="pct"/>
                  <w:vMerge w:val="continue"/>
                  <w:tcBorders>
                    <w:right w:val="single" w:color="auto" w:sz="4" w:space="0"/>
                  </w:tcBorders>
                  <w:vAlign w:val="center"/>
                </w:tcPr>
                <w:p w14:paraId="47C2DF13">
                  <w:pPr>
                    <w:jc w:val="center"/>
                    <w:rPr>
                      <w:szCs w:val="21"/>
                      <w:highlight w:val="none"/>
                    </w:rPr>
                  </w:pPr>
                </w:p>
              </w:tc>
              <w:tc>
                <w:tcPr>
                  <w:tcW w:w="1623" w:type="pct"/>
                  <w:gridSpan w:val="2"/>
                  <w:tcBorders>
                    <w:left w:val="single" w:color="auto" w:sz="4" w:space="0"/>
                  </w:tcBorders>
                  <w:shd w:val="clear" w:color="auto" w:fill="auto"/>
                  <w:vAlign w:val="center"/>
                </w:tcPr>
                <w:p w14:paraId="5500CBE9">
                  <w:pPr>
                    <w:pStyle w:val="56"/>
                    <w:spacing w:line="240" w:lineRule="auto"/>
                    <w:rPr>
                      <w:rFonts w:hint="eastAsia" w:ascii="Times New Roman" w:hAnsi="Times New Roman" w:eastAsia="宋体" w:cs="Times New Roman"/>
                      <w:kern w:val="2"/>
                      <w:sz w:val="21"/>
                      <w:szCs w:val="21"/>
                      <w:highlight w:val="none"/>
                      <w:lang w:val="en-US" w:eastAsia="zh-CN" w:bidi="ar-SA"/>
                    </w:rPr>
                  </w:pPr>
                  <w:r>
                    <w:rPr>
                      <w:highlight w:val="none"/>
                    </w:rPr>
                    <w:t>达标情况</w:t>
                  </w:r>
                </w:p>
              </w:tc>
              <w:tc>
                <w:tcPr>
                  <w:tcW w:w="657" w:type="pct"/>
                  <w:shd w:val="clear" w:color="auto" w:fill="auto"/>
                  <w:vAlign w:val="center"/>
                </w:tcPr>
                <w:p w14:paraId="40021248">
                  <w:pPr>
                    <w:pStyle w:val="56"/>
                    <w:spacing w:line="240" w:lineRule="auto"/>
                    <w:rPr>
                      <w:rFonts w:hint="eastAsia" w:ascii="Times New Roman" w:hAnsi="Times New Roman" w:eastAsia="宋体" w:cs="Times New Roman"/>
                      <w:kern w:val="2"/>
                      <w:sz w:val="21"/>
                      <w:szCs w:val="21"/>
                      <w:highlight w:val="none"/>
                      <w:lang w:val="en-US" w:eastAsia="zh-CN" w:bidi="ar-SA"/>
                    </w:rPr>
                  </w:pPr>
                  <w:r>
                    <w:rPr>
                      <w:highlight w:val="none"/>
                    </w:rPr>
                    <w:t>达标</w:t>
                  </w:r>
                </w:p>
              </w:tc>
              <w:tc>
                <w:tcPr>
                  <w:tcW w:w="657" w:type="pct"/>
                  <w:shd w:val="clear" w:color="auto" w:fill="auto"/>
                  <w:vAlign w:val="center"/>
                </w:tcPr>
                <w:p w14:paraId="5EB870C6">
                  <w:pPr>
                    <w:pStyle w:val="56"/>
                    <w:spacing w:line="240" w:lineRule="auto"/>
                    <w:rPr>
                      <w:rFonts w:hint="eastAsia" w:ascii="Times New Roman" w:hAnsi="Times New Roman" w:eastAsia="宋体" w:cs="Times New Roman"/>
                      <w:kern w:val="2"/>
                      <w:sz w:val="21"/>
                      <w:szCs w:val="21"/>
                      <w:highlight w:val="none"/>
                      <w:lang w:val="en-US" w:eastAsia="zh-CN" w:bidi="ar-SA"/>
                    </w:rPr>
                  </w:pPr>
                  <w:r>
                    <w:rPr>
                      <w:highlight w:val="none"/>
                    </w:rPr>
                    <w:t>达标</w:t>
                  </w:r>
                </w:p>
              </w:tc>
              <w:tc>
                <w:tcPr>
                  <w:tcW w:w="657" w:type="pct"/>
                  <w:shd w:val="clear" w:color="auto" w:fill="auto"/>
                  <w:vAlign w:val="center"/>
                </w:tcPr>
                <w:p w14:paraId="4FAD3C79">
                  <w:pPr>
                    <w:pStyle w:val="56"/>
                    <w:spacing w:line="240" w:lineRule="auto"/>
                    <w:rPr>
                      <w:rFonts w:hint="eastAsia" w:ascii="Times New Roman" w:hAnsi="Times New Roman" w:eastAsia="宋体" w:cs="Times New Roman"/>
                      <w:kern w:val="2"/>
                      <w:sz w:val="21"/>
                      <w:szCs w:val="21"/>
                      <w:highlight w:val="none"/>
                      <w:lang w:val="en-US" w:eastAsia="zh-CN" w:bidi="ar-SA"/>
                    </w:rPr>
                  </w:pPr>
                  <w:r>
                    <w:rPr>
                      <w:highlight w:val="none"/>
                    </w:rPr>
                    <w:t>达标</w:t>
                  </w:r>
                </w:p>
              </w:tc>
              <w:tc>
                <w:tcPr>
                  <w:tcW w:w="714" w:type="pct"/>
                  <w:shd w:val="clear" w:color="auto" w:fill="auto"/>
                  <w:vAlign w:val="center"/>
                </w:tcPr>
                <w:p w14:paraId="04B2BDBE">
                  <w:pPr>
                    <w:pStyle w:val="56"/>
                    <w:spacing w:line="240" w:lineRule="auto"/>
                    <w:rPr>
                      <w:rFonts w:hint="eastAsia" w:ascii="Times New Roman" w:hAnsi="Times New Roman" w:eastAsia="宋体" w:cs="Times New Roman"/>
                      <w:kern w:val="2"/>
                      <w:sz w:val="21"/>
                      <w:szCs w:val="21"/>
                      <w:highlight w:val="none"/>
                      <w:lang w:val="en-US" w:eastAsia="zh-CN" w:bidi="ar-SA"/>
                    </w:rPr>
                  </w:pPr>
                  <w:r>
                    <w:rPr>
                      <w:highlight w:val="none"/>
                    </w:rPr>
                    <w:t>达标</w:t>
                  </w:r>
                </w:p>
              </w:tc>
            </w:tr>
            <w:tr w14:paraId="12D4D9C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90" w:type="pct"/>
                  <w:vMerge w:val="continue"/>
                  <w:tcBorders>
                    <w:right w:val="single" w:color="auto" w:sz="4" w:space="0"/>
                  </w:tcBorders>
                  <w:vAlign w:val="center"/>
                </w:tcPr>
                <w:p w14:paraId="3DCA93A7">
                  <w:pPr>
                    <w:jc w:val="center"/>
                    <w:rPr>
                      <w:szCs w:val="21"/>
                      <w:highlight w:val="none"/>
                    </w:rPr>
                  </w:pPr>
                </w:p>
              </w:tc>
              <w:tc>
                <w:tcPr>
                  <w:tcW w:w="617" w:type="pct"/>
                  <w:tcBorders>
                    <w:left w:val="single" w:color="auto" w:sz="4" w:space="0"/>
                    <w:right w:val="single" w:color="auto" w:sz="4" w:space="0"/>
                  </w:tcBorders>
                  <w:vAlign w:val="center"/>
                </w:tcPr>
                <w:p w14:paraId="7AC4F4FB">
                  <w:pPr>
                    <w:pStyle w:val="56"/>
                    <w:spacing w:line="240" w:lineRule="auto"/>
                    <w:rPr>
                      <w:rFonts w:hint="eastAsia"/>
                      <w:highlight w:val="none"/>
                    </w:rPr>
                  </w:pPr>
                  <w:r>
                    <w:rPr>
                      <w:rFonts w:ascii="Times New Roman" w:hAnsi="Times New Roman" w:eastAsia="宋体" w:cs="Times New Roman"/>
                      <w:szCs w:val="21"/>
                      <w:highlight w:val="none"/>
                    </w:rPr>
                    <w:t>氨</w:t>
                  </w:r>
                </w:p>
              </w:tc>
              <w:tc>
                <w:tcPr>
                  <w:tcW w:w="1006" w:type="pct"/>
                  <w:tcBorders>
                    <w:left w:val="single" w:color="auto" w:sz="4" w:space="0"/>
                  </w:tcBorders>
                  <w:vAlign w:val="center"/>
                </w:tcPr>
                <w:p w14:paraId="5727A25F">
                  <w:pPr>
                    <w:pStyle w:val="56"/>
                    <w:spacing w:line="240" w:lineRule="auto"/>
                    <w:rPr>
                      <w:rFonts w:hint="eastAsia" w:eastAsia="等线"/>
                      <w:color w:val="000000"/>
                      <w:highlight w:val="none"/>
                    </w:rPr>
                  </w:pPr>
                  <w:r>
                    <w:rPr>
                      <w:rFonts w:hint="eastAsia" w:eastAsia="等线"/>
                      <w:color w:val="000000"/>
                      <w:highlight w:val="none"/>
                    </w:rPr>
                    <w:t>0.003171</w:t>
                  </w:r>
                </w:p>
              </w:tc>
              <w:tc>
                <w:tcPr>
                  <w:tcW w:w="657" w:type="pct"/>
                  <w:vAlign w:val="center"/>
                </w:tcPr>
                <w:p w14:paraId="073F7CA6">
                  <w:pPr>
                    <w:pStyle w:val="56"/>
                    <w:spacing w:line="240" w:lineRule="auto"/>
                    <w:rPr>
                      <w:rFonts w:hint="eastAsia" w:eastAsia="等线"/>
                      <w:color w:val="000000"/>
                      <w:highlight w:val="none"/>
                    </w:rPr>
                  </w:pPr>
                  <w:r>
                    <w:rPr>
                      <w:rFonts w:hint="eastAsia" w:eastAsia="等线"/>
                      <w:color w:val="000000"/>
                      <w:highlight w:val="none"/>
                    </w:rPr>
                    <w:t>0.002225</w:t>
                  </w:r>
                </w:p>
              </w:tc>
              <w:tc>
                <w:tcPr>
                  <w:tcW w:w="657" w:type="pct"/>
                  <w:vAlign w:val="center"/>
                </w:tcPr>
                <w:p w14:paraId="00923B5C">
                  <w:pPr>
                    <w:pStyle w:val="56"/>
                    <w:spacing w:line="240" w:lineRule="auto"/>
                    <w:rPr>
                      <w:rFonts w:hint="eastAsia" w:eastAsia="等线"/>
                      <w:color w:val="000000"/>
                      <w:highlight w:val="none"/>
                    </w:rPr>
                  </w:pPr>
                  <w:r>
                    <w:rPr>
                      <w:rFonts w:hint="eastAsia" w:eastAsia="等线"/>
                      <w:color w:val="000000"/>
                      <w:highlight w:val="none"/>
                    </w:rPr>
                    <w:t>0.001647</w:t>
                  </w:r>
                </w:p>
              </w:tc>
              <w:tc>
                <w:tcPr>
                  <w:tcW w:w="657" w:type="pct"/>
                  <w:vAlign w:val="center"/>
                </w:tcPr>
                <w:p w14:paraId="67A6C28F">
                  <w:pPr>
                    <w:pStyle w:val="56"/>
                    <w:spacing w:line="240" w:lineRule="auto"/>
                    <w:rPr>
                      <w:rFonts w:hint="eastAsia" w:eastAsia="等线"/>
                      <w:color w:val="000000"/>
                      <w:highlight w:val="none"/>
                    </w:rPr>
                  </w:pPr>
                  <w:r>
                    <w:rPr>
                      <w:rFonts w:hint="eastAsia" w:eastAsia="等线"/>
                      <w:color w:val="000000"/>
                      <w:highlight w:val="none"/>
                    </w:rPr>
                    <w:t>0.00131</w:t>
                  </w:r>
                </w:p>
              </w:tc>
              <w:tc>
                <w:tcPr>
                  <w:tcW w:w="714" w:type="pct"/>
                  <w:vAlign w:val="center"/>
                </w:tcPr>
                <w:p w14:paraId="051E9470">
                  <w:pPr>
                    <w:pStyle w:val="56"/>
                    <w:spacing w:line="240" w:lineRule="auto"/>
                    <w:rPr>
                      <w:rFonts w:hint="eastAsia" w:eastAsia="等线"/>
                      <w:color w:val="000000"/>
                      <w:highlight w:val="none"/>
                    </w:rPr>
                  </w:pPr>
                  <w:r>
                    <w:rPr>
                      <w:rFonts w:hint="eastAsia" w:eastAsia="等线"/>
                      <w:color w:val="000000"/>
                      <w:highlight w:val="none"/>
                    </w:rPr>
                    <w:t>0.00131</w:t>
                  </w:r>
                </w:p>
              </w:tc>
            </w:tr>
            <w:tr w14:paraId="7C4C7CA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90" w:type="pct"/>
                  <w:vMerge w:val="continue"/>
                  <w:tcBorders>
                    <w:right w:val="single" w:color="auto" w:sz="4" w:space="0"/>
                  </w:tcBorders>
                  <w:vAlign w:val="center"/>
                </w:tcPr>
                <w:p w14:paraId="6D2237C9">
                  <w:pPr>
                    <w:jc w:val="center"/>
                    <w:rPr>
                      <w:szCs w:val="21"/>
                      <w:highlight w:val="none"/>
                    </w:rPr>
                  </w:pPr>
                </w:p>
              </w:tc>
              <w:tc>
                <w:tcPr>
                  <w:tcW w:w="1623" w:type="pct"/>
                  <w:gridSpan w:val="2"/>
                  <w:tcBorders>
                    <w:left w:val="single" w:color="auto" w:sz="4" w:space="0"/>
                  </w:tcBorders>
                  <w:shd w:val="clear" w:color="auto" w:fill="auto"/>
                  <w:vAlign w:val="center"/>
                </w:tcPr>
                <w:p w14:paraId="5D6181D8">
                  <w:pPr>
                    <w:pStyle w:val="56"/>
                    <w:spacing w:line="240" w:lineRule="auto"/>
                    <w:rPr>
                      <w:rFonts w:hint="eastAsia" w:ascii="Times New Roman" w:hAnsi="Times New Roman" w:eastAsia="宋体" w:cs="Times New Roman"/>
                      <w:kern w:val="2"/>
                      <w:sz w:val="21"/>
                      <w:szCs w:val="21"/>
                      <w:highlight w:val="none"/>
                      <w:lang w:val="en-US" w:eastAsia="zh-CN" w:bidi="ar-SA"/>
                    </w:rPr>
                  </w:pPr>
                  <w:r>
                    <w:rPr>
                      <w:bCs/>
                      <w:highlight w:val="none"/>
                    </w:rPr>
                    <w:t>排放标准（</w:t>
                  </w:r>
                  <w:r>
                    <w:rPr>
                      <w:highlight w:val="none"/>
                    </w:rPr>
                    <w:t>mg/m</w:t>
                  </w:r>
                  <w:r>
                    <w:rPr>
                      <w:highlight w:val="none"/>
                      <w:vertAlign w:val="superscript"/>
                    </w:rPr>
                    <w:t>3</w:t>
                  </w:r>
                  <w:r>
                    <w:rPr>
                      <w:bCs/>
                      <w:highlight w:val="none"/>
                    </w:rPr>
                    <w:t>）</w:t>
                  </w:r>
                </w:p>
              </w:tc>
              <w:tc>
                <w:tcPr>
                  <w:tcW w:w="657" w:type="pct"/>
                  <w:shd w:val="clear" w:color="auto" w:fill="auto"/>
                  <w:vAlign w:val="center"/>
                </w:tcPr>
                <w:p w14:paraId="66649B2B">
                  <w:pPr>
                    <w:pStyle w:val="56"/>
                    <w:spacing w:line="240" w:lineRule="auto"/>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1.5</w:t>
                  </w:r>
                </w:p>
              </w:tc>
              <w:tc>
                <w:tcPr>
                  <w:tcW w:w="657" w:type="pct"/>
                  <w:shd w:val="clear" w:color="auto" w:fill="auto"/>
                  <w:vAlign w:val="center"/>
                </w:tcPr>
                <w:p w14:paraId="293CF8B4">
                  <w:pPr>
                    <w:pStyle w:val="56"/>
                    <w:spacing w:line="240" w:lineRule="auto"/>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1.5</w:t>
                  </w:r>
                </w:p>
              </w:tc>
              <w:tc>
                <w:tcPr>
                  <w:tcW w:w="657" w:type="pct"/>
                  <w:shd w:val="clear" w:color="auto" w:fill="auto"/>
                  <w:vAlign w:val="center"/>
                </w:tcPr>
                <w:p w14:paraId="18AA4392">
                  <w:pPr>
                    <w:pStyle w:val="56"/>
                    <w:spacing w:line="240" w:lineRule="auto"/>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1.5</w:t>
                  </w:r>
                </w:p>
              </w:tc>
              <w:tc>
                <w:tcPr>
                  <w:tcW w:w="714" w:type="pct"/>
                  <w:shd w:val="clear" w:color="auto" w:fill="auto"/>
                  <w:vAlign w:val="center"/>
                </w:tcPr>
                <w:p w14:paraId="6E640F4A">
                  <w:pPr>
                    <w:pStyle w:val="56"/>
                    <w:spacing w:line="240" w:lineRule="auto"/>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1.5</w:t>
                  </w:r>
                </w:p>
              </w:tc>
            </w:tr>
            <w:tr w14:paraId="1C549D3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90" w:type="pct"/>
                  <w:vMerge w:val="continue"/>
                  <w:tcBorders>
                    <w:right w:val="single" w:color="auto" w:sz="4" w:space="0"/>
                  </w:tcBorders>
                  <w:vAlign w:val="center"/>
                </w:tcPr>
                <w:p w14:paraId="3D7129CD">
                  <w:pPr>
                    <w:jc w:val="center"/>
                    <w:rPr>
                      <w:szCs w:val="21"/>
                      <w:highlight w:val="none"/>
                    </w:rPr>
                  </w:pPr>
                </w:p>
              </w:tc>
              <w:tc>
                <w:tcPr>
                  <w:tcW w:w="1623" w:type="pct"/>
                  <w:gridSpan w:val="2"/>
                  <w:tcBorders>
                    <w:left w:val="single" w:color="auto" w:sz="4" w:space="0"/>
                  </w:tcBorders>
                  <w:shd w:val="clear" w:color="auto" w:fill="auto"/>
                  <w:vAlign w:val="center"/>
                </w:tcPr>
                <w:p w14:paraId="4909E2F9">
                  <w:pPr>
                    <w:pStyle w:val="56"/>
                    <w:spacing w:line="240" w:lineRule="auto"/>
                    <w:rPr>
                      <w:rFonts w:hint="eastAsia" w:ascii="Times New Roman" w:hAnsi="Times New Roman" w:eastAsia="宋体" w:cs="Times New Roman"/>
                      <w:kern w:val="2"/>
                      <w:sz w:val="21"/>
                      <w:szCs w:val="21"/>
                      <w:highlight w:val="none"/>
                      <w:lang w:val="en-US" w:eastAsia="zh-CN" w:bidi="ar-SA"/>
                    </w:rPr>
                  </w:pPr>
                  <w:r>
                    <w:rPr>
                      <w:highlight w:val="none"/>
                    </w:rPr>
                    <w:t>达标情况</w:t>
                  </w:r>
                </w:p>
              </w:tc>
              <w:tc>
                <w:tcPr>
                  <w:tcW w:w="657" w:type="pct"/>
                  <w:shd w:val="clear" w:color="auto" w:fill="auto"/>
                  <w:vAlign w:val="center"/>
                </w:tcPr>
                <w:p w14:paraId="6FCE7B6C">
                  <w:pPr>
                    <w:pStyle w:val="56"/>
                    <w:spacing w:line="240" w:lineRule="auto"/>
                    <w:rPr>
                      <w:rFonts w:hint="eastAsia" w:ascii="Times New Roman" w:hAnsi="Times New Roman" w:eastAsia="宋体" w:cs="Times New Roman"/>
                      <w:kern w:val="2"/>
                      <w:sz w:val="21"/>
                      <w:szCs w:val="21"/>
                      <w:highlight w:val="none"/>
                      <w:lang w:val="en-US" w:eastAsia="zh-CN" w:bidi="ar-SA"/>
                    </w:rPr>
                  </w:pPr>
                  <w:r>
                    <w:rPr>
                      <w:highlight w:val="none"/>
                    </w:rPr>
                    <w:t>达标</w:t>
                  </w:r>
                </w:p>
              </w:tc>
              <w:tc>
                <w:tcPr>
                  <w:tcW w:w="657" w:type="pct"/>
                  <w:shd w:val="clear" w:color="auto" w:fill="auto"/>
                  <w:vAlign w:val="center"/>
                </w:tcPr>
                <w:p w14:paraId="0E312D4C">
                  <w:pPr>
                    <w:pStyle w:val="56"/>
                    <w:spacing w:line="240" w:lineRule="auto"/>
                    <w:rPr>
                      <w:rFonts w:hint="eastAsia" w:ascii="Times New Roman" w:hAnsi="Times New Roman" w:eastAsia="宋体" w:cs="Times New Roman"/>
                      <w:kern w:val="2"/>
                      <w:sz w:val="21"/>
                      <w:szCs w:val="21"/>
                      <w:highlight w:val="none"/>
                      <w:lang w:val="en-US" w:eastAsia="zh-CN" w:bidi="ar-SA"/>
                    </w:rPr>
                  </w:pPr>
                  <w:r>
                    <w:rPr>
                      <w:highlight w:val="none"/>
                    </w:rPr>
                    <w:t>达标</w:t>
                  </w:r>
                </w:p>
              </w:tc>
              <w:tc>
                <w:tcPr>
                  <w:tcW w:w="657" w:type="pct"/>
                  <w:shd w:val="clear" w:color="auto" w:fill="auto"/>
                  <w:vAlign w:val="center"/>
                </w:tcPr>
                <w:p w14:paraId="595F3A4B">
                  <w:pPr>
                    <w:pStyle w:val="56"/>
                    <w:spacing w:line="240" w:lineRule="auto"/>
                    <w:rPr>
                      <w:rFonts w:hint="eastAsia" w:ascii="Times New Roman" w:hAnsi="Times New Roman" w:eastAsia="宋体" w:cs="Times New Roman"/>
                      <w:kern w:val="2"/>
                      <w:sz w:val="21"/>
                      <w:szCs w:val="21"/>
                      <w:highlight w:val="none"/>
                      <w:lang w:val="en-US" w:eastAsia="zh-CN" w:bidi="ar-SA"/>
                    </w:rPr>
                  </w:pPr>
                  <w:r>
                    <w:rPr>
                      <w:highlight w:val="none"/>
                    </w:rPr>
                    <w:t>达标</w:t>
                  </w:r>
                </w:p>
              </w:tc>
              <w:tc>
                <w:tcPr>
                  <w:tcW w:w="714" w:type="pct"/>
                  <w:shd w:val="clear" w:color="auto" w:fill="auto"/>
                  <w:vAlign w:val="center"/>
                </w:tcPr>
                <w:p w14:paraId="6AEEDC34">
                  <w:pPr>
                    <w:pStyle w:val="56"/>
                    <w:spacing w:line="240" w:lineRule="auto"/>
                    <w:rPr>
                      <w:rFonts w:hint="eastAsia" w:ascii="Times New Roman" w:hAnsi="Times New Roman" w:eastAsia="宋体" w:cs="Times New Roman"/>
                      <w:kern w:val="2"/>
                      <w:sz w:val="21"/>
                      <w:szCs w:val="21"/>
                      <w:highlight w:val="none"/>
                      <w:lang w:val="en-US" w:eastAsia="zh-CN" w:bidi="ar-SA"/>
                    </w:rPr>
                  </w:pPr>
                  <w:r>
                    <w:rPr>
                      <w:highlight w:val="none"/>
                    </w:rPr>
                    <w:t>达标</w:t>
                  </w:r>
                </w:p>
              </w:tc>
            </w:tr>
            <w:tr w14:paraId="0E77AB7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90" w:type="pct"/>
                  <w:vMerge w:val="continue"/>
                  <w:tcBorders>
                    <w:right w:val="single" w:color="auto" w:sz="4" w:space="0"/>
                  </w:tcBorders>
                  <w:vAlign w:val="center"/>
                </w:tcPr>
                <w:p w14:paraId="1D36D3F4">
                  <w:pPr>
                    <w:jc w:val="center"/>
                    <w:rPr>
                      <w:szCs w:val="21"/>
                      <w:highlight w:val="none"/>
                    </w:rPr>
                  </w:pPr>
                </w:p>
              </w:tc>
              <w:tc>
                <w:tcPr>
                  <w:tcW w:w="617" w:type="pct"/>
                  <w:tcBorders>
                    <w:left w:val="single" w:color="auto" w:sz="4" w:space="0"/>
                    <w:right w:val="single" w:color="auto" w:sz="4" w:space="0"/>
                  </w:tcBorders>
                  <w:vAlign w:val="center"/>
                </w:tcPr>
                <w:p w14:paraId="0FC351A0">
                  <w:pPr>
                    <w:pStyle w:val="56"/>
                    <w:spacing w:line="240" w:lineRule="auto"/>
                    <w:rPr>
                      <w:rFonts w:hint="eastAsia" w:eastAsia="宋体"/>
                      <w:highlight w:val="none"/>
                      <w:lang w:val="en-US" w:eastAsia="zh-CN"/>
                    </w:rPr>
                  </w:pPr>
                  <w:r>
                    <w:rPr>
                      <w:rFonts w:hint="eastAsia"/>
                      <w:highlight w:val="none"/>
                      <w:lang w:val="en-US" w:eastAsia="zh-CN"/>
                    </w:rPr>
                    <w:t>氯化氢</w:t>
                  </w:r>
                </w:p>
              </w:tc>
              <w:tc>
                <w:tcPr>
                  <w:tcW w:w="1006" w:type="pct"/>
                  <w:tcBorders>
                    <w:left w:val="single" w:color="auto" w:sz="4" w:space="0"/>
                  </w:tcBorders>
                  <w:vAlign w:val="center"/>
                </w:tcPr>
                <w:p w14:paraId="10E0396D">
                  <w:pPr>
                    <w:pStyle w:val="56"/>
                    <w:spacing w:line="240" w:lineRule="auto"/>
                    <w:rPr>
                      <w:rFonts w:hint="eastAsia" w:eastAsia="等线"/>
                      <w:color w:val="000000"/>
                      <w:highlight w:val="none"/>
                    </w:rPr>
                  </w:pPr>
                  <w:r>
                    <w:rPr>
                      <w:rFonts w:hint="eastAsia" w:eastAsia="等线"/>
                      <w:color w:val="000000"/>
                      <w:highlight w:val="none"/>
                    </w:rPr>
                    <w:t>0.000122</w:t>
                  </w:r>
                </w:p>
              </w:tc>
              <w:tc>
                <w:tcPr>
                  <w:tcW w:w="657" w:type="pct"/>
                  <w:vAlign w:val="center"/>
                </w:tcPr>
                <w:p w14:paraId="0F201933">
                  <w:pPr>
                    <w:pStyle w:val="56"/>
                    <w:spacing w:line="240" w:lineRule="auto"/>
                    <w:rPr>
                      <w:rFonts w:hint="eastAsia" w:eastAsia="等线"/>
                      <w:color w:val="000000"/>
                      <w:highlight w:val="none"/>
                    </w:rPr>
                  </w:pPr>
                  <w:r>
                    <w:rPr>
                      <w:rFonts w:hint="eastAsia" w:eastAsia="等线"/>
                      <w:color w:val="000000"/>
                      <w:highlight w:val="none"/>
                    </w:rPr>
                    <w:t>0.000086</w:t>
                  </w:r>
                </w:p>
              </w:tc>
              <w:tc>
                <w:tcPr>
                  <w:tcW w:w="657" w:type="pct"/>
                  <w:vAlign w:val="center"/>
                </w:tcPr>
                <w:p w14:paraId="42618782">
                  <w:pPr>
                    <w:pStyle w:val="56"/>
                    <w:spacing w:line="240" w:lineRule="auto"/>
                    <w:rPr>
                      <w:rFonts w:hint="eastAsia" w:eastAsia="等线"/>
                      <w:color w:val="000000"/>
                      <w:highlight w:val="none"/>
                    </w:rPr>
                  </w:pPr>
                  <w:r>
                    <w:rPr>
                      <w:rFonts w:hint="eastAsia" w:eastAsia="等线"/>
                      <w:color w:val="000000"/>
                      <w:highlight w:val="none"/>
                    </w:rPr>
                    <w:t>0.000063</w:t>
                  </w:r>
                </w:p>
              </w:tc>
              <w:tc>
                <w:tcPr>
                  <w:tcW w:w="657" w:type="pct"/>
                  <w:vAlign w:val="center"/>
                </w:tcPr>
                <w:p w14:paraId="3946953B">
                  <w:pPr>
                    <w:pStyle w:val="56"/>
                    <w:spacing w:line="240" w:lineRule="auto"/>
                    <w:rPr>
                      <w:rFonts w:hint="eastAsia" w:eastAsia="等线"/>
                      <w:color w:val="000000"/>
                      <w:highlight w:val="none"/>
                    </w:rPr>
                  </w:pPr>
                  <w:r>
                    <w:rPr>
                      <w:rFonts w:hint="eastAsia" w:eastAsia="等线"/>
                      <w:color w:val="000000"/>
                      <w:highlight w:val="none"/>
                    </w:rPr>
                    <w:t>0.00005</w:t>
                  </w:r>
                </w:p>
              </w:tc>
              <w:tc>
                <w:tcPr>
                  <w:tcW w:w="714" w:type="pct"/>
                  <w:vAlign w:val="center"/>
                </w:tcPr>
                <w:p w14:paraId="353A35C4">
                  <w:pPr>
                    <w:pStyle w:val="56"/>
                    <w:spacing w:line="240" w:lineRule="auto"/>
                    <w:rPr>
                      <w:rFonts w:hint="eastAsia" w:eastAsia="等线"/>
                      <w:color w:val="000000"/>
                      <w:highlight w:val="none"/>
                    </w:rPr>
                  </w:pPr>
                  <w:r>
                    <w:rPr>
                      <w:rFonts w:hint="eastAsia" w:eastAsia="等线"/>
                      <w:color w:val="000000"/>
                      <w:highlight w:val="none"/>
                    </w:rPr>
                    <w:t>0.00005</w:t>
                  </w:r>
                </w:p>
              </w:tc>
            </w:tr>
            <w:tr w14:paraId="1D1867C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90" w:type="pct"/>
                  <w:vMerge w:val="continue"/>
                  <w:tcBorders>
                    <w:right w:val="single" w:color="auto" w:sz="4" w:space="0"/>
                  </w:tcBorders>
                  <w:shd w:val="clear" w:color="auto" w:fill="auto"/>
                  <w:vAlign w:val="center"/>
                </w:tcPr>
                <w:p w14:paraId="3EA3A30F">
                  <w:pPr>
                    <w:pStyle w:val="56"/>
                    <w:spacing w:line="240" w:lineRule="auto"/>
                    <w:rPr>
                      <w:rFonts w:ascii="Times New Roman" w:hAnsi="Times New Roman" w:eastAsia="宋体" w:cs="Times New Roman"/>
                      <w:kern w:val="2"/>
                      <w:sz w:val="21"/>
                      <w:szCs w:val="21"/>
                      <w:highlight w:val="none"/>
                      <w:lang w:val="en-US" w:eastAsia="zh-CN" w:bidi="ar-SA"/>
                    </w:rPr>
                  </w:pPr>
                </w:p>
              </w:tc>
              <w:tc>
                <w:tcPr>
                  <w:tcW w:w="1623" w:type="pct"/>
                  <w:gridSpan w:val="2"/>
                  <w:shd w:val="clear" w:color="auto" w:fill="auto"/>
                  <w:vAlign w:val="center"/>
                </w:tcPr>
                <w:p w14:paraId="6BAF0713">
                  <w:pPr>
                    <w:pStyle w:val="56"/>
                    <w:spacing w:line="240" w:lineRule="auto"/>
                    <w:rPr>
                      <w:bCs/>
                      <w:highlight w:val="none"/>
                    </w:rPr>
                  </w:pPr>
                  <w:r>
                    <w:rPr>
                      <w:bCs/>
                      <w:highlight w:val="none"/>
                    </w:rPr>
                    <w:t>排放标准（</w:t>
                  </w:r>
                  <w:r>
                    <w:rPr>
                      <w:highlight w:val="none"/>
                    </w:rPr>
                    <w:t>mg/m</w:t>
                  </w:r>
                  <w:r>
                    <w:rPr>
                      <w:highlight w:val="none"/>
                      <w:vertAlign w:val="superscript"/>
                    </w:rPr>
                    <w:t>3</w:t>
                  </w:r>
                  <w:r>
                    <w:rPr>
                      <w:bCs/>
                      <w:highlight w:val="none"/>
                    </w:rPr>
                    <w:t>）</w:t>
                  </w:r>
                </w:p>
              </w:tc>
              <w:tc>
                <w:tcPr>
                  <w:tcW w:w="657" w:type="pct"/>
                  <w:shd w:val="clear" w:color="auto" w:fill="auto"/>
                  <w:vAlign w:val="center"/>
                </w:tcPr>
                <w:p w14:paraId="26B35516">
                  <w:pPr>
                    <w:pStyle w:val="56"/>
                    <w:spacing w:line="240" w:lineRule="auto"/>
                    <w:rPr>
                      <w:rFonts w:hint="default" w:ascii="Times New Roman" w:hAnsi="Times New Roman" w:eastAsia="宋体" w:cs="Times New Roman"/>
                      <w:kern w:val="2"/>
                      <w:sz w:val="21"/>
                      <w:szCs w:val="21"/>
                      <w:highlight w:val="none"/>
                      <w:lang w:val="en-US" w:eastAsia="zh-CN" w:bidi="ar-SA"/>
                    </w:rPr>
                  </w:pPr>
                  <w:r>
                    <w:rPr>
                      <w:rFonts w:hint="eastAsia"/>
                      <w:highlight w:val="none"/>
                      <w:lang w:val="en-US" w:eastAsia="zh-CN"/>
                    </w:rPr>
                    <w:t>0.2</w:t>
                  </w:r>
                </w:p>
              </w:tc>
              <w:tc>
                <w:tcPr>
                  <w:tcW w:w="657" w:type="pct"/>
                  <w:shd w:val="clear" w:color="auto" w:fill="auto"/>
                  <w:vAlign w:val="center"/>
                </w:tcPr>
                <w:p w14:paraId="48D3FBBE">
                  <w:pPr>
                    <w:pStyle w:val="56"/>
                    <w:spacing w:line="240" w:lineRule="auto"/>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0.2</w:t>
                  </w:r>
                </w:p>
              </w:tc>
              <w:tc>
                <w:tcPr>
                  <w:tcW w:w="657" w:type="pct"/>
                  <w:shd w:val="clear" w:color="auto" w:fill="auto"/>
                  <w:vAlign w:val="center"/>
                </w:tcPr>
                <w:p w14:paraId="076D7E32">
                  <w:pPr>
                    <w:pStyle w:val="56"/>
                    <w:spacing w:line="240" w:lineRule="auto"/>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0.2</w:t>
                  </w:r>
                </w:p>
              </w:tc>
              <w:tc>
                <w:tcPr>
                  <w:tcW w:w="714" w:type="pct"/>
                  <w:shd w:val="clear" w:color="auto" w:fill="auto"/>
                  <w:vAlign w:val="center"/>
                </w:tcPr>
                <w:p w14:paraId="0E8EF34C">
                  <w:pPr>
                    <w:pStyle w:val="56"/>
                    <w:spacing w:line="240" w:lineRule="auto"/>
                    <w:rPr>
                      <w:rFonts w:hint="default" w:ascii="Times New Roman" w:hAnsi="Times New Roman" w:eastAsia="宋体" w:cs="Times New Roman"/>
                      <w:kern w:val="2"/>
                      <w:sz w:val="21"/>
                      <w:szCs w:val="21"/>
                      <w:highlight w:val="none"/>
                      <w:lang w:val="en-US" w:eastAsia="zh-CN" w:bidi="ar-SA"/>
                    </w:rPr>
                  </w:pPr>
                  <w:r>
                    <w:rPr>
                      <w:rFonts w:hint="eastAsia" w:cs="Times New Roman"/>
                      <w:kern w:val="2"/>
                      <w:sz w:val="21"/>
                      <w:szCs w:val="21"/>
                      <w:highlight w:val="none"/>
                      <w:lang w:val="en-US" w:eastAsia="zh-CN" w:bidi="ar-SA"/>
                    </w:rPr>
                    <w:t>0.2</w:t>
                  </w:r>
                </w:p>
              </w:tc>
            </w:tr>
            <w:tr w14:paraId="3E88EC5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90" w:type="pct"/>
                  <w:vMerge w:val="continue"/>
                  <w:tcBorders>
                    <w:right w:val="single" w:color="auto" w:sz="4" w:space="0"/>
                  </w:tcBorders>
                  <w:shd w:val="clear" w:color="auto" w:fill="auto"/>
                  <w:vAlign w:val="center"/>
                </w:tcPr>
                <w:p w14:paraId="4C5112FB">
                  <w:pPr>
                    <w:pStyle w:val="56"/>
                    <w:spacing w:line="240" w:lineRule="auto"/>
                    <w:rPr>
                      <w:rFonts w:ascii="Times New Roman" w:hAnsi="Times New Roman" w:eastAsia="宋体" w:cs="Times New Roman"/>
                      <w:kern w:val="2"/>
                      <w:sz w:val="21"/>
                      <w:szCs w:val="21"/>
                      <w:highlight w:val="none"/>
                      <w:lang w:val="en-US" w:eastAsia="zh-CN" w:bidi="ar-SA"/>
                    </w:rPr>
                  </w:pPr>
                </w:p>
              </w:tc>
              <w:tc>
                <w:tcPr>
                  <w:tcW w:w="1623" w:type="pct"/>
                  <w:gridSpan w:val="2"/>
                  <w:shd w:val="clear" w:color="auto" w:fill="auto"/>
                  <w:vAlign w:val="center"/>
                </w:tcPr>
                <w:p w14:paraId="75066125">
                  <w:pPr>
                    <w:pStyle w:val="56"/>
                    <w:spacing w:line="240" w:lineRule="auto"/>
                    <w:rPr>
                      <w:highlight w:val="none"/>
                    </w:rPr>
                  </w:pPr>
                  <w:r>
                    <w:rPr>
                      <w:highlight w:val="none"/>
                    </w:rPr>
                    <w:t>达标情况</w:t>
                  </w:r>
                </w:p>
              </w:tc>
              <w:tc>
                <w:tcPr>
                  <w:tcW w:w="657" w:type="pct"/>
                  <w:shd w:val="clear" w:color="auto" w:fill="auto"/>
                  <w:vAlign w:val="center"/>
                </w:tcPr>
                <w:p w14:paraId="5D52060B">
                  <w:pPr>
                    <w:pStyle w:val="56"/>
                    <w:spacing w:line="240" w:lineRule="auto"/>
                    <w:rPr>
                      <w:rFonts w:ascii="Times New Roman" w:hAnsi="Times New Roman" w:eastAsia="宋体" w:cs="Times New Roman"/>
                      <w:kern w:val="2"/>
                      <w:sz w:val="21"/>
                      <w:szCs w:val="21"/>
                      <w:highlight w:val="none"/>
                      <w:lang w:val="en-US" w:eastAsia="zh-CN" w:bidi="ar-SA"/>
                    </w:rPr>
                  </w:pPr>
                  <w:r>
                    <w:rPr>
                      <w:highlight w:val="none"/>
                    </w:rPr>
                    <w:t>达标</w:t>
                  </w:r>
                </w:p>
              </w:tc>
              <w:tc>
                <w:tcPr>
                  <w:tcW w:w="657" w:type="pct"/>
                  <w:shd w:val="clear" w:color="auto" w:fill="auto"/>
                  <w:vAlign w:val="center"/>
                </w:tcPr>
                <w:p w14:paraId="2EBEAC30">
                  <w:pPr>
                    <w:pStyle w:val="56"/>
                    <w:spacing w:line="240" w:lineRule="auto"/>
                    <w:rPr>
                      <w:rFonts w:ascii="Times New Roman" w:hAnsi="Times New Roman" w:eastAsia="宋体" w:cs="Times New Roman"/>
                      <w:kern w:val="2"/>
                      <w:sz w:val="21"/>
                      <w:szCs w:val="21"/>
                      <w:highlight w:val="none"/>
                      <w:lang w:val="en-US" w:eastAsia="zh-CN" w:bidi="ar-SA"/>
                    </w:rPr>
                  </w:pPr>
                  <w:r>
                    <w:rPr>
                      <w:highlight w:val="none"/>
                    </w:rPr>
                    <w:t>达标</w:t>
                  </w:r>
                </w:p>
              </w:tc>
              <w:tc>
                <w:tcPr>
                  <w:tcW w:w="657" w:type="pct"/>
                  <w:shd w:val="clear" w:color="auto" w:fill="auto"/>
                  <w:vAlign w:val="center"/>
                </w:tcPr>
                <w:p w14:paraId="63E07F42">
                  <w:pPr>
                    <w:pStyle w:val="56"/>
                    <w:spacing w:line="240" w:lineRule="auto"/>
                    <w:rPr>
                      <w:rFonts w:ascii="Times New Roman" w:hAnsi="Times New Roman" w:eastAsia="宋体" w:cs="Times New Roman"/>
                      <w:kern w:val="2"/>
                      <w:sz w:val="21"/>
                      <w:szCs w:val="21"/>
                      <w:highlight w:val="none"/>
                      <w:lang w:val="en-US" w:eastAsia="zh-CN" w:bidi="ar-SA"/>
                    </w:rPr>
                  </w:pPr>
                  <w:r>
                    <w:rPr>
                      <w:highlight w:val="none"/>
                    </w:rPr>
                    <w:t>达标</w:t>
                  </w:r>
                </w:p>
              </w:tc>
              <w:tc>
                <w:tcPr>
                  <w:tcW w:w="714" w:type="pct"/>
                  <w:shd w:val="clear" w:color="auto" w:fill="auto"/>
                  <w:vAlign w:val="center"/>
                </w:tcPr>
                <w:p w14:paraId="367EEE4E">
                  <w:pPr>
                    <w:pStyle w:val="56"/>
                    <w:spacing w:line="240" w:lineRule="auto"/>
                    <w:rPr>
                      <w:rFonts w:ascii="Times New Roman" w:hAnsi="Times New Roman" w:eastAsia="宋体" w:cs="Times New Roman"/>
                      <w:kern w:val="2"/>
                      <w:sz w:val="21"/>
                      <w:szCs w:val="21"/>
                      <w:highlight w:val="none"/>
                      <w:lang w:val="en-US" w:eastAsia="zh-CN" w:bidi="ar-SA"/>
                    </w:rPr>
                  </w:pPr>
                  <w:r>
                    <w:rPr>
                      <w:highlight w:val="none"/>
                    </w:rPr>
                    <w:t>达标</w:t>
                  </w:r>
                </w:p>
              </w:tc>
            </w:tr>
          </w:tbl>
          <w:p w14:paraId="0FDBAB74">
            <w:pPr>
              <w:spacing w:line="360" w:lineRule="auto"/>
              <w:ind w:firstLine="482"/>
              <w:rPr>
                <w:sz w:val="24"/>
                <w:highlight w:val="none"/>
              </w:rPr>
            </w:pPr>
            <w:r>
              <w:rPr>
                <w:sz w:val="24"/>
                <w:highlight w:val="none"/>
              </w:rPr>
              <w:t>由上表预测结果分析可知</w:t>
            </w:r>
            <w:r>
              <w:rPr>
                <w:rFonts w:hint="eastAsia"/>
                <w:sz w:val="24"/>
                <w:highlight w:val="none"/>
              </w:rPr>
              <w:t>：</w:t>
            </w:r>
            <w:r>
              <w:rPr>
                <w:rFonts w:hint="eastAsia"/>
                <w:sz w:val="24"/>
                <w:highlight w:val="none"/>
                <w:lang w:val="en-US" w:eastAsia="zh-CN"/>
              </w:rPr>
              <w:t>硫</w:t>
            </w:r>
            <w:r>
              <w:rPr>
                <w:rFonts w:hint="eastAsia"/>
                <w:sz w:val="24"/>
                <w:highlight w:val="none"/>
                <w:lang w:eastAsia="zh-CN"/>
              </w:rPr>
              <w:t>化氢</w:t>
            </w:r>
            <w:r>
              <w:rPr>
                <w:rFonts w:hint="eastAsia" w:ascii="Times New Roman" w:hAnsi="Times New Roman"/>
                <w:sz w:val="24"/>
                <w:highlight w:val="none"/>
              </w:rPr>
              <w:t>、氨、</w:t>
            </w:r>
            <w:r>
              <w:rPr>
                <w:rFonts w:ascii="Times New Roman" w:hAnsi="Times New Roman"/>
                <w:sz w:val="24"/>
                <w:highlight w:val="none"/>
              </w:rPr>
              <w:t>臭气浓度</w:t>
            </w:r>
            <w:r>
              <w:rPr>
                <w:rFonts w:hint="eastAsia"/>
                <w:sz w:val="24"/>
                <w:highlight w:val="none"/>
                <w:lang w:val="en-US" w:eastAsia="zh-CN"/>
              </w:rPr>
              <w:t>厂界</w:t>
            </w:r>
            <w:r>
              <w:rPr>
                <w:rFonts w:hint="eastAsia" w:ascii="Times New Roman" w:hAnsi="Times New Roman"/>
                <w:sz w:val="24"/>
                <w:highlight w:val="none"/>
              </w:rPr>
              <w:t>无组织排放</w:t>
            </w:r>
            <w:r>
              <w:rPr>
                <w:rFonts w:hint="eastAsia"/>
                <w:sz w:val="24"/>
                <w:highlight w:val="none"/>
                <w:lang w:val="en-US" w:eastAsia="zh-CN"/>
              </w:rPr>
              <w:t>满足</w:t>
            </w:r>
            <w:r>
              <w:rPr>
                <w:rFonts w:ascii="Times New Roman" w:hAnsi="Times New Roman"/>
                <w:sz w:val="24"/>
                <w:highlight w:val="none"/>
              </w:rPr>
              <w:t>《恶臭污染物排放标准》（GB14554-93）表</w:t>
            </w:r>
            <w:r>
              <w:rPr>
                <w:rFonts w:hint="eastAsia" w:ascii="Times New Roman" w:hAnsi="Times New Roman"/>
                <w:sz w:val="24"/>
                <w:highlight w:val="none"/>
              </w:rPr>
              <w:t>1</w:t>
            </w:r>
            <w:r>
              <w:rPr>
                <w:rFonts w:ascii="Times New Roman" w:hAnsi="Times New Roman"/>
                <w:sz w:val="24"/>
                <w:highlight w:val="none"/>
              </w:rPr>
              <w:t>中二级标准。</w:t>
            </w:r>
            <w:r>
              <w:rPr>
                <w:rFonts w:hint="eastAsia" w:ascii="Times New Roman" w:hAnsi="Times New Roman"/>
                <w:sz w:val="24"/>
                <w:highlight w:val="none"/>
              </w:rPr>
              <w:t>氯化氢</w:t>
            </w:r>
            <w:r>
              <w:rPr>
                <w:rFonts w:hint="eastAsia"/>
                <w:sz w:val="24"/>
                <w:highlight w:val="none"/>
                <w:lang w:val="en-US" w:eastAsia="zh-CN"/>
              </w:rPr>
              <w:t>周界外浓度最高点</w:t>
            </w:r>
            <w:r>
              <w:rPr>
                <w:rFonts w:hint="eastAsia" w:ascii="Times New Roman" w:hAnsi="Times New Roman"/>
                <w:sz w:val="24"/>
                <w:highlight w:val="none"/>
              </w:rPr>
              <w:t>无组织排放</w:t>
            </w:r>
            <w:r>
              <w:rPr>
                <w:rFonts w:hint="eastAsia"/>
                <w:sz w:val="24"/>
                <w:highlight w:val="none"/>
                <w:lang w:val="en-US" w:eastAsia="zh-CN"/>
              </w:rPr>
              <w:t>满足</w:t>
            </w:r>
            <w:r>
              <w:rPr>
                <w:rFonts w:ascii="Times New Roman" w:hAnsi="Times New Roman"/>
                <w:sz w:val="24"/>
                <w:highlight w:val="none"/>
              </w:rPr>
              <w:t>《大气污染物综合排放标准》（GB16297-1996）</w:t>
            </w:r>
            <w:r>
              <w:rPr>
                <w:rFonts w:hint="eastAsia" w:ascii="Times New Roman" w:hAnsi="Times New Roman"/>
                <w:sz w:val="24"/>
                <w:highlight w:val="none"/>
              </w:rPr>
              <w:t>表2无组织排放监控浓度限值</w:t>
            </w:r>
            <w:r>
              <w:rPr>
                <w:rFonts w:hint="eastAsia"/>
                <w:sz w:val="24"/>
                <w:highlight w:val="none"/>
                <w:lang w:eastAsia="zh-CN"/>
              </w:rPr>
              <w:t>；</w:t>
            </w:r>
            <w:r>
              <w:rPr>
                <w:rFonts w:ascii="Times New Roman" w:hAnsi="Times New Roman"/>
                <w:sz w:val="24"/>
                <w:highlight w:val="none"/>
              </w:rPr>
              <w:t>非甲烷总烃</w:t>
            </w:r>
            <w:r>
              <w:rPr>
                <w:rFonts w:hint="eastAsia" w:ascii="Times New Roman" w:hAnsi="Times New Roman"/>
                <w:sz w:val="24"/>
                <w:highlight w:val="none"/>
              </w:rPr>
              <w:t>无组织排放</w:t>
            </w:r>
            <w:r>
              <w:rPr>
                <w:rFonts w:hint="eastAsia"/>
                <w:sz w:val="24"/>
                <w:highlight w:val="none"/>
                <w:lang w:val="en-US" w:eastAsia="zh-CN"/>
              </w:rPr>
              <w:t>满足</w:t>
            </w:r>
            <w:r>
              <w:rPr>
                <w:rFonts w:ascii="Times New Roman" w:hAnsi="Times New Roman"/>
                <w:sz w:val="24"/>
                <w:highlight w:val="none"/>
              </w:rPr>
              <w:t>《工业企业挥发性有机物排放控制标准》（DB13/2322-2016）</w:t>
            </w:r>
            <w:r>
              <w:rPr>
                <w:rFonts w:hint="eastAsia" w:ascii="Times New Roman" w:hAnsi="Times New Roman"/>
                <w:sz w:val="24"/>
                <w:highlight w:val="none"/>
              </w:rPr>
              <w:t>表2</w:t>
            </w:r>
            <w:r>
              <w:rPr>
                <w:rFonts w:hint="eastAsia" w:ascii="Times New Roman" w:hAnsi="Times New Roman"/>
                <w:sz w:val="24"/>
                <w:highlight w:val="none"/>
                <w:lang w:val="en-US" w:eastAsia="zh-CN"/>
              </w:rPr>
              <w:t>企业边界大气污染物浓度限值</w:t>
            </w:r>
            <w:r>
              <w:rPr>
                <w:rFonts w:hint="eastAsia" w:ascii="Times New Roman" w:hAnsi="Times New Roman"/>
                <w:sz w:val="24"/>
                <w:highlight w:val="none"/>
              </w:rPr>
              <w:t>标准</w:t>
            </w:r>
            <w:r>
              <w:rPr>
                <w:rFonts w:hint="eastAsia"/>
                <w:sz w:val="24"/>
                <w:highlight w:val="none"/>
                <w:lang w:val="en-US" w:eastAsia="zh-CN"/>
              </w:rPr>
              <w:t>和《挥发性有机物无组织排放控制标准》（GB37822-2019）表A.1厂区内VOCs无组织排放限值</w:t>
            </w:r>
            <w:r>
              <w:rPr>
                <w:rFonts w:hint="eastAsia"/>
                <w:sz w:val="24"/>
                <w:highlight w:val="none"/>
              </w:rPr>
              <w:t>。</w:t>
            </w:r>
          </w:p>
          <w:p w14:paraId="52DAB899">
            <w:pPr>
              <w:spacing w:line="360" w:lineRule="auto"/>
              <w:ind w:firstLine="480"/>
              <w:rPr>
                <w:sz w:val="24"/>
                <w:highlight w:val="none"/>
              </w:rPr>
            </w:pPr>
            <w:r>
              <w:rPr>
                <w:rFonts w:hint="eastAsia"/>
                <w:sz w:val="24"/>
                <w:highlight w:val="none"/>
              </w:rPr>
              <w:t>项目排放的污染物在厂界位置，为达标排放。</w:t>
            </w:r>
          </w:p>
          <w:p w14:paraId="2BE8B23B">
            <w:pPr>
              <w:spacing w:line="360" w:lineRule="auto"/>
              <w:ind w:firstLine="482"/>
              <w:rPr>
                <w:b/>
                <w:sz w:val="24"/>
                <w:highlight w:val="none"/>
              </w:rPr>
            </w:pPr>
            <w:r>
              <w:rPr>
                <w:rFonts w:hint="eastAsia"/>
                <w:b/>
                <w:sz w:val="24"/>
                <w:highlight w:val="none"/>
              </w:rPr>
              <w:t>（</w:t>
            </w:r>
            <w:r>
              <w:rPr>
                <w:b/>
                <w:sz w:val="24"/>
                <w:highlight w:val="none"/>
              </w:rPr>
              <w:t>6</w:t>
            </w:r>
            <w:r>
              <w:rPr>
                <w:rFonts w:hint="eastAsia"/>
                <w:b/>
                <w:sz w:val="24"/>
                <w:highlight w:val="none"/>
              </w:rPr>
              <w:t>）监测要求</w:t>
            </w:r>
          </w:p>
          <w:p w14:paraId="190A4373">
            <w:pPr>
              <w:spacing w:line="360" w:lineRule="auto"/>
              <w:ind w:firstLine="480"/>
              <w:rPr>
                <w:sz w:val="24"/>
                <w:highlight w:val="none"/>
              </w:rPr>
            </w:pPr>
            <w:r>
              <w:rPr>
                <w:sz w:val="24"/>
                <w:highlight w:val="none"/>
              </w:rPr>
              <w:t>根据</w:t>
            </w:r>
            <w:r>
              <w:rPr>
                <w:rFonts w:hint="eastAsia"/>
                <w:sz w:val="24"/>
                <w:highlight w:val="none"/>
              </w:rPr>
              <w:t>参考《排污单位自行监测技术指南工业固体废物和危险废物治理》（HJ1250-2022）</w:t>
            </w:r>
            <w:r>
              <w:rPr>
                <w:sz w:val="24"/>
                <w:highlight w:val="none"/>
              </w:rPr>
              <w:t>，项目大气污染源监测要求详见下表：</w:t>
            </w:r>
          </w:p>
          <w:p w14:paraId="39CA473A">
            <w:pPr>
              <w:pStyle w:val="48"/>
              <w:numPr>
                <w:ilvl w:val="0"/>
                <w:numId w:val="9"/>
              </w:numPr>
              <w:spacing w:line="360" w:lineRule="auto"/>
              <w:ind w:left="0" w:firstLine="0" w:firstLineChars="0"/>
              <w:jc w:val="center"/>
              <w:rPr>
                <w:rFonts w:ascii="Times New Roman" w:hAnsi="Times New Roman" w:eastAsia="宋体"/>
                <w:b/>
                <w:sz w:val="21"/>
                <w:highlight w:val="none"/>
              </w:rPr>
            </w:pPr>
            <w:r>
              <w:rPr>
                <w:rFonts w:hint="eastAsia" w:ascii="Times New Roman" w:hAnsi="Times New Roman" w:eastAsia="宋体"/>
                <w:b/>
                <w:sz w:val="21"/>
                <w:highlight w:val="none"/>
              </w:rPr>
              <w:t>项目大气污染源监测计划一览表</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7"/>
              <w:gridCol w:w="1581"/>
              <w:gridCol w:w="1231"/>
              <w:gridCol w:w="1014"/>
              <w:gridCol w:w="3918"/>
            </w:tblGrid>
            <w:tr w14:paraId="23D11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pct"/>
                  <w:vAlign w:val="center"/>
                </w:tcPr>
                <w:p w14:paraId="513501FE">
                  <w:pPr>
                    <w:jc w:val="center"/>
                    <w:rPr>
                      <w:b/>
                      <w:szCs w:val="21"/>
                      <w:highlight w:val="none"/>
                    </w:rPr>
                  </w:pPr>
                  <w:r>
                    <w:rPr>
                      <w:rFonts w:hint="eastAsia"/>
                      <w:b/>
                      <w:szCs w:val="21"/>
                      <w:highlight w:val="none"/>
                    </w:rPr>
                    <w:t>类型</w:t>
                  </w:r>
                </w:p>
              </w:tc>
              <w:tc>
                <w:tcPr>
                  <w:tcW w:w="934" w:type="pct"/>
                  <w:vAlign w:val="center"/>
                </w:tcPr>
                <w:p w14:paraId="799A5B91">
                  <w:pPr>
                    <w:jc w:val="center"/>
                    <w:rPr>
                      <w:b/>
                      <w:szCs w:val="21"/>
                      <w:highlight w:val="none"/>
                    </w:rPr>
                  </w:pPr>
                  <w:r>
                    <w:rPr>
                      <w:b/>
                      <w:szCs w:val="21"/>
                      <w:highlight w:val="none"/>
                    </w:rPr>
                    <w:t>监测</w:t>
                  </w:r>
                  <w:r>
                    <w:rPr>
                      <w:rFonts w:hint="eastAsia"/>
                      <w:b/>
                      <w:szCs w:val="21"/>
                      <w:highlight w:val="none"/>
                    </w:rPr>
                    <w:t>点位</w:t>
                  </w:r>
                </w:p>
              </w:tc>
              <w:tc>
                <w:tcPr>
                  <w:tcW w:w="727" w:type="pct"/>
                  <w:vAlign w:val="center"/>
                </w:tcPr>
                <w:p w14:paraId="31B7B1E7">
                  <w:pPr>
                    <w:jc w:val="center"/>
                    <w:rPr>
                      <w:b/>
                      <w:szCs w:val="21"/>
                      <w:highlight w:val="none"/>
                    </w:rPr>
                  </w:pPr>
                  <w:r>
                    <w:rPr>
                      <w:b/>
                      <w:szCs w:val="21"/>
                      <w:highlight w:val="none"/>
                    </w:rPr>
                    <w:t>监测</w:t>
                  </w:r>
                  <w:r>
                    <w:rPr>
                      <w:rFonts w:hint="eastAsia"/>
                      <w:b/>
                      <w:szCs w:val="21"/>
                      <w:highlight w:val="none"/>
                    </w:rPr>
                    <w:t>因子</w:t>
                  </w:r>
                </w:p>
              </w:tc>
              <w:tc>
                <w:tcPr>
                  <w:tcW w:w="599" w:type="pct"/>
                  <w:vAlign w:val="center"/>
                </w:tcPr>
                <w:p w14:paraId="6F30B7DE">
                  <w:pPr>
                    <w:jc w:val="center"/>
                    <w:rPr>
                      <w:b/>
                      <w:szCs w:val="21"/>
                      <w:highlight w:val="none"/>
                    </w:rPr>
                  </w:pPr>
                  <w:r>
                    <w:rPr>
                      <w:rFonts w:hint="eastAsia"/>
                      <w:b/>
                      <w:szCs w:val="21"/>
                      <w:highlight w:val="none"/>
                    </w:rPr>
                    <w:t>监测</w:t>
                  </w:r>
                  <w:r>
                    <w:rPr>
                      <w:b/>
                      <w:szCs w:val="21"/>
                      <w:highlight w:val="none"/>
                    </w:rPr>
                    <w:t>频次</w:t>
                  </w:r>
                </w:p>
              </w:tc>
              <w:tc>
                <w:tcPr>
                  <w:tcW w:w="2315" w:type="pct"/>
                  <w:vAlign w:val="center"/>
                </w:tcPr>
                <w:p w14:paraId="3B0AAE65">
                  <w:pPr>
                    <w:jc w:val="center"/>
                    <w:rPr>
                      <w:b/>
                      <w:szCs w:val="21"/>
                      <w:highlight w:val="none"/>
                    </w:rPr>
                  </w:pPr>
                  <w:r>
                    <w:rPr>
                      <w:b/>
                      <w:szCs w:val="21"/>
                      <w:highlight w:val="none"/>
                    </w:rPr>
                    <w:t>执行标准</w:t>
                  </w:r>
                </w:p>
              </w:tc>
            </w:tr>
            <w:tr w14:paraId="7EEE2D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pct"/>
                  <w:vMerge w:val="restart"/>
                  <w:vAlign w:val="center"/>
                </w:tcPr>
                <w:p w14:paraId="287E8042">
                  <w:pPr>
                    <w:jc w:val="center"/>
                    <w:rPr>
                      <w:szCs w:val="21"/>
                      <w:highlight w:val="none"/>
                    </w:rPr>
                  </w:pPr>
                  <w:r>
                    <w:rPr>
                      <w:szCs w:val="21"/>
                      <w:highlight w:val="none"/>
                    </w:rPr>
                    <w:t>有组织</w:t>
                  </w:r>
                </w:p>
              </w:tc>
              <w:tc>
                <w:tcPr>
                  <w:tcW w:w="934" w:type="pct"/>
                  <w:vAlign w:val="center"/>
                </w:tcPr>
                <w:p w14:paraId="180B1F66">
                  <w:pPr>
                    <w:jc w:val="center"/>
                    <w:rPr>
                      <w:szCs w:val="21"/>
                      <w:highlight w:val="none"/>
                    </w:rPr>
                  </w:pPr>
                  <w:r>
                    <w:rPr>
                      <w:szCs w:val="21"/>
                      <w:highlight w:val="none"/>
                    </w:rPr>
                    <w:t>排气筒DA001</w:t>
                  </w:r>
                </w:p>
              </w:tc>
              <w:tc>
                <w:tcPr>
                  <w:tcW w:w="727" w:type="pct"/>
                  <w:vAlign w:val="center"/>
                </w:tcPr>
                <w:p w14:paraId="7DC0411A">
                  <w:pPr>
                    <w:jc w:val="center"/>
                    <w:rPr>
                      <w:szCs w:val="21"/>
                      <w:highlight w:val="none"/>
                    </w:rPr>
                  </w:pPr>
                  <w:r>
                    <w:rPr>
                      <w:rFonts w:hint="eastAsia"/>
                      <w:szCs w:val="21"/>
                      <w:highlight w:val="none"/>
                      <w:lang w:val="en-US" w:eastAsia="zh-CN"/>
                    </w:rPr>
                    <w:t>氯化氢</w:t>
                  </w:r>
                </w:p>
              </w:tc>
              <w:tc>
                <w:tcPr>
                  <w:tcW w:w="599" w:type="pct"/>
                  <w:vAlign w:val="center"/>
                </w:tcPr>
                <w:p w14:paraId="538E735D">
                  <w:pPr>
                    <w:jc w:val="center"/>
                    <w:rPr>
                      <w:rFonts w:hint="default" w:eastAsia="宋体"/>
                      <w:szCs w:val="21"/>
                      <w:highlight w:val="none"/>
                      <w:lang w:val="en-US" w:eastAsia="zh-CN"/>
                    </w:rPr>
                  </w:pPr>
                  <w:r>
                    <w:rPr>
                      <w:rFonts w:hint="eastAsia"/>
                      <w:szCs w:val="21"/>
                      <w:highlight w:val="none"/>
                      <w:lang w:val="en-US" w:eastAsia="zh-CN"/>
                    </w:rPr>
                    <w:t>半年/次</w:t>
                  </w:r>
                </w:p>
              </w:tc>
              <w:tc>
                <w:tcPr>
                  <w:tcW w:w="2315" w:type="pct"/>
                  <w:vAlign w:val="center"/>
                </w:tcPr>
                <w:p w14:paraId="1AEC8670">
                  <w:pPr>
                    <w:jc w:val="center"/>
                    <w:rPr>
                      <w:szCs w:val="21"/>
                      <w:highlight w:val="none"/>
                    </w:rPr>
                  </w:pPr>
                  <w:r>
                    <w:rPr>
                      <w:szCs w:val="21"/>
                      <w:highlight w:val="none"/>
                    </w:rPr>
                    <w:t>《大气污染物综合排放标准》（GB16297-1996）表2二级标准限值</w:t>
                  </w:r>
                </w:p>
              </w:tc>
            </w:tr>
            <w:tr w14:paraId="426B6B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pct"/>
                  <w:vMerge w:val="continue"/>
                  <w:vAlign w:val="center"/>
                </w:tcPr>
                <w:p w14:paraId="1D0B1492">
                  <w:pPr>
                    <w:jc w:val="center"/>
                    <w:rPr>
                      <w:szCs w:val="21"/>
                      <w:highlight w:val="none"/>
                    </w:rPr>
                  </w:pPr>
                </w:p>
              </w:tc>
              <w:tc>
                <w:tcPr>
                  <w:tcW w:w="934" w:type="pct"/>
                  <w:vMerge w:val="restart"/>
                  <w:vAlign w:val="center"/>
                </w:tcPr>
                <w:p w14:paraId="4D20DF08">
                  <w:pPr>
                    <w:jc w:val="center"/>
                    <w:rPr>
                      <w:szCs w:val="21"/>
                      <w:highlight w:val="none"/>
                    </w:rPr>
                  </w:pPr>
                  <w:r>
                    <w:rPr>
                      <w:szCs w:val="21"/>
                      <w:highlight w:val="none"/>
                    </w:rPr>
                    <w:t>排气筒DA002</w:t>
                  </w:r>
                </w:p>
              </w:tc>
              <w:tc>
                <w:tcPr>
                  <w:tcW w:w="727" w:type="pct"/>
                  <w:vAlign w:val="center"/>
                </w:tcPr>
                <w:p w14:paraId="01192661">
                  <w:pPr>
                    <w:jc w:val="center"/>
                    <w:rPr>
                      <w:szCs w:val="21"/>
                      <w:highlight w:val="none"/>
                    </w:rPr>
                  </w:pPr>
                  <w:r>
                    <w:rPr>
                      <w:rFonts w:hint="eastAsia"/>
                      <w:szCs w:val="21"/>
                      <w:highlight w:val="none"/>
                      <w:lang w:val="en-US" w:eastAsia="zh-CN"/>
                    </w:rPr>
                    <w:t>非甲烷总烃</w:t>
                  </w:r>
                </w:p>
              </w:tc>
              <w:tc>
                <w:tcPr>
                  <w:tcW w:w="599" w:type="pct"/>
                  <w:vAlign w:val="center"/>
                </w:tcPr>
                <w:p w14:paraId="3CE1FD01">
                  <w:pPr>
                    <w:jc w:val="center"/>
                    <w:rPr>
                      <w:szCs w:val="21"/>
                      <w:highlight w:val="none"/>
                    </w:rPr>
                  </w:pPr>
                  <w:r>
                    <w:rPr>
                      <w:rFonts w:hint="eastAsia"/>
                      <w:szCs w:val="21"/>
                      <w:highlight w:val="none"/>
                      <w:lang w:val="en-US" w:eastAsia="zh-CN"/>
                    </w:rPr>
                    <w:t>半年</w:t>
                  </w:r>
                  <w:r>
                    <w:rPr>
                      <w:szCs w:val="21"/>
                      <w:highlight w:val="none"/>
                    </w:rPr>
                    <w:t>/次</w:t>
                  </w:r>
                </w:p>
              </w:tc>
              <w:tc>
                <w:tcPr>
                  <w:tcW w:w="2315" w:type="pct"/>
                  <w:vAlign w:val="center"/>
                </w:tcPr>
                <w:p w14:paraId="44B3D7D2">
                  <w:pPr>
                    <w:jc w:val="center"/>
                    <w:rPr>
                      <w:szCs w:val="21"/>
                      <w:highlight w:val="none"/>
                    </w:rPr>
                  </w:pPr>
                  <w:r>
                    <w:rPr>
                      <w:rFonts w:hint="eastAsia"/>
                      <w:szCs w:val="21"/>
                      <w:highlight w:val="none"/>
                    </w:rPr>
                    <w:t>《工业企业挥发性有机物排放控制标准》（DB13/2322-2016）表1大气污染物排放限值中“其他行业”相关排放限值</w:t>
                  </w:r>
                </w:p>
              </w:tc>
            </w:tr>
            <w:tr w14:paraId="1A74E4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pct"/>
                  <w:vMerge w:val="continue"/>
                  <w:vAlign w:val="center"/>
                </w:tcPr>
                <w:p w14:paraId="4C49804C">
                  <w:pPr>
                    <w:jc w:val="center"/>
                    <w:rPr>
                      <w:szCs w:val="21"/>
                      <w:highlight w:val="none"/>
                    </w:rPr>
                  </w:pPr>
                </w:p>
              </w:tc>
              <w:tc>
                <w:tcPr>
                  <w:tcW w:w="934" w:type="pct"/>
                  <w:vMerge w:val="continue"/>
                  <w:vAlign w:val="center"/>
                </w:tcPr>
                <w:p w14:paraId="595C1C3A">
                  <w:pPr>
                    <w:jc w:val="center"/>
                    <w:rPr>
                      <w:szCs w:val="21"/>
                      <w:highlight w:val="none"/>
                    </w:rPr>
                  </w:pPr>
                </w:p>
              </w:tc>
              <w:tc>
                <w:tcPr>
                  <w:tcW w:w="727" w:type="pct"/>
                  <w:vAlign w:val="center"/>
                </w:tcPr>
                <w:p w14:paraId="5904E108">
                  <w:pPr>
                    <w:jc w:val="center"/>
                    <w:rPr>
                      <w:rFonts w:hint="default" w:eastAsia="宋体"/>
                      <w:szCs w:val="21"/>
                      <w:highlight w:val="none"/>
                      <w:lang w:val="en-US" w:eastAsia="zh-CN"/>
                    </w:rPr>
                  </w:pPr>
                  <w:r>
                    <w:rPr>
                      <w:rFonts w:hint="eastAsia"/>
                      <w:szCs w:val="21"/>
                      <w:highlight w:val="none"/>
                      <w:lang w:val="en-US" w:eastAsia="zh-CN"/>
                    </w:rPr>
                    <w:t>氨、硫化氢、臭气浓度</w:t>
                  </w:r>
                </w:p>
              </w:tc>
              <w:tc>
                <w:tcPr>
                  <w:tcW w:w="599" w:type="pct"/>
                  <w:vAlign w:val="center"/>
                </w:tcPr>
                <w:p w14:paraId="08114338">
                  <w:pPr>
                    <w:jc w:val="center"/>
                    <w:rPr>
                      <w:szCs w:val="21"/>
                      <w:highlight w:val="none"/>
                    </w:rPr>
                  </w:pPr>
                  <w:r>
                    <w:rPr>
                      <w:rFonts w:hint="eastAsia"/>
                      <w:szCs w:val="21"/>
                      <w:highlight w:val="none"/>
                      <w:lang w:val="en-US" w:eastAsia="zh-CN"/>
                    </w:rPr>
                    <w:t>半年</w:t>
                  </w:r>
                  <w:r>
                    <w:rPr>
                      <w:szCs w:val="21"/>
                      <w:highlight w:val="none"/>
                    </w:rPr>
                    <w:t>/次</w:t>
                  </w:r>
                </w:p>
              </w:tc>
              <w:tc>
                <w:tcPr>
                  <w:tcW w:w="2315" w:type="pct"/>
                  <w:vAlign w:val="center"/>
                </w:tcPr>
                <w:p w14:paraId="4500EC07">
                  <w:pPr>
                    <w:jc w:val="center"/>
                    <w:rPr>
                      <w:szCs w:val="21"/>
                      <w:highlight w:val="none"/>
                    </w:rPr>
                  </w:pPr>
                  <w:r>
                    <w:rPr>
                      <w:szCs w:val="21"/>
                      <w:highlight w:val="none"/>
                    </w:rPr>
                    <w:t>《恶臭污染物排放标准》（GB14554-93）</w:t>
                  </w:r>
                  <w:r>
                    <w:rPr>
                      <w:rFonts w:hint="eastAsia"/>
                      <w:szCs w:val="21"/>
                      <w:highlight w:val="none"/>
                    </w:rPr>
                    <w:t>表2标准</w:t>
                  </w:r>
                </w:p>
              </w:tc>
            </w:tr>
            <w:tr w14:paraId="4027B0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pct"/>
                  <w:vMerge w:val="restart"/>
                  <w:vAlign w:val="center"/>
                </w:tcPr>
                <w:p w14:paraId="68ECC9FC">
                  <w:pPr>
                    <w:jc w:val="center"/>
                    <w:rPr>
                      <w:szCs w:val="21"/>
                      <w:highlight w:val="none"/>
                    </w:rPr>
                  </w:pPr>
                  <w:r>
                    <w:rPr>
                      <w:szCs w:val="21"/>
                      <w:highlight w:val="none"/>
                    </w:rPr>
                    <w:t>无组织</w:t>
                  </w:r>
                </w:p>
              </w:tc>
              <w:tc>
                <w:tcPr>
                  <w:tcW w:w="934" w:type="pct"/>
                  <w:vMerge w:val="restart"/>
                  <w:vAlign w:val="center"/>
                </w:tcPr>
                <w:p w14:paraId="5A5D75EF">
                  <w:pPr>
                    <w:jc w:val="center"/>
                    <w:rPr>
                      <w:szCs w:val="21"/>
                      <w:highlight w:val="none"/>
                    </w:rPr>
                  </w:pPr>
                  <w:r>
                    <w:rPr>
                      <w:szCs w:val="21"/>
                      <w:highlight w:val="none"/>
                    </w:rPr>
                    <w:t>厂界外上风向设参照点，下风向设监控点</w:t>
                  </w:r>
                </w:p>
              </w:tc>
              <w:tc>
                <w:tcPr>
                  <w:tcW w:w="727" w:type="pct"/>
                  <w:vAlign w:val="center"/>
                </w:tcPr>
                <w:p w14:paraId="0E2C9DD4">
                  <w:pPr>
                    <w:jc w:val="center"/>
                    <w:rPr>
                      <w:szCs w:val="21"/>
                      <w:highlight w:val="none"/>
                    </w:rPr>
                  </w:pPr>
                  <w:r>
                    <w:rPr>
                      <w:rFonts w:hint="eastAsia"/>
                      <w:szCs w:val="21"/>
                      <w:highlight w:val="none"/>
                      <w:lang w:val="en-US" w:eastAsia="zh-CN"/>
                    </w:rPr>
                    <w:t>氯化氢</w:t>
                  </w:r>
                </w:p>
              </w:tc>
              <w:tc>
                <w:tcPr>
                  <w:tcW w:w="599" w:type="pct"/>
                  <w:vAlign w:val="center"/>
                </w:tcPr>
                <w:p w14:paraId="3B92B7B6">
                  <w:pPr>
                    <w:jc w:val="center"/>
                    <w:rPr>
                      <w:szCs w:val="21"/>
                      <w:highlight w:val="none"/>
                    </w:rPr>
                  </w:pPr>
                  <w:r>
                    <w:rPr>
                      <w:szCs w:val="21"/>
                      <w:highlight w:val="none"/>
                    </w:rPr>
                    <w:t>年/次</w:t>
                  </w:r>
                </w:p>
              </w:tc>
              <w:tc>
                <w:tcPr>
                  <w:tcW w:w="2315" w:type="pct"/>
                  <w:vAlign w:val="center"/>
                </w:tcPr>
                <w:p w14:paraId="73F01CD0">
                  <w:pPr>
                    <w:jc w:val="center"/>
                    <w:rPr>
                      <w:szCs w:val="21"/>
                      <w:highlight w:val="none"/>
                    </w:rPr>
                  </w:pPr>
                  <w:r>
                    <w:rPr>
                      <w:szCs w:val="21"/>
                      <w:highlight w:val="none"/>
                    </w:rPr>
                    <w:t>《大气污染物综合排放标准》（GB16297-1996）</w:t>
                  </w:r>
                  <w:r>
                    <w:rPr>
                      <w:rFonts w:hint="eastAsia"/>
                      <w:szCs w:val="21"/>
                      <w:highlight w:val="none"/>
                    </w:rPr>
                    <w:t>表2无组织排放监控浓度限值</w:t>
                  </w:r>
                </w:p>
              </w:tc>
            </w:tr>
            <w:tr w14:paraId="4AD99A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4" w:type="pct"/>
                  <w:vMerge w:val="continue"/>
                  <w:vAlign w:val="center"/>
                </w:tcPr>
                <w:p w14:paraId="54E32AF2">
                  <w:pPr>
                    <w:jc w:val="center"/>
                    <w:rPr>
                      <w:szCs w:val="21"/>
                      <w:highlight w:val="none"/>
                    </w:rPr>
                  </w:pPr>
                </w:p>
              </w:tc>
              <w:tc>
                <w:tcPr>
                  <w:tcW w:w="934" w:type="pct"/>
                  <w:vMerge w:val="continue"/>
                  <w:vAlign w:val="center"/>
                </w:tcPr>
                <w:p w14:paraId="7E8AB486">
                  <w:pPr>
                    <w:jc w:val="center"/>
                    <w:rPr>
                      <w:szCs w:val="21"/>
                      <w:highlight w:val="none"/>
                    </w:rPr>
                  </w:pPr>
                </w:p>
              </w:tc>
              <w:tc>
                <w:tcPr>
                  <w:tcW w:w="727" w:type="pct"/>
                  <w:vAlign w:val="center"/>
                </w:tcPr>
                <w:p w14:paraId="3C964239">
                  <w:pPr>
                    <w:jc w:val="center"/>
                    <w:rPr>
                      <w:szCs w:val="21"/>
                      <w:highlight w:val="none"/>
                    </w:rPr>
                  </w:pPr>
                  <w:r>
                    <w:rPr>
                      <w:rFonts w:hint="eastAsia"/>
                      <w:szCs w:val="21"/>
                      <w:highlight w:val="none"/>
                      <w:lang w:val="en-US" w:eastAsia="zh-CN"/>
                    </w:rPr>
                    <w:t>氨、硫化氢、臭气浓度</w:t>
                  </w:r>
                </w:p>
              </w:tc>
              <w:tc>
                <w:tcPr>
                  <w:tcW w:w="599" w:type="pct"/>
                  <w:vAlign w:val="center"/>
                </w:tcPr>
                <w:p w14:paraId="3CFB2503">
                  <w:pPr>
                    <w:jc w:val="center"/>
                    <w:rPr>
                      <w:szCs w:val="21"/>
                      <w:highlight w:val="none"/>
                    </w:rPr>
                  </w:pPr>
                  <w:r>
                    <w:rPr>
                      <w:szCs w:val="21"/>
                      <w:highlight w:val="none"/>
                    </w:rPr>
                    <w:t>年/次</w:t>
                  </w:r>
                </w:p>
              </w:tc>
              <w:tc>
                <w:tcPr>
                  <w:tcW w:w="2315" w:type="pct"/>
                  <w:vAlign w:val="center"/>
                </w:tcPr>
                <w:p w14:paraId="6C5BD789">
                  <w:pPr>
                    <w:jc w:val="center"/>
                    <w:rPr>
                      <w:szCs w:val="21"/>
                      <w:highlight w:val="none"/>
                    </w:rPr>
                  </w:pPr>
                  <w:r>
                    <w:rPr>
                      <w:szCs w:val="21"/>
                      <w:highlight w:val="none"/>
                    </w:rPr>
                    <w:t>《恶臭污染物排放标准》（GB14554-93）表</w:t>
                  </w:r>
                  <w:r>
                    <w:rPr>
                      <w:rFonts w:hint="eastAsia"/>
                      <w:szCs w:val="21"/>
                      <w:highlight w:val="none"/>
                    </w:rPr>
                    <w:t>1</w:t>
                  </w:r>
                  <w:r>
                    <w:rPr>
                      <w:szCs w:val="21"/>
                      <w:highlight w:val="none"/>
                    </w:rPr>
                    <w:t>中二级标准</w:t>
                  </w:r>
                </w:p>
              </w:tc>
            </w:tr>
            <w:tr w14:paraId="78DB7C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424" w:type="pct"/>
                  <w:vMerge w:val="continue"/>
                  <w:vAlign w:val="center"/>
                </w:tcPr>
                <w:p w14:paraId="2DF5E048">
                  <w:pPr>
                    <w:jc w:val="center"/>
                    <w:rPr>
                      <w:szCs w:val="21"/>
                      <w:highlight w:val="none"/>
                    </w:rPr>
                  </w:pPr>
                </w:p>
              </w:tc>
              <w:tc>
                <w:tcPr>
                  <w:tcW w:w="934" w:type="pct"/>
                  <w:vMerge w:val="continue"/>
                  <w:vAlign w:val="center"/>
                </w:tcPr>
                <w:p w14:paraId="4CAA03D8">
                  <w:pPr>
                    <w:jc w:val="center"/>
                    <w:rPr>
                      <w:szCs w:val="21"/>
                      <w:highlight w:val="none"/>
                    </w:rPr>
                  </w:pPr>
                </w:p>
              </w:tc>
              <w:tc>
                <w:tcPr>
                  <w:tcW w:w="727" w:type="pct"/>
                  <w:vAlign w:val="center"/>
                </w:tcPr>
                <w:p w14:paraId="31625F92">
                  <w:pPr>
                    <w:jc w:val="center"/>
                    <w:rPr>
                      <w:szCs w:val="21"/>
                      <w:highlight w:val="none"/>
                    </w:rPr>
                  </w:pPr>
                  <w:r>
                    <w:rPr>
                      <w:rFonts w:hint="eastAsia"/>
                      <w:szCs w:val="21"/>
                      <w:highlight w:val="none"/>
                      <w:lang w:val="en-US" w:eastAsia="zh-CN"/>
                    </w:rPr>
                    <w:t>非甲烷总烃</w:t>
                  </w:r>
                </w:p>
              </w:tc>
              <w:tc>
                <w:tcPr>
                  <w:tcW w:w="599" w:type="pct"/>
                  <w:vAlign w:val="center"/>
                </w:tcPr>
                <w:p w14:paraId="25F91F4F">
                  <w:pPr>
                    <w:jc w:val="center"/>
                    <w:rPr>
                      <w:szCs w:val="21"/>
                      <w:highlight w:val="none"/>
                    </w:rPr>
                  </w:pPr>
                  <w:r>
                    <w:rPr>
                      <w:szCs w:val="21"/>
                      <w:highlight w:val="none"/>
                    </w:rPr>
                    <w:t>年/次</w:t>
                  </w:r>
                </w:p>
              </w:tc>
              <w:tc>
                <w:tcPr>
                  <w:tcW w:w="2315" w:type="pct"/>
                  <w:vAlign w:val="center"/>
                </w:tcPr>
                <w:p w14:paraId="6132E72C">
                  <w:pPr>
                    <w:jc w:val="center"/>
                    <w:rPr>
                      <w:rFonts w:hint="eastAsia" w:eastAsia="宋体"/>
                      <w:szCs w:val="21"/>
                      <w:highlight w:val="none"/>
                      <w:lang w:val="en-US" w:eastAsia="zh-CN"/>
                    </w:rPr>
                  </w:pPr>
                  <w:r>
                    <w:rPr>
                      <w:rFonts w:hint="eastAsia"/>
                      <w:szCs w:val="21"/>
                      <w:highlight w:val="none"/>
                    </w:rPr>
                    <w:t>《工业企业挥发性有机物排放控制标准》（DB13/2322-2016）表2企业边界大气污染物浓度限值标准</w:t>
                  </w:r>
                  <w:r>
                    <w:rPr>
                      <w:rFonts w:hint="eastAsia"/>
                      <w:szCs w:val="21"/>
                      <w:highlight w:val="none"/>
                      <w:lang w:val="en-US" w:eastAsia="zh-CN"/>
                    </w:rPr>
                    <w:t>和《挥发性有机物无组织排放控制标准》（GB37822-2019）表A.1厂区内VOCs无组织排放限值</w:t>
                  </w:r>
                </w:p>
              </w:tc>
            </w:tr>
          </w:tbl>
          <w:p w14:paraId="6EDD60CD">
            <w:pPr>
              <w:spacing w:before="120" w:beforeLines="50" w:line="360" w:lineRule="auto"/>
              <w:ind w:firstLine="482"/>
              <w:rPr>
                <w:b/>
                <w:sz w:val="24"/>
                <w:highlight w:val="none"/>
              </w:rPr>
            </w:pPr>
            <w:r>
              <w:rPr>
                <w:rFonts w:hint="eastAsia"/>
                <w:b/>
                <w:sz w:val="24"/>
                <w:highlight w:val="none"/>
              </w:rPr>
              <w:t>（</w:t>
            </w:r>
            <w:r>
              <w:rPr>
                <w:b/>
                <w:sz w:val="24"/>
                <w:highlight w:val="none"/>
              </w:rPr>
              <w:t>7</w:t>
            </w:r>
            <w:r>
              <w:rPr>
                <w:rFonts w:hint="eastAsia"/>
                <w:b/>
                <w:sz w:val="24"/>
                <w:highlight w:val="none"/>
              </w:rPr>
              <w:t>）非正常情况分析</w:t>
            </w:r>
          </w:p>
          <w:p w14:paraId="01D2C827">
            <w:pPr>
              <w:spacing w:line="360" w:lineRule="auto"/>
              <w:ind w:firstLine="482"/>
              <w:rPr>
                <w:bCs/>
                <w:sz w:val="24"/>
                <w:highlight w:val="none"/>
              </w:rPr>
            </w:pPr>
            <w:r>
              <w:rPr>
                <w:rFonts w:hint="eastAsia"/>
                <w:bCs/>
                <w:sz w:val="24"/>
                <w:highlight w:val="none"/>
              </w:rPr>
              <w:t>本项目的非正常工况主要是污染物排放控制措施达不到应有效率，按酸雾吸收塔、活性炭吸附装置去除效率下降至</w:t>
            </w:r>
            <w:r>
              <w:rPr>
                <w:rFonts w:hint="eastAsia"/>
                <w:bCs/>
                <w:sz w:val="24"/>
                <w:highlight w:val="none"/>
                <w:lang w:val="en-US" w:eastAsia="zh-CN"/>
              </w:rPr>
              <w:t>3</w:t>
            </w:r>
            <w:r>
              <w:rPr>
                <w:rFonts w:hint="eastAsia"/>
                <w:bCs/>
                <w:sz w:val="24"/>
                <w:highlight w:val="none"/>
              </w:rPr>
              <w:t>0%，造成排气筒废气中废气污染物未经有效净化排放，其排放情况如表所示。可见在非正常工况下酸雾排放浓度能够满足《大气污染物综合排放标准》（GB16297-1996）表2二级标准，非甲烷总烃排放浓度能够满足《工业企业挥发性有机物排放控制标准》（DB13/2322-2016）表2其它行业企业边界大气污染物浓度限值要求和《挥发性有机物无组织排放控制标准》（GB37822-2019）表A.1厂区内VOCs无组织排放限值。</w:t>
            </w:r>
            <w:r>
              <w:rPr>
                <w:rFonts w:hint="eastAsia"/>
                <w:bCs/>
                <w:sz w:val="24"/>
                <w:highlight w:val="none"/>
                <w:lang w:val="en-US" w:eastAsia="zh-CN"/>
              </w:rPr>
              <w:t>氨、硫化氢、</w:t>
            </w:r>
            <w:r>
              <w:rPr>
                <w:rFonts w:hint="eastAsia"/>
                <w:bCs/>
                <w:sz w:val="24"/>
                <w:highlight w:val="none"/>
              </w:rPr>
              <w:t>臭气</w:t>
            </w:r>
            <w:r>
              <w:rPr>
                <w:rFonts w:hint="eastAsia"/>
                <w:bCs/>
                <w:sz w:val="24"/>
                <w:highlight w:val="none"/>
                <w:lang w:val="en-US" w:eastAsia="zh-CN"/>
              </w:rPr>
              <w:t>浓度</w:t>
            </w:r>
            <w:r>
              <w:rPr>
                <w:rFonts w:hint="eastAsia"/>
                <w:bCs/>
                <w:sz w:val="24"/>
                <w:highlight w:val="none"/>
              </w:rPr>
              <w:t>排放浓度满足《</w:t>
            </w:r>
            <w:r>
              <w:rPr>
                <w:rFonts w:hint="eastAsia"/>
                <w:bCs/>
                <w:sz w:val="24"/>
                <w:highlight w:val="none"/>
                <w:lang w:eastAsia="zh-CN"/>
              </w:rPr>
              <w:t>恶臭污染物排放标准</w:t>
            </w:r>
            <w:r>
              <w:rPr>
                <w:rFonts w:hint="eastAsia"/>
                <w:bCs/>
                <w:sz w:val="24"/>
                <w:highlight w:val="none"/>
              </w:rPr>
              <w:t>》（GB14554-93）中表2排放限值要求，但排放浓度较正常工况升高，对周边大气影响增强，因此要求企业加强对废气处理设施的管理维护，如定期更换碱液、活性炭，减少非正常工况下对周边环境的影响，当出现处置设施故障无法作业时，应立刻上报上级主管，通知仓库管理人员关闭相应区域库门，禁止出入库作业，防止污染物无组织逸散，直至设施修复完成，设施运行一定时间，仓库内污染物浓度下降后，方可恢复作业。</w:t>
            </w:r>
          </w:p>
          <w:p w14:paraId="16471156">
            <w:pPr>
              <w:spacing w:line="360" w:lineRule="auto"/>
              <w:ind w:firstLine="482"/>
              <w:rPr>
                <w:bCs/>
                <w:sz w:val="24"/>
                <w:highlight w:val="none"/>
              </w:rPr>
            </w:pPr>
            <w:r>
              <w:rPr>
                <w:rFonts w:hint="eastAsia"/>
                <w:bCs/>
                <w:sz w:val="24"/>
                <w:highlight w:val="none"/>
              </w:rPr>
              <w:t>大气污染物非正常排放情况如下表所示。</w:t>
            </w:r>
          </w:p>
          <w:p w14:paraId="2369305B">
            <w:pPr>
              <w:pStyle w:val="48"/>
              <w:numPr>
                <w:ilvl w:val="0"/>
                <w:numId w:val="9"/>
              </w:numPr>
              <w:spacing w:line="360" w:lineRule="auto"/>
              <w:ind w:left="0" w:firstLine="0" w:firstLineChars="0"/>
              <w:jc w:val="center"/>
              <w:rPr>
                <w:rFonts w:ascii="Times New Roman" w:hAnsi="Times New Roman" w:eastAsia="宋体"/>
                <w:b/>
                <w:sz w:val="21"/>
                <w:highlight w:val="none"/>
              </w:rPr>
            </w:pPr>
            <w:r>
              <w:rPr>
                <w:rFonts w:hint="eastAsia" w:ascii="Times New Roman" w:hAnsi="Times New Roman" w:eastAsia="宋体"/>
                <w:b/>
                <w:sz w:val="21"/>
                <w:highlight w:val="none"/>
              </w:rPr>
              <w:t>项目非正常排放情况分析表</w:t>
            </w:r>
          </w:p>
          <w:tbl>
            <w:tblPr>
              <w:tblStyle w:val="2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27"/>
              <w:gridCol w:w="1141"/>
              <w:gridCol w:w="965"/>
              <w:gridCol w:w="1213"/>
              <w:gridCol w:w="1310"/>
              <w:gridCol w:w="1127"/>
              <w:gridCol w:w="1173"/>
            </w:tblGrid>
            <w:tr w14:paraId="31B72C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3" w:type="pct"/>
                  <w:vAlign w:val="center"/>
                </w:tcPr>
                <w:p w14:paraId="0ADE283C">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非正常排放源</w:t>
                  </w:r>
                </w:p>
              </w:tc>
              <w:tc>
                <w:tcPr>
                  <w:tcW w:w="674" w:type="pct"/>
                  <w:vAlign w:val="center"/>
                </w:tcPr>
                <w:p w14:paraId="07BA4AE2">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非正常排放原因</w:t>
                  </w:r>
                </w:p>
              </w:tc>
              <w:tc>
                <w:tcPr>
                  <w:tcW w:w="570" w:type="pct"/>
                  <w:vAlign w:val="center"/>
                </w:tcPr>
                <w:p w14:paraId="10D785B7">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污染物</w:t>
                  </w:r>
                </w:p>
              </w:tc>
              <w:tc>
                <w:tcPr>
                  <w:tcW w:w="717" w:type="pct"/>
                  <w:vAlign w:val="center"/>
                </w:tcPr>
                <w:p w14:paraId="37316724">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年发生频</w:t>
                  </w:r>
                </w:p>
                <w:p w14:paraId="7D4EA99D">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次/年</w:t>
                  </w:r>
                </w:p>
              </w:tc>
              <w:tc>
                <w:tcPr>
                  <w:tcW w:w="774" w:type="pct"/>
                  <w:vAlign w:val="center"/>
                </w:tcPr>
                <w:p w14:paraId="4DCDEE8F">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非正常排放浓度/(mg/m</w:t>
                  </w:r>
                  <w:r>
                    <w:rPr>
                      <w:b/>
                      <w:color w:val="000000" w:themeColor="text1"/>
                      <w:szCs w:val="21"/>
                      <w:highlight w:val="none"/>
                      <w:vertAlign w:val="superscript"/>
                      <w14:textFill>
                        <w14:solidFill>
                          <w14:schemeClr w14:val="tx1"/>
                        </w14:solidFill>
                      </w14:textFill>
                    </w:rPr>
                    <w:t>3</w:t>
                  </w:r>
                  <w:r>
                    <w:rPr>
                      <w:rFonts w:hint="eastAsia"/>
                      <w:b/>
                      <w:color w:val="000000" w:themeColor="text1"/>
                      <w:szCs w:val="21"/>
                      <w:highlight w:val="none"/>
                      <w14:textFill>
                        <w14:solidFill>
                          <w14:schemeClr w14:val="tx1"/>
                        </w14:solidFill>
                      </w14:textFill>
                    </w:rPr>
                    <w:t>)</w:t>
                  </w:r>
                </w:p>
              </w:tc>
              <w:tc>
                <w:tcPr>
                  <w:tcW w:w="666" w:type="pct"/>
                  <w:vAlign w:val="center"/>
                </w:tcPr>
                <w:p w14:paraId="7045CDF8">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单次持续时间/h</w:t>
                  </w:r>
                </w:p>
              </w:tc>
              <w:tc>
                <w:tcPr>
                  <w:tcW w:w="693" w:type="pct"/>
                  <w:vAlign w:val="center"/>
                </w:tcPr>
                <w:p w14:paraId="40FBA41F">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非正常排放量/(kg/a)</w:t>
                  </w:r>
                </w:p>
              </w:tc>
            </w:tr>
            <w:tr w14:paraId="66F637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3" w:type="pct"/>
                  <w:vMerge w:val="restart"/>
                  <w:shd w:val="clear" w:color="auto" w:fill="auto"/>
                  <w:vAlign w:val="center"/>
                </w:tcPr>
                <w:p w14:paraId="3A408241">
                  <w:pPr>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危废贮存</w:t>
                  </w:r>
                </w:p>
              </w:tc>
              <w:tc>
                <w:tcPr>
                  <w:tcW w:w="674" w:type="pct"/>
                  <w:vAlign w:val="center"/>
                </w:tcPr>
                <w:p w14:paraId="57D1D4F9">
                  <w:pPr>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碱液浓度过低，未及时更换</w:t>
                  </w:r>
                </w:p>
              </w:tc>
              <w:tc>
                <w:tcPr>
                  <w:tcW w:w="570" w:type="pct"/>
                  <w:shd w:val="clear" w:color="auto" w:fill="auto"/>
                  <w:vAlign w:val="center"/>
                </w:tcPr>
                <w:p w14:paraId="27E43ABC">
                  <w:pPr>
                    <w:snapToGrid w:val="0"/>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ascii="Times New Roman" w:hAnsi="Times New Roman" w:eastAsia="宋体" w:cs="Times New Roman"/>
                      <w:szCs w:val="21"/>
                      <w:highlight w:val="none"/>
                    </w:rPr>
                    <w:t>氯化氢</w:t>
                  </w:r>
                </w:p>
              </w:tc>
              <w:tc>
                <w:tcPr>
                  <w:tcW w:w="717" w:type="pct"/>
                  <w:shd w:val="clear" w:color="auto" w:fill="auto"/>
                  <w:vAlign w:val="center"/>
                </w:tcPr>
                <w:p w14:paraId="79AE15CF">
                  <w:pPr>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1次/年</w:t>
                  </w:r>
                </w:p>
              </w:tc>
              <w:tc>
                <w:tcPr>
                  <w:tcW w:w="774" w:type="pct"/>
                  <w:shd w:val="clear" w:color="auto" w:fill="auto"/>
                  <w:vAlign w:val="center"/>
                </w:tcPr>
                <w:p w14:paraId="2687AC66">
                  <w:pPr>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40.67</w:t>
                  </w:r>
                </w:p>
              </w:tc>
              <w:tc>
                <w:tcPr>
                  <w:tcW w:w="666" w:type="pct"/>
                  <w:shd w:val="clear" w:color="auto" w:fill="auto"/>
                  <w:vAlign w:val="center"/>
                </w:tcPr>
                <w:p w14:paraId="3DED84D2">
                  <w:pPr>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color w:val="000000" w:themeColor="text1"/>
                      <w:szCs w:val="21"/>
                      <w:highlight w:val="none"/>
                      <w14:textFill>
                        <w14:solidFill>
                          <w14:schemeClr w14:val="tx1"/>
                        </w14:solidFill>
                      </w14:textFill>
                    </w:rPr>
                    <w:t>0.5</w:t>
                  </w:r>
                </w:p>
              </w:tc>
              <w:tc>
                <w:tcPr>
                  <w:tcW w:w="693" w:type="pct"/>
                  <w:shd w:val="clear" w:color="auto" w:fill="auto"/>
                  <w:vAlign w:val="center"/>
                </w:tcPr>
                <w:p w14:paraId="5C0D35DE">
                  <w:pPr>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0.01224</w:t>
                  </w:r>
                </w:p>
              </w:tc>
            </w:tr>
            <w:tr w14:paraId="2A268A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3" w:type="pct"/>
                  <w:vMerge w:val="continue"/>
                  <w:shd w:val="clear" w:color="auto" w:fill="auto"/>
                  <w:vAlign w:val="center"/>
                </w:tcPr>
                <w:p w14:paraId="0EBC6640">
                  <w:pPr>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674" w:type="pct"/>
                  <w:vMerge w:val="restart"/>
                  <w:vAlign w:val="center"/>
                </w:tcPr>
                <w:p w14:paraId="6CAB5E91">
                  <w:pPr>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活性炭未及时更换</w:t>
                  </w:r>
                </w:p>
              </w:tc>
              <w:tc>
                <w:tcPr>
                  <w:tcW w:w="570" w:type="pct"/>
                  <w:shd w:val="clear" w:color="auto" w:fill="auto"/>
                  <w:vAlign w:val="center"/>
                </w:tcPr>
                <w:p w14:paraId="0557DF29">
                  <w:pPr>
                    <w:snapToGrid w:val="0"/>
                    <w:jc w:val="center"/>
                    <w:rPr>
                      <w:rFonts w:ascii="Times New Roman" w:hAnsi="Times New Roman" w:eastAsia="宋体" w:cs="Times New Roman"/>
                      <w:kern w:val="2"/>
                      <w:sz w:val="21"/>
                      <w:szCs w:val="21"/>
                      <w:highlight w:val="none"/>
                      <w:lang w:val="en-US" w:eastAsia="zh-CN" w:bidi="ar-SA"/>
                    </w:rPr>
                  </w:pPr>
                  <w:r>
                    <w:rPr>
                      <w:rFonts w:ascii="Times New Roman" w:hAnsi="Times New Roman" w:eastAsia="宋体" w:cs="Times New Roman"/>
                      <w:szCs w:val="21"/>
                      <w:highlight w:val="none"/>
                    </w:rPr>
                    <w:t>非甲烷总烃</w:t>
                  </w:r>
                </w:p>
              </w:tc>
              <w:tc>
                <w:tcPr>
                  <w:tcW w:w="717" w:type="pct"/>
                  <w:vAlign w:val="center"/>
                </w:tcPr>
                <w:p w14:paraId="1718CC63">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1次/年</w:t>
                  </w:r>
                </w:p>
              </w:tc>
              <w:tc>
                <w:tcPr>
                  <w:tcW w:w="774" w:type="pct"/>
                  <w:vAlign w:val="center"/>
                </w:tcPr>
                <w:p w14:paraId="2D65B70D">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10.67</w:t>
                  </w:r>
                </w:p>
              </w:tc>
              <w:tc>
                <w:tcPr>
                  <w:tcW w:w="666" w:type="pct"/>
                  <w:vAlign w:val="center"/>
                </w:tcPr>
                <w:p w14:paraId="322C3355">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0.5</w:t>
                  </w:r>
                </w:p>
              </w:tc>
              <w:tc>
                <w:tcPr>
                  <w:tcW w:w="693" w:type="pct"/>
                  <w:shd w:val="clear" w:color="auto" w:fill="auto"/>
                  <w:vAlign w:val="center"/>
                </w:tcPr>
                <w:p w14:paraId="64BA13E7">
                  <w:pPr>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eastAsia="宋体" w:cs="Times New Roman"/>
                      <w:color w:val="000000" w:themeColor="text1"/>
                      <w:kern w:val="2"/>
                      <w:sz w:val="21"/>
                      <w:szCs w:val="21"/>
                      <w:highlight w:val="none"/>
                      <w:lang w:val="en-US" w:eastAsia="zh-CN" w:bidi="ar-SA"/>
                      <w14:textFill>
                        <w14:solidFill>
                          <w14:schemeClr w14:val="tx1"/>
                        </w14:solidFill>
                      </w14:textFill>
                    </w:rPr>
                    <w:t>0.</w:t>
                  </w:r>
                  <w:r>
                    <w:rPr>
                      <w:rFonts w:hint="eastAsia" w:cs="Times New Roman"/>
                      <w:color w:val="000000" w:themeColor="text1"/>
                      <w:kern w:val="2"/>
                      <w:sz w:val="21"/>
                      <w:szCs w:val="21"/>
                      <w:highlight w:val="none"/>
                      <w:lang w:val="en-US" w:eastAsia="zh-CN" w:bidi="ar-SA"/>
                      <w14:textFill>
                        <w14:solidFill>
                          <w14:schemeClr w14:val="tx1"/>
                        </w14:solidFill>
                      </w14:textFill>
                    </w:rPr>
                    <w:t>477</w:t>
                  </w:r>
                </w:p>
              </w:tc>
            </w:tr>
            <w:tr w14:paraId="343C05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3" w:type="pct"/>
                  <w:vMerge w:val="continue"/>
                  <w:shd w:val="clear" w:color="auto" w:fill="auto"/>
                  <w:vAlign w:val="center"/>
                </w:tcPr>
                <w:p w14:paraId="5D72B124">
                  <w:pPr>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674" w:type="pct"/>
                  <w:vMerge w:val="continue"/>
                  <w:vAlign w:val="center"/>
                </w:tcPr>
                <w:p w14:paraId="3662C8A1">
                  <w:pPr>
                    <w:jc w:val="center"/>
                    <w:rPr>
                      <w:rFonts w:hint="eastAsia"/>
                      <w:color w:val="000000" w:themeColor="text1"/>
                      <w:szCs w:val="21"/>
                      <w:highlight w:val="none"/>
                      <w14:textFill>
                        <w14:solidFill>
                          <w14:schemeClr w14:val="tx1"/>
                        </w14:solidFill>
                      </w14:textFill>
                    </w:rPr>
                  </w:pPr>
                </w:p>
              </w:tc>
              <w:tc>
                <w:tcPr>
                  <w:tcW w:w="570" w:type="pct"/>
                  <w:shd w:val="clear" w:color="auto" w:fill="auto"/>
                  <w:vAlign w:val="center"/>
                </w:tcPr>
                <w:p w14:paraId="60EAE8E1">
                  <w:pPr>
                    <w:snapToGrid w:val="0"/>
                    <w:jc w:val="center"/>
                    <w:rPr>
                      <w:rFonts w:hint="eastAsia" w:ascii="Times New Roman" w:hAnsi="Times New Roman" w:eastAsia="宋体" w:cs="Times New Roman"/>
                      <w:kern w:val="2"/>
                      <w:sz w:val="21"/>
                      <w:szCs w:val="21"/>
                      <w:highlight w:val="none"/>
                      <w:lang w:val="en-US" w:eastAsia="zh-CN" w:bidi="ar-SA"/>
                    </w:rPr>
                  </w:pPr>
                  <w:r>
                    <w:rPr>
                      <w:rFonts w:hint="eastAsia" w:cs="Times New Roman"/>
                      <w:szCs w:val="21"/>
                      <w:highlight w:val="none"/>
                      <w:lang w:val="en-US" w:eastAsia="zh-CN"/>
                    </w:rPr>
                    <w:t>硫</w:t>
                  </w:r>
                  <w:r>
                    <w:rPr>
                      <w:rFonts w:hint="eastAsia" w:cs="Times New Roman"/>
                      <w:szCs w:val="21"/>
                      <w:highlight w:val="none"/>
                      <w:lang w:eastAsia="zh-CN"/>
                    </w:rPr>
                    <w:t>化氢</w:t>
                  </w:r>
                </w:p>
              </w:tc>
              <w:tc>
                <w:tcPr>
                  <w:tcW w:w="717" w:type="pct"/>
                  <w:vAlign w:val="center"/>
                </w:tcPr>
                <w:p w14:paraId="360D3642">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1次/年</w:t>
                  </w:r>
                </w:p>
              </w:tc>
              <w:tc>
                <w:tcPr>
                  <w:tcW w:w="774" w:type="pct"/>
                  <w:vAlign w:val="center"/>
                </w:tcPr>
                <w:p w14:paraId="29C3F344">
                  <w:pPr>
                    <w:jc w:val="center"/>
                    <w:rPr>
                      <w:rFonts w:hint="default"/>
                      <w:color w:val="0000FF"/>
                      <w:szCs w:val="21"/>
                      <w:highlight w:val="none"/>
                      <w:lang w:val="en-US" w:eastAsia="zh-CN"/>
                    </w:rPr>
                  </w:pPr>
                  <w:r>
                    <w:rPr>
                      <w:rFonts w:hint="eastAsia"/>
                      <w:color w:val="000000" w:themeColor="text1"/>
                      <w:szCs w:val="21"/>
                      <w:highlight w:val="none"/>
                      <w:lang w:val="en-US" w:eastAsia="zh-CN"/>
                      <w14:textFill>
                        <w14:solidFill>
                          <w14:schemeClr w14:val="tx1"/>
                        </w14:solidFill>
                      </w14:textFill>
                    </w:rPr>
                    <w:t>19.33</w:t>
                  </w:r>
                </w:p>
              </w:tc>
              <w:tc>
                <w:tcPr>
                  <w:tcW w:w="666" w:type="pct"/>
                  <w:vAlign w:val="center"/>
                </w:tcPr>
                <w:p w14:paraId="55633894">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0.5</w:t>
                  </w:r>
                </w:p>
              </w:tc>
              <w:tc>
                <w:tcPr>
                  <w:tcW w:w="693" w:type="pct"/>
                  <w:shd w:val="clear" w:color="auto" w:fill="auto"/>
                  <w:vAlign w:val="center"/>
                </w:tcPr>
                <w:p w14:paraId="2B413E52">
                  <w:pPr>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eastAsia="宋体"/>
                      <w:color w:val="000000" w:themeColor="text1"/>
                      <w:szCs w:val="21"/>
                      <w:highlight w:val="none"/>
                      <w:lang w:val="en-US" w:eastAsia="zh-CN"/>
                      <w14:textFill>
                        <w14:solidFill>
                          <w14:schemeClr w14:val="tx1"/>
                        </w14:solidFill>
                      </w14:textFill>
                    </w:rPr>
                    <w:t>0.</w:t>
                  </w:r>
                  <w:r>
                    <w:rPr>
                      <w:rFonts w:hint="eastAsia"/>
                      <w:color w:val="000000" w:themeColor="text1"/>
                      <w:szCs w:val="21"/>
                      <w:highlight w:val="none"/>
                      <w:lang w:val="en-US" w:eastAsia="zh-CN"/>
                      <w14:textFill>
                        <w14:solidFill>
                          <w14:schemeClr w14:val="tx1"/>
                        </w14:solidFill>
                      </w14:textFill>
                    </w:rPr>
                    <w:t>437</w:t>
                  </w:r>
                </w:p>
              </w:tc>
            </w:tr>
            <w:tr w14:paraId="314BCA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03" w:type="pct"/>
                  <w:vMerge w:val="continue"/>
                  <w:shd w:val="clear" w:color="auto" w:fill="auto"/>
                  <w:vAlign w:val="center"/>
                </w:tcPr>
                <w:p w14:paraId="0CF62046">
                  <w:pPr>
                    <w:jc w:val="center"/>
                    <w:rPr>
                      <w:rFonts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674" w:type="pct"/>
                  <w:vMerge w:val="continue"/>
                  <w:vAlign w:val="center"/>
                </w:tcPr>
                <w:p w14:paraId="2CED6494">
                  <w:pPr>
                    <w:jc w:val="center"/>
                    <w:rPr>
                      <w:color w:val="000000" w:themeColor="text1"/>
                      <w:szCs w:val="21"/>
                      <w:highlight w:val="none"/>
                      <w14:textFill>
                        <w14:solidFill>
                          <w14:schemeClr w14:val="tx1"/>
                        </w14:solidFill>
                      </w14:textFill>
                    </w:rPr>
                  </w:pPr>
                </w:p>
              </w:tc>
              <w:tc>
                <w:tcPr>
                  <w:tcW w:w="570" w:type="pct"/>
                  <w:shd w:val="clear" w:color="auto" w:fill="auto"/>
                  <w:vAlign w:val="center"/>
                </w:tcPr>
                <w:p w14:paraId="2A385B9B">
                  <w:pPr>
                    <w:snapToGrid w:val="0"/>
                    <w:jc w:val="center"/>
                    <w:rPr>
                      <w:rFonts w:ascii="Times New Roman" w:hAnsi="Times New Roman" w:eastAsia="宋体" w:cs="Times New Roman"/>
                      <w:kern w:val="2"/>
                      <w:sz w:val="21"/>
                      <w:szCs w:val="21"/>
                      <w:highlight w:val="none"/>
                      <w:lang w:val="en-US" w:eastAsia="zh-CN" w:bidi="ar-SA"/>
                    </w:rPr>
                  </w:pPr>
                  <w:r>
                    <w:rPr>
                      <w:rFonts w:ascii="Times New Roman" w:hAnsi="Times New Roman" w:eastAsia="宋体" w:cs="Times New Roman"/>
                      <w:szCs w:val="21"/>
                      <w:highlight w:val="none"/>
                    </w:rPr>
                    <w:t>氨</w:t>
                  </w:r>
                </w:p>
              </w:tc>
              <w:tc>
                <w:tcPr>
                  <w:tcW w:w="717" w:type="pct"/>
                  <w:vAlign w:val="center"/>
                </w:tcPr>
                <w:p w14:paraId="4F1F1AFB">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1次/年</w:t>
                  </w:r>
                </w:p>
              </w:tc>
              <w:tc>
                <w:tcPr>
                  <w:tcW w:w="774" w:type="pct"/>
                  <w:vAlign w:val="center"/>
                </w:tcPr>
                <w:p w14:paraId="775AE892">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10</w:t>
                  </w:r>
                </w:p>
              </w:tc>
              <w:tc>
                <w:tcPr>
                  <w:tcW w:w="666" w:type="pct"/>
                  <w:vAlign w:val="center"/>
                </w:tcPr>
                <w:p w14:paraId="75991DA0">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0.5</w:t>
                  </w:r>
                </w:p>
              </w:tc>
              <w:tc>
                <w:tcPr>
                  <w:tcW w:w="693" w:type="pct"/>
                  <w:vAlign w:val="center"/>
                </w:tcPr>
                <w:p w14:paraId="0E12753F">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0.847</w:t>
                  </w:r>
                </w:p>
              </w:tc>
            </w:tr>
          </w:tbl>
          <w:p w14:paraId="57F5CDEB">
            <w:pPr>
              <w:spacing w:before="120" w:beforeLines="50" w:line="360" w:lineRule="auto"/>
              <w:ind w:firstLine="482"/>
              <w:rPr>
                <w:b/>
                <w:sz w:val="24"/>
                <w:highlight w:val="none"/>
              </w:rPr>
            </w:pPr>
            <w:r>
              <w:rPr>
                <w:rFonts w:hint="eastAsia"/>
                <w:b/>
                <w:sz w:val="24"/>
                <w:highlight w:val="none"/>
              </w:rPr>
              <w:t>（</w:t>
            </w:r>
            <w:r>
              <w:rPr>
                <w:b/>
                <w:sz w:val="24"/>
                <w:highlight w:val="none"/>
              </w:rPr>
              <w:t>8</w:t>
            </w:r>
            <w:r>
              <w:rPr>
                <w:rFonts w:hint="eastAsia"/>
                <w:b/>
                <w:sz w:val="24"/>
                <w:highlight w:val="none"/>
              </w:rPr>
              <w:t>）大气环境影响分析结论</w:t>
            </w:r>
          </w:p>
          <w:p w14:paraId="0BE98BCA">
            <w:pPr>
              <w:spacing w:line="360" w:lineRule="auto"/>
              <w:ind w:firstLine="480"/>
              <w:rPr>
                <w:sz w:val="24"/>
                <w:highlight w:val="none"/>
              </w:rPr>
            </w:pPr>
            <w:r>
              <w:rPr>
                <w:rFonts w:hint="eastAsia"/>
                <w:sz w:val="24"/>
                <w:highlight w:val="none"/>
              </w:rPr>
              <w:t>经上述分析、计算，通过采用各项大气污染防范措施，项目</w:t>
            </w:r>
            <w:r>
              <w:rPr>
                <w:rFonts w:hint="eastAsia"/>
                <w:sz w:val="24"/>
                <w:highlight w:val="none"/>
                <w:lang w:val="en-US" w:eastAsia="zh-CN"/>
              </w:rPr>
              <w:t>污染物</w:t>
            </w:r>
            <w:r>
              <w:rPr>
                <w:rFonts w:hint="eastAsia"/>
                <w:sz w:val="24"/>
                <w:highlight w:val="none"/>
              </w:rPr>
              <w:t>的排放均符合达标排放要求，对周边环境影响程度较轻，项目产生的大气环境影响可接受。</w:t>
            </w:r>
          </w:p>
          <w:p w14:paraId="19A46893">
            <w:pPr>
              <w:spacing w:line="360" w:lineRule="auto"/>
              <w:ind w:firstLine="482"/>
              <w:rPr>
                <w:b/>
                <w:sz w:val="24"/>
                <w:highlight w:val="none"/>
              </w:rPr>
            </w:pPr>
            <w:r>
              <w:rPr>
                <w:b/>
                <w:sz w:val="24"/>
                <w:highlight w:val="none"/>
              </w:rPr>
              <w:t>2．</w:t>
            </w:r>
            <w:r>
              <w:rPr>
                <w:rFonts w:hint="eastAsia"/>
                <w:b/>
                <w:sz w:val="24"/>
                <w:highlight w:val="none"/>
              </w:rPr>
              <w:t>水环境影响和保护措施</w:t>
            </w:r>
          </w:p>
          <w:p w14:paraId="267E901C">
            <w:pPr>
              <w:spacing w:line="360" w:lineRule="auto"/>
              <w:ind w:firstLine="480"/>
              <w:rPr>
                <w:b/>
                <w:bCs/>
                <w:sz w:val="24"/>
                <w:highlight w:val="none"/>
              </w:rPr>
            </w:pPr>
            <w:r>
              <w:rPr>
                <w:b/>
                <w:bCs/>
                <w:sz w:val="24"/>
                <w:highlight w:val="none"/>
              </w:rPr>
              <w:t>（1）废水产生情况</w:t>
            </w:r>
          </w:p>
          <w:p w14:paraId="606B3F50">
            <w:pPr>
              <w:spacing w:line="360" w:lineRule="auto"/>
              <w:ind w:firstLine="480"/>
              <w:rPr>
                <w:sz w:val="24"/>
                <w:highlight w:val="none"/>
              </w:rPr>
            </w:pPr>
            <w:r>
              <w:rPr>
                <w:sz w:val="24"/>
                <w:highlight w:val="none"/>
              </w:rPr>
              <w:t>项目废水主要为生活污水。</w:t>
            </w:r>
          </w:p>
          <w:p w14:paraId="0D68C24C">
            <w:pPr>
              <w:spacing w:line="360" w:lineRule="auto"/>
              <w:ind w:firstLine="480"/>
              <w:rPr>
                <w:sz w:val="24"/>
                <w:highlight w:val="none"/>
              </w:rPr>
            </w:pPr>
            <w:r>
              <w:rPr>
                <w:rFonts w:hint="eastAsia"/>
                <w:sz w:val="24"/>
                <w:highlight w:val="none"/>
              </w:rPr>
              <w:t>生活污水产生量为</w:t>
            </w:r>
            <w:r>
              <w:rPr>
                <w:rFonts w:hint="eastAsia"/>
                <w:sz w:val="24"/>
                <w:highlight w:val="none"/>
                <w:lang w:val="en-US" w:eastAsia="zh-CN"/>
              </w:rPr>
              <w:t>0.144</w:t>
            </w:r>
            <w:r>
              <w:rPr>
                <w:sz w:val="24"/>
                <w:highlight w:val="none"/>
              </w:rPr>
              <w:t>m</w:t>
            </w:r>
            <w:r>
              <w:rPr>
                <w:sz w:val="24"/>
                <w:highlight w:val="none"/>
                <w:vertAlign w:val="superscript"/>
              </w:rPr>
              <w:t>3</w:t>
            </w:r>
            <w:r>
              <w:rPr>
                <w:sz w:val="24"/>
                <w:highlight w:val="none"/>
              </w:rPr>
              <w:t>/d</w:t>
            </w:r>
            <w:r>
              <w:rPr>
                <w:rFonts w:hint="eastAsia"/>
                <w:sz w:val="24"/>
                <w:highlight w:val="none"/>
              </w:rPr>
              <w:t>（</w:t>
            </w:r>
            <w:r>
              <w:rPr>
                <w:rFonts w:hint="eastAsia"/>
                <w:sz w:val="24"/>
                <w:highlight w:val="none"/>
                <w:lang w:val="en-US" w:eastAsia="zh-CN"/>
              </w:rPr>
              <w:t>52.8</w:t>
            </w:r>
            <w:r>
              <w:rPr>
                <w:sz w:val="24"/>
                <w:highlight w:val="none"/>
              </w:rPr>
              <w:t>m</w:t>
            </w:r>
            <w:r>
              <w:rPr>
                <w:sz w:val="24"/>
                <w:highlight w:val="none"/>
                <w:vertAlign w:val="superscript"/>
              </w:rPr>
              <w:t>3</w:t>
            </w:r>
            <w:r>
              <w:rPr>
                <w:sz w:val="24"/>
                <w:highlight w:val="none"/>
              </w:rPr>
              <w:t>/a</w:t>
            </w:r>
            <w:r>
              <w:rPr>
                <w:rFonts w:hint="eastAsia"/>
                <w:sz w:val="24"/>
                <w:highlight w:val="none"/>
              </w:rPr>
              <w:t>），</w:t>
            </w:r>
            <w:r>
              <w:rPr>
                <w:sz w:val="24"/>
                <w:highlight w:val="none"/>
              </w:rPr>
              <w:t>主要污染因子为pH、COD、BOD</w:t>
            </w:r>
            <w:r>
              <w:rPr>
                <w:sz w:val="24"/>
                <w:highlight w:val="none"/>
                <w:vertAlign w:val="subscript"/>
              </w:rPr>
              <w:t>5</w:t>
            </w:r>
            <w:r>
              <w:rPr>
                <w:sz w:val="24"/>
                <w:highlight w:val="none"/>
              </w:rPr>
              <w:t>、SS、氨氮等，</w:t>
            </w:r>
            <w:r>
              <w:rPr>
                <w:rFonts w:hint="eastAsia"/>
                <w:sz w:val="24"/>
                <w:highlight w:val="none"/>
                <w:lang w:val="en-US" w:eastAsia="zh-CN"/>
              </w:rPr>
              <w:t>生</w:t>
            </w:r>
            <w:r>
              <w:rPr>
                <w:rFonts w:hint="eastAsia" w:ascii="Times New Roman" w:hAnsi="Times New Roman" w:eastAsia="宋体" w:cs="Times New Roman"/>
                <w:sz w:val="24"/>
                <w:highlight w:val="none"/>
                <w:lang w:val="en-US" w:eastAsia="zh-CN"/>
              </w:rPr>
              <w:t>活污水依托承德坤元环保科技有限公司化粪池处理后最终</w:t>
            </w:r>
            <w:r>
              <w:rPr>
                <w:rFonts w:hint="eastAsia"/>
                <w:sz w:val="24"/>
                <w:highlight w:val="none"/>
                <w:lang w:val="en-US" w:eastAsia="zh-CN"/>
              </w:rPr>
              <w:t>进</w:t>
            </w:r>
            <w:r>
              <w:rPr>
                <w:rFonts w:hint="eastAsia" w:ascii="Times New Roman" w:hAnsi="Times New Roman" w:eastAsia="宋体" w:cs="Times New Roman"/>
                <w:sz w:val="24"/>
                <w:highlight w:val="none"/>
                <w:lang w:val="en-US" w:eastAsia="zh-CN"/>
              </w:rPr>
              <w:t>入宽城碧水源环保有限公司</w:t>
            </w:r>
            <w:r>
              <w:rPr>
                <w:sz w:val="24"/>
                <w:highlight w:val="none"/>
              </w:rPr>
              <w:t>。</w:t>
            </w:r>
          </w:p>
          <w:p w14:paraId="7CB07F94">
            <w:pPr>
              <w:spacing w:line="360" w:lineRule="auto"/>
              <w:ind w:firstLine="480"/>
              <w:rPr>
                <w:rFonts w:hint="eastAsia" w:eastAsia="宋体"/>
                <w:b/>
                <w:sz w:val="24"/>
                <w:highlight w:val="none"/>
                <w:lang w:eastAsia="zh-CN"/>
              </w:rPr>
            </w:pPr>
            <w:r>
              <w:rPr>
                <w:rFonts w:hint="eastAsia"/>
                <w:b/>
                <w:sz w:val="24"/>
                <w:highlight w:val="none"/>
                <w:lang w:eastAsia="zh-CN"/>
              </w:rPr>
              <w:t>（</w:t>
            </w:r>
            <w:r>
              <w:rPr>
                <w:rFonts w:hint="eastAsia"/>
                <w:b/>
                <w:sz w:val="24"/>
                <w:highlight w:val="none"/>
                <w:lang w:val="en-US" w:eastAsia="zh-CN"/>
              </w:rPr>
              <w:t>2</w:t>
            </w:r>
            <w:r>
              <w:rPr>
                <w:rFonts w:hint="eastAsia"/>
                <w:b/>
                <w:sz w:val="24"/>
                <w:highlight w:val="none"/>
                <w:lang w:eastAsia="zh-CN"/>
              </w:rPr>
              <w:t>）</w:t>
            </w:r>
            <w:r>
              <w:rPr>
                <w:rFonts w:ascii="Times New Roman" w:hAnsi="Times New Roman"/>
                <w:b/>
                <w:bCs/>
                <w:sz w:val="24"/>
                <w:highlight w:val="none"/>
              </w:rPr>
              <w:t>废水污染治理设施可行性分析</w:t>
            </w:r>
          </w:p>
          <w:p w14:paraId="2328B865">
            <w:pPr>
              <w:spacing w:line="360" w:lineRule="auto"/>
              <w:ind w:firstLine="480"/>
              <w:rPr>
                <w:rFonts w:hint="eastAsia" w:eastAsia="宋体"/>
                <w:b/>
                <w:sz w:val="24"/>
                <w:highlight w:val="none"/>
                <w:lang w:eastAsia="zh-CN"/>
              </w:rPr>
            </w:pPr>
            <w:r>
              <w:rPr>
                <w:rFonts w:hint="eastAsia" w:ascii="Times New Roman" w:hAnsi="Times New Roman"/>
                <w:sz w:val="24"/>
                <w:highlight w:val="none"/>
              </w:rPr>
              <w:t>项目废水为生活污水，</w:t>
            </w:r>
            <w:r>
              <w:rPr>
                <w:rFonts w:hint="eastAsia" w:ascii="Times New Roman" w:hAnsi="Times New Roman" w:eastAsia="宋体" w:cs="Times New Roman"/>
                <w:sz w:val="24"/>
                <w:highlight w:val="none"/>
                <w:lang w:val="en-US" w:eastAsia="zh-CN"/>
              </w:rPr>
              <w:t>依托承德坤元环保科技有限公司化粪池</w:t>
            </w:r>
            <w:r>
              <w:rPr>
                <w:rFonts w:hint="eastAsia" w:ascii="Times New Roman" w:hAnsi="Times New Roman"/>
                <w:sz w:val="24"/>
                <w:highlight w:val="none"/>
              </w:rPr>
              <w:t>，抽运至</w:t>
            </w:r>
            <w:r>
              <w:rPr>
                <w:rFonts w:hint="eastAsia" w:ascii="Times New Roman" w:hAnsi="Times New Roman" w:cs="Times New Roman"/>
                <w:color w:val="000000" w:themeColor="text1"/>
                <w:sz w:val="24"/>
                <w:highlight w:val="none"/>
                <w:lang w:eastAsia="zh-CN"/>
                <w14:textFill>
                  <w14:solidFill>
                    <w14:schemeClr w14:val="tx1"/>
                  </w14:solidFill>
                </w14:textFill>
              </w:rPr>
              <w:t>宽城碧水源环保有限公司</w:t>
            </w:r>
            <w:r>
              <w:rPr>
                <w:rFonts w:hint="eastAsia" w:ascii="Times New Roman" w:hAnsi="Times New Roman" w:cs="Times New Roman"/>
                <w:color w:val="000000" w:themeColor="text1"/>
                <w:sz w:val="24"/>
                <w:highlight w:val="none"/>
                <w:lang w:val="en-US" w:eastAsia="zh-CN"/>
                <w14:textFill>
                  <w14:solidFill>
                    <w14:schemeClr w14:val="tx1"/>
                  </w14:solidFill>
                </w14:textFill>
              </w:rPr>
              <w:t>处理</w:t>
            </w:r>
            <w:r>
              <w:rPr>
                <w:rFonts w:hint="eastAsia" w:ascii="Times New Roman" w:hAnsi="Times New Roman"/>
                <w:sz w:val="24"/>
                <w:highlight w:val="none"/>
              </w:rPr>
              <w:t>。根据</w:t>
            </w:r>
            <w:r>
              <w:rPr>
                <w:rFonts w:hint="eastAsia"/>
                <w:sz w:val="24"/>
                <w:highlight w:val="none"/>
              </w:rPr>
              <w:t>《排污许可申请与核发技术规范 工业固体废物和危险废物治理》（HJ1033-2019），生活污水治理可行技术为预处理（过滤、沉淀等），化粪池是一种利用沉淀和厌氧发酵的原理，去除生活污水中悬浮性有机物的处理设施，可实现生活污水的初级处理，技术可行</w:t>
            </w:r>
            <w:r>
              <w:rPr>
                <w:rFonts w:hint="eastAsia"/>
                <w:sz w:val="24"/>
                <w:highlight w:val="none"/>
                <w:lang w:eastAsia="zh-CN"/>
              </w:rPr>
              <w:t>。</w:t>
            </w:r>
          </w:p>
          <w:p w14:paraId="13E21EBA">
            <w:pPr>
              <w:spacing w:line="360" w:lineRule="auto"/>
              <w:ind w:firstLine="480"/>
              <w:rPr>
                <w:rFonts w:hint="eastAsia" w:ascii="Times New Roman" w:hAnsi="Times New Roman" w:cs="Times New Roman"/>
                <w:sz w:val="24"/>
                <w:highlight w:val="none"/>
                <w:lang w:val="en-US" w:eastAsia="zh-CN"/>
              </w:rPr>
            </w:pPr>
            <w:r>
              <w:rPr>
                <w:rFonts w:hint="eastAsia" w:ascii="Times New Roman" w:hAnsi="Times New Roman" w:eastAsia="宋体" w:cs="Times New Roman"/>
                <w:sz w:val="24"/>
                <w:highlight w:val="none"/>
                <w:lang w:val="en-US" w:eastAsia="zh-CN"/>
              </w:rPr>
              <w:t>承德坤元环保科技有限公司废水产生量为0.9m</w:t>
            </w:r>
            <w:r>
              <w:rPr>
                <w:rFonts w:hint="eastAsia" w:ascii="Times New Roman" w:hAnsi="Times New Roman" w:eastAsia="宋体" w:cs="Times New Roman"/>
                <w:sz w:val="24"/>
                <w:highlight w:val="none"/>
                <w:vertAlign w:val="superscript"/>
                <w:lang w:val="en-US" w:eastAsia="zh-CN"/>
              </w:rPr>
              <w:t>3</w:t>
            </w:r>
            <w:r>
              <w:rPr>
                <w:rFonts w:hint="eastAsia" w:ascii="Times New Roman" w:hAnsi="Times New Roman" w:eastAsia="宋体" w:cs="Times New Roman"/>
                <w:sz w:val="24"/>
                <w:highlight w:val="none"/>
                <w:lang w:val="en-US" w:eastAsia="zh-CN"/>
              </w:rPr>
              <w:t>/d，化粪池容积为2m</w:t>
            </w:r>
            <w:r>
              <w:rPr>
                <w:rFonts w:hint="eastAsia" w:ascii="Times New Roman" w:hAnsi="Times New Roman" w:eastAsia="宋体" w:cs="Times New Roman"/>
                <w:sz w:val="24"/>
                <w:highlight w:val="none"/>
                <w:vertAlign w:val="superscript"/>
                <w:lang w:val="en-US" w:eastAsia="zh-CN"/>
              </w:rPr>
              <w:t>3</w:t>
            </w:r>
            <w:r>
              <w:rPr>
                <w:rFonts w:hint="eastAsia" w:ascii="Times New Roman" w:hAnsi="Times New Roman" w:eastAsia="宋体" w:cs="Times New Roman"/>
                <w:sz w:val="24"/>
                <w:highlight w:val="none"/>
                <w:lang w:val="en-US" w:eastAsia="zh-CN"/>
              </w:rPr>
              <w:t>，剩余容积为1.1m</w:t>
            </w:r>
            <w:r>
              <w:rPr>
                <w:rFonts w:hint="eastAsia" w:ascii="Times New Roman" w:hAnsi="Times New Roman" w:eastAsia="宋体" w:cs="Times New Roman"/>
                <w:sz w:val="24"/>
                <w:highlight w:val="none"/>
                <w:vertAlign w:val="superscript"/>
                <w:lang w:val="en-US" w:eastAsia="zh-CN"/>
              </w:rPr>
              <w:t>3</w:t>
            </w:r>
            <w:r>
              <w:rPr>
                <w:rFonts w:hint="eastAsia" w:ascii="Times New Roman" w:hAnsi="Times New Roman" w:eastAsia="宋体" w:cs="Times New Roman"/>
                <w:sz w:val="24"/>
                <w:highlight w:val="none"/>
                <w:lang w:val="en-US" w:eastAsia="zh-CN"/>
              </w:rPr>
              <w:t>，本项目产生废水量为</w:t>
            </w:r>
            <w:r>
              <w:rPr>
                <w:rFonts w:hint="eastAsia"/>
                <w:sz w:val="24"/>
                <w:highlight w:val="none"/>
                <w:lang w:val="en-US" w:eastAsia="zh-CN"/>
              </w:rPr>
              <w:t>0.144</w:t>
            </w:r>
            <w:r>
              <w:rPr>
                <w:sz w:val="24"/>
                <w:highlight w:val="none"/>
              </w:rPr>
              <w:t>m</w:t>
            </w:r>
            <w:r>
              <w:rPr>
                <w:sz w:val="24"/>
                <w:highlight w:val="none"/>
                <w:vertAlign w:val="superscript"/>
              </w:rPr>
              <w:t>3</w:t>
            </w:r>
            <w:r>
              <w:rPr>
                <w:sz w:val="24"/>
                <w:highlight w:val="none"/>
              </w:rPr>
              <w:t>/d</w:t>
            </w:r>
            <w:r>
              <w:rPr>
                <w:rFonts w:hint="eastAsia"/>
                <w:sz w:val="24"/>
                <w:highlight w:val="none"/>
                <w:lang w:eastAsia="zh-CN"/>
              </w:rPr>
              <w:t>，</w:t>
            </w:r>
            <w:r>
              <w:rPr>
                <w:rFonts w:hint="eastAsia"/>
                <w:sz w:val="24"/>
                <w:highlight w:val="none"/>
                <w:lang w:val="en-US" w:eastAsia="zh-CN"/>
              </w:rPr>
              <w:t>占</w:t>
            </w:r>
            <w:r>
              <w:rPr>
                <w:rFonts w:hint="eastAsia" w:ascii="Times New Roman" w:hAnsi="Times New Roman" w:eastAsia="宋体" w:cs="Times New Roman"/>
                <w:sz w:val="24"/>
                <w:highlight w:val="none"/>
                <w:lang w:val="en-US" w:eastAsia="zh-CN"/>
              </w:rPr>
              <w:t>承德坤元环保科技有限公司</w:t>
            </w:r>
            <w:r>
              <w:rPr>
                <w:rFonts w:hint="eastAsia"/>
                <w:sz w:val="24"/>
                <w:highlight w:val="none"/>
                <w:lang w:val="en-US" w:eastAsia="zh-CN"/>
              </w:rPr>
              <w:t>化粪池容积的13%</w:t>
            </w:r>
            <w:r>
              <w:rPr>
                <w:rFonts w:hint="eastAsia" w:ascii="Times New Roman" w:hAnsi="Times New Roman" w:eastAsia="宋体" w:cs="Times New Roman"/>
                <w:sz w:val="24"/>
                <w:highlight w:val="none"/>
                <w:lang w:val="en-US" w:eastAsia="zh-CN"/>
              </w:rPr>
              <w:t>，可以满足</w:t>
            </w:r>
            <w:r>
              <w:rPr>
                <w:rFonts w:hint="eastAsia" w:ascii="Times New Roman" w:hAnsi="Times New Roman" w:cs="Times New Roman"/>
                <w:sz w:val="24"/>
                <w:highlight w:val="none"/>
                <w:lang w:val="en-US" w:eastAsia="zh-CN"/>
              </w:rPr>
              <w:t>本项目</w:t>
            </w:r>
            <w:r>
              <w:rPr>
                <w:rFonts w:hint="eastAsia" w:ascii="Times New Roman" w:hAnsi="Times New Roman" w:eastAsia="宋体" w:cs="Times New Roman"/>
                <w:sz w:val="24"/>
                <w:highlight w:val="none"/>
                <w:lang w:val="en-US" w:eastAsia="zh-CN"/>
              </w:rPr>
              <w:t>污水排放需求</w:t>
            </w:r>
            <w:r>
              <w:rPr>
                <w:rFonts w:hint="eastAsia" w:ascii="Times New Roman" w:hAnsi="Times New Roman" w:cs="Times New Roman"/>
                <w:sz w:val="24"/>
                <w:highlight w:val="none"/>
                <w:lang w:val="en-US" w:eastAsia="zh-CN"/>
              </w:rPr>
              <w:t>。</w:t>
            </w:r>
          </w:p>
          <w:p w14:paraId="775E26E5">
            <w:pPr>
              <w:snapToGrid w:val="0"/>
              <w:spacing w:line="360" w:lineRule="auto"/>
              <w:ind w:firstLine="482"/>
              <w:rPr>
                <w:rFonts w:hint="default"/>
                <w:highlight w:val="none"/>
                <w:lang w:val="en-US" w:eastAsia="zh-CN"/>
              </w:rPr>
            </w:pPr>
            <w:r>
              <w:rPr>
                <w:rFonts w:hint="default" w:ascii="Times New Roman" w:hAnsi="Times New Roman" w:cs="Times New Roman"/>
                <w:color w:val="000000" w:themeColor="text1"/>
                <w:kern w:val="0"/>
                <w:sz w:val="24"/>
                <w:szCs w:val="21"/>
                <w:highlight w:val="none"/>
                <w14:textFill>
                  <w14:solidFill>
                    <w14:schemeClr w14:val="tx1"/>
                  </w14:solidFill>
                </w14:textFill>
              </w:rPr>
              <w:t>宽城碧水源环保有限公司</w:t>
            </w:r>
            <w:r>
              <w:rPr>
                <w:rFonts w:hint="default" w:ascii="Times New Roman" w:hAnsi="Times New Roman" w:cs="Times New Roman"/>
                <w:color w:val="000000"/>
                <w:sz w:val="24"/>
                <w:highlight w:val="none"/>
                <w:lang w:bidi="ar"/>
              </w:rPr>
              <w:t>选址位于宽城县化皮溜子镇三家村，</w:t>
            </w:r>
            <w:r>
              <w:rPr>
                <w:rFonts w:hint="eastAsia" w:ascii="Times New Roman"/>
                <w:color w:val="000000" w:themeColor="text1"/>
                <w:sz w:val="24"/>
                <w:highlight w:val="none"/>
                <w:lang w:val="en-US" w:eastAsia="zh-CN"/>
                <w14:textFill>
                  <w14:solidFill>
                    <w14:schemeClr w14:val="tx1"/>
                  </w14:solidFill>
                </w14:textFill>
              </w:rPr>
              <w:t>现有一期工程、二期工程处理能力总为4万t/d，</w:t>
            </w:r>
            <w:r>
              <w:rPr>
                <w:rFonts w:ascii="Times New Roman" w:hAnsi="Times New Roman" w:cs="Times New Roman"/>
                <w:color w:val="000000" w:themeColor="text1"/>
                <w:sz w:val="24"/>
                <w:highlight w:val="none"/>
                <w14:textFill>
                  <w14:solidFill>
                    <w14:schemeClr w14:val="tx1"/>
                  </w14:solidFill>
                </w14:textFill>
              </w:rPr>
              <w:t>项目</w:t>
            </w:r>
            <w:r>
              <w:rPr>
                <w:rFonts w:hint="eastAsia" w:ascii="Times New Roman" w:hAnsi="Times New Roman" w:cs="Times New Roman"/>
                <w:color w:val="000000" w:themeColor="text1"/>
                <w:sz w:val="24"/>
                <w:highlight w:val="none"/>
                <w:lang w:val="en-US" w:eastAsia="zh-CN"/>
                <w14:textFill>
                  <w14:solidFill>
                    <w14:schemeClr w14:val="tx1"/>
                  </w14:solidFill>
                </w14:textFill>
              </w:rPr>
              <w:t>废水总量为21.281</w:t>
            </w:r>
            <w:r>
              <w:rPr>
                <w:rFonts w:ascii="Times New Roman" w:hAnsi="Times New Roman" w:cs="Times New Roman"/>
                <w:color w:val="000000" w:themeColor="text1"/>
                <w:sz w:val="24"/>
                <w:highlight w:val="none"/>
                <w14:textFill>
                  <w14:solidFill>
                    <w14:schemeClr w14:val="tx1"/>
                  </w14:solidFill>
                </w14:textFill>
              </w:rPr>
              <w:t>m</w:t>
            </w:r>
            <w:r>
              <w:rPr>
                <w:rFonts w:hint="eastAsia" w:ascii="Times New Roman" w:hAnsi="Times New Roman" w:cs="Times New Roman"/>
                <w:color w:val="000000" w:themeColor="text1"/>
                <w:sz w:val="24"/>
                <w:highlight w:val="none"/>
                <w:vertAlign w:val="superscript"/>
                <w:lang w:val="en-US" w:eastAsia="zh-CN"/>
                <w14:textFill>
                  <w14:solidFill>
                    <w14:schemeClr w14:val="tx1"/>
                  </w14:solidFill>
                </w14:textFill>
              </w:rPr>
              <w:t>3</w:t>
            </w:r>
            <w:r>
              <w:rPr>
                <w:rFonts w:ascii="Times New Roman" w:hAnsi="Times New Roman" w:cs="Times New Roman"/>
                <w:color w:val="000000" w:themeColor="text1"/>
                <w:sz w:val="24"/>
                <w:highlight w:val="none"/>
                <w14:textFill>
                  <w14:solidFill>
                    <w14:schemeClr w14:val="tx1"/>
                  </w14:solidFill>
                </w14:textFill>
              </w:rPr>
              <w:t>/d</w:t>
            </w:r>
            <w:r>
              <w:rPr>
                <w:rFonts w:hint="eastAsia" w:ascii="Times New Roman" w:hAnsi="Times New Roman" w:cs="Times New Roman"/>
                <w:color w:val="000000" w:themeColor="text1"/>
                <w:sz w:val="24"/>
                <w:highlight w:val="none"/>
                <w:lang w:eastAsia="zh-CN"/>
                <w14:textFill>
                  <w14:solidFill>
                    <w14:schemeClr w14:val="tx1"/>
                  </w14:solidFill>
                </w14:textFill>
              </w:rPr>
              <w:t>，</w:t>
            </w:r>
            <w:r>
              <w:rPr>
                <w:rFonts w:ascii="Times New Roman" w:hAnsi="Times New Roman" w:cs="Times New Roman"/>
                <w:color w:val="000000" w:themeColor="text1"/>
                <w:sz w:val="24"/>
                <w:highlight w:val="none"/>
                <w14:textFill>
                  <w14:solidFill>
                    <w14:schemeClr w14:val="tx1"/>
                  </w14:solidFill>
                </w14:textFill>
              </w:rPr>
              <w:t>本项目污水排放量低于该污水处理厂的剩余接纳能力，因此该污水处理厂能够接纳本项目产生的全部污水</w:t>
            </w:r>
            <w:r>
              <w:rPr>
                <w:rFonts w:hint="eastAsia" w:ascii="Times New Roman" w:hAnsi="Times New Roman" w:cs="Times New Roman"/>
                <w:color w:val="000000" w:themeColor="text1"/>
                <w:sz w:val="24"/>
                <w:highlight w:val="none"/>
                <w:lang w:eastAsia="zh-CN"/>
                <w14:textFill>
                  <w14:solidFill>
                    <w14:schemeClr w14:val="tx1"/>
                  </w14:solidFill>
                </w14:textFill>
              </w:rPr>
              <w:t>。</w:t>
            </w:r>
            <w:r>
              <w:rPr>
                <w:rFonts w:hint="eastAsia" w:ascii="Times New Roman" w:cs="Times New Roman"/>
                <w:color w:val="000000" w:themeColor="text1"/>
                <w:sz w:val="24"/>
                <w:highlight w:val="none"/>
                <w:lang w:eastAsia="zh-CN"/>
                <w14:textFill>
                  <w14:solidFill>
                    <w14:schemeClr w14:val="tx1"/>
                  </w14:solidFill>
                </w14:textFill>
              </w:rPr>
              <w:t>宽城碧水源环保有限公司</w:t>
            </w:r>
            <w:r>
              <w:rPr>
                <w:rFonts w:ascii="Times New Roman" w:hAnsi="Times New Roman" w:cs="Times New Roman"/>
                <w:color w:val="000000" w:themeColor="text1"/>
                <w:sz w:val="24"/>
                <w:highlight w:val="none"/>
                <w14:textFill>
                  <w14:solidFill>
                    <w14:schemeClr w14:val="tx1"/>
                  </w14:solidFill>
                </w14:textFill>
              </w:rPr>
              <w:t>出水水质满足</w:t>
            </w:r>
            <w:r>
              <w:rPr>
                <w:rFonts w:hint="default" w:ascii="Times New Roman" w:hAnsi="Times New Roman" w:cs="Times New Roman"/>
                <w:kern w:val="44"/>
                <w:sz w:val="24"/>
                <w:szCs w:val="24"/>
                <w:highlight w:val="none"/>
              </w:rPr>
              <w:t>《城镇污水处理厂污染物排放标准》(GB18918-2002)一级A标准</w:t>
            </w:r>
            <w:r>
              <w:rPr>
                <w:rFonts w:ascii="Times New Roman" w:hAnsi="Times New Roman" w:cs="Times New Roman"/>
                <w:color w:val="000000" w:themeColor="text1"/>
                <w:sz w:val="24"/>
                <w:highlight w:val="none"/>
                <w14:textFill>
                  <w14:solidFill>
                    <w14:schemeClr w14:val="tx1"/>
                  </w14:solidFill>
                </w14:textFill>
              </w:rPr>
              <w:t>。</w:t>
            </w:r>
            <w:r>
              <w:rPr>
                <w:rFonts w:hint="eastAsia" w:ascii="Times New Roman" w:hAnsi="Times New Roman"/>
                <w:color w:val="000000" w:themeColor="text1"/>
                <w:sz w:val="24"/>
                <w:highlight w:val="none"/>
                <w14:textFill>
                  <w14:solidFill>
                    <w14:schemeClr w14:val="tx1"/>
                  </w14:solidFill>
                </w14:textFill>
              </w:rPr>
              <w:t>项目</w:t>
            </w:r>
            <w:r>
              <w:rPr>
                <w:rFonts w:hint="eastAsia" w:ascii="Times New Roman"/>
                <w:color w:val="000000" w:themeColor="text1"/>
                <w:sz w:val="24"/>
                <w:highlight w:val="none"/>
                <w:lang w:val="en-US" w:eastAsia="zh-CN"/>
                <w14:textFill>
                  <w14:solidFill>
                    <w14:schemeClr w14:val="tx1"/>
                  </w14:solidFill>
                </w14:textFill>
              </w:rPr>
              <w:t>排放废水的水质、水量均能满足依托的</w:t>
            </w:r>
            <w:r>
              <w:rPr>
                <w:rFonts w:hint="eastAsia" w:ascii="Times New Roman" w:hAnsi="Times New Roman"/>
                <w:color w:val="000000" w:themeColor="text1"/>
                <w:sz w:val="24"/>
                <w:highlight w:val="none"/>
                <w14:textFill>
                  <w14:solidFill>
                    <w14:schemeClr w14:val="tx1"/>
                  </w14:solidFill>
                </w14:textFill>
              </w:rPr>
              <w:t>宽城碧水源环保有限公司</w:t>
            </w:r>
            <w:r>
              <w:rPr>
                <w:rFonts w:hint="eastAsia" w:ascii="Times New Roman"/>
                <w:color w:val="000000" w:themeColor="text1"/>
                <w:sz w:val="24"/>
                <w:highlight w:val="none"/>
                <w:lang w:val="en-US" w:eastAsia="zh-CN"/>
                <w14:textFill>
                  <w14:solidFill>
                    <w14:schemeClr w14:val="tx1"/>
                  </w14:solidFill>
                </w14:textFill>
              </w:rPr>
              <w:t>要求，为可行技术，依托可行。</w:t>
            </w:r>
          </w:p>
          <w:p w14:paraId="174A9E94">
            <w:pPr>
              <w:spacing w:line="360" w:lineRule="auto"/>
              <w:ind w:firstLine="480"/>
              <w:rPr>
                <w:b/>
                <w:sz w:val="24"/>
                <w:highlight w:val="none"/>
              </w:rPr>
            </w:pPr>
            <w:r>
              <w:rPr>
                <w:rFonts w:hint="eastAsia"/>
                <w:b/>
                <w:sz w:val="24"/>
                <w:highlight w:val="none"/>
              </w:rPr>
              <w:t>（</w:t>
            </w:r>
            <w:r>
              <w:rPr>
                <w:rFonts w:hint="eastAsia"/>
                <w:b/>
                <w:sz w:val="24"/>
                <w:highlight w:val="none"/>
                <w:lang w:val="en-US" w:eastAsia="zh-CN"/>
              </w:rPr>
              <w:t>2</w:t>
            </w:r>
            <w:r>
              <w:rPr>
                <w:rFonts w:hint="eastAsia"/>
                <w:b/>
                <w:sz w:val="24"/>
                <w:highlight w:val="none"/>
              </w:rPr>
              <w:t>）地表水环境影响分析结论</w:t>
            </w:r>
          </w:p>
          <w:p w14:paraId="24B25BD9">
            <w:pPr>
              <w:adjustRightInd w:val="0"/>
              <w:spacing w:line="360" w:lineRule="auto"/>
              <w:ind w:firstLine="480" w:firstLineChars="200"/>
              <w:rPr>
                <w:sz w:val="24"/>
                <w:highlight w:val="none"/>
              </w:rPr>
            </w:pPr>
            <w:r>
              <w:rPr>
                <w:rFonts w:hint="eastAsia"/>
                <w:sz w:val="24"/>
                <w:highlight w:val="none"/>
              </w:rPr>
              <w:t>综上，项</w:t>
            </w:r>
            <w:r>
              <w:rPr>
                <w:sz w:val="24"/>
                <w:highlight w:val="none"/>
              </w:rPr>
              <w:t>目产生的废水不外排，项目拟采取的水污染控制措施</w:t>
            </w:r>
            <w:r>
              <w:rPr>
                <w:rFonts w:hint="eastAsia"/>
                <w:sz w:val="24"/>
                <w:highlight w:val="none"/>
              </w:rPr>
              <w:t>具有可行性，</w:t>
            </w:r>
            <w:r>
              <w:rPr>
                <w:sz w:val="24"/>
                <w:highlight w:val="none"/>
              </w:rPr>
              <w:t>项目产生的地表水环境影响可接受。</w:t>
            </w:r>
          </w:p>
          <w:p w14:paraId="697A63A1">
            <w:pPr>
              <w:spacing w:line="360" w:lineRule="auto"/>
              <w:ind w:firstLine="482"/>
              <w:rPr>
                <w:b/>
                <w:sz w:val="24"/>
                <w:highlight w:val="none"/>
              </w:rPr>
            </w:pPr>
            <w:r>
              <w:rPr>
                <w:b/>
                <w:sz w:val="24"/>
                <w:highlight w:val="none"/>
              </w:rPr>
              <w:t>3．</w:t>
            </w:r>
            <w:r>
              <w:rPr>
                <w:rFonts w:hint="eastAsia"/>
                <w:b/>
                <w:sz w:val="24"/>
                <w:highlight w:val="none"/>
              </w:rPr>
              <w:t>声环境影响和保护措施</w:t>
            </w:r>
          </w:p>
          <w:p w14:paraId="00653793">
            <w:pPr>
              <w:spacing w:line="360" w:lineRule="auto"/>
              <w:ind w:firstLine="480"/>
              <w:rPr>
                <w:b/>
                <w:sz w:val="24"/>
                <w:highlight w:val="none"/>
              </w:rPr>
            </w:pPr>
            <w:r>
              <w:rPr>
                <w:rFonts w:hint="eastAsia"/>
                <w:b/>
                <w:sz w:val="24"/>
                <w:highlight w:val="none"/>
              </w:rPr>
              <w:t>（</w:t>
            </w:r>
            <w:r>
              <w:rPr>
                <w:b/>
                <w:sz w:val="24"/>
                <w:highlight w:val="none"/>
              </w:rPr>
              <w:t>1</w:t>
            </w:r>
            <w:r>
              <w:rPr>
                <w:rFonts w:hint="eastAsia"/>
                <w:b/>
                <w:sz w:val="24"/>
                <w:highlight w:val="none"/>
              </w:rPr>
              <w:t>）噪声源强分析</w:t>
            </w:r>
          </w:p>
          <w:p w14:paraId="3B6B0240">
            <w:pPr>
              <w:spacing w:line="360" w:lineRule="auto"/>
              <w:ind w:firstLine="480" w:firstLineChars="200"/>
              <w:rPr>
                <w:sz w:val="24"/>
                <w:highlight w:val="none"/>
              </w:rPr>
            </w:pPr>
            <w:r>
              <w:rPr>
                <w:rFonts w:hint="eastAsia"/>
                <w:sz w:val="24"/>
                <w:highlight w:val="none"/>
              </w:rPr>
              <w:t>项目</w:t>
            </w:r>
            <w:r>
              <w:rPr>
                <w:sz w:val="24"/>
                <w:highlight w:val="none"/>
              </w:rPr>
              <w:t>运营期主要噪声为生产设备噪声和车辆运输噪声，生产设备噪声源主要为</w:t>
            </w:r>
            <w:r>
              <w:rPr>
                <w:rFonts w:hint="eastAsia"/>
                <w:sz w:val="24"/>
                <w:highlight w:val="none"/>
                <w:lang w:val="en-US" w:eastAsia="zh-CN"/>
              </w:rPr>
              <w:t>压块设备、泵类、风机</w:t>
            </w:r>
            <w:r>
              <w:rPr>
                <w:kern w:val="44"/>
                <w:sz w:val="24"/>
                <w:highlight w:val="none"/>
              </w:rPr>
              <w:t>等设备运行过程中产生的机械噪声，</w:t>
            </w:r>
            <w:r>
              <w:rPr>
                <w:sz w:val="24"/>
                <w:highlight w:val="none"/>
              </w:rPr>
              <w:t>噪声源强为</w:t>
            </w:r>
            <w:r>
              <w:rPr>
                <w:rFonts w:hint="eastAsia"/>
                <w:sz w:val="24"/>
                <w:highlight w:val="none"/>
                <w:lang w:val="en-US" w:eastAsia="zh-CN"/>
              </w:rPr>
              <w:t>80</w:t>
            </w:r>
            <w:r>
              <w:rPr>
                <w:sz w:val="24"/>
                <w:highlight w:val="none"/>
              </w:rPr>
              <w:t>~</w:t>
            </w:r>
            <w:r>
              <w:rPr>
                <w:rFonts w:hint="eastAsia"/>
                <w:sz w:val="24"/>
                <w:highlight w:val="none"/>
              </w:rPr>
              <w:t>90</w:t>
            </w:r>
            <w:r>
              <w:rPr>
                <w:sz w:val="24"/>
                <w:highlight w:val="none"/>
              </w:rPr>
              <w:t>dB</w:t>
            </w:r>
            <w:r>
              <w:rPr>
                <w:rFonts w:hint="eastAsia"/>
                <w:sz w:val="24"/>
                <w:highlight w:val="none"/>
                <w:lang w:eastAsia="zh-CN"/>
              </w:rPr>
              <w:t>；</w:t>
            </w:r>
            <w:r>
              <w:rPr>
                <w:sz w:val="24"/>
                <w:highlight w:val="none"/>
              </w:rPr>
              <w:t>运输噪声为运输过程产生的噪声，其强度在7</w:t>
            </w:r>
            <w:r>
              <w:rPr>
                <w:rFonts w:hint="eastAsia"/>
                <w:sz w:val="24"/>
                <w:highlight w:val="none"/>
                <w:lang w:val="en-US" w:eastAsia="zh-CN"/>
              </w:rPr>
              <w:t>5</w:t>
            </w:r>
            <w:r>
              <w:rPr>
                <w:sz w:val="24"/>
                <w:highlight w:val="none"/>
              </w:rPr>
              <w:t>dB</w:t>
            </w:r>
            <w:r>
              <w:rPr>
                <w:kern w:val="44"/>
                <w:sz w:val="24"/>
                <w:highlight w:val="none"/>
              </w:rPr>
              <w:t>。</w:t>
            </w:r>
            <w:r>
              <w:rPr>
                <w:sz w:val="24"/>
                <w:highlight w:val="none"/>
              </w:rPr>
              <w:t>噪声源强见下表</w:t>
            </w:r>
            <w:r>
              <w:rPr>
                <w:kern w:val="44"/>
                <w:sz w:val="24"/>
                <w:highlight w:val="none"/>
              </w:rPr>
              <w:t>。</w:t>
            </w:r>
            <w:r>
              <w:rPr>
                <w:sz w:val="24"/>
                <w:highlight w:val="none"/>
              </w:rPr>
              <w:t>噪声源强见下表。</w:t>
            </w:r>
          </w:p>
          <w:p w14:paraId="32B750AD">
            <w:pPr>
              <w:pStyle w:val="48"/>
              <w:numPr>
                <w:ilvl w:val="0"/>
                <w:numId w:val="9"/>
              </w:numPr>
              <w:spacing w:line="360" w:lineRule="auto"/>
              <w:ind w:left="0" w:firstLine="0" w:firstLineChars="0"/>
              <w:jc w:val="center"/>
              <w:rPr>
                <w:rFonts w:ascii="Times New Roman" w:hAnsi="Times New Roman" w:eastAsia="宋体"/>
                <w:b/>
                <w:sz w:val="21"/>
                <w:highlight w:val="none"/>
              </w:rPr>
            </w:pPr>
            <w:r>
              <w:rPr>
                <w:rFonts w:hint="eastAsia" w:ascii="Times New Roman" w:hAnsi="Times New Roman" w:eastAsia="宋体"/>
                <w:b/>
                <w:sz w:val="21"/>
                <w:highlight w:val="none"/>
              </w:rPr>
              <w:t>项目主要噪声源一览表</w:t>
            </w:r>
          </w:p>
          <w:tbl>
            <w:tblPr>
              <w:tblStyle w:val="21"/>
              <w:tblW w:w="5000" w:type="pct"/>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autofit"/>
              <w:tblCellMar>
                <w:top w:w="0" w:type="dxa"/>
                <w:left w:w="108" w:type="dxa"/>
                <w:bottom w:w="0" w:type="dxa"/>
                <w:right w:w="108" w:type="dxa"/>
              </w:tblCellMar>
            </w:tblPr>
            <w:tblGrid>
              <w:gridCol w:w="683"/>
              <w:gridCol w:w="1230"/>
              <w:gridCol w:w="1711"/>
              <w:gridCol w:w="1848"/>
              <w:gridCol w:w="1409"/>
              <w:gridCol w:w="1580"/>
            </w:tblGrid>
            <w:tr w14:paraId="71C665C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atLeast"/>
                <w:jc w:val="center"/>
              </w:trPr>
              <w:tc>
                <w:tcPr>
                  <w:tcW w:w="404" w:type="pct"/>
                  <w:tcBorders>
                    <w:top w:val="single" w:color="auto" w:sz="4" w:space="0"/>
                    <w:left w:val="single" w:color="auto" w:sz="4" w:space="0"/>
                    <w:bottom w:val="single" w:color="auto" w:sz="4" w:space="0"/>
                    <w:right w:val="single" w:color="auto" w:sz="4" w:space="0"/>
                  </w:tcBorders>
                  <w:vAlign w:val="center"/>
                </w:tcPr>
                <w:p w14:paraId="5F09D52B">
                  <w:pPr>
                    <w:pStyle w:val="71"/>
                    <w:snapToGrid w:val="0"/>
                    <w:spacing w:before="0" w:after="0" w:line="240" w:lineRule="auto"/>
                    <w:ind w:firstLine="0"/>
                    <w:jc w:val="center"/>
                    <w:rPr>
                      <w:rFonts w:ascii="Times New Roman" w:hAnsi="Times New Roman" w:eastAsia="宋体" w:cs="Times New Roman"/>
                      <w:b/>
                      <w:bCs/>
                      <w:sz w:val="21"/>
                      <w:szCs w:val="21"/>
                      <w:highlight w:val="none"/>
                    </w:rPr>
                  </w:pPr>
                  <w:r>
                    <w:rPr>
                      <w:rFonts w:ascii="Times New Roman" w:hAnsi="Times New Roman" w:eastAsia="宋体" w:cs="Times New Roman"/>
                      <w:b/>
                      <w:bCs/>
                      <w:sz w:val="21"/>
                      <w:szCs w:val="21"/>
                      <w:highlight w:val="none"/>
                    </w:rPr>
                    <w:t>序号</w:t>
                  </w:r>
                </w:p>
              </w:tc>
              <w:tc>
                <w:tcPr>
                  <w:tcW w:w="726" w:type="pct"/>
                  <w:tcBorders>
                    <w:top w:val="single" w:color="auto" w:sz="4" w:space="0"/>
                    <w:left w:val="single" w:color="auto" w:sz="4" w:space="0"/>
                    <w:bottom w:val="single" w:color="auto" w:sz="4" w:space="0"/>
                    <w:right w:val="single" w:color="auto" w:sz="4" w:space="0"/>
                  </w:tcBorders>
                  <w:vAlign w:val="center"/>
                </w:tcPr>
                <w:p w14:paraId="1743B8D3">
                  <w:pPr>
                    <w:pStyle w:val="71"/>
                    <w:snapToGrid w:val="0"/>
                    <w:spacing w:before="0" w:after="0" w:line="240" w:lineRule="auto"/>
                    <w:ind w:firstLine="0"/>
                    <w:jc w:val="center"/>
                    <w:rPr>
                      <w:rFonts w:ascii="Times New Roman" w:hAnsi="Times New Roman" w:eastAsia="宋体" w:cs="Times New Roman"/>
                      <w:b/>
                      <w:bCs/>
                      <w:sz w:val="21"/>
                      <w:szCs w:val="21"/>
                      <w:highlight w:val="none"/>
                    </w:rPr>
                  </w:pPr>
                  <w:r>
                    <w:rPr>
                      <w:rFonts w:ascii="Times New Roman" w:hAnsi="Times New Roman" w:eastAsia="宋体" w:cs="Times New Roman"/>
                      <w:b/>
                      <w:bCs/>
                      <w:sz w:val="21"/>
                      <w:szCs w:val="21"/>
                      <w:highlight w:val="none"/>
                    </w:rPr>
                    <w:t>噪声源</w:t>
                  </w:r>
                </w:p>
              </w:tc>
              <w:tc>
                <w:tcPr>
                  <w:tcW w:w="1010" w:type="pct"/>
                  <w:tcBorders>
                    <w:top w:val="single" w:color="auto" w:sz="4" w:space="0"/>
                    <w:left w:val="single" w:color="auto" w:sz="4" w:space="0"/>
                    <w:bottom w:val="single" w:color="auto" w:sz="4" w:space="0"/>
                    <w:right w:val="single" w:color="auto" w:sz="4" w:space="0"/>
                  </w:tcBorders>
                  <w:vAlign w:val="center"/>
                </w:tcPr>
                <w:p w14:paraId="1C164734">
                  <w:pPr>
                    <w:pStyle w:val="71"/>
                    <w:snapToGrid w:val="0"/>
                    <w:spacing w:before="0" w:after="0" w:line="240" w:lineRule="auto"/>
                    <w:ind w:firstLine="0"/>
                    <w:jc w:val="center"/>
                    <w:rPr>
                      <w:rFonts w:ascii="Times New Roman" w:hAnsi="Times New Roman" w:eastAsia="宋体" w:cs="Times New Roman"/>
                      <w:b/>
                      <w:bCs/>
                      <w:sz w:val="21"/>
                      <w:szCs w:val="21"/>
                      <w:highlight w:val="none"/>
                    </w:rPr>
                  </w:pPr>
                  <w:r>
                    <w:rPr>
                      <w:rFonts w:ascii="Times New Roman" w:hAnsi="Times New Roman" w:eastAsia="宋体" w:cs="Times New Roman"/>
                      <w:b/>
                      <w:bCs/>
                      <w:sz w:val="21"/>
                      <w:szCs w:val="21"/>
                      <w:highlight w:val="none"/>
                    </w:rPr>
                    <w:t>数量（台/套/辆）</w:t>
                  </w:r>
                </w:p>
              </w:tc>
              <w:tc>
                <w:tcPr>
                  <w:tcW w:w="1091" w:type="pct"/>
                  <w:tcBorders>
                    <w:top w:val="single" w:color="auto" w:sz="4" w:space="0"/>
                    <w:left w:val="single" w:color="auto" w:sz="4" w:space="0"/>
                    <w:bottom w:val="single" w:color="auto" w:sz="4" w:space="0"/>
                    <w:right w:val="single" w:color="auto" w:sz="4" w:space="0"/>
                  </w:tcBorders>
                  <w:vAlign w:val="center"/>
                </w:tcPr>
                <w:p w14:paraId="1DB6537C">
                  <w:pPr>
                    <w:pStyle w:val="71"/>
                    <w:snapToGrid w:val="0"/>
                    <w:spacing w:before="0" w:after="0" w:line="240" w:lineRule="auto"/>
                    <w:ind w:firstLine="0"/>
                    <w:jc w:val="center"/>
                    <w:rPr>
                      <w:rFonts w:ascii="Times New Roman" w:hAnsi="Times New Roman" w:eastAsia="宋体" w:cs="Times New Roman"/>
                      <w:b/>
                      <w:bCs/>
                      <w:sz w:val="21"/>
                      <w:szCs w:val="21"/>
                      <w:highlight w:val="none"/>
                    </w:rPr>
                  </w:pPr>
                  <w:r>
                    <w:rPr>
                      <w:rFonts w:hint="eastAsia" w:ascii="Times New Roman" w:hAnsi="Times New Roman" w:eastAsia="宋体" w:cs="Times New Roman"/>
                      <w:b/>
                      <w:bCs/>
                      <w:sz w:val="21"/>
                      <w:szCs w:val="21"/>
                      <w:highlight w:val="none"/>
                      <w:lang w:val="en-US" w:eastAsia="zh-CN"/>
                    </w:rPr>
                    <w:t>声压级</w:t>
                  </w:r>
                  <w:r>
                    <w:rPr>
                      <w:rFonts w:ascii="Times New Roman" w:hAnsi="Times New Roman" w:eastAsia="宋体" w:cs="Times New Roman"/>
                      <w:b/>
                      <w:bCs/>
                      <w:sz w:val="21"/>
                      <w:szCs w:val="21"/>
                      <w:highlight w:val="none"/>
                    </w:rPr>
                    <w:t>（dB）</w:t>
                  </w:r>
                </w:p>
              </w:tc>
              <w:tc>
                <w:tcPr>
                  <w:tcW w:w="832" w:type="pct"/>
                  <w:tcBorders>
                    <w:top w:val="single" w:color="auto" w:sz="4" w:space="0"/>
                    <w:left w:val="single" w:color="auto" w:sz="4" w:space="0"/>
                    <w:bottom w:val="single" w:color="auto" w:sz="4" w:space="0"/>
                    <w:right w:val="single" w:color="auto" w:sz="4" w:space="0"/>
                  </w:tcBorders>
                  <w:vAlign w:val="center"/>
                </w:tcPr>
                <w:p w14:paraId="76AD7B5C">
                  <w:pPr>
                    <w:pStyle w:val="71"/>
                    <w:snapToGrid w:val="0"/>
                    <w:spacing w:before="0" w:after="0" w:line="240" w:lineRule="auto"/>
                    <w:ind w:firstLine="0"/>
                    <w:jc w:val="center"/>
                    <w:rPr>
                      <w:rFonts w:ascii="Times New Roman" w:hAnsi="Times New Roman" w:eastAsia="宋体" w:cs="Times New Roman"/>
                      <w:b/>
                      <w:bCs/>
                      <w:sz w:val="21"/>
                      <w:szCs w:val="21"/>
                      <w:highlight w:val="none"/>
                    </w:rPr>
                  </w:pPr>
                  <w:r>
                    <w:rPr>
                      <w:rFonts w:ascii="Times New Roman" w:hAnsi="Times New Roman" w:eastAsia="宋体" w:cs="Times New Roman"/>
                      <w:b/>
                      <w:bCs/>
                      <w:sz w:val="21"/>
                      <w:szCs w:val="21"/>
                      <w:highlight w:val="none"/>
                    </w:rPr>
                    <w:t>采取的措施</w:t>
                  </w:r>
                </w:p>
              </w:tc>
              <w:tc>
                <w:tcPr>
                  <w:tcW w:w="933" w:type="pct"/>
                  <w:tcBorders>
                    <w:top w:val="single" w:color="auto" w:sz="4" w:space="0"/>
                    <w:left w:val="single" w:color="auto" w:sz="4" w:space="0"/>
                    <w:bottom w:val="single" w:color="auto" w:sz="4" w:space="0"/>
                    <w:right w:val="single" w:color="auto" w:sz="4" w:space="0"/>
                  </w:tcBorders>
                  <w:vAlign w:val="center"/>
                </w:tcPr>
                <w:p w14:paraId="786264EA">
                  <w:pPr>
                    <w:pStyle w:val="71"/>
                    <w:snapToGrid w:val="0"/>
                    <w:spacing w:before="0" w:after="0" w:line="240" w:lineRule="auto"/>
                    <w:ind w:firstLine="0"/>
                    <w:jc w:val="center"/>
                    <w:rPr>
                      <w:rFonts w:hint="default" w:ascii="Times New Roman" w:hAnsi="Times New Roman" w:eastAsia="宋体" w:cs="Times New Roman"/>
                      <w:b/>
                      <w:bCs/>
                      <w:sz w:val="21"/>
                      <w:szCs w:val="21"/>
                      <w:highlight w:val="none"/>
                      <w:lang w:val="en-US" w:eastAsia="zh-CN"/>
                    </w:rPr>
                  </w:pPr>
                  <w:r>
                    <w:rPr>
                      <w:rFonts w:hint="eastAsia" w:ascii="Times New Roman" w:hAnsi="Times New Roman" w:eastAsia="宋体" w:cs="Times New Roman"/>
                      <w:b/>
                      <w:bCs/>
                      <w:sz w:val="21"/>
                      <w:szCs w:val="21"/>
                      <w:highlight w:val="none"/>
                      <w:lang w:val="en-US" w:eastAsia="zh-CN"/>
                    </w:rPr>
                    <w:t>治理后声压级（dB）</w:t>
                  </w:r>
                </w:p>
              </w:tc>
            </w:tr>
            <w:tr w14:paraId="456A8F4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atLeast"/>
                <w:jc w:val="center"/>
              </w:trPr>
              <w:tc>
                <w:tcPr>
                  <w:tcW w:w="404" w:type="pct"/>
                  <w:tcBorders>
                    <w:top w:val="single" w:color="auto" w:sz="4" w:space="0"/>
                    <w:left w:val="single" w:color="auto" w:sz="4" w:space="0"/>
                    <w:bottom w:val="single" w:color="auto" w:sz="4" w:space="0"/>
                    <w:right w:val="single" w:color="auto" w:sz="4" w:space="0"/>
                  </w:tcBorders>
                  <w:vAlign w:val="center"/>
                </w:tcPr>
                <w:p w14:paraId="633C9954">
                  <w:pPr>
                    <w:pStyle w:val="71"/>
                    <w:snapToGrid w:val="0"/>
                    <w:spacing w:before="0" w:after="0" w:line="240" w:lineRule="auto"/>
                    <w:ind w:firstLine="0"/>
                    <w:jc w:val="center"/>
                    <w:rPr>
                      <w:rFonts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1</w:t>
                  </w:r>
                </w:p>
              </w:tc>
              <w:tc>
                <w:tcPr>
                  <w:tcW w:w="726" w:type="pct"/>
                  <w:tcBorders>
                    <w:top w:val="single" w:color="auto" w:sz="4" w:space="0"/>
                    <w:left w:val="single" w:color="auto" w:sz="4" w:space="0"/>
                    <w:bottom w:val="single" w:color="auto" w:sz="4" w:space="0"/>
                    <w:right w:val="single" w:color="auto" w:sz="4" w:space="0"/>
                  </w:tcBorders>
                  <w:vAlign w:val="center"/>
                </w:tcPr>
                <w:p w14:paraId="26D31158">
                  <w:pPr>
                    <w:widowControl/>
                    <w:jc w:val="center"/>
                    <w:textAlignment w:val="center"/>
                    <w:rPr>
                      <w:bCs/>
                      <w:szCs w:val="21"/>
                      <w:highlight w:val="none"/>
                    </w:rPr>
                  </w:pPr>
                  <w:r>
                    <w:rPr>
                      <w:rFonts w:hint="eastAsia"/>
                      <w:bCs/>
                      <w:szCs w:val="21"/>
                      <w:highlight w:val="none"/>
                      <w:lang w:val="en-US" w:eastAsia="zh-CN"/>
                    </w:rPr>
                    <w:t>压块设备</w:t>
                  </w:r>
                </w:p>
              </w:tc>
              <w:tc>
                <w:tcPr>
                  <w:tcW w:w="1010" w:type="pct"/>
                  <w:tcBorders>
                    <w:top w:val="single" w:color="auto" w:sz="4" w:space="0"/>
                    <w:left w:val="single" w:color="auto" w:sz="4" w:space="0"/>
                    <w:bottom w:val="single" w:color="auto" w:sz="4" w:space="0"/>
                    <w:right w:val="single" w:color="auto" w:sz="4" w:space="0"/>
                  </w:tcBorders>
                  <w:vAlign w:val="center"/>
                </w:tcPr>
                <w:p w14:paraId="0A4D310B">
                  <w:pPr>
                    <w:widowControl/>
                    <w:jc w:val="center"/>
                    <w:textAlignment w:val="center"/>
                    <w:rPr>
                      <w:rFonts w:hint="eastAsia" w:eastAsia="宋体"/>
                      <w:bCs/>
                      <w:szCs w:val="21"/>
                      <w:highlight w:val="none"/>
                      <w:lang w:eastAsia="zh-CN"/>
                    </w:rPr>
                  </w:pPr>
                  <w:r>
                    <w:rPr>
                      <w:rFonts w:hint="eastAsia"/>
                      <w:bCs/>
                      <w:szCs w:val="21"/>
                      <w:highlight w:val="none"/>
                      <w:lang w:val="en-US" w:eastAsia="zh-CN"/>
                    </w:rPr>
                    <w:t>1</w:t>
                  </w:r>
                </w:p>
              </w:tc>
              <w:tc>
                <w:tcPr>
                  <w:tcW w:w="1091" w:type="pct"/>
                  <w:tcBorders>
                    <w:top w:val="single" w:color="auto" w:sz="4" w:space="0"/>
                    <w:left w:val="single" w:color="auto" w:sz="4" w:space="0"/>
                    <w:bottom w:val="single" w:color="auto" w:sz="4" w:space="0"/>
                    <w:right w:val="single" w:color="auto" w:sz="4" w:space="0"/>
                  </w:tcBorders>
                  <w:vAlign w:val="center"/>
                </w:tcPr>
                <w:p w14:paraId="4E5F1ED4">
                  <w:pPr>
                    <w:pStyle w:val="71"/>
                    <w:snapToGrid w:val="0"/>
                    <w:spacing w:before="0" w:after="0" w:line="240" w:lineRule="auto"/>
                    <w:ind w:firstLine="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80</w:t>
                  </w:r>
                </w:p>
              </w:tc>
              <w:tc>
                <w:tcPr>
                  <w:tcW w:w="832" w:type="pct"/>
                  <w:vMerge w:val="restart"/>
                  <w:tcBorders>
                    <w:top w:val="single" w:color="auto" w:sz="4" w:space="0"/>
                    <w:left w:val="single" w:color="auto" w:sz="4" w:space="0"/>
                    <w:right w:val="single" w:color="auto" w:sz="4" w:space="0"/>
                  </w:tcBorders>
                  <w:vAlign w:val="center"/>
                </w:tcPr>
                <w:p w14:paraId="322E8ED2">
                  <w:pPr>
                    <w:pStyle w:val="71"/>
                    <w:snapToGrid w:val="0"/>
                    <w:spacing w:before="0" w:after="0" w:line="240" w:lineRule="auto"/>
                    <w:ind w:firstLine="0"/>
                    <w:jc w:val="center"/>
                    <w:rPr>
                      <w:rFonts w:ascii="Times New Roman" w:hAnsi="Times New Roman" w:eastAsia="宋体" w:cs="Times New Roman"/>
                      <w:sz w:val="21"/>
                      <w:szCs w:val="21"/>
                      <w:highlight w:val="none"/>
                    </w:rPr>
                  </w:pPr>
                  <w:r>
                    <w:rPr>
                      <w:rFonts w:ascii="Times New Roman" w:hAnsi="Times New Roman" w:eastAsia="宋体" w:cs="Times New Roman"/>
                      <w:sz w:val="21"/>
                      <w:szCs w:val="21"/>
                      <w:highlight w:val="none"/>
                    </w:rPr>
                    <w:t>选用低噪声设备、</w:t>
                  </w:r>
                  <w:r>
                    <w:rPr>
                      <w:rFonts w:hint="eastAsia" w:ascii="Times New Roman" w:hAnsi="Times New Roman" w:eastAsia="宋体" w:cs="Times New Roman"/>
                      <w:sz w:val="21"/>
                      <w:szCs w:val="21"/>
                      <w:highlight w:val="none"/>
                      <w:lang w:val="en-US" w:eastAsia="zh-CN"/>
                    </w:rPr>
                    <w:t>厂房</w:t>
                  </w:r>
                  <w:r>
                    <w:rPr>
                      <w:rFonts w:ascii="Times New Roman" w:hAnsi="Times New Roman" w:eastAsia="宋体" w:cs="Times New Roman"/>
                      <w:sz w:val="21"/>
                      <w:szCs w:val="21"/>
                      <w:highlight w:val="none"/>
                    </w:rPr>
                    <w:t>封闭、进行基础减振</w:t>
                  </w:r>
                </w:p>
              </w:tc>
              <w:tc>
                <w:tcPr>
                  <w:tcW w:w="933" w:type="pct"/>
                  <w:tcBorders>
                    <w:top w:val="single" w:color="auto" w:sz="4" w:space="0"/>
                    <w:left w:val="single" w:color="auto" w:sz="4" w:space="0"/>
                    <w:bottom w:val="single" w:color="auto" w:sz="4" w:space="0"/>
                    <w:right w:val="single" w:color="auto" w:sz="4" w:space="0"/>
                  </w:tcBorders>
                  <w:vAlign w:val="center"/>
                </w:tcPr>
                <w:p w14:paraId="3F29E608">
                  <w:pPr>
                    <w:pStyle w:val="71"/>
                    <w:snapToGrid w:val="0"/>
                    <w:spacing w:before="0" w:after="0" w:line="240" w:lineRule="auto"/>
                    <w:ind w:firstLine="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60</w:t>
                  </w:r>
                </w:p>
              </w:tc>
            </w:tr>
            <w:tr w14:paraId="1710AB0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atLeast"/>
                <w:jc w:val="center"/>
              </w:trPr>
              <w:tc>
                <w:tcPr>
                  <w:tcW w:w="404" w:type="pct"/>
                  <w:tcBorders>
                    <w:top w:val="single" w:color="auto" w:sz="4" w:space="0"/>
                    <w:left w:val="single" w:color="auto" w:sz="4" w:space="0"/>
                    <w:bottom w:val="single" w:color="auto" w:sz="4" w:space="0"/>
                    <w:right w:val="single" w:color="auto" w:sz="4" w:space="0"/>
                  </w:tcBorders>
                  <w:vAlign w:val="center"/>
                </w:tcPr>
                <w:p w14:paraId="2741EE46">
                  <w:pPr>
                    <w:pStyle w:val="71"/>
                    <w:snapToGrid w:val="0"/>
                    <w:spacing w:before="0" w:after="0" w:line="240" w:lineRule="auto"/>
                    <w:ind w:firstLine="0"/>
                    <w:jc w:val="center"/>
                    <w:rPr>
                      <w:rFonts w:ascii="Times New Roman" w:hAnsi="Times New Roman" w:eastAsia="宋体" w:cs="Times New Roman"/>
                      <w:sz w:val="21"/>
                      <w:szCs w:val="21"/>
                      <w:highlight w:val="none"/>
                    </w:rPr>
                  </w:pPr>
                  <w:r>
                    <w:rPr>
                      <w:rFonts w:hint="eastAsia" w:ascii="Times New Roman" w:hAnsi="Times New Roman" w:eastAsia="宋体" w:cs="Times New Roman"/>
                      <w:sz w:val="21"/>
                      <w:szCs w:val="21"/>
                      <w:highlight w:val="none"/>
                    </w:rPr>
                    <w:t>2</w:t>
                  </w:r>
                </w:p>
              </w:tc>
              <w:tc>
                <w:tcPr>
                  <w:tcW w:w="726" w:type="pct"/>
                  <w:tcBorders>
                    <w:top w:val="single" w:color="auto" w:sz="4" w:space="0"/>
                    <w:left w:val="single" w:color="auto" w:sz="4" w:space="0"/>
                    <w:bottom w:val="single" w:color="auto" w:sz="4" w:space="0"/>
                    <w:right w:val="single" w:color="auto" w:sz="4" w:space="0"/>
                  </w:tcBorders>
                  <w:vAlign w:val="center"/>
                </w:tcPr>
                <w:p w14:paraId="275ECA46">
                  <w:pPr>
                    <w:widowControl/>
                    <w:jc w:val="center"/>
                    <w:textAlignment w:val="center"/>
                    <w:rPr>
                      <w:rFonts w:hint="default" w:eastAsia="宋体"/>
                      <w:kern w:val="0"/>
                      <w:sz w:val="22"/>
                      <w:szCs w:val="22"/>
                      <w:highlight w:val="none"/>
                      <w:lang w:val="en-US" w:eastAsia="zh-CN" w:bidi="ar"/>
                    </w:rPr>
                  </w:pPr>
                  <w:r>
                    <w:rPr>
                      <w:rFonts w:hint="eastAsia"/>
                      <w:kern w:val="0"/>
                      <w:sz w:val="22"/>
                      <w:szCs w:val="22"/>
                      <w:highlight w:val="none"/>
                      <w:lang w:val="en-US" w:eastAsia="zh-CN" w:bidi="ar"/>
                    </w:rPr>
                    <w:t>泵</w:t>
                  </w:r>
                </w:p>
              </w:tc>
              <w:tc>
                <w:tcPr>
                  <w:tcW w:w="1010" w:type="pct"/>
                  <w:tcBorders>
                    <w:top w:val="single" w:color="auto" w:sz="4" w:space="0"/>
                    <w:left w:val="single" w:color="auto" w:sz="4" w:space="0"/>
                    <w:bottom w:val="single" w:color="auto" w:sz="4" w:space="0"/>
                    <w:right w:val="single" w:color="auto" w:sz="4" w:space="0"/>
                  </w:tcBorders>
                  <w:vAlign w:val="center"/>
                </w:tcPr>
                <w:p w14:paraId="7A82A6E8">
                  <w:pPr>
                    <w:widowControl/>
                    <w:jc w:val="center"/>
                    <w:textAlignment w:val="center"/>
                    <w:rPr>
                      <w:rFonts w:hint="eastAsia" w:eastAsia="宋体"/>
                      <w:bCs/>
                      <w:szCs w:val="21"/>
                      <w:highlight w:val="none"/>
                      <w:lang w:val="en-US" w:eastAsia="zh-CN"/>
                    </w:rPr>
                  </w:pPr>
                  <w:r>
                    <w:rPr>
                      <w:rFonts w:hint="eastAsia"/>
                      <w:bCs/>
                      <w:szCs w:val="21"/>
                      <w:highlight w:val="none"/>
                      <w:lang w:val="en-US" w:eastAsia="zh-CN"/>
                    </w:rPr>
                    <w:t>2</w:t>
                  </w:r>
                </w:p>
              </w:tc>
              <w:tc>
                <w:tcPr>
                  <w:tcW w:w="1091" w:type="pct"/>
                  <w:tcBorders>
                    <w:top w:val="single" w:color="auto" w:sz="4" w:space="0"/>
                    <w:left w:val="single" w:color="auto" w:sz="4" w:space="0"/>
                    <w:bottom w:val="single" w:color="auto" w:sz="4" w:space="0"/>
                    <w:right w:val="single" w:color="auto" w:sz="4" w:space="0"/>
                  </w:tcBorders>
                  <w:vAlign w:val="center"/>
                </w:tcPr>
                <w:p w14:paraId="014A1D6D">
                  <w:pPr>
                    <w:pStyle w:val="71"/>
                    <w:snapToGrid w:val="0"/>
                    <w:spacing w:before="0" w:after="0" w:line="240" w:lineRule="auto"/>
                    <w:ind w:firstLine="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90</w:t>
                  </w:r>
                </w:p>
              </w:tc>
              <w:tc>
                <w:tcPr>
                  <w:tcW w:w="832" w:type="pct"/>
                  <w:vMerge w:val="continue"/>
                  <w:tcBorders>
                    <w:left w:val="single" w:color="auto" w:sz="4" w:space="0"/>
                    <w:right w:val="single" w:color="auto" w:sz="4" w:space="0"/>
                  </w:tcBorders>
                  <w:vAlign w:val="center"/>
                </w:tcPr>
                <w:p w14:paraId="13579DEA">
                  <w:pPr>
                    <w:pStyle w:val="71"/>
                    <w:snapToGrid w:val="0"/>
                    <w:spacing w:before="0" w:after="0" w:line="240" w:lineRule="auto"/>
                    <w:ind w:firstLine="0"/>
                    <w:jc w:val="center"/>
                    <w:rPr>
                      <w:rFonts w:ascii="Times New Roman" w:hAnsi="Times New Roman" w:eastAsia="宋体" w:cs="Times New Roman"/>
                      <w:sz w:val="21"/>
                      <w:szCs w:val="21"/>
                      <w:highlight w:val="none"/>
                    </w:rPr>
                  </w:pPr>
                </w:p>
              </w:tc>
              <w:tc>
                <w:tcPr>
                  <w:tcW w:w="933" w:type="pct"/>
                  <w:tcBorders>
                    <w:top w:val="single" w:color="auto" w:sz="4" w:space="0"/>
                    <w:left w:val="single" w:color="auto" w:sz="4" w:space="0"/>
                    <w:bottom w:val="single" w:color="auto" w:sz="4" w:space="0"/>
                    <w:right w:val="single" w:color="auto" w:sz="4" w:space="0"/>
                  </w:tcBorders>
                  <w:vAlign w:val="center"/>
                </w:tcPr>
                <w:p w14:paraId="2351E025">
                  <w:pPr>
                    <w:pStyle w:val="71"/>
                    <w:snapToGrid w:val="0"/>
                    <w:spacing w:before="0" w:after="0" w:line="240" w:lineRule="auto"/>
                    <w:ind w:firstLine="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70</w:t>
                  </w:r>
                </w:p>
              </w:tc>
            </w:tr>
            <w:tr w14:paraId="1870348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atLeast"/>
                <w:jc w:val="center"/>
              </w:trPr>
              <w:tc>
                <w:tcPr>
                  <w:tcW w:w="404" w:type="pct"/>
                  <w:tcBorders>
                    <w:top w:val="single" w:color="auto" w:sz="4" w:space="0"/>
                    <w:left w:val="single" w:color="auto" w:sz="4" w:space="0"/>
                    <w:bottom w:val="single" w:color="auto" w:sz="4" w:space="0"/>
                    <w:right w:val="single" w:color="auto" w:sz="4" w:space="0"/>
                  </w:tcBorders>
                  <w:vAlign w:val="center"/>
                </w:tcPr>
                <w:p w14:paraId="6B3B0052">
                  <w:pPr>
                    <w:pStyle w:val="71"/>
                    <w:snapToGrid w:val="0"/>
                    <w:spacing w:before="0" w:after="0" w:line="240" w:lineRule="auto"/>
                    <w:ind w:firstLine="0"/>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3</w:t>
                  </w:r>
                </w:p>
              </w:tc>
              <w:tc>
                <w:tcPr>
                  <w:tcW w:w="726" w:type="pct"/>
                  <w:tcBorders>
                    <w:top w:val="single" w:color="auto" w:sz="4" w:space="0"/>
                    <w:left w:val="single" w:color="auto" w:sz="4" w:space="0"/>
                    <w:bottom w:val="single" w:color="auto" w:sz="4" w:space="0"/>
                    <w:right w:val="single" w:color="auto" w:sz="4" w:space="0"/>
                  </w:tcBorders>
                  <w:vAlign w:val="center"/>
                </w:tcPr>
                <w:p w14:paraId="09943F1C">
                  <w:pPr>
                    <w:widowControl/>
                    <w:jc w:val="center"/>
                    <w:textAlignment w:val="center"/>
                    <w:rPr>
                      <w:rFonts w:hint="default"/>
                      <w:kern w:val="0"/>
                      <w:sz w:val="22"/>
                      <w:szCs w:val="22"/>
                      <w:highlight w:val="none"/>
                      <w:lang w:val="en-US" w:eastAsia="zh-CN" w:bidi="ar"/>
                    </w:rPr>
                  </w:pPr>
                  <w:r>
                    <w:rPr>
                      <w:rFonts w:hint="eastAsia"/>
                      <w:kern w:val="0"/>
                      <w:sz w:val="22"/>
                      <w:szCs w:val="22"/>
                      <w:highlight w:val="none"/>
                      <w:lang w:val="en-US" w:eastAsia="zh-CN" w:bidi="ar"/>
                    </w:rPr>
                    <w:t>风机</w:t>
                  </w:r>
                </w:p>
              </w:tc>
              <w:tc>
                <w:tcPr>
                  <w:tcW w:w="1010" w:type="pct"/>
                  <w:tcBorders>
                    <w:top w:val="single" w:color="auto" w:sz="4" w:space="0"/>
                    <w:left w:val="single" w:color="auto" w:sz="4" w:space="0"/>
                    <w:bottom w:val="single" w:color="auto" w:sz="4" w:space="0"/>
                    <w:right w:val="single" w:color="auto" w:sz="4" w:space="0"/>
                  </w:tcBorders>
                  <w:vAlign w:val="center"/>
                </w:tcPr>
                <w:p w14:paraId="1AF86817">
                  <w:pPr>
                    <w:widowControl/>
                    <w:jc w:val="center"/>
                    <w:textAlignment w:val="center"/>
                    <w:rPr>
                      <w:rFonts w:hint="default"/>
                      <w:bCs/>
                      <w:szCs w:val="21"/>
                      <w:highlight w:val="none"/>
                      <w:lang w:val="en-US" w:eastAsia="zh-CN"/>
                    </w:rPr>
                  </w:pPr>
                  <w:r>
                    <w:rPr>
                      <w:rFonts w:hint="eastAsia"/>
                      <w:bCs/>
                      <w:szCs w:val="21"/>
                      <w:highlight w:val="none"/>
                      <w:lang w:val="en-US" w:eastAsia="zh-CN"/>
                    </w:rPr>
                    <w:t>2</w:t>
                  </w:r>
                </w:p>
              </w:tc>
              <w:tc>
                <w:tcPr>
                  <w:tcW w:w="1091" w:type="pct"/>
                  <w:tcBorders>
                    <w:top w:val="single" w:color="auto" w:sz="4" w:space="0"/>
                    <w:left w:val="single" w:color="auto" w:sz="4" w:space="0"/>
                    <w:bottom w:val="single" w:color="auto" w:sz="4" w:space="0"/>
                    <w:right w:val="single" w:color="auto" w:sz="4" w:space="0"/>
                  </w:tcBorders>
                  <w:vAlign w:val="center"/>
                </w:tcPr>
                <w:p w14:paraId="571E3AEA">
                  <w:pPr>
                    <w:pStyle w:val="71"/>
                    <w:snapToGrid w:val="0"/>
                    <w:spacing w:before="0" w:after="0" w:line="240" w:lineRule="auto"/>
                    <w:ind w:firstLine="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90</w:t>
                  </w:r>
                </w:p>
              </w:tc>
              <w:tc>
                <w:tcPr>
                  <w:tcW w:w="832" w:type="pct"/>
                  <w:vMerge w:val="continue"/>
                  <w:tcBorders>
                    <w:left w:val="single" w:color="auto" w:sz="4" w:space="0"/>
                    <w:bottom w:val="single" w:color="auto" w:sz="4" w:space="0"/>
                    <w:right w:val="single" w:color="auto" w:sz="4" w:space="0"/>
                  </w:tcBorders>
                  <w:vAlign w:val="center"/>
                </w:tcPr>
                <w:p w14:paraId="01EE4425">
                  <w:pPr>
                    <w:pStyle w:val="71"/>
                    <w:snapToGrid w:val="0"/>
                    <w:spacing w:before="0" w:after="0" w:line="240" w:lineRule="auto"/>
                    <w:ind w:firstLine="0"/>
                    <w:jc w:val="center"/>
                    <w:rPr>
                      <w:rFonts w:ascii="Times New Roman" w:hAnsi="Times New Roman" w:eastAsia="宋体" w:cs="Times New Roman"/>
                      <w:sz w:val="21"/>
                      <w:szCs w:val="21"/>
                      <w:highlight w:val="none"/>
                    </w:rPr>
                  </w:pPr>
                </w:p>
              </w:tc>
              <w:tc>
                <w:tcPr>
                  <w:tcW w:w="933" w:type="pct"/>
                  <w:tcBorders>
                    <w:top w:val="single" w:color="auto" w:sz="4" w:space="0"/>
                    <w:left w:val="single" w:color="auto" w:sz="4" w:space="0"/>
                    <w:bottom w:val="single" w:color="auto" w:sz="4" w:space="0"/>
                    <w:right w:val="single" w:color="auto" w:sz="4" w:space="0"/>
                  </w:tcBorders>
                  <w:vAlign w:val="center"/>
                </w:tcPr>
                <w:p w14:paraId="268D578E">
                  <w:pPr>
                    <w:pStyle w:val="71"/>
                    <w:snapToGrid w:val="0"/>
                    <w:spacing w:before="0" w:after="0" w:line="240" w:lineRule="auto"/>
                    <w:ind w:firstLine="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70</w:t>
                  </w:r>
                </w:p>
              </w:tc>
            </w:tr>
            <w:tr w14:paraId="591F866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atLeast"/>
                <w:jc w:val="center"/>
              </w:trPr>
              <w:tc>
                <w:tcPr>
                  <w:tcW w:w="404" w:type="pct"/>
                  <w:tcBorders>
                    <w:top w:val="single" w:color="auto" w:sz="4" w:space="0"/>
                    <w:left w:val="single" w:color="auto" w:sz="4" w:space="0"/>
                    <w:bottom w:val="single" w:color="auto" w:sz="4" w:space="0"/>
                    <w:right w:val="single" w:color="auto" w:sz="4" w:space="0"/>
                  </w:tcBorders>
                  <w:vAlign w:val="center"/>
                </w:tcPr>
                <w:p w14:paraId="7FBC39C3">
                  <w:pPr>
                    <w:pStyle w:val="71"/>
                    <w:snapToGrid w:val="0"/>
                    <w:spacing w:before="0" w:after="0" w:line="240" w:lineRule="auto"/>
                    <w:ind w:firstLine="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4</w:t>
                  </w:r>
                </w:p>
              </w:tc>
              <w:tc>
                <w:tcPr>
                  <w:tcW w:w="726" w:type="pct"/>
                  <w:tcBorders>
                    <w:top w:val="single" w:color="auto" w:sz="4" w:space="0"/>
                    <w:left w:val="single" w:color="auto" w:sz="4" w:space="0"/>
                    <w:bottom w:val="single" w:color="auto" w:sz="4" w:space="0"/>
                    <w:right w:val="single" w:color="auto" w:sz="4" w:space="0"/>
                  </w:tcBorders>
                  <w:vAlign w:val="center"/>
                </w:tcPr>
                <w:p w14:paraId="424250CD">
                  <w:pPr>
                    <w:widowControl/>
                    <w:jc w:val="center"/>
                    <w:textAlignment w:val="center"/>
                    <w:rPr>
                      <w:rFonts w:hint="default"/>
                      <w:kern w:val="0"/>
                      <w:sz w:val="22"/>
                      <w:szCs w:val="22"/>
                      <w:highlight w:val="none"/>
                      <w:lang w:val="en-US" w:eastAsia="zh-CN" w:bidi="ar"/>
                    </w:rPr>
                  </w:pPr>
                  <w:r>
                    <w:rPr>
                      <w:rFonts w:hint="eastAsia"/>
                      <w:kern w:val="0"/>
                      <w:sz w:val="22"/>
                      <w:szCs w:val="22"/>
                      <w:highlight w:val="none"/>
                      <w:lang w:val="en-US" w:eastAsia="zh-CN" w:bidi="ar"/>
                    </w:rPr>
                    <w:t>运输噪声</w:t>
                  </w:r>
                </w:p>
              </w:tc>
              <w:tc>
                <w:tcPr>
                  <w:tcW w:w="1010" w:type="pct"/>
                  <w:tcBorders>
                    <w:top w:val="single" w:color="auto" w:sz="4" w:space="0"/>
                    <w:left w:val="single" w:color="auto" w:sz="4" w:space="0"/>
                    <w:bottom w:val="single" w:color="auto" w:sz="4" w:space="0"/>
                    <w:right w:val="single" w:color="auto" w:sz="4" w:space="0"/>
                  </w:tcBorders>
                  <w:vAlign w:val="center"/>
                </w:tcPr>
                <w:p w14:paraId="674571AB">
                  <w:pPr>
                    <w:widowControl/>
                    <w:jc w:val="center"/>
                    <w:textAlignment w:val="center"/>
                    <w:rPr>
                      <w:rFonts w:hint="default"/>
                      <w:bCs/>
                      <w:szCs w:val="21"/>
                      <w:highlight w:val="none"/>
                      <w:lang w:val="en-US" w:eastAsia="zh-CN"/>
                    </w:rPr>
                  </w:pPr>
                  <w:r>
                    <w:rPr>
                      <w:rFonts w:hint="eastAsia"/>
                      <w:bCs/>
                      <w:szCs w:val="21"/>
                      <w:highlight w:val="none"/>
                      <w:lang w:val="en-US" w:eastAsia="zh-CN"/>
                    </w:rPr>
                    <w:t>1</w:t>
                  </w:r>
                </w:p>
              </w:tc>
              <w:tc>
                <w:tcPr>
                  <w:tcW w:w="1091" w:type="pct"/>
                  <w:tcBorders>
                    <w:top w:val="single" w:color="auto" w:sz="4" w:space="0"/>
                    <w:left w:val="single" w:color="auto" w:sz="4" w:space="0"/>
                    <w:bottom w:val="single" w:color="auto" w:sz="4" w:space="0"/>
                    <w:right w:val="single" w:color="auto" w:sz="4" w:space="0"/>
                  </w:tcBorders>
                  <w:vAlign w:val="center"/>
                </w:tcPr>
                <w:p w14:paraId="24435F19">
                  <w:pPr>
                    <w:pStyle w:val="71"/>
                    <w:snapToGrid w:val="0"/>
                    <w:spacing w:before="0" w:after="0" w:line="240" w:lineRule="auto"/>
                    <w:ind w:firstLine="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75</w:t>
                  </w:r>
                </w:p>
              </w:tc>
              <w:tc>
                <w:tcPr>
                  <w:tcW w:w="832" w:type="pct"/>
                  <w:tcBorders>
                    <w:top w:val="single" w:color="auto" w:sz="4" w:space="0"/>
                    <w:left w:val="single" w:color="auto" w:sz="4" w:space="0"/>
                    <w:right w:val="single" w:color="auto" w:sz="4" w:space="0"/>
                  </w:tcBorders>
                  <w:vAlign w:val="center"/>
                </w:tcPr>
                <w:p w14:paraId="39512F58">
                  <w:pPr>
                    <w:pStyle w:val="71"/>
                    <w:snapToGrid w:val="0"/>
                    <w:spacing w:before="0" w:after="0" w:line="240" w:lineRule="auto"/>
                    <w:ind w:firstLine="0"/>
                    <w:jc w:val="center"/>
                    <w:rPr>
                      <w:rFonts w:ascii="Times New Roman" w:hAnsi="Times New Roman" w:eastAsia="宋体" w:cs="Times New Roman"/>
                      <w:sz w:val="21"/>
                      <w:szCs w:val="21"/>
                      <w:highlight w:val="none"/>
                    </w:rPr>
                  </w:pPr>
                  <w:r>
                    <w:rPr>
                      <w:rFonts w:ascii="Times New Roman" w:hAnsi="Times New Roman" w:eastAsia="宋体" w:cs="Times New Roman"/>
                      <w:sz w:val="21"/>
                      <w:szCs w:val="21"/>
                      <w:highlight w:val="none"/>
                    </w:rPr>
                    <w:t>减速慢行、禁止鸣笛</w:t>
                  </w:r>
                </w:p>
              </w:tc>
              <w:tc>
                <w:tcPr>
                  <w:tcW w:w="933" w:type="pct"/>
                  <w:tcBorders>
                    <w:top w:val="single" w:color="auto" w:sz="4" w:space="0"/>
                    <w:left w:val="single" w:color="auto" w:sz="4" w:space="0"/>
                    <w:right w:val="single" w:color="auto" w:sz="4" w:space="0"/>
                  </w:tcBorders>
                  <w:vAlign w:val="center"/>
                </w:tcPr>
                <w:p w14:paraId="43053CD6">
                  <w:pPr>
                    <w:pStyle w:val="71"/>
                    <w:snapToGrid w:val="0"/>
                    <w:spacing w:before="0" w:after="0" w:line="240" w:lineRule="auto"/>
                    <w:ind w:firstLine="0"/>
                    <w:jc w:val="center"/>
                    <w:rPr>
                      <w:rFonts w:hint="default"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55</w:t>
                  </w:r>
                </w:p>
              </w:tc>
            </w:tr>
          </w:tbl>
          <w:p w14:paraId="1BF9F39E">
            <w:pPr>
              <w:spacing w:before="120" w:beforeLines="50" w:line="360" w:lineRule="auto"/>
              <w:ind w:firstLine="482"/>
              <w:rPr>
                <w:b/>
                <w:sz w:val="24"/>
                <w:highlight w:val="none"/>
              </w:rPr>
            </w:pPr>
            <w:r>
              <w:rPr>
                <w:rFonts w:hint="eastAsia"/>
                <w:b/>
                <w:sz w:val="24"/>
                <w:highlight w:val="none"/>
              </w:rPr>
              <w:t>（</w:t>
            </w:r>
            <w:r>
              <w:rPr>
                <w:b/>
                <w:sz w:val="24"/>
                <w:highlight w:val="none"/>
              </w:rPr>
              <w:t>2</w:t>
            </w:r>
            <w:r>
              <w:rPr>
                <w:rFonts w:hint="eastAsia"/>
                <w:b/>
                <w:sz w:val="24"/>
                <w:highlight w:val="none"/>
              </w:rPr>
              <w:t>）达标情况分析</w:t>
            </w:r>
          </w:p>
          <w:p w14:paraId="5C4AAB3E">
            <w:pPr>
              <w:spacing w:line="360" w:lineRule="auto"/>
              <w:ind w:firstLine="480"/>
              <w:rPr>
                <w:color w:val="000000" w:themeColor="text1"/>
                <w:sz w:val="24"/>
                <w:highlight w:val="none"/>
                <w14:textFill>
                  <w14:solidFill>
                    <w14:schemeClr w14:val="tx1"/>
                  </w14:solidFill>
                </w14:textFill>
              </w:rPr>
            </w:pPr>
            <w:r>
              <w:rPr>
                <w:sz w:val="24"/>
                <w:highlight w:val="none"/>
              </w:rPr>
              <w:t>项目进行噪声预测，预测过程中，各噪声设备在一定的距离处可以被视作点源，设备所处位置、与墙壁的距离、房间常数、与预测点的距离、隔墙厚度等均按实际布设确定，同时考虑了地形因素的影响。</w:t>
            </w:r>
            <w:r>
              <w:rPr>
                <w:rFonts w:hint="eastAsia"/>
                <w:sz w:val="24"/>
                <w:highlight w:val="none"/>
              </w:rPr>
              <w:t>项目厂界外5</w:t>
            </w:r>
            <w:r>
              <w:rPr>
                <w:sz w:val="24"/>
                <w:highlight w:val="none"/>
              </w:rPr>
              <w:t>0</w:t>
            </w:r>
            <w:r>
              <w:rPr>
                <w:rFonts w:hint="eastAsia"/>
                <w:sz w:val="24"/>
                <w:highlight w:val="none"/>
              </w:rPr>
              <w:t>m范围内无声环境保护目标。</w:t>
            </w:r>
            <w:r>
              <w:rPr>
                <w:sz w:val="24"/>
                <w:highlight w:val="none"/>
              </w:rPr>
              <w:t>项目噪声预测结果</w:t>
            </w:r>
            <w:r>
              <w:rPr>
                <w:rFonts w:hint="eastAsia"/>
                <w:sz w:val="24"/>
                <w:highlight w:val="none"/>
              </w:rPr>
              <w:t>分析如下。</w:t>
            </w:r>
          </w:p>
          <w:p w14:paraId="701FD4F1">
            <w:pPr>
              <w:spacing w:line="360" w:lineRule="auto"/>
              <w:ind w:firstLine="480"/>
              <w:rPr>
                <w:sz w:val="24"/>
                <w:highlight w:val="none"/>
              </w:rPr>
            </w:pPr>
            <w:r>
              <w:rPr>
                <w:sz w:val="24"/>
                <w:highlight w:val="none"/>
              </w:rPr>
              <w:t>项目四厂界</w:t>
            </w:r>
            <w:r>
              <w:rPr>
                <w:rFonts w:hint="eastAsia"/>
                <w:sz w:val="24"/>
                <w:highlight w:val="none"/>
              </w:rPr>
              <w:t>的</w:t>
            </w:r>
            <w:r>
              <w:rPr>
                <w:sz w:val="24"/>
                <w:highlight w:val="none"/>
              </w:rPr>
              <w:t>噪声预测结果如下表所示：</w:t>
            </w:r>
          </w:p>
          <w:p w14:paraId="1039280D">
            <w:pPr>
              <w:pStyle w:val="48"/>
              <w:numPr>
                <w:ilvl w:val="0"/>
                <w:numId w:val="9"/>
              </w:numPr>
              <w:spacing w:line="360" w:lineRule="auto"/>
              <w:ind w:left="0" w:firstLine="0" w:firstLineChars="0"/>
              <w:jc w:val="center"/>
              <w:rPr>
                <w:rFonts w:ascii="Times New Roman" w:hAnsi="Times New Roman" w:eastAsia="宋体"/>
                <w:b/>
                <w:sz w:val="21"/>
                <w:highlight w:val="none"/>
              </w:rPr>
            </w:pPr>
            <w:r>
              <w:rPr>
                <w:rFonts w:hint="eastAsia" w:ascii="Times New Roman" w:hAnsi="Times New Roman" w:eastAsia="宋体"/>
                <w:b/>
                <w:sz w:val="21"/>
                <w:highlight w:val="none"/>
              </w:rPr>
              <w:t>项目噪声预测结果一览表（单位：</w:t>
            </w:r>
            <w:r>
              <w:rPr>
                <w:rFonts w:ascii="Times New Roman" w:hAnsi="Times New Roman" w:eastAsia="宋体"/>
                <w:b/>
                <w:bCs/>
                <w:sz w:val="21"/>
                <w:highlight w:val="none"/>
              </w:rPr>
              <w:t>dB（A）</w:t>
            </w:r>
            <w:r>
              <w:rPr>
                <w:rFonts w:hint="eastAsia" w:ascii="Times New Roman" w:hAnsi="Times New Roman" w:eastAsia="宋体"/>
                <w:b/>
                <w:sz w:val="21"/>
                <w:highlight w:val="none"/>
              </w:rPr>
              <w:t>）</w:t>
            </w:r>
          </w:p>
          <w:tbl>
            <w:tblPr>
              <w:tblStyle w:val="2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Layout w:type="autofit"/>
              <w:tblCellMar>
                <w:top w:w="0" w:type="dxa"/>
                <w:left w:w="108" w:type="dxa"/>
                <w:bottom w:w="0" w:type="dxa"/>
                <w:right w:w="108" w:type="dxa"/>
              </w:tblCellMar>
            </w:tblPr>
            <w:tblGrid>
              <w:gridCol w:w="1114"/>
              <w:gridCol w:w="1230"/>
              <w:gridCol w:w="978"/>
              <w:gridCol w:w="1281"/>
              <w:gridCol w:w="1281"/>
              <w:gridCol w:w="1286"/>
              <w:gridCol w:w="1286"/>
            </w:tblGrid>
            <w:tr w14:paraId="4305ADAC">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108" w:type="dxa"/>
                  <w:bottom w:w="0" w:type="dxa"/>
                  <w:right w:w="108" w:type="dxa"/>
                </w:tblCellMar>
              </w:tblPrEx>
              <w:trPr>
                <w:trHeight w:val="247" w:hRule="atLeast"/>
                <w:jc w:val="center"/>
              </w:trPr>
              <w:tc>
                <w:tcPr>
                  <w:tcW w:w="659" w:type="pct"/>
                  <w:vMerge w:val="restart"/>
                  <w:vAlign w:val="center"/>
                </w:tcPr>
                <w:p w14:paraId="7BC22FFE">
                  <w:pPr>
                    <w:spacing w:line="0" w:lineRule="atLeast"/>
                    <w:jc w:val="center"/>
                    <w:rPr>
                      <w:b/>
                      <w:color w:val="000000"/>
                      <w:szCs w:val="21"/>
                      <w:highlight w:val="none"/>
                    </w:rPr>
                  </w:pPr>
                  <w:r>
                    <w:rPr>
                      <w:b/>
                      <w:color w:val="000000"/>
                      <w:szCs w:val="21"/>
                      <w:highlight w:val="none"/>
                    </w:rPr>
                    <w:t>点位</w:t>
                  </w:r>
                </w:p>
              </w:tc>
              <w:tc>
                <w:tcPr>
                  <w:tcW w:w="1305" w:type="pct"/>
                  <w:gridSpan w:val="2"/>
                  <w:vAlign w:val="center"/>
                </w:tcPr>
                <w:p w14:paraId="706B8159">
                  <w:pPr>
                    <w:spacing w:line="0" w:lineRule="atLeast"/>
                    <w:jc w:val="center"/>
                    <w:rPr>
                      <w:rFonts w:hint="default" w:eastAsia="宋体"/>
                      <w:b/>
                      <w:color w:val="000000"/>
                      <w:szCs w:val="21"/>
                      <w:highlight w:val="none"/>
                      <w:lang w:val="en-US" w:eastAsia="zh-CN"/>
                    </w:rPr>
                  </w:pPr>
                  <w:r>
                    <w:rPr>
                      <w:rFonts w:hint="eastAsia"/>
                      <w:b/>
                      <w:color w:val="000000"/>
                      <w:szCs w:val="21"/>
                      <w:highlight w:val="none"/>
                      <w:lang w:val="en-US" w:eastAsia="zh-CN"/>
                    </w:rPr>
                    <w:t>最大值出现点坐标</w:t>
                  </w:r>
                  <w:r>
                    <w:rPr>
                      <w:rFonts w:hAnsi="Times New Roman" w:eastAsia="宋体" w:cs="Times New Roman"/>
                      <w:b/>
                      <w:bCs/>
                      <w:sz w:val="21"/>
                      <w:szCs w:val="21"/>
                      <w:highlight w:val="none"/>
                    </w:rPr>
                    <w:t>/m</w:t>
                  </w:r>
                </w:p>
              </w:tc>
              <w:tc>
                <w:tcPr>
                  <w:tcW w:w="757" w:type="pct"/>
                  <w:vAlign w:val="center"/>
                </w:tcPr>
                <w:p w14:paraId="63B82918">
                  <w:pPr>
                    <w:spacing w:line="0" w:lineRule="atLeast"/>
                    <w:jc w:val="center"/>
                    <w:rPr>
                      <w:b/>
                      <w:color w:val="000000"/>
                      <w:szCs w:val="21"/>
                      <w:highlight w:val="none"/>
                    </w:rPr>
                  </w:pPr>
                  <w:r>
                    <w:rPr>
                      <w:b/>
                      <w:color w:val="000000"/>
                      <w:szCs w:val="21"/>
                      <w:highlight w:val="none"/>
                    </w:rPr>
                    <w:t>贡献值</w:t>
                  </w:r>
                </w:p>
              </w:tc>
              <w:tc>
                <w:tcPr>
                  <w:tcW w:w="757" w:type="pct"/>
                  <w:vAlign w:val="center"/>
                </w:tcPr>
                <w:p w14:paraId="3C463F34">
                  <w:pPr>
                    <w:spacing w:line="0" w:lineRule="atLeast"/>
                    <w:jc w:val="center"/>
                    <w:rPr>
                      <w:b/>
                      <w:color w:val="000000"/>
                      <w:szCs w:val="21"/>
                      <w:highlight w:val="none"/>
                    </w:rPr>
                  </w:pPr>
                  <w:r>
                    <w:rPr>
                      <w:rFonts w:hint="eastAsia"/>
                      <w:b/>
                      <w:color w:val="000000"/>
                      <w:szCs w:val="21"/>
                      <w:highlight w:val="none"/>
                    </w:rPr>
                    <w:t>预测值</w:t>
                  </w:r>
                </w:p>
              </w:tc>
              <w:tc>
                <w:tcPr>
                  <w:tcW w:w="760" w:type="pct"/>
                  <w:vAlign w:val="center"/>
                </w:tcPr>
                <w:p w14:paraId="6DF38FF8">
                  <w:pPr>
                    <w:spacing w:line="0" w:lineRule="atLeast"/>
                    <w:jc w:val="center"/>
                    <w:rPr>
                      <w:b/>
                      <w:color w:val="000000"/>
                      <w:szCs w:val="21"/>
                      <w:highlight w:val="none"/>
                    </w:rPr>
                  </w:pPr>
                  <w:r>
                    <w:rPr>
                      <w:rFonts w:hint="eastAsia"/>
                      <w:b/>
                      <w:color w:val="000000"/>
                      <w:szCs w:val="21"/>
                      <w:highlight w:val="none"/>
                    </w:rPr>
                    <w:t>标准值</w:t>
                  </w:r>
                </w:p>
              </w:tc>
              <w:tc>
                <w:tcPr>
                  <w:tcW w:w="760" w:type="pct"/>
                  <w:vMerge w:val="restart"/>
                  <w:vAlign w:val="center"/>
                </w:tcPr>
                <w:p w14:paraId="33E71461">
                  <w:pPr>
                    <w:spacing w:line="0" w:lineRule="atLeast"/>
                    <w:jc w:val="center"/>
                    <w:rPr>
                      <w:b/>
                      <w:color w:val="000000"/>
                      <w:szCs w:val="21"/>
                      <w:highlight w:val="none"/>
                    </w:rPr>
                  </w:pPr>
                  <w:r>
                    <w:rPr>
                      <w:rFonts w:hint="eastAsia"/>
                      <w:b/>
                      <w:color w:val="000000"/>
                      <w:szCs w:val="21"/>
                      <w:highlight w:val="none"/>
                    </w:rPr>
                    <w:t>达标情况</w:t>
                  </w:r>
                </w:p>
              </w:tc>
            </w:tr>
            <w:tr w14:paraId="50532929">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108" w:type="dxa"/>
                  <w:bottom w:w="0" w:type="dxa"/>
                  <w:right w:w="108" w:type="dxa"/>
                </w:tblCellMar>
              </w:tblPrEx>
              <w:trPr>
                <w:trHeight w:val="362" w:hRule="atLeast"/>
                <w:jc w:val="center"/>
              </w:trPr>
              <w:tc>
                <w:tcPr>
                  <w:tcW w:w="659" w:type="pct"/>
                  <w:vMerge w:val="continue"/>
                  <w:vAlign w:val="center"/>
                </w:tcPr>
                <w:p w14:paraId="4BE4708E">
                  <w:pPr>
                    <w:widowControl/>
                    <w:jc w:val="left"/>
                    <w:rPr>
                      <w:b/>
                      <w:color w:val="000000"/>
                      <w:szCs w:val="21"/>
                      <w:highlight w:val="none"/>
                    </w:rPr>
                  </w:pPr>
                </w:p>
              </w:tc>
              <w:tc>
                <w:tcPr>
                  <w:tcW w:w="727" w:type="pct"/>
                  <w:shd w:val="clear" w:color="auto" w:fill="auto"/>
                  <w:vAlign w:val="center"/>
                </w:tcPr>
                <w:p w14:paraId="5C1B478D">
                  <w:pPr>
                    <w:pStyle w:val="8"/>
                    <w:ind w:firstLine="0" w:firstLineChars="0"/>
                    <w:jc w:val="center"/>
                    <w:rPr>
                      <w:rFonts w:ascii="Times New Roman" w:hAnsi="Times New Roman" w:eastAsia="宋体" w:cs="Times New Roman"/>
                      <w:b/>
                      <w:bCs/>
                      <w:kern w:val="2"/>
                      <w:sz w:val="21"/>
                      <w:szCs w:val="21"/>
                      <w:highlight w:val="none"/>
                      <w:lang w:val="en-US" w:eastAsia="zh-CN" w:bidi="ar-SA"/>
                    </w:rPr>
                  </w:pPr>
                  <w:r>
                    <w:rPr>
                      <w:rFonts w:hAnsi="Times New Roman" w:eastAsia="宋体" w:cs="Times New Roman"/>
                      <w:b/>
                      <w:bCs/>
                      <w:sz w:val="21"/>
                      <w:szCs w:val="21"/>
                      <w:highlight w:val="none"/>
                    </w:rPr>
                    <w:t>X</w:t>
                  </w:r>
                </w:p>
              </w:tc>
              <w:tc>
                <w:tcPr>
                  <w:tcW w:w="578" w:type="pct"/>
                  <w:shd w:val="clear" w:color="auto" w:fill="auto"/>
                  <w:vAlign w:val="center"/>
                </w:tcPr>
                <w:p w14:paraId="595D3F8A">
                  <w:pPr>
                    <w:pStyle w:val="8"/>
                    <w:ind w:firstLine="0" w:firstLineChars="0"/>
                    <w:jc w:val="center"/>
                    <w:rPr>
                      <w:rFonts w:ascii="Times New Roman" w:hAnsi="Times New Roman" w:eastAsia="宋体" w:cs="Times New Roman"/>
                      <w:b/>
                      <w:bCs/>
                      <w:kern w:val="2"/>
                      <w:sz w:val="21"/>
                      <w:szCs w:val="21"/>
                      <w:highlight w:val="none"/>
                      <w:lang w:val="en-US" w:eastAsia="zh-CN" w:bidi="ar-SA"/>
                    </w:rPr>
                  </w:pPr>
                  <w:r>
                    <w:rPr>
                      <w:rFonts w:hAnsi="Times New Roman" w:eastAsia="宋体" w:cs="Times New Roman"/>
                      <w:b/>
                      <w:bCs/>
                      <w:sz w:val="21"/>
                      <w:szCs w:val="21"/>
                      <w:highlight w:val="none"/>
                    </w:rPr>
                    <w:t>Y</w:t>
                  </w:r>
                </w:p>
              </w:tc>
              <w:tc>
                <w:tcPr>
                  <w:tcW w:w="757" w:type="pct"/>
                  <w:vAlign w:val="center"/>
                </w:tcPr>
                <w:p w14:paraId="15BEE5F5">
                  <w:pPr>
                    <w:widowControl/>
                    <w:jc w:val="center"/>
                    <w:rPr>
                      <w:b/>
                      <w:color w:val="000000"/>
                      <w:szCs w:val="21"/>
                      <w:highlight w:val="none"/>
                    </w:rPr>
                  </w:pPr>
                  <w:r>
                    <w:rPr>
                      <w:rFonts w:hint="eastAsia"/>
                      <w:b/>
                      <w:color w:val="000000"/>
                      <w:szCs w:val="21"/>
                      <w:highlight w:val="none"/>
                    </w:rPr>
                    <w:t>昼间</w:t>
                  </w:r>
                </w:p>
              </w:tc>
              <w:tc>
                <w:tcPr>
                  <w:tcW w:w="757" w:type="pct"/>
                  <w:vAlign w:val="center"/>
                </w:tcPr>
                <w:p w14:paraId="5BA6A6CA">
                  <w:pPr>
                    <w:widowControl/>
                    <w:jc w:val="center"/>
                    <w:rPr>
                      <w:b/>
                      <w:color w:val="000000"/>
                      <w:szCs w:val="21"/>
                      <w:highlight w:val="none"/>
                    </w:rPr>
                  </w:pPr>
                  <w:r>
                    <w:rPr>
                      <w:rFonts w:hint="eastAsia"/>
                      <w:b/>
                      <w:color w:val="000000"/>
                      <w:szCs w:val="21"/>
                      <w:highlight w:val="none"/>
                    </w:rPr>
                    <w:t>昼间</w:t>
                  </w:r>
                </w:p>
              </w:tc>
              <w:tc>
                <w:tcPr>
                  <w:tcW w:w="760" w:type="pct"/>
                  <w:vAlign w:val="center"/>
                </w:tcPr>
                <w:p w14:paraId="3B74B636">
                  <w:pPr>
                    <w:spacing w:line="0" w:lineRule="atLeast"/>
                    <w:jc w:val="center"/>
                    <w:rPr>
                      <w:b/>
                      <w:color w:val="000000"/>
                      <w:szCs w:val="21"/>
                      <w:highlight w:val="none"/>
                    </w:rPr>
                  </w:pPr>
                  <w:r>
                    <w:rPr>
                      <w:rFonts w:hint="eastAsia"/>
                      <w:b/>
                      <w:color w:val="000000"/>
                      <w:szCs w:val="21"/>
                      <w:highlight w:val="none"/>
                    </w:rPr>
                    <w:t>昼间</w:t>
                  </w:r>
                </w:p>
              </w:tc>
              <w:tc>
                <w:tcPr>
                  <w:tcW w:w="760" w:type="pct"/>
                  <w:vMerge w:val="continue"/>
                  <w:vAlign w:val="center"/>
                </w:tcPr>
                <w:p w14:paraId="31136695">
                  <w:pPr>
                    <w:spacing w:line="0" w:lineRule="atLeast"/>
                    <w:jc w:val="center"/>
                    <w:rPr>
                      <w:b/>
                      <w:color w:val="000000"/>
                      <w:szCs w:val="21"/>
                      <w:highlight w:val="none"/>
                    </w:rPr>
                  </w:pPr>
                </w:p>
              </w:tc>
            </w:tr>
            <w:tr w14:paraId="52CF2E8A">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108" w:type="dxa"/>
                  <w:bottom w:w="0" w:type="dxa"/>
                  <w:right w:w="108" w:type="dxa"/>
                </w:tblCellMar>
              </w:tblPrEx>
              <w:trPr>
                <w:trHeight w:val="328" w:hRule="atLeast"/>
                <w:jc w:val="center"/>
              </w:trPr>
              <w:tc>
                <w:tcPr>
                  <w:tcW w:w="659" w:type="pct"/>
                  <w:vAlign w:val="center"/>
                </w:tcPr>
                <w:p w14:paraId="215EEB3B">
                  <w:pPr>
                    <w:spacing w:line="0" w:lineRule="atLeast"/>
                    <w:jc w:val="center"/>
                    <w:rPr>
                      <w:color w:val="000000"/>
                      <w:kern w:val="0"/>
                      <w:szCs w:val="21"/>
                      <w:highlight w:val="none"/>
                    </w:rPr>
                  </w:pPr>
                  <w:r>
                    <w:rPr>
                      <w:szCs w:val="21"/>
                      <w:highlight w:val="none"/>
                    </w:rPr>
                    <w:t>北侧厂界</w:t>
                  </w:r>
                </w:p>
              </w:tc>
              <w:tc>
                <w:tcPr>
                  <w:tcW w:w="727" w:type="pct"/>
                  <w:vAlign w:val="center"/>
                </w:tcPr>
                <w:p w14:paraId="422B89F9">
                  <w:pPr>
                    <w:spacing w:line="0" w:lineRule="atLeast"/>
                    <w:jc w:val="center"/>
                    <w:rPr>
                      <w:rFonts w:hint="default"/>
                      <w:color w:val="000000"/>
                      <w:kern w:val="0"/>
                      <w:szCs w:val="21"/>
                      <w:highlight w:val="none"/>
                      <w:lang w:val="en-US" w:eastAsia="zh-CN"/>
                    </w:rPr>
                  </w:pPr>
                  <w:r>
                    <w:rPr>
                      <w:rFonts w:hint="eastAsia"/>
                      <w:color w:val="000000"/>
                      <w:kern w:val="0"/>
                      <w:szCs w:val="21"/>
                      <w:highlight w:val="none"/>
                      <w:lang w:val="en-US" w:eastAsia="zh-CN"/>
                    </w:rPr>
                    <w:t>65.01</w:t>
                  </w:r>
                </w:p>
              </w:tc>
              <w:tc>
                <w:tcPr>
                  <w:tcW w:w="578" w:type="pct"/>
                  <w:vAlign w:val="center"/>
                </w:tcPr>
                <w:p w14:paraId="12E620DA">
                  <w:pPr>
                    <w:spacing w:line="0" w:lineRule="atLeast"/>
                    <w:jc w:val="center"/>
                    <w:rPr>
                      <w:rFonts w:hint="default"/>
                      <w:color w:val="000000"/>
                      <w:kern w:val="0"/>
                      <w:szCs w:val="21"/>
                      <w:highlight w:val="none"/>
                      <w:lang w:val="en-US" w:eastAsia="zh-CN"/>
                    </w:rPr>
                  </w:pPr>
                  <w:r>
                    <w:rPr>
                      <w:rFonts w:hint="eastAsia"/>
                      <w:color w:val="000000"/>
                      <w:kern w:val="0"/>
                      <w:szCs w:val="21"/>
                      <w:highlight w:val="none"/>
                      <w:lang w:val="en-US" w:eastAsia="zh-CN"/>
                    </w:rPr>
                    <w:t>55.94</w:t>
                  </w:r>
                </w:p>
              </w:tc>
              <w:tc>
                <w:tcPr>
                  <w:tcW w:w="757" w:type="pct"/>
                  <w:vAlign w:val="center"/>
                </w:tcPr>
                <w:p w14:paraId="5172E809">
                  <w:pPr>
                    <w:spacing w:line="0" w:lineRule="atLeast"/>
                    <w:jc w:val="center"/>
                    <w:rPr>
                      <w:rFonts w:hint="default"/>
                      <w:color w:val="000000"/>
                      <w:kern w:val="0"/>
                      <w:szCs w:val="21"/>
                      <w:highlight w:val="none"/>
                      <w:lang w:val="en-US" w:eastAsia="zh-CN"/>
                    </w:rPr>
                  </w:pPr>
                  <w:r>
                    <w:rPr>
                      <w:rFonts w:hint="eastAsia"/>
                      <w:color w:val="000000"/>
                      <w:kern w:val="0"/>
                      <w:szCs w:val="21"/>
                      <w:highlight w:val="none"/>
                      <w:lang w:val="en-US" w:eastAsia="zh-CN"/>
                    </w:rPr>
                    <w:t>33.31</w:t>
                  </w:r>
                </w:p>
              </w:tc>
              <w:tc>
                <w:tcPr>
                  <w:tcW w:w="757" w:type="pct"/>
                  <w:shd w:val="clear" w:color="auto" w:fill="auto"/>
                  <w:vAlign w:val="center"/>
                </w:tcPr>
                <w:p w14:paraId="3F2CFCC5">
                  <w:pPr>
                    <w:spacing w:line="0" w:lineRule="atLeast"/>
                    <w:jc w:val="center"/>
                    <w:rPr>
                      <w:rFonts w:hint="default"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lang w:val="en-US" w:eastAsia="zh-CN" w:bidi="ar-SA"/>
                    </w:rPr>
                    <w:t>33.31</w:t>
                  </w:r>
                </w:p>
              </w:tc>
              <w:tc>
                <w:tcPr>
                  <w:tcW w:w="760" w:type="pct"/>
                  <w:vAlign w:val="center"/>
                </w:tcPr>
                <w:p w14:paraId="1965D608">
                  <w:pPr>
                    <w:spacing w:line="0" w:lineRule="atLeast"/>
                    <w:jc w:val="center"/>
                    <w:rPr>
                      <w:color w:val="000000"/>
                      <w:szCs w:val="21"/>
                      <w:highlight w:val="none"/>
                    </w:rPr>
                  </w:pPr>
                  <w:r>
                    <w:rPr>
                      <w:rFonts w:hint="eastAsia"/>
                      <w:color w:val="000000"/>
                      <w:szCs w:val="21"/>
                      <w:highlight w:val="none"/>
                    </w:rPr>
                    <w:t>6</w:t>
                  </w:r>
                  <w:r>
                    <w:rPr>
                      <w:color w:val="000000"/>
                      <w:szCs w:val="21"/>
                      <w:highlight w:val="none"/>
                    </w:rPr>
                    <w:t>0</w:t>
                  </w:r>
                </w:p>
              </w:tc>
              <w:tc>
                <w:tcPr>
                  <w:tcW w:w="760" w:type="pct"/>
                  <w:vAlign w:val="center"/>
                </w:tcPr>
                <w:p w14:paraId="4B3BDE62">
                  <w:pPr>
                    <w:spacing w:line="0" w:lineRule="atLeast"/>
                    <w:jc w:val="center"/>
                    <w:rPr>
                      <w:color w:val="000000"/>
                      <w:szCs w:val="21"/>
                      <w:highlight w:val="none"/>
                    </w:rPr>
                  </w:pPr>
                  <w:r>
                    <w:rPr>
                      <w:rFonts w:hint="eastAsia"/>
                      <w:color w:val="000000"/>
                      <w:szCs w:val="21"/>
                      <w:highlight w:val="none"/>
                    </w:rPr>
                    <w:t>达标</w:t>
                  </w:r>
                </w:p>
              </w:tc>
            </w:tr>
            <w:tr w14:paraId="258717AD">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108" w:type="dxa"/>
                  <w:bottom w:w="0" w:type="dxa"/>
                  <w:right w:w="108" w:type="dxa"/>
                </w:tblCellMar>
              </w:tblPrEx>
              <w:trPr>
                <w:trHeight w:val="328" w:hRule="atLeast"/>
                <w:jc w:val="center"/>
              </w:trPr>
              <w:tc>
                <w:tcPr>
                  <w:tcW w:w="659" w:type="pct"/>
                  <w:vAlign w:val="center"/>
                </w:tcPr>
                <w:p w14:paraId="71395546">
                  <w:pPr>
                    <w:spacing w:line="0" w:lineRule="atLeast"/>
                    <w:jc w:val="center"/>
                    <w:rPr>
                      <w:color w:val="000000"/>
                      <w:kern w:val="0"/>
                      <w:szCs w:val="21"/>
                      <w:highlight w:val="none"/>
                    </w:rPr>
                  </w:pPr>
                  <w:r>
                    <w:rPr>
                      <w:szCs w:val="21"/>
                      <w:highlight w:val="none"/>
                    </w:rPr>
                    <w:t>东侧厂界</w:t>
                  </w:r>
                </w:p>
              </w:tc>
              <w:tc>
                <w:tcPr>
                  <w:tcW w:w="727" w:type="pct"/>
                  <w:shd w:val="clear" w:color="auto" w:fill="auto"/>
                  <w:vAlign w:val="center"/>
                </w:tcPr>
                <w:p w14:paraId="3E54A9F6">
                  <w:pPr>
                    <w:spacing w:line="0" w:lineRule="atLeast"/>
                    <w:jc w:val="center"/>
                    <w:rPr>
                      <w:rFonts w:hint="default"/>
                      <w:color w:val="000000"/>
                      <w:kern w:val="0"/>
                      <w:szCs w:val="21"/>
                      <w:highlight w:val="none"/>
                      <w:lang w:val="en-US" w:eastAsia="zh-CN"/>
                    </w:rPr>
                  </w:pPr>
                  <w:r>
                    <w:rPr>
                      <w:rFonts w:hint="eastAsia"/>
                      <w:color w:val="000000"/>
                      <w:kern w:val="0"/>
                      <w:szCs w:val="21"/>
                      <w:highlight w:val="none"/>
                      <w:lang w:val="en-US" w:eastAsia="zh-CN"/>
                    </w:rPr>
                    <w:t>69.04</w:t>
                  </w:r>
                </w:p>
              </w:tc>
              <w:tc>
                <w:tcPr>
                  <w:tcW w:w="578" w:type="pct"/>
                  <w:shd w:val="clear" w:color="auto" w:fill="auto"/>
                  <w:vAlign w:val="center"/>
                </w:tcPr>
                <w:p w14:paraId="4BFED4FE">
                  <w:pPr>
                    <w:spacing w:line="0" w:lineRule="atLeast"/>
                    <w:jc w:val="center"/>
                    <w:rPr>
                      <w:rFonts w:hint="default"/>
                      <w:color w:val="000000"/>
                      <w:kern w:val="0"/>
                      <w:szCs w:val="21"/>
                      <w:highlight w:val="none"/>
                      <w:lang w:val="en-US" w:eastAsia="zh-CN"/>
                    </w:rPr>
                  </w:pPr>
                  <w:r>
                    <w:rPr>
                      <w:rFonts w:hint="eastAsia"/>
                      <w:color w:val="000000"/>
                      <w:kern w:val="0"/>
                      <w:szCs w:val="21"/>
                      <w:highlight w:val="none"/>
                      <w:lang w:val="en-US" w:eastAsia="zh-CN"/>
                    </w:rPr>
                    <w:t>17.77</w:t>
                  </w:r>
                </w:p>
              </w:tc>
              <w:tc>
                <w:tcPr>
                  <w:tcW w:w="757" w:type="pct"/>
                  <w:vAlign w:val="center"/>
                </w:tcPr>
                <w:p w14:paraId="3F8942E9">
                  <w:pPr>
                    <w:spacing w:line="0" w:lineRule="atLeast"/>
                    <w:jc w:val="center"/>
                    <w:rPr>
                      <w:rFonts w:hint="default"/>
                      <w:color w:val="000000"/>
                      <w:kern w:val="0"/>
                      <w:szCs w:val="21"/>
                      <w:highlight w:val="none"/>
                      <w:lang w:val="en-US" w:eastAsia="zh-CN"/>
                    </w:rPr>
                  </w:pPr>
                  <w:r>
                    <w:rPr>
                      <w:rFonts w:hint="eastAsia"/>
                      <w:color w:val="000000"/>
                      <w:kern w:val="0"/>
                      <w:szCs w:val="21"/>
                      <w:highlight w:val="none"/>
                      <w:lang w:val="en-US" w:eastAsia="zh-CN"/>
                    </w:rPr>
                    <w:t>33.84</w:t>
                  </w:r>
                </w:p>
              </w:tc>
              <w:tc>
                <w:tcPr>
                  <w:tcW w:w="757" w:type="pct"/>
                  <w:shd w:val="clear" w:color="auto" w:fill="auto"/>
                  <w:vAlign w:val="center"/>
                </w:tcPr>
                <w:p w14:paraId="08A2C8A2">
                  <w:pPr>
                    <w:spacing w:line="0" w:lineRule="atLeast"/>
                    <w:jc w:val="center"/>
                    <w:rPr>
                      <w:rFonts w:hint="default"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lang w:val="en-US" w:eastAsia="zh-CN" w:bidi="ar-SA"/>
                    </w:rPr>
                    <w:t>33.84</w:t>
                  </w:r>
                </w:p>
              </w:tc>
              <w:tc>
                <w:tcPr>
                  <w:tcW w:w="760" w:type="pct"/>
                  <w:vAlign w:val="center"/>
                </w:tcPr>
                <w:p w14:paraId="23B36FD3">
                  <w:pPr>
                    <w:spacing w:line="0" w:lineRule="atLeast"/>
                    <w:jc w:val="center"/>
                    <w:rPr>
                      <w:color w:val="000000"/>
                      <w:szCs w:val="21"/>
                      <w:highlight w:val="none"/>
                    </w:rPr>
                  </w:pPr>
                  <w:r>
                    <w:rPr>
                      <w:rFonts w:hint="eastAsia"/>
                      <w:color w:val="000000"/>
                      <w:szCs w:val="21"/>
                      <w:highlight w:val="none"/>
                    </w:rPr>
                    <w:t>6</w:t>
                  </w:r>
                  <w:r>
                    <w:rPr>
                      <w:color w:val="000000"/>
                      <w:szCs w:val="21"/>
                      <w:highlight w:val="none"/>
                    </w:rPr>
                    <w:t>0</w:t>
                  </w:r>
                </w:p>
              </w:tc>
              <w:tc>
                <w:tcPr>
                  <w:tcW w:w="760" w:type="pct"/>
                  <w:vAlign w:val="center"/>
                </w:tcPr>
                <w:p w14:paraId="64658408">
                  <w:pPr>
                    <w:spacing w:line="0" w:lineRule="atLeast"/>
                    <w:jc w:val="center"/>
                    <w:rPr>
                      <w:color w:val="000000"/>
                      <w:szCs w:val="21"/>
                      <w:highlight w:val="none"/>
                    </w:rPr>
                  </w:pPr>
                  <w:r>
                    <w:rPr>
                      <w:rFonts w:hint="eastAsia"/>
                      <w:color w:val="000000"/>
                      <w:szCs w:val="21"/>
                      <w:highlight w:val="none"/>
                    </w:rPr>
                    <w:t>达标</w:t>
                  </w:r>
                </w:p>
              </w:tc>
            </w:tr>
            <w:tr w14:paraId="20A5DF0B">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108" w:type="dxa"/>
                  <w:bottom w:w="0" w:type="dxa"/>
                  <w:right w:w="108" w:type="dxa"/>
                </w:tblCellMar>
              </w:tblPrEx>
              <w:trPr>
                <w:trHeight w:val="328" w:hRule="atLeast"/>
                <w:jc w:val="center"/>
              </w:trPr>
              <w:tc>
                <w:tcPr>
                  <w:tcW w:w="659" w:type="pct"/>
                  <w:vAlign w:val="center"/>
                </w:tcPr>
                <w:p w14:paraId="4AA4097C">
                  <w:pPr>
                    <w:spacing w:line="0" w:lineRule="atLeast"/>
                    <w:jc w:val="center"/>
                    <w:rPr>
                      <w:color w:val="000000"/>
                      <w:kern w:val="0"/>
                      <w:szCs w:val="21"/>
                      <w:highlight w:val="none"/>
                    </w:rPr>
                  </w:pPr>
                  <w:r>
                    <w:rPr>
                      <w:szCs w:val="21"/>
                      <w:highlight w:val="none"/>
                    </w:rPr>
                    <w:t>南侧厂界</w:t>
                  </w:r>
                </w:p>
              </w:tc>
              <w:tc>
                <w:tcPr>
                  <w:tcW w:w="727" w:type="pct"/>
                  <w:vAlign w:val="center"/>
                </w:tcPr>
                <w:p w14:paraId="69BDA89A">
                  <w:pPr>
                    <w:spacing w:line="0" w:lineRule="atLeast"/>
                    <w:jc w:val="center"/>
                    <w:rPr>
                      <w:rFonts w:hint="default"/>
                      <w:color w:val="000000"/>
                      <w:kern w:val="0"/>
                      <w:szCs w:val="21"/>
                      <w:highlight w:val="none"/>
                      <w:lang w:val="en-US" w:eastAsia="zh-CN"/>
                    </w:rPr>
                  </w:pPr>
                  <w:r>
                    <w:rPr>
                      <w:rFonts w:hint="eastAsia"/>
                      <w:color w:val="000000"/>
                      <w:kern w:val="0"/>
                      <w:szCs w:val="21"/>
                      <w:highlight w:val="none"/>
                      <w:lang w:val="en-US" w:eastAsia="zh-CN"/>
                    </w:rPr>
                    <w:t>22.04</w:t>
                  </w:r>
                </w:p>
              </w:tc>
              <w:tc>
                <w:tcPr>
                  <w:tcW w:w="578" w:type="pct"/>
                  <w:vAlign w:val="center"/>
                </w:tcPr>
                <w:p w14:paraId="7DBDA694">
                  <w:pPr>
                    <w:spacing w:line="0" w:lineRule="atLeast"/>
                    <w:jc w:val="center"/>
                    <w:rPr>
                      <w:rFonts w:hint="default"/>
                      <w:color w:val="000000"/>
                      <w:kern w:val="0"/>
                      <w:szCs w:val="21"/>
                      <w:highlight w:val="none"/>
                      <w:lang w:val="en-US" w:eastAsia="zh-CN"/>
                    </w:rPr>
                  </w:pPr>
                  <w:r>
                    <w:rPr>
                      <w:rFonts w:hint="eastAsia"/>
                      <w:color w:val="000000"/>
                      <w:kern w:val="0"/>
                      <w:szCs w:val="21"/>
                      <w:highlight w:val="none"/>
                      <w:lang w:val="en-US" w:eastAsia="zh-CN"/>
                    </w:rPr>
                    <w:t>-10.26</w:t>
                  </w:r>
                </w:p>
              </w:tc>
              <w:tc>
                <w:tcPr>
                  <w:tcW w:w="757" w:type="pct"/>
                  <w:vAlign w:val="center"/>
                </w:tcPr>
                <w:p w14:paraId="120CB862">
                  <w:pPr>
                    <w:spacing w:line="0" w:lineRule="atLeast"/>
                    <w:jc w:val="center"/>
                    <w:rPr>
                      <w:rFonts w:hint="default"/>
                      <w:color w:val="000000"/>
                      <w:kern w:val="0"/>
                      <w:szCs w:val="21"/>
                      <w:highlight w:val="none"/>
                      <w:lang w:val="en-US" w:eastAsia="zh-CN"/>
                    </w:rPr>
                  </w:pPr>
                  <w:r>
                    <w:rPr>
                      <w:rFonts w:hint="eastAsia"/>
                      <w:color w:val="000000"/>
                      <w:kern w:val="0"/>
                      <w:szCs w:val="21"/>
                      <w:highlight w:val="none"/>
                      <w:lang w:val="en-US" w:eastAsia="zh-CN"/>
                    </w:rPr>
                    <w:t>35.87</w:t>
                  </w:r>
                </w:p>
              </w:tc>
              <w:tc>
                <w:tcPr>
                  <w:tcW w:w="757" w:type="pct"/>
                  <w:shd w:val="clear" w:color="auto" w:fill="auto"/>
                  <w:vAlign w:val="center"/>
                </w:tcPr>
                <w:p w14:paraId="3CA5FA2A">
                  <w:pPr>
                    <w:spacing w:line="0" w:lineRule="atLeast"/>
                    <w:jc w:val="center"/>
                    <w:rPr>
                      <w:rFonts w:hint="default" w:ascii="Times New Roman" w:hAnsi="Times New Roman" w:eastAsia="宋体" w:cs="Times New Roman"/>
                      <w:color w:val="000000"/>
                      <w:kern w:val="0"/>
                      <w:sz w:val="21"/>
                      <w:szCs w:val="21"/>
                      <w:highlight w:val="none"/>
                      <w:lang w:val="en-US" w:eastAsia="zh-CN" w:bidi="ar-SA"/>
                    </w:rPr>
                  </w:pPr>
                  <w:r>
                    <w:rPr>
                      <w:rFonts w:hint="eastAsia"/>
                      <w:color w:val="000000"/>
                      <w:kern w:val="0"/>
                      <w:szCs w:val="21"/>
                      <w:highlight w:val="none"/>
                      <w:lang w:val="en-US" w:eastAsia="zh-CN"/>
                    </w:rPr>
                    <w:t>35.87</w:t>
                  </w:r>
                </w:p>
              </w:tc>
              <w:tc>
                <w:tcPr>
                  <w:tcW w:w="760" w:type="pct"/>
                  <w:vAlign w:val="center"/>
                </w:tcPr>
                <w:p w14:paraId="730512AE">
                  <w:pPr>
                    <w:spacing w:line="0" w:lineRule="atLeast"/>
                    <w:jc w:val="center"/>
                    <w:rPr>
                      <w:color w:val="000000"/>
                      <w:szCs w:val="21"/>
                      <w:highlight w:val="none"/>
                    </w:rPr>
                  </w:pPr>
                  <w:r>
                    <w:rPr>
                      <w:rFonts w:hint="eastAsia"/>
                      <w:color w:val="000000"/>
                      <w:szCs w:val="21"/>
                      <w:highlight w:val="none"/>
                    </w:rPr>
                    <w:t>6</w:t>
                  </w:r>
                  <w:r>
                    <w:rPr>
                      <w:color w:val="000000"/>
                      <w:szCs w:val="21"/>
                      <w:highlight w:val="none"/>
                    </w:rPr>
                    <w:t>0</w:t>
                  </w:r>
                </w:p>
              </w:tc>
              <w:tc>
                <w:tcPr>
                  <w:tcW w:w="760" w:type="pct"/>
                  <w:vAlign w:val="center"/>
                </w:tcPr>
                <w:p w14:paraId="3C804A0E">
                  <w:pPr>
                    <w:spacing w:line="0" w:lineRule="atLeast"/>
                    <w:jc w:val="center"/>
                    <w:rPr>
                      <w:color w:val="000000"/>
                      <w:szCs w:val="21"/>
                      <w:highlight w:val="none"/>
                    </w:rPr>
                  </w:pPr>
                  <w:r>
                    <w:rPr>
                      <w:rFonts w:hint="eastAsia"/>
                      <w:color w:val="000000"/>
                      <w:szCs w:val="21"/>
                      <w:highlight w:val="none"/>
                    </w:rPr>
                    <w:t>达标</w:t>
                  </w:r>
                </w:p>
              </w:tc>
            </w:tr>
            <w:tr w14:paraId="1FE51262">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CellMar>
                  <w:top w:w="0" w:type="dxa"/>
                  <w:left w:w="108" w:type="dxa"/>
                  <w:bottom w:w="0" w:type="dxa"/>
                  <w:right w:w="108" w:type="dxa"/>
                </w:tblCellMar>
              </w:tblPrEx>
              <w:trPr>
                <w:trHeight w:val="328" w:hRule="atLeast"/>
                <w:jc w:val="center"/>
              </w:trPr>
              <w:tc>
                <w:tcPr>
                  <w:tcW w:w="659" w:type="pct"/>
                  <w:vAlign w:val="center"/>
                </w:tcPr>
                <w:p w14:paraId="166A6850">
                  <w:pPr>
                    <w:spacing w:line="0" w:lineRule="atLeast"/>
                    <w:jc w:val="center"/>
                    <w:rPr>
                      <w:color w:val="000000"/>
                      <w:kern w:val="0"/>
                      <w:szCs w:val="21"/>
                      <w:highlight w:val="none"/>
                    </w:rPr>
                  </w:pPr>
                  <w:r>
                    <w:rPr>
                      <w:szCs w:val="21"/>
                      <w:highlight w:val="none"/>
                    </w:rPr>
                    <w:t>西侧厂界</w:t>
                  </w:r>
                </w:p>
              </w:tc>
              <w:tc>
                <w:tcPr>
                  <w:tcW w:w="727" w:type="pct"/>
                  <w:vAlign w:val="center"/>
                </w:tcPr>
                <w:p w14:paraId="2D3BCEA7">
                  <w:pPr>
                    <w:spacing w:line="0" w:lineRule="atLeast"/>
                    <w:jc w:val="center"/>
                    <w:rPr>
                      <w:rFonts w:hint="default"/>
                      <w:color w:val="000000"/>
                      <w:kern w:val="0"/>
                      <w:szCs w:val="21"/>
                      <w:highlight w:val="none"/>
                      <w:lang w:val="en-US" w:eastAsia="zh-CN"/>
                    </w:rPr>
                  </w:pPr>
                  <w:r>
                    <w:rPr>
                      <w:rFonts w:hint="eastAsia"/>
                      <w:color w:val="000000"/>
                      <w:kern w:val="0"/>
                      <w:szCs w:val="21"/>
                      <w:highlight w:val="none"/>
                      <w:lang w:val="en-US" w:eastAsia="zh-CN"/>
                    </w:rPr>
                    <w:t>21.00</w:t>
                  </w:r>
                </w:p>
              </w:tc>
              <w:tc>
                <w:tcPr>
                  <w:tcW w:w="578" w:type="pct"/>
                  <w:vAlign w:val="center"/>
                </w:tcPr>
                <w:p w14:paraId="26BB57DA">
                  <w:pPr>
                    <w:spacing w:line="0" w:lineRule="atLeast"/>
                    <w:jc w:val="center"/>
                    <w:rPr>
                      <w:rFonts w:hint="default"/>
                      <w:color w:val="000000"/>
                      <w:kern w:val="0"/>
                      <w:szCs w:val="21"/>
                      <w:highlight w:val="none"/>
                      <w:lang w:val="en-US" w:eastAsia="zh-CN"/>
                    </w:rPr>
                  </w:pPr>
                  <w:r>
                    <w:rPr>
                      <w:rFonts w:hint="eastAsia"/>
                      <w:color w:val="000000"/>
                      <w:kern w:val="0"/>
                      <w:szCs w:val="21"/>
                      <w:highlight w:val="none"/>
                      <w:lang w:val="en-US" w:eastAsia="zh-CN"/>
                    </w:rPr>
                    <w:t>48.11</w:t>
                  </w:r>
                </w:p>
              </w:tc>
              <w:tc>
                <w:tcPr>
                  <w:tcW w:w="757" w:type="pct"/>
                  <w:vAlign w:val="center"/>
                </w:tcPr>
                <w:p w14:paraId="0B308B33">
                  <w:pPr>
                    <w:spacing w:line="0" w:lineRule="atLeast"/>
                    <w:jc w:val="center"/>
                    <w:rPr>
                      <w:rFonts w:hint="default"/>
                      <w:color w:val="000000"/>
                      <w:kern w:val="0"/>
                      <w:szCs w:val="21"/>
                      <w:highlight w:val="none"/>
                      <w:lang w:val="en-US" w:eastAsia="zh-CN"/>
                    </w:rPr>
                  </w:pPr>
                  <w:r>
                    <w:rPr>
                      <w:rFonts w:hint="eastAsia"/>
                      <w:color w:val="000000"/>
                      <w:kern w:val="0"/>
                      <w:szCs w:val="21"/>
                      <w:highlight w:val="none"/>
                      <w:lang w:val="en-US" w:eastAsia="zh-CN"/>
                    </w:rPr>
                    <w:t>34.00</w:t>
                  </w:r>
                </w:p>
              </w:tc>
              <w:tc>
                <w:tcPr>
                  <w:tcW w:w="757" w:type="pct"/>
                  <w:shd w:val="clear" w:color="auto" w:fill="auto"/>
                  <w:vAlign w:val="center"/>
                </w:tcPr>
                <w:p w14:paraId="7C17B83D">
                  <w:pPr>
                    <w:spacing w:line="0" w:lineRule="atLeast"/>
                    <w:jc w:val="center"/>
                    <w:rPr>
                      <w:rFonts w:hint="default" w:ascii="Times New Roman" w:hAnsi="Times New Roman" w:eastAsia="宋体" w:cs="Times New Roman"/>
                      <w:color w:val="000000"/>
                      <w:kern w:val="0"/>
                      <w:sz w:val="21"/>
                      <w:szCs w:val="21"/>
                      <w:highlight w:val="none"/>
                      <w:lang w:val="en-US" w:eastAsia="zh-CN" w:bidi="ar-SA"/>
                    </w:rPr>
                  </w:pPr>
                  <w:r>
                    <w:rPr>
                      <w:rFonts w:hint="eastAsia" w:cs="Times New Roman"/>
                      <w:color w:val="000000"/>
                      <w:kern w:val="0"/>
                      <w:sz w:val="21"/>
                      <w:szCs w:val="21"/>
                      <w:highlight w:val="none"/>
                      <w:lang w:val="en-US" w:eastAsia="zh-CN" w:bidi="ar-SA"/>
                    </w:rPr>
                    <w:t>34.00</w:t>
                  </w:r>
                </w:p>
              </w:tc>
              <w:tc>
                <w:tcPr>
                  <w:tcW w:w="760" w:type="pct"/>
                  <w:vAlign w:val="center"/>
                </w:tcPr>
                <w:p w14:paraId="745FD441">
                  <w:pPr>
                    <w:spacing w:line="0" w:lineRule="atLeast"/>
                    <w:jc w:val="center"/>
                    <w:rPr>
                      <w:color w:val="000000"/>
                      <w:szCs w:val="21"/>
                      <w:highlight w:val="none"/>
                    </w:rPr>
                  </w:pPr>
                  <w:r>
                    <w:rPr>
                      <w:rFonts w:hint="eastAsia"/>
                      <w:color w:val="000000"/>
                      <w:szCs w:val="21"/>
                      <w:highlight w:val="none"/>
                    </w:rPr>
                    <w:t>6</w:t>
                  </w:r>
                  <w:r>
                    <w:rPr>
                      <w:color w:val="000000"/>
                      <w:szCs w:val="21"/>
                      <w:highlight w:val="none"/>
                    </w:rPr>
                    <w:t>0</w:t>
                  </w:r>
                </w:p>
              </w:tc>
              <w:tc>
                <w:tcPr>
                  <w:tcW w:w="760" w:type="pct"/>
                  <w:vAlign w:val="center"/>
                </w:tcPr>
                <w:p w14:paraId="1BD6F0EA">
                  <w:pPr>
                    <w:spacing w:line="0" w:lineRule="atLeast"/>
                    <w:jc w:val="center"/>
                    <w:rPr>
                      <w:color w:val="000000"/>
                      <w:szCs w:val="21"/>
                      <w:highlight w:val="none"/>
                    </w:rPr>
                  </w:pPr>
                  <w:r>
                    <w:rPr>
                      <w:rFonts w:hint="eastAsia"/>
                      <w:color w:val="000000"/>
                      <w:szCs w:val="21"/>
                      <w:highlight w:val="none"/>
                    </w:rPr>
                    <w:t>达标</w:t>
                  </w:r>
                </w:p>
              </w:tc>
            </w:tr>
          </w:tbl>
          <w:p w14:paraId="062708AF">
            <w:pPr>
              <w:spacing w:before="120" w:beforeLines="50" w:line="360" w:lineRule="auto"/>
              <w:ind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绘制项目噪声预测等声级线图如下图所示。</w:t>
            </w:r>
          </w:p>
          <w:p w14:paraId="2284D80D">
            <w:pPr>
              <w:spacing w:line="360" w:lineRule="auto"/>
              <w:jc w:val="center"/>
              <w:rPr>
                <w:sz w:val="24"/>
                <w:highlight w:val="none"/>
              </w:rPr>
            </w:pPr>
            <w:r>
              <w:rPr>
                <w:highlight w:val="none"/>
              </w:rPr>
              <w:drawing>
                <wp:inline distT="0" distB="0" distL="114300" distR="114300">
                  <wp:extent cx="5419725" cy="4201160"/>
                  <wp:effectExtent l="0" t="0" r="9525" b="889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25"/>
                          <a:stretch>
                            <a:fillRect/>
                          </a:stretch>
                        </pic:blipFill>
                        <pic:spPr>
                          <a:xfrm>
                            <a:off x="0" y="0"/>
                            <a:ext cx="5419725" cy="4201160"/>
                          </a:xfrm>
                          <a:prstGeom prst="rect">
                            <a:avLst/>
                          </a:prstGeom>
                          <a:noFill/>
                          <a:ln>
                            <a:noFill/>
                          </a:ln>
                        </pic:spPr>
                      </pic:pic>
                    </a:graphicData>
                  </a:graphic>
                </wp:inline>
              </w:drawing>
            </w:r>
          </w:p>
          <w:p w14:paraId="5D612038">
            <w:pPr>
              <w:pStyle w:val="48"/>
              <w:numPr>
                <w:ilvl w:val="0"/>
                <w:numId w:val="10"/>
              </w:numPr>
              <w:spacing w:line="360" w:lineRule="auto"/>
              <w:ind w:firstLineChars="0"/>
              <w:jc w:val="center"/>
              <w:rPr>
                <w:highlight w:val="none"/>
              </w:rPr>
            </w:pPr>
            <w:r>
              <w:rPr>
                <w:rFonts w:eastAsia="宋体"/>
                <w:b/>
                <w:bCs/>
                <w:color w:val="000000"/>
                <w:sz w:val="21"/>
                <w:highlight w:val="none"/>
              </w:rPr>
              <w:t>项目</w:t>
            </w:r>
            <w:r>
              <w:rPr>
                <w:rFonts w:hint="eastAsia" w:eastAsia="宋体"/>
                <w:b/>
                <w:bCs/>
                <w:color w:val="000000"/>
                <w:sz w:val="21"/>
                <w:highlight w:val="none"/>
              </w:rPr>
              <w:t>工程</w:t>
            </w:r>
            <w:r>
              <w:rPr>
                <w:rFonts w:eastAsia="宋体"/>
                <w:b/>
                <w:bCs/>
                <w:color w:val="000000"/>
                <w:sz w:val="21"/>
                <w:highlight w:val="none"/>
              </w:rPr>
              <w:t>噪声贡献值等值线图</w:t>
            </w:r>
          </w:p>
          <w:p w14:paraId="70BF5BF1">
            <w:pPr>
              <w:spacing w:before="120" w:beforeLines="50" w:line="360" w:lineRule="auto"/>
              <w:ind w:firstLine="482"/>
              <w:rPr>
                <w:color w:val="000000" w:themeColor="text1"/>
                <w:sz w:val="24"/>
                <w:highlight w:val="none"/>
                <w14:textFill>
                  <w14:solidFill>
                    <w14:schemeClr w14:val="tx1"/>
                  </w14:solidFill>
                </w14:textFill>
              </w:rPr>
            </w:pPr>
            <w:r>
              <w:rPr>
                <w:sz w:val="24"/>
                <w:highlight w:val="none"/>
              </w:rPr>
              <w:t>根据上表</w:t>
            </w:r>
            <w:r>
              <w:rPr>
                <w:rFonts w:hint="eastAsia"/>
                <w:sz w:val="24"/>
                <w:highlight w:val="none"/>
              </w:rPr>
              <w:t>、图</w:t>
            </w:r>
            <w:r>
              <w:rPr>
                <w:sz w:val="24"/>
                <w:highlight w:val="none"/>
              </w:rPr>
              <w:t>预测结果可知，</w:t>
            </w:r>
            <w:r>
              <w:rPr>
                <w:rFonts w:hint="eastAsia"/>
                <w:sz w:val="24"/>
                <w:highlight w:val="none"/>
                <w:lang w:val="en-US" w:eastAsia="zh-CN"/>
              </w:rPr>
              <w:t>由于企业夜间不生产，</w:t>
            </w:r>
            <w:r>
              <w:rPr>
                <w:sz w:val="24"/>
                <w:highlight w:val="none"/>
              </w:rPr>
              <w:t>项目四</w:t>
            </w:r>
            <w:r>
              <w:rPr>
                <w:rFonts w:hint="eastAsia"/>
                <w:sz w:val="24"/>
                <w:highlight w:val="none"/>
              </w:rPr>
              <w:t>侧</w:t>
            </w:r>
            <w:r>
              <w:rPr>
                <w:sz w:val="24"/>
                <w:highlight w:val="none"/>
              </w:rPr>
              <w:t>厂界</w:t>
            </w:r>
            <w:r>
              <w:rPr>
                <w:rFonts w:hint="eastAsia"/>
                <w:sz w:val="24"/>
                <w:highlight w:val="none"/>
              </w:rPr>
              <w:t>昼间</w:t>
            </w:r>
            <w:r>
              <w:rPr>
                <w:sz w:val="24"/>
                <w:highlight w:val="none"/>
              </w:rPr>
              <w:t>噪声贡献值为</w:t>
            </w:r>
            <w:r>
              <w:rPr>
                <w:rFonts w:hint="eastAsia"/>
                <w:sz w:val="24"/>
                <w:highlight w:val="none"/>
                <w:lang w:val="en-US" w:eastAsia="zh-CN"/>
              </w:rPr>
              <w:t>33.31</w:t>
            </w:r>
            <w:r>
              <w:rPr>
                <w:sz w:val="24"/>
                <w:highlight w:val="none"/>
              </w:rPr>
              <w:t>dB（A）</w:t>
            </w:r>
            <w:r>
              <w:rPr>
                <w:rFonts w:hint="eastAsia"/>
                <w:sz w:val="24"/>
                <w:highlight w:val="none"/>
                <w:lang w:eastAsia="zh-CN"/>
              </w:rPr>
              <w:t>～</w:t>
            </w:r>
            <w:r>
              <w:rPr>
                <w:rFonts w:hint="eastAsia"/>
                <w:sz w:val="24"/>
                <w:highlight w:val="none"/>
                <w:lang w:val="en-US" w:eastAsia="zh-CN"/>
              </w:rPr>
              <w:t>35.87</w:t>
            </w:r>
            <w:r>
              <w:rPr>
                <w:sz w:val="24"/>
                <w:highlight w:val="none"/>
              </w:rPr>
              <w:t>dB（A）</w:t>
            </w:r>
            <w:r>
              <w:rPr>
                <w:rFonts w:hint="eastAsia"/>
                <w:sz w:val="24"/>
                <w:highlight w:val="none"/>
                <w:lang w:eastAsia="zh-CN"/>
              </w:rPr>
              <w:t>，</w:t>
            </w:r>
            <w:r>
              <w:rPr>
                <w:sz w:val="24"/>
                <w:highlight w:val="none"/>
              </w:rPr>
              <w:t>符合《工业企业厂界环境噪声排放标准》（GB12348-2008）中</w:t>
            </w:r>
            <w:r>
              <w:rPr>
                <w:rFonts w:hint="eastAsia"/>
                <w:sz w:val="24"/>
                <w:highlight w:val="none"/>
              </w:rPr>
              <w:t>2</w:t>
            </w:r>
            <w:r>
              <w:rPr>
                <w:sz w:val="24"/>
                <w:highlight w:val="none"/>
              </w:rPr>
              <w:t>类标准要求</w:t>
            </w:r>
            <w:r>
              <w:rPr>
                <w:rFonts w:hint="eastAsia"/>
                <w:sz w:val="24"/>
                <w:highlight w:val="none"/>
              </w:rPr>
              <w:t>，项目厂界噪声为达标排放</w:t>
            </w:r>
            <w:r>
              <w:rPr>
                <w:sz w:val="24"/>
                <w:highlight w:val="none"/>
              </w:rPr>
              <w:t>。</w:t>
            </w:r>
            <w:r>
              <w:rPr>
                <w:rFonts w:hint="eastAsia"/>
                <w:sz w:val="24"/>
                <w:highlight w:val="none"/>
              </w:rPr>
              <w:t>项目厂界外5</w:t>
            </w:r>
            <w:r>
              <w:rPr>
                <w:sz w:val="24"/>
                <w:highlight w:val="none"/>
              </w:rPr>
              <w:t>0</w:t>
            </w:r>
            <w:r>
              <w:rPr>
                <w:rFonts w:hint="eastAsia"/>
                <w:sz w:val="24"/>
                <w:highlight w:val="none"/>
              </w:rPr>
              <w:t>m范围内无声环境保护目标，</w:t>
            </w:r>
            <w:r>
              <w:rPr>
                <w:rFonts w:hint="eastAsia"/>
                <w:color w:val="000000" w:themeColor="text1"/>
                <w:sz w:val="24"/>
                <w:highlight w:val="none"/>
                <w14:textFill>
                  <w14:solidFill>
                    <w14:schemeClr w14:val="tx1"/>
                  </w14:solidFill>
                </w14:textFill>
              </w:rPr>
              <w:t>项目的运行对区域声环境质量的影响较小。</w:t>
            </w:r>
          </w:p>
          <w:p w14:paraId="78FA32B1">
            <w:pPr>
              <w:spacing w:line="360" w:lineRule="auto"/>
              <w:ind w:firstLine="480"/>
              <w:rPr>
                <w:b/>
                <w:sz w:val="24"/>
                <w:highlight w:val="none"/>
              </w:rPr>
            </w:pPr>
            <w:r>
              <w:rPr>
                <w:rFonts w:hint="eastAsia"/>
                <w:b/>
                <w:sz w:val="24"/>
                <w:highlight w:val="none"/>
              </w:rPr>
              <w:t>（</w:t>
            </w:r>
            <w:r>
              <w:rPr>
                <w:b/>
                <w:sz w:val="24"/>
                <w:highlight w:val="none"/>
              </w:rPr>
              <w:t>3</w:t>
            </w:r>
            <w:r>
              <w:rPr>
                <w:rFonts w:hint="eastAsia"/>
                <w:b/>
                <w:sz w:val="24"/>
                <w:highlight w:val="none"/>
              </w:rPr>
              <w:t>）监测要求</w:t>
            </w:r>
          </w:p>
          <w:p w14:paraId="325F58ED">
            <w:pPr>
              <w:adjustRightInd w:val="0"/>
              <w:snapToGrid w:val="0"/>
              <w:spacing w:line="360" w:lineRule="auto"/>
              <w:ind w:firstLine="480"/>
              <w:rPr>
                <w:sz w:val="24"/>
                <w:highlight w:val="none"/>
              </w:rPr>
            </w:pPr>
            <w:r>
              <w:rPr>
                <w:sz w:val="24"/>
                <w:highlight w:val="none"/>
              </w:rPr>
              <w:t>根据</w:t>
            </w:r>
            <w:r>
              <w:rPr>
                <w:rFonts w:hint="eastAsia"/>
                <w:sz w:val="24"/>
                <w:highlight w:val="none"/>
              </w:rPr>
              <w:t>《排污单位自行监测技术指南工业固体废物和危险废物治理》（HJ1250-2022）</w:t>
            </w:r>
            <w:r>
              <w:rPr>
                <w:sz w:val="24"/>
                <w:highlight w:val="none"/>
              </w:rPr>
              <w:t>，项目噪声源监测要求详见下表：</w:t>
            </w:r>
          </w:p>
          <w:p w14:paraId="58958CC8">
            <w:pPr>
              <w:pStyle w:val="48"/>
              <w:numPr>
                <w:ilvl w:val="0"/>
                <w:numId w:val="9"/>
              </w:numPr>
              <w:spacing w:line="360" w:lineRule="auto"/>
              <w:ind w:left="0" w:firstLine="0" w:firstLineChars="0"/>
              <w:jc w:val="center"/>
              <w:rPr>
                <w:rFonts w:ascii="Times New Roman" w:hAnsi="Times New Roman" w:eastAsia="宋体"/>
                <w:b/>
                <w:sz w:val="21"/>
                <w:highlight w:val="none"/>
              </w:rPr>
            </w:pPr>
            <w:r>
              <w:rPr>
                <w:rFonts w:hint="eastAsia" w:ascii="Times New Roman" w:hAnsi="Times New Roman" w:eastAsia="宋体"/>
                <w:b/>
                <w:sz w:val="21"/>
                <w:highlight w:val="none"/>
              </w:rPr>
              <w:t>项目噪声监测要求一览表</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9"/>
              <w:gridCol w:w="1371"/>
              <w:gridCol w:w="1149"/>
              <w:gridCol w:w="1162"/>
              <w:gridCol w:w="3657"/>
            </w:tblGrid>
            <w:tr w14:paraId="08C1DD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2" w:type="dxa"/>
                  <w:tcBorders>
                    <w:top w:val="single" w:color="auto" w:sz="4" w:space="0"/>
                    <w:left w:val="single" w:color="auto" w:sz="4" w:space="0"/>
                    <w:bottom w:val="single" w:color="auto" w:sz="4" w:space="0"/>
                    <w:right w:val="single" w:color="auto" w:sz="4" w:space="0"/>
                  </w:tcBorders>
                  <w:vAlign w:val="center"/>
                </w:tcPr>
                <w:p w14:paraId="7C46AEB7">
                  <w:pPr>
                    <w:jc w:val="center"/>
                    <w:rPr>
                      <w:b/>
                      <w:color w:val="000000"/>
                      <w:szCs w:val="21"/>
                      <w:highlight w:val="none"/>
                    </w:rPr>
                  </w:pPr>
                  <w:r>
                    <w:rPr>
                      <w:b/>
                      <w:color w:val="000000"/>
                      <w:szCs w:val="21"/>
                      <w:highlight w:val="none"/>
                    </w:rPr>
                    <w:t>环境要素</w:t>
                  </w:r>
                </w:p>
              </w:tc>
              <w:tc>
                <w:tcPr>
                  <w:tcW w:w="1350" w:type="dxa"/>
                  <w:tcBorders>
                    <w:top w:val="single" w:color="auto" w:sz="4" w:space="0"/>
                    <w:left w:val="nil"/>
                    <w:bottom w:val="single" w:color="auto" w:sz="4" w:space="0"/>
                    <w:right w:val="single" w:color="auto" w:sz="4" w:space="0"/>
                  </w:tcBorders>
                  <w:vAlign w:val="center"/>
                </w:tcPr>
                <w:p w14:paraId="3EA9AF6C">
                  <w:pPr>
                    <w:jc w:val="center"/>
                    <w:rPr>
                      <w:b/>
                      <w:color w:val="000000"/>
                      <w:szCs w:val="21"/>
                      <w:highlight w:val="none"/>
                    </w:rPr>
                  </w:pPr>
                  <w:r>
                    <w:rPr>
                      <w:b/>
                      <w:color w:val="000000"/>
                      <w:szCs w:val="21"/>
                      <w:highlight w:val="none"/>
                    </w:rPr>
                    <w:t>监测位置</w:t>
                  </w:r>
                </w:p>
              </w:tc>
              <w:tc>
                <w:tcPr>
                  <w:tcW w:w="1132" w:type="dxa"/>
                  <w:tcBorders>
                    <w:top w:val="single" w:color="auto" w:sz="4" w:space="0"/>
                    <w:left w:val="nil"/>
                    <w:bottom w:val="single" w:color="auto" w:sz="4" w:space="0"/>
                    <w:right w:val="single" w:color="auto" w:sz="4" w:space="0"/>
                  </w:tcBorders>
                  <w:vAlign w:val="center"/>
                </w:tcPr>
                <w:p w14:paraId="0EBB8F57">
                  <w:pPr>
                    <w:jc w:val="center"/>
                    <w:rPr>
                      <w:b/>
                      <w:color w:val="000000"/>
                      <w:szCs w:val="21"/>
                      <w:highlight w:val="none"/>
                    </w:rPr>
                  </w:pPr>
                  <w:r>
                    <w:rPr>
                      <w:b/>
                      <w:color w:val="000000"/>
                      <w:szCs w:val="21"/>
                      <w:highlight w:val="none"/>
                    </w:rPr>
                    <w:t>监测项目</w:t>
                  </w:r>
                </w:p>
              </w:tc>
              <w:tc>
                <w:tcPr>
                  <w:tcW w:w="1145" w:type="dxa"/>
                  <w:tcBorders>
                    <w:top w:val="single" w:color="auto" w:sz="4" w:space="0"/>
                    <w:left w:val="nil"/>
                    <w:bottom w:val="single" w:color="auto" w:sz="4" w:space="0"/>
                    <w:right w:val="single" w:color="auto" w:sz="4" w:space="0"/>
                  </w:tcBorders>
                  <w:vAlign w:val="center"/>
                </w:tcPr>
                <w:p w14:paraId="4C76AC8F">
                  <w:pPr>
                    <w:jc w:val="center"/>
                    <w:rPr>
                      <w:b/>
                      <w:color w:val="000000"/>
                      <w:szCs w:val="21"/>
                      <w:highlight w:val="none"/>
                    </w:rPr>
                  </w:pPr>
                  <w:r>
                    <w:rPr>
                      <w:b/>
                      <w:color w:val="000000"/>
                      <w:szCs w:val="21"/>
                      <w:highlight w:val="none"/>
                    </w:rPr>
                    <w:t>频次</w:t>
                  </w:r>
                </w:p>
              </w:tc>
              <w:tc>
                <w:tcPr>
                  <w:tcW w:w="3602" w:type="dxa"/>
                  <w:tcBorders>
                    <w:top w:val="single" w:color="auto" w:sz="4" w:space="0"/>
                    <w:left w:val="nil"/>
                    <w:bottom w:val="single" w:color="auto" w:sz="4" w:space="0"/>
                    <w:right w:val="single" w:color="auto" w:sz="4" w:space="0"/>
                  </w:tcBorders>
                  <w:vAlign w:val="center"/>
                </w:tcPr>
                <w:p w14:paraId="7FC6CD60">
                  <w:pPr>
                    <w:jc w:val="center"/>
                    <w:rPr>
                      <w:b/>
                      <w:color w:val="000000"/>
                      <w:szCs w:val="21"/>
                      <w:highlight w:val="none"/>
                    </w:rPr>
                  </w:pPr>
                  <w:r>
                    <w:rPr>
                      <w:b/>
                      <w:color w:val="000000"/>
                      <w:szCs w:val="21"/>
                      <w:highlight w:val="none"/>
                    </w:rPr>
                    <w:t>执行标准</w:t>
                  </w:r>
                </w:p>
              </w:tc>
            </w:tr>
            <w:tr w14:paraId="2B14BD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1102" w:type="dxa"/>
                  <w:tcBorders>
                    <w:top w:val="single" w:color="auto" w:sz="4" w:space="0"/>
                    <w:left w:val="single" w:color="auto" w:sz="4" w:space="0"/>
                    <w:bottom w:val="single" w:color="auto" w:sz="4" w:space="0"/>
                    <w:right w:val="single" w:color="auto" w:sz="4" w:space="0"/>
                  </w:tcBorders>
                  <w:vAlign w:val="center"/>
                </w:tcPr>
                <w:p w14:paraId="105B5AA2">
                  <w:pPr>
                    <w:jc w:val="center"/>
                    <w:rPr>
                      <w:color w:val="000000"/>
                      <w:szCs w:val="21"/>
                      <w:highlight w:val="none"/>
                    </w:rPr>
                  </w:pPr>
                  <w:r>
                    <w:rPr>
                      <w:color w:val="000000"/>
                      <w:szCs w:val="21"/>
                      <w:highlight w:val="none"/>
                    </w:rPr>
                    <w:t>噪声</w:t>
                  </w:r>
                </w:p>
              </w:tc>
              <w:tc>
                <w:tcPr>
                  <w:tcW w:w="1350" w:type="dxa"/>
                  <w:tcBorders>
                    <w:top w:val="single" w:color="auto" w:sz="4" w:space="0"/>
                    <w:left w:val="nil"/>
                    <w:bottom w:val="single" w:color="auto" w:sz="4" w:space="0"/>
                    <w:right w:val="single" w:color="auto" w:sz="4" w:space="0"/>
                  </w:tcBorders>
                  <w:vAlign w:val="center"/>
                </w:tcPr>
                <w:p w14:paraId="1BB0B83E">
                  <w:pPr>
                    <w:jc w:val="center"/>
                    <w:rPr>
                      <w:color w:val="000000"/>
                      <w:szCs w:val="21"/>
                      <w:highlight w:val="none"/>
                    </w:rPr>
                  </w:pPr>
                  <w:r>
                    <w:rPr>
                      <w:color w:val="000000"/>
                      <w:szCs w:val="21"/>
                      <w:highlight w:val="none"/>
                    </w:rPr>
                    <w:t>四厂界外1m处</w:t>
                  </w:r>
                </w:p>
              </w:tc>
              <w:tc>
                <w:tcPr>
                  <w:tcW w:w="1132" w:type="dxa"/>
                  <w:tcBorders>
                    <w:top w:val="single" w:color="auto" w:sz="4" w:space="0"/>
                    <w:left w:val="nil"/>
                    <w:bottom w:val="single" w:color="auto" w:sz="4" w:space="0"/>
                    <w:right w:val="single" w:color="auto" w:sz="4" w:space="0"/>
                  </w:tcBorders>
                  <w:vAlign w:val="center"/>
                </w:tcPr>
                <w:p w14:paraId="6598EF9F">
                  <w:pPr>
                    <w:jc w:val="center"/>
                    <w:rPr>
                      <w:color w:val="000000"/>
                      <w:szCs w:val="21"/>
                      <w:highlight w:val="none"/>
                    </w:rPr>
                  </w:pPr>
                  <w:r>
                    <w:rPr>
                      <w:color w:val="000000"/>
                      <w:szCs w:val="21"/>
                      <w:highlight w:val="none"/>
                    </w:rPr>
                    <w:t>Leq</w:t>
                  </w:r>
                </w:p>
              </w:tc>
              <w:tc>
                <w:tcPr>
                  <w:tcW w:w="1145" w:type="dxa"/>
                  <w:tcBorders>
                    <w:top w:val="single" w:color="auto" w:sz="4" w:space="0"/>
                    <w:left w:val="nil"/>
                    <w:bottom w:val="single" w:color="auto" w:sz="4" w:space="0"/>
                    <w:right w:val="single" w:color="auto" w:sz="4" w:space="0"/>
                  </w:tcBorders>
                  <w:vAlign w:val="center"/>
                </w:tcPr>
                <w:p w14:paraId="372DA371">
                  <w:pPr>
                    <w:jc w:val="center"/>
                    <w:rPr>
                      <w:color w:val="000000"/>
                      <w:szCs w:val="21"/>
                      <w:highlight w:val="none"/>
                    </w:rPr>
                  </w:pPr>
                  <w:r>
                    <w:rPr>
                      <w:color w:val="000000"/>
                      <w:szCs w:val="21"/>
                      <w:highlight w:val="none"/>
                    </w:rPr>
                    <w:t>每季度</w:t>
                  </w:r>
                </w:p>
                <w:p w14:paraId="6CE4097A">
                  <w:pPr>
                    <w:jc w:val="center"/>
                    <w:rPr>
                      <w:color w:val="000000"/>
                      <w:szCs w:val="21"/>
                      <w:highlight w:val="none"/>
                    </w:rPr>
                  </w:pPr>
                  <w:r>
                    <w:rPr>
                      <w:color w:val="000000"/>
                      <w:szCs w:val="21"/>
                      <w:highlight w:val="none"/>
                    </w:rPr>
                    <w:t>一次</w:t>
                  </w:r>
                </w:p>
              </w:tc>
              <w:tc>
                <w:tcPr>
                  <w:tcW w:w="3602" w:type="dxa"/>
                  <w:tcBorders>
                    <w:top w:val="single" w:color="auto" w:sz="4" w:space="0"/>
                    <w:left w:val="nil"/>
                    <w:bottom w:val="single" w:color="auto" w:sz="4" w:space="0"/>
                    <w:right w:val="single" w:color="auto" w:sz="4" w:space="0"/>
                  </w:tcBorders>
                  <w:vAlign w:val="center"/>
                </w:tcPr>
                <w:p w14:paraId="034C8EF3">
                  <w:pPr>
                    <w:jc w:val="center"/>
                    <w:rPr>
                      <w:color w:val="000000"/>
                      <w:szCs w:val="21"/>
                      <w:highlight w:val="none"/>
                    </w:rPr>
                  </w:pPr>
                  <w:r>
                    <w:rPr>
                      <w:color w:val="000000"/>
                      <w:szCs w:val="21"/>
                      <w:highlight w:val="none"/>
                    </w:rPr>
                    <w:t>《工业企业厂界环境噪声排放标准》（GB12348-2008）中2类标准要求</w:t>
                  </w:r>
                </w:p>
              </w:tc>
            </w:tr>
          </w:tbl>
          <w:p w14:paraId="55A534C0">
            <w:pPr>
              <w:spacing w:before="120" w:beforeLines="50" w:line="360" w:lineRule="auto"/>
              <w:ind w:firstLine="482"/>
              <w:rPr>
                <w:b/>
                <w:sz w:val="24"/>
                <w:highlight w:val="none"/>
              </w:rPr>
            </w:pPr>
            <w:r>
              <w:rPr>
                <w:b/>
                <w:sz w:val="24"/>
                <w:highlight w:val="none"/>
              </w:rPr>
              <w:t>4．</w:t>
            </w:r>
            <w:r>
              <w:rPr>
                <w:rFonts w:hint="eastAsia"/>
                <w:b/>
                <w:sz w:val="24"/>
                <w:highlight w:val="none"/>
              </w:rPr>
              <w:t>固体废物环境影响和处置措施</w:t>
            </w:r>
          </w:p>
          <w:p w14:paraId="08E00A9A">
            <w:pPr>
              <w:autoSpaceDE w:val="0"/>
              <w:autoSpaceDN w:val="0"/>
              <w:snapToGrid w:val="0"/>
              <w:spacing w:line="360" w:lineRule="auto"/>
              <w:ind w:firstLine="480" w:firstLineChars="200"/>
              <w:rPr>
                <w:kern w:val="0"/>
                <w:sz w:val="24"/>
                <w:highlight w:val="none"/>
              </w:rPr>
            </w:pPr>
            <w:r>
              <w:rPr>
                <w:kern w:val="0"/>
                <w:sz w:val="24"/>
                <w:highlight w:val="none"/>
              </w:rPr>
              <w:t>项目</w:t>
            </w:r>
            <w:r>
              <w:rPr>
                <w:rFonts w:hint="eastAsia"/>
                <w:kern w:val="0"/>
                <w:sz w:val="24"/>
                <w:highlight w:val="none"/>
              </w:rPr>
              <w:t>运营期</w:t>
            </w:r>
            <w:r>
              <w:rPr>
                <w:kern w:val="0"/>
                <w:sz w:val="24"/>
                <w:highlight w:val="none"/>
              </w:rPr>
              <w:t>产生的固体废物包括</w:t>
            </w:r>
            <w:r>
              <w:rPr>
                <w:rFonts w:hint="eastAsia"/>
                <w:kern w:val="0"/>
                <w:sz w:val="24"/>
                <w:highlight w:val="none"/>
              </w:rPr>
              <w:t>：</w:t>
            </w:r>
            <w:r>
              <w:rPr>
                <w:rFonts w:hint="eastAsia"/>
                <w:bCs/>
                <w:sz w:val="24"/>
                <w:highlight w:val="none"/>
              </w:rPr>
              <w:t>生</w:t>
            </w:r>
            <w:r>
              <w:rPr>
                <w:rFonts w:hint="eastAsia"/>
                <w:kern w:val="0"/>
                <w:sz w:val="24"/>
                <w:highlight w:val="none"/>
              </w:rPr>
              <w:t>活垃圾、</w:t>
            </w:r>
            <w:r>
              <w:rPr>
                <w:rFonts w:hint="eastAsia"/>
                <w:bCs/>
                <w:sz w:val="24"/>
                <w:highlight w:val="none"/>
              </w:rPr>
              <w:t>废包装桶/袋、废活性炭、废碱液、</w:t>
            </w:r>
            <w:r>
              <w:rPr>
                <w:rFonts w:hint="eastAsia"/>
                <w:sz w:val="24"/>
                <w:highlight w:val="none"/>
              </w:rPr>
              <w:t>废</w:t>
            </w:r>
            <w:r>
              <w:rPr>
                <w:rFonts w:hint="eastAsia"/>
                <w:sz w:val="24"/>
                <w:highlight w:val="none"/>
                <w:lang w:val="en-US" w:eastAsia="zh-CN"/>
              </w:rPr>
              <w:t>矿物</w:t>
            </w:r>
            <w:r>
              <w:rPr>
                <w:rFonts w:hint="eastAsia"/>
                <w:sz w:val="24"/>
                <w:highlight w:val="none"/>
              </w:rPr>
              <w:t>油、废</w:t>
            </w:r>
            <w:r>
              <w:rPr>
                <w:rFonts w:hint="eastAsia"/>
                <w:sz w:val="24"/>
                <w:highlight w:val="none"/>
                <w:lang w:val="en-US" w:eastAsia="zh-CN"/>
              </w:rPr>
              <w:t>矿物</w:t>
            </w:r>
            <w:r>
              <w:rPr>
                <w:rFonts w:hint="eastAsia"/>
                <w:sz w:val="24"/>
                <w:highlight w:val="none"/>
              </w:rPr>
              <w:t>油桶和</w:t>
            </w:r>
            <w:r>
              <w:rPr>
                <w:rFonts w:hint="eastAsia"/>
                <w:bCs/>
                <w:sz w:val="24"/>
                <w:highlight w:val="none"/>
              </w:rPr>
              <w:t>废弃的含油抹布、劳保用品</w:t>
            </w:r>
            <w:r>
              <w:rPr>
                <w:rFonts w:hint="eastAsia"/>
                <w:kern w:val="0"/>
                <w:sz w:val="24"/>
                <w:highlight w:val="none"/>
              </w:rPr>
              <w:t>。</w:t>
            </w:r>
          </w:p>
          <w:p w14:paraId="2A7FD7D0">
            <w:pPr>
              <w:spacing w:line="360" w:lineRule="auto"/>
              <w:ind w:firstLine="480"/>
              <w:rPr>
                <w:b/>
                <w:sz w:val="24"/>
                <w:highlight w:val="none"/>
              </w:rPr>
            </w:pPr>
            <w:r>
              <w:rPr>
                <w:rFonts w:hint="eastAsia"/>
                <w:b/>
                <w:sz w:val="24"/>
                <w:highlight w:val="none"/>
              </w:rPr>
              <w:t>（1）固体废物处置措施</w:t>
            </w:r>
          </w:p>
          <w:p w14:paraId="2B6C46BE">
            <w:pPr>
              <w:spacing w:line="360" w:lineRule="auto"/>
              <w:ind w:firstLine="480"/>
              <w:rPr>
                <w:kern w:val="0"/>
                <w:sz w:val="24"/>
                <w:highlight w:val="none"/>
              </w:rPr>
            </w:pPr>
            <w:r>
              <w:rPr>
                <w:kern w:val="0"/>
                <w:sz w:val="24"/>
                <w:highlight w:val="none"/>
              </w:rPr>
              <w:t>①</w:t>
            </w:r>
            <w:r>
              <w:rPr>
                <w:rFonts w:hint="eastAsia"/>
                <w:bCs/>
                <w:sz w:val="24"/>
                <w:highlight w:val="none"/>
              </w:rPr>
              <w:t>废包装桶/袋</w:t>
            </w:r>
            <w:r>
              <w:rPr>
                <w:rFonts w:hint="eastAsia"/>
                <w:bCs/>
                <w:sz w:val="24"/>
                <w:highlight w:val="none"/>
                <w:lang w:eastAsia="zh-CN"/>
              </w:rPr>
              <w:t>：</w:t>
            </w:r>
            <w:r>
              <w:rPr>
                <w:rFonts w:hint="eastAsia"/>
                <w:sz w:val="24"/>
                <w:highlight w:val="none"/>
              </w:rPr>
              <w:t>产生量为</w:t>
            </w:r>
            <w:r>
              <w:rPr>
                <w:rFonts w:hint="eastAsia"/>
                <w:sz w:val="24"/>
                <w:highlight w:val="none"/>
                <w:lang w:val="en-US" w:eastAsia="zh-CN"/>
              </w:rPr>
              <w:t>0.5</w:t>
            </w:r>
            <w:r>
              <w:rPr>
                <w:rFonts w:hint="eastAsia"/>
                <w:sz w:val="24"/>
                <w:highlight w:val="none"/>
              </w:rPr>
              <w:t>t/a，</w:t>
            </w:r>
            <w:r>
              <w:rPr>
                <w:rFonts w:hint="eastAsia" w:ascii="Times New Roman" w:hAnsi="Times New Roman" w:eastAsia="宋体" w:cs="Times New Roman"/>
                <w:color w:val="000000" w:themeColor="text1"/>
                <w:kern w:val="0"/>
                <w:sz w:val="24"/>
                <w:highlight w:val="none"/>
                <w:lang w:val="en-US" w:eastAsia="zh-CN" w:bidi="ar"/>
                <w14:textFill>
                  <w14:solidFill>
                    <w14:schemeClr w14:val="tx1"/>
                  </w14:solidFill>
                </w14:textFill>
              </w:rPr>
              <w:t>暂存于</w:t>
            </w:r>
            <w:r>
              <w:rPr>
                <w:rFonts w:hint="eastAsia" w:cs="Times New Roman"/>
                <w:color w:val="000000" w:themeColor="text1"/>
                <w:kern w:val="0"/>
                <w:sz w:val="24"/>
                <w:highlight w:val="none"/>
                <w:lang w:val="en-US" w:eastAsia="zh-CN" w:bidi="ar"/>
                <w14:textFill>
                  <w14:solidFill>
                    <w14:schemeClr w14:val="tx1"/>
                  </w14:solidFill>
                </w14:textFill>
              </w:rPr>
              <w:t>危险废物收集贮存库</w:t>
            </w:r>
            <w:r>
              <w:rPr>
                <w:rFonts w:hint="eastAsia" w:ascii="Times New Roman" w:hAnsi="Times New Roman" w:eastAsia="宋体" w:cs="Times New Roman"/>
                <w:color w:val="000000" w:themeColor="text1"/>
                <w:kern w:val="0"/>
                <w:sz w:val="24"/>
                <w:highlight w:val="none"/>
                <w:lang w:val="en-US" w:eastAsia="zh-CN" w:bidi="ar"/>
                <w14:textFill>
                  <w14:solidFill>
                    <w14:schemeClr w14:val="tx1"/>
                  </w14:solidFill>
                </w14:textFill>
              </w:rPr>
              <w:t>，委托有资质单位定期处置。</w:t>
            </w:r>
          </w:p>
          <w:p w14:paraId="21BE44F4">
            <w:pPr>
              <w:spacing w:line="360" w:lineRule="auto"/>
              <w:ind w:firstLine="480"/>
              <w:rPr>
                <w:sz w:val="24"/>
                <w:highlight w:val="none"/>
              </w:rPr>
            </w:pPr>
            <w:r>
              <w:rPr>
                <w:kern w:val="0"/>
                <w:sz w:val="24"/>
                <w:highlight w:val="none"/>
              </w:rPr>
              <w:t>②</w:t>
            </w:r>
            <w:r>
              <w:rPr>
                <w:rFonts w:hint="eastAsia"/>
                <w:sz w:val="24"/>
                <w:highlight w:val="none"/>
              </w:rPr>
              <w:t>废</w:t>
            </w:r>
            <w:r>
              <w:rPr>
                <w:rFonts w:hint="eastAsia"/>
                <w:sz w:val="24"/>
                <w:highlight w:val="none"/>
                <w:lang w:val="en-US" w:eastAsia="zh-CN"/>
              </w:rPr>
              <w:t>活性炭：</w:t>
            </w:r>
            <w:r>
              <w:rPr>
                <w:rFonts w:hint="eastAsia" w:ascii="Times New Roman" w:hAnsi="Times New Roman" w:eastAsia="宋体" w:cs="Times New Roman"/>
                <w:color w:val="000000" w:themeColor="text1"/>
                <w:kern w:val="0"/>
                <w:sz w:val="24"/>
                <w:highlight w:val="none"/>
                <w:lang w:val="en-US" w:eastAsia="zh-CN" w:bidi="ar"/>
                <w14:textFill>
                  <w14:solidFill>
                    <w14:schemeClr w14:val="tx1"/>
                  </w14:solidFill>
                </w14:textFill>
              </w:rPr>
              <w:t>根据工程分析可知，本项目运行过程中活性炭吸附装置对废气的吸附量为</w:t>
            </w:r>
            <w:r>
              <w:rPr>
                <w:rFonts w:hint="eastAsia" w:cs="Times New Roman"/>
                <w:color w:val="000000" w:themeColor="text1"/>
                <w:kern w:val="0"/>
                <w:sz w:val="24"/>
                <w:highlight w:val="none"/>
                <w:lang w:val="en-US" w:eastAsia="zh-CN" w:bidi="ar"/>
                <w14:textFill>
                  <w14:solidFill>
                    <w14:schemeClr w14:val="tx1"/>
                  </w14:solidFill>
                </w14:textFill>
              </w:rPr>
              <w:t>0.528</w:t>
            </w:r>
            <w:r>
              <w:rPr>
                <w:rFonts w:hint="eastAsia" w:ascii="Times New Roman" w:hAnsi="Times New Roman" w:eastAsia="宋体" w:cs="Times New Roman"/>
                <w:color w:val="000000" w:themeColor="text1"/>
                <w:kern w:val="0"/>
                <w:sz w:val="24"/>
                <w:highlight w:val="none"/>
                <w:lang w:val="en-US" w:eastAsia="zh-CN" w:bidi="ar"/>
                <w14:textFill>
                  <w14:solidFill>
                    <w14:schemeClr w14:val="tx1"/>
                  </w14:solidFill>
                </w14:textFill>
              </w:rPr>
              <w:t>t/a，</w:t>
            </w:r>
            <w:r>
              <w:rPr>
                <w:rFonts w:hint="default" w:ascii="Times New Roman" w:hAnsi="Times New Roman" w:eastAsia="宋体" w:cs="Times New Roman"/>
                <w:color w:val="000000" w:themeColor="text1"/>
                <w:kern w:val="0"/>
                <w:sz w:val="24"/>
                <w:highlight w:val="none"/>
                <w:lang w:val="en-US" w:eastAsia="zh-CN" w:bidi="ar"/>
                <w14:textFill>
                  <w14:solidFill>
                    <w14:schemeClr w14:val="tx1"/>
                  </w14:solidFill>
                </w14:textFill>
              </w:rPr>
              <w:t>活性炭饱和吸附量按</w:t>
            </w:r>
            <w:r>
              <w:rPr>
                <w:rFonts w:hint="eastAsia" w:ascii="Times New Roman" w:hAnsi="Times New Roman" w:eastAsia="宋体" w:cs="Times New Roman"/>
                <w:color w:val="000000" w:themeColor="text1"/>
                <w:kern w:val="0"/>
                <w:sz w:val="24"/>
                <w:highlight w:val="none"/>
                <w:lang w:val="en-US" w:eastAsia="zh-CN" w:bidi="ar"/>
                <w14:textFill>
                  <w14:solidFill>
                    <w14:schemeClr w14:val="tx1"/>
                  </w14:solidFill>
                </w14:textFill>
              </w:rPr>
              <w:t>40</w:t>
            </w:r>
            <w:r>
              <w:rPr>
                <w:rFonts w:hint="default" w:ascii="Times New Roman" w:hAnsi="Times New Roman" w:eastAsia="宋体" w:cs="Times New Roman"/>
                <w:color w:val="000000" w:themeColor="text1"/>
                <w:kern w:val="0"/>
                <w:sz w:val="24"/>
                <w:highlight w:val="none"/>
                <w:lang w:val="en-US" w:eastAsia="zh-CN" w:bidi="ar"/>
                <w14:textFill>
                  <w14:solidFill>
                    <w14:schemeClr w14:val="tx1"/>
                  </w14:solidFill>
                </w14:textFill>
              </w:rPr>
              <w:t>%计算，则年需要活性炭约</w:t>
            </w:r>
            <w:r>
              <w:rPr>
                <w:rFonts w:hint="eastAsia" w:ascii="Times New Roman" w:hAnsi="Times New Roman" w:eastAsia="宋体" w:cs="Times New Roman"/>
                <w:color w:val="000000" w:themeColor="text1"/>
                <w:kern w:val="0"/>
                <w:sz w:val="24"/>
                <w:highlight w:val="none"/>
                <w:lang w:val="en-US" w:eastAsia="zh-CN" w:bidi="ar"/>
                <w14:textFill>
                  <w14:solidFill>
                    <w14:schemeClr w14:val="tx1"/>
                  </w14:solidFill>
                </w14:textFill>
              </w:rPr>
              <w:t>1.</w:t>
            </w:r>
            <w:r>
              <w:rPr>
                <w:rFonts w:hint="eastAsia" w:cs="Times New Roman"/>
                <w:color w:val="000000" w:themeColor="text1"/>
                <w:kern w:val="0"/>
                <w:sz w:val="24"/>
                <w:highlight w:val="none"/>
                <w:lang w:val="en-US" w:eastAsia="zh-CN" w:bidi="ar"/>
                <w14:textFill>
                  <w14:solidFill>
                    <w14:schemeClr w14:val="tx1"/>
                  </w14:solidFill>
                </w14:textFill>
              </w:rPr>
              <w:t>32</w:t>
            </w:r>
            <w:r>
              <w:rPr>
                <w:rFonts w:hint="default" w:ascii="Times New Roman" w:hAnsi="Times New Roman" w:eastAsia="宋体" w:cs="Times New Roman"/>
                <w:color w:val="000000" w:themeColor="text1"/>
                <w:kern w:val="0"/>
                <w:sz w:val="24"/>
                <w:highlight w:val="none"/>
                <w:lang w:val="en-US" w:eastAsia="zh-CN" w:bidi="ar"/>
                <w14:textFill>
                  <w14:solidFill>
                    <w14:schemeClr w14:val="tx1"/>
                  </w14:solidFill>
                </w14:textFill>
              </w:rPr>
              <w:t>t/a。项目活性炭吸附装置约</w:t>
            </w:r>
            <w:r>
              <w:rPr>
                <w:rFonts w:hint="eastAsia" w:ascii="Times New Roman" w:hAnsi="Times New Roman" w:eastAsia="宋体" w:cs="Times New Roman"/>
                <w:color w:val="000000" w:themeColor="text1"/>
                <w:kern w:val="0"/>
                <w:sz w:val="24"/>
                <w:highlight w:val="none"/>
                <w:lang w:val="en-US" w:eastAsia="zh-CN" w:bidi="ar"/>
                <w14:textFill>
                  <w14:solidFill>
                    <w14:schemeClr w14:val="tx1"/>
                  </w14:solidFill>
                </w14:textFill>
              </w:rPr>
              <w:t>6个月</w:t>
            </w:r>
            <w:r>
              <w:rPr>
                <w:rFonts w:hint="default" w:ascii="Times New Roman" w:hAnsi="Times New Roman" w:eastAsia="宋体" w:cs="Times New Roman"/>
                <w:color w:val="000000" w:themeColor="text1"/>
                <w:kern w:val="0"/>
                <w:sz w:val="24"/>
                <w:highlight w:val="none"/>
                <w:lang w:val="en-US" w:eastAsia="zh-CN" w:bidi="ar"/>
                <w14:textFill>
                  <w14:solidFill>
                    <w14:schemeClr w14:val="tx1"/>
                  </w14:solidFill>
                </w14:textFill>
              </w:rPr>
              <w:t>更换一次，</w:t>
            </w:r>
            <w:r>
              <w:rPr>
                <w:rFonts w:hint="eastAsia" w:cs="Times New Roman"/>
                <w:color w:val="000000" w:themeColor="text1"/>
                <w:kern w:val="0"/>
                <w:sz w:val="24"/>
                <w:highlight w:val="none"/>
                <w:lang w:val="en-US" w:eastAsia="zh-CN" w:bidi="ar"/>
                <w14:textFill>
                  <w14:solidFill>
                    <w14:schemeClr w14:val="tx1"/>
                  </w14:solidFill>
                </w14:textFill>
              </w:rPr>
              <w:t>更换</w:t>
            </w:r>
            <w:r>
              <w:rPr>
                <w:rFonts w:hint="default" w:ascii="Times New Roman" w:hAnsi="Times New Roman" w:eastAsia="宋体" w:cs="Times New Roman"/>
                <w:color w:val="000000" w:themeColor="text1"/>
                <w:kern w:val="0"/>
                <w:sz w:val="24"/>
                <w:highlight w:val="none"/>
                <w:lang w:val="en-US" w:eastAsia="zh-CN" w:bidi="ar"/>
                <w14:textFill>
                  <w14:solidFill>
                    <w14:schemeClr w14:val="tx1"/>
                  </w14:solidFill>
                </w14:textFill>
              </w:rPr>
              <w:t>的活性炭量约为</w:t>
            </w:r>
            <w:r>
              <w:rPr>
                <w:rFonts w:hint="eastAsia" w:cs="Times New Roman"/>
                <w:color w:val="000000" w:themeColor="text1"/>
                <w:kern w:val="0"/>
                <w:sz w:val="24"/>
                <w:highlight w:val="none"/>
                <w:lang w:val="en-US" w:eastAsia="zh-CN" w:bidi="ar"/>
                <w14:textFill>
                  <w14:solidFill>
                    <w14:schemeClr w14:val="tx1"/>
                  </w14:solidFill>
                </w14:textFill>
              </w:rPr>
              <w:t>0.66</w:t>
            </w:r>
            <w:r>
              <w:rPr>
                <w:rFonts w:hint="default" w:ascii="Times New Roman" w:hAnsi="Times New Roman" w:eastAsia="宋体" w:cs="Times New Roman"/>
                <w:color w:val="000000" w:themeColor="text1"/>
                <w:kern w:val="0"/>
                <w:sz w:val="24"/>
                <w:highlight w:val="none"/>
                <w:lang w:val="en-US" w:eastAsia="zh-CN" w:bidi="ar"/>
                <w14:textFill>
                  <w14:solidFill>
                    <w14:schemeClr w14:val="tx1"/>
                  </w14:solidFill>
                </w14:textFill>
              </w:rPr>
              <w:t>t/a，有机废气吸附量为</w:t>
            </w:r>
            <w:r>
              <w:rPr>
                <w:rFonts w:hint="eastAsia" w:cs="Times New Roman"/>
                <w:color w:val="000000" w:themeColor="text1"/>
                <w:kern w:val="0"/>
                <w:sz w:val="24"/>
                <w:highlight w:val="none"/>
                <w:lang w:val="en-US" w:eastAsia="zh-CN" w:bidi="ar"/>
                <w14:textFill>
                  <w14:solidFill>
                    <w14:schemeClr w14:val="tx1"/>
                  </w14:solidFill>
                </w14:textFill>
              </w:rPr>
              <w:t>0.528</w:t>
            </w:r>
            <w:r>
              <w:rPr>
                <w:rFonts w:hint="default" w:ascii="Times New Roman" w:hAnsi="Times New Roman" w:eastAsia="宋体" w:cs="Times New Roman"/>
                <w:color w:val="000000" w:themeColor="text1"/>
                <w:kern w:val="0"/>
                <w:sz w:val="24"/>
                <w:highlight w:val="none"/>
                <w:lang w:val="en-US" w:eastAsia="zh-CN" w:bidi="ar"/>
                <w14:textFill>
                  <w14:solidFill>
                    <w14:schemeClr w14:val="tx1"/>
                  </w14:solidFill>
                </w14:textFill>
              </w:rPr>
              <w:t>t/a，则废活性炭产生量为</w:t>
            </w:r>
            <w:r>
              <w:rPr>
                <w:rFonts w:hint="eastAsia" w:cs="Times New Roman"/>
                <w:color w:val="000000" w:themeColor="text1"/>
                <w:kern w:val="0"/>
                <w:sz w:val="24"/>
                <w:highlight w:val="none"/>
                <w:lang w:val="en-US" w:eastAsia="zh-CN" w:bidi="ar"/>
                <w14:textFill>
                  <w14:solidFill>
                    <w14:schemeClr w14:val="tx1"/>
                  </w14:solidFill>
                </w14:textFill>
              </w:rPr>
              <w:t>2.508</w:t>
            </w:r>
            <w:r>
              <w:rPr>
                <w:rFonts w:hint="default" w:ascii="Times New Roman" w:hAnsi="Times New Roman" w:eastAsia="宋体" w:cs="Times New Roman"/>
                <w:color w:val="000000" w:themeColor="text1"/>
                <w:kern w:val="0"/>
                <w:sz w:val="24"/>
                <w:highlight w:val="none"/>
                <w:lang w:val="en-US" w:eastAsia="zh-CN" w:bidi="ar"/>
                <w14:textFill>
                  <w14:solidFill>
                    <w14:schemeClr w14:val="tx1"/>
                  </w14:solidFill>
                </w14:textFill>
              </w:rPr>
              <w:t>t/a</w:t>
            </w:r>
            <w:r>
              <w:rPr>
                <w:rFonts w:ascii="Times New Roman" w:hAnsi="Times New Roman" w:eastAsia="宋体" w:cs="Times New Roman"/>
                <w:color w:val="000000" w:themeColor="text1"/>
                <w:kern w:val="0"/>
                <w:sz w:val="24"/>
                <w:highlight w:val="none"/>
                <w:lang w:bidi="ar"/>
                <w14:textFill>
                  <w14:solidFill>
                    <w14:schemeClr w14:val="tx1"/>
                  </w14:solidFill>
                </w14:textFill>
              </w:rPr>
              <w:t>。根据《国家危险废物名录》（2021年版）进行鉴别，</w:t>
            </w:r>
            <w:r>
              <w:rPr>
                <w:rFonts w:hint="eastAsia" w:ascii="Times New Roman" w:hAnsi="Times New Roman" w:eastAsia="宋体" w:cs="Times New Roman"/>
                <w:color w:val="000000" w:themeColor="text1"/>
                <w:kern w:val="0"/>
                <w:sz w:val="24"/>
                <w:highlight w:val="none"/>
                <w:lang w:val="en-US" w:eastAsia="zh-CN" w:bidi="ar"/>
                <w14:textFill>
                  <w14:solidFill>
                    <w14:schemeClr w14:val="tx1"/>
                  </w14:solidFill>
                </w14:textFill>
              </w:rPr>
              <w:t>废活性炭</w:t>
            </w:r>
            <w:r>
              <w:rPr>
                <w:rFonts w:ascii="Times New Roman" w:hAnsi="Times New Roman" w:eastAsia="宋体" w:cs="Times New Roman"/>
                <w:color w:val="000000" w:themeColor="text1"/>
                <w:kern w:val="0"/>
                <w:sz w:val="24"/>
                <w:highlight w:val="none"/>
                <w:lang w:bidi="ar"/>
                <w14:textFill>
                  <w14:solidFill>
                    <w14:schemeClr w14:val="tx1"/>
                  </w14:solidFill>
                </w14:textFill>
              </w:rPr>
              <w:t>为危险废物，废物类别为HW</w:t>
            </w:r>
            <w:r>
              <w:rPr>
                <w:rFonts w:hint="eastAsia" w:ascii="Times New Roman" w:hAnsi="Times New Roman" w:eastAsia="宋体" w:cs="Times New Roman"/>
                <w:color w:val="000000" w:themeColor="text1"/>
                <w:kern w:val="0"/>
                <w:sz w:val="24"/>
                <w:highlight w:val="none"/>
                <w:lang w:val="en-US" w:eastAsia="zh-CN" w:bidi="ar"/>
                <w14:textFill>
                  <w14:solidFill>
                    <w14:schemeClr w14:val="tx1"/>
                  </w14:solidFill>
                </w14:textFill>
              </w:rPr>
              <w:t>49其他废物</w:t>
            </w:r>
            <w:r>
              <w:rPr>
                <w:rFonts w:ascii="Times New Roman" w:hAnsi="Times New Roman" w:eastAsia="宋体" w:cs="Times New Roman"/>
                <w:color w:val="000000" w:themeColor="text1"/>
                <w:kern w:val="0"/>
                <w:sz w:val="24"/>
                <w:highlight w:val="none"/>
                <w:lang w:bidi="ar"/>
                <w14:textFill>
                  <w14:solidFill>
                    <w14:schemeClr w14:val="tx1"/>
                  </w14:solidFill>
                </w14:textFill>
              </w:rPr>
              <w:t>，废物代码为</w:t>
            </w:r>
            <w:r>
              <w:rPr>
                <w:rFonts w:hint="eastAsia" w:cs="Times New Roman"/>
                <w:color w:val="000000" w:themeColor="text1"/>
                <w:kern w:val="0"/>
                <w:sz w:val="24"/>
                <w:highlight w:val="none"/>
                <w:lang w:eastAsia="zh-CN" w:bidi="ar"/>
                <w14:textFill>
                  <w14:solidFill>
                    <w14:schemeClr w14:val="tx1"/>
                  </w14:solidFill>
                </w14:textFill>
              </w:rPr>
              <w:t>“</w:t>
            </w:r>
            <w:r>
              <w:rPr>
                <w:rFonts w:ascii="Times New Roman" w:hAnsi="Times New Roman" w:eastAsia="宋体" w:cs="Times New Roman"/>
                <w:color w:val="000000" w:themeColor="text1"/>
                <w:kern w:val="0"/>
                <w:sz w:val="24"/>
                <w:highlight w:val="none"/>
                <w:lang w:bidi="ar"/>
                <w14:textFill>
                  <w14:solidFill>
                    <w14:schemeClr w14:val="tx1"/>
                  </w14:solidFill>
                </w14:textFill>
              </w:rPr>
              <w:t>900-</w:t>
            </w:r>
            <w:r>
              <w:rPr>
                <w:rFonts w:hint="eastAsia" w:ascii="Times New Roman" w:hAnsi="Times New Roman" w:eastAsia="宋体" w:cs="Times New Roman"/>
                <w:color w:val="000000" w:themeColor="text1"/>
                <w:kern w:val="0"/>
                <w:sz w:val="24"/>
                <w:highlight w:val="none"/>
                <w:lang w:val="en-US" w:eastAsia="zh-CN" w:bidi="ar"/>
                <w14:textFill>
                  <w14:solidFill>
                    <w14:schemeClr w14:val="tx1"/>
                  </w14:solidFill>
                </w14:textFill>
              </w:rPr>
              <w:t>041-49</w:t>
            </w:r>
            <w:r>
              <w:rPr>
                <w:rFonts w:hint="eastAsia" w:cs="Times New Roman"/>
                <w:color w:val="000000" w:themeColor="text1"/>
                <w:kern w:val="0"/>
                <w:sz w:val="24"/>
                <w:highlight w:val="none"/>
                <w:lang w:eastAsia="zh-CN" w:bidi="ar"/>
                <w14:textFill>
                  <w14:solidFill>
                    <w14:schemeClr w14:val="tx1"/>
                  </w14:solidFill>
                </w14:textFill>
              </w:rPr>
              <w:t>”</w:t>
            </w:r>
            <w:r>
              <w:rPr>
                <w:rFonts w:ascii="Times New Roman" w:hAnsi="Times New Roman" w:eastAsia="宋体" w:cs="Times New Roman"/>
                <w:color w:val="000000" w:themeColor="text1"/>
                <w:kern w:val="0"/>
                <w:sz w:val="24"/>
                <w:highlight w:val="none"/>
                <w:lang w:bidi="ar"/>
                <w14:textFill>
                  <w14:solidFill>
                    <w14:schemeClr w14:val="tx1"/>
                  </w14:solidFill>
                </w14:textFill>
              </w:rPr>
              <w:t>，委托有资质的单位处理</w:t>
            </w:r>
            <w:r>
              <w:rPr>
                <w:rFonts w:hint="eastAsia"/>
                <w:sz w:val="24"/>
                <w:highlight w:val="none"/>
              </w:rPr>
              <w:t>。</w:t>
            </w:r>
          </w:p>
          <w:p w14:paraId="43BF329B">
            <w:pPr>
              <w:spacing w:line="360" w:lineRule="auto"/>
              <w:ind w:firstLine="480"/>
              <w:rPr>
                <w:sz w:val="24"/>
                <w:highlight w:val="none"/>
              </w:rPr>
            </w:pPr>
            <w:r>
              <w:rPr>
                <w:kern w:val="0"/>
                <w:sz w:val="24"/>
                <w:highlight w:val="none"/>
              </w:rPr>
              <w:t>③</w:t>
            </w:r>
            <w:r>
              <w:rPr>
                <w:rFonts w:hint="eastAsia"/>
                <w:sz w:val="24"/>
                <w:highlight w:val="none"/>
              </w:rPr>
              <w:t>废</w:t>
            </w:r>
            <w:r>
              <w:rPr>
                <w:rFonts w:hint="eastAsia"/>
                <w:sz w:val="24"/>
                <w:highlight w:val="none"/>
                <w:lang w:val="en-US" w:eastAsia="zh-CN"/>
              </w:rPr>
              <w:t>矿物</w:t>
            </w:r>
            <w:r>
              <w:rPr>
                <w:rFonts w:hint="eastAsia"/>
                <w:sz w:val="24"/>
                <w:highlight w:val="none"/>
              </w:rPr>
              <w:t>油、废</w:t>
            </w:r>
            <w:r>
              <w:rPr>
                <w:rFonts w:hint="eastAsia"/>
                <w:sz w:val="24"/>
                <w:highlight w:val="none"/>
                <w:lang w:val="en-US" w:eastAsia="zh-CN"/>
              </w:rPr>
              <w:t>矿物</w:t>
            </w:r>
            <w:r>
              <w:rPr>
                <w:rFonts w:hint="eastAsia"/>
                <w:sz w:val="24"/>
                <w:highlight w:val="none"/>
              </w:rPr>
              <w:t>油桶和</w:t>
            </w:r>
            <w:r>
              <w:rPr>
                <w:rFonts w:hint="eastAsia"/>
                <w:bCs/>
                <w:sz w:val="24"/>
                <w:highlight w:val="none"/>
              </w:rPr>
              <w:t>废弃的含油抹布、劳保用品</w:t>
            </w:r>
            <w:r>
              <w:rPr>
                <w:rFonts w:hint="eastAsia"/>
                <w:bCs/>
                <w:sz w:val="24"/>
                <w:highlight w:val="none"/>
                <w:lang w:eastAsia="zh-CN"/>
              </w:rPr>
              <w:t>：</w:t>
            </w:r>
            <w:r>
              <w:rPr>
                <w:rFonts w:hint="eastAsia"/>
                <w:sz w:val="24"/>
                <w:highlight w:val="none"/>
              </w:rPr>
              <w:t>产生量分别为0.</w:t>
            </w:r>
            <w:r>
              <w:rPr>
                <w:rFonts w:hint="eastAsia"/>
                <w:sz w:val="24"/>
                <w:highlight w:val="none"/>
                <w:lang w:val="en-US" w:eastAsia="zh-CN"/>
              </w:rPr>
              <w:t>05</w:t>
            </w:r>
            <w:r>
              <w:rPr>
                <w:rFonts w:hint="eastAsia"/>
                <w:sz w:val="24"/>
                <w:highlight w:val="none"/>
              </w:rPr>
              <w:t>t/a、0.</w:t>
            </w:r>
            <w:r>
              <w:rPr>
                <w:rFonts w:hint="eastAsia"/>
                <w:sz w:val="24"/>
                <w:highlight w:val="none"/>
                <w:lang w:val="en-US" w:eastAsia="zh-CN"/>
              </w:rPr>
              <w:t>01</w:t>
            </w:r>
            <w:r>
              <w:rPr>
                <w:rFonts w:hint="eastAsia"/>
                <w:sz w:val="24"/>
                <w:highlight w:val="none"/>
              </w:rPr>
              <w:t>t/a、0.01t/a，暂存于危险废物贮存间内，委托有资质单位定期进行转运和处置。</w:t>
            </w:r>
          </w:p>
          <w:p w14:paraId="549486DC">
            <w:pPr>
              <w:spacing w:line="360" w:lineRule="auto"/>
              <w:ind w:firstLine="480"/>
              <w:rPr>
                <w:rFonts w:hint="default" w:eastAsia="宋体"/>
                <w:sz w:val="24"/>
                <w:highlight w:val="none"/>
                <w:lang w:val="en-US" w:eastAsia="zh-CN"/>
              </w:rPr>
            </w:pPr>
            <w:r>
              <w:rPr>
                <w:sz w:val="24"/>
                <w:highlight w:val="none"/>
              </w:rPr>
              <w:t>④</w:t>
            </w:r>
            <w:r>
              <w:rPr>
                <w:rFonts w:hint="eastAsia"/>
                <w:sz w:val="24"/>
                <w:highlight w:val="none"/>
                <w:lang w:val="en-US" w:eastAsia="zh-CN"/>
              </w:rPr>
              <w:t>废碱液：</w:t>
            </w:r>
            <w:r>
              <w:rPr>
                <w:rFonts w:hint="eastAsia"/>
                <w:sz w:val="24"/>
                <w:highlight w:val="none"/>
              </w:rPr>
              <w:t>产生量为</w:t>
            </w:r>
            <w:r>
              <w:rPr>
                <w:rFonts w:hint="eastAsia"/>
                <w:sz w:val="24"/>
                <w:highlight w:val="none"/>
                <w:lang w:val="en-US" w:eastAsia="zh-CN"/>
              </w:rPr>
              <w:t>261.07</w:t>
            </w:r>
            <w:r>
              <w:rPr>
                <w:rFonts w:hint="eastAsia"/>
                <w:sz w:val="24"/>
                <w:highlight w:val="none"/>
              </w:rPr>
              <w:t>t/a，</w:t>
            </w:r>
            <w:r>
              <w:rPr>
                <w:rFonts w:hint="eastAsia" w:ascii="Times New Roman" w:hAnsi="Times New Roman" w:eastAsia="宋体" w:cs="Times New Roman"/>
                <w:color w:val="000000" w:themeColor="text1"/>
                <w:kern w:val="0"/>
                <w:sz w:val="24"/>
                <w:highlight w:val="none"/>
                <w:lang w:val="en-US" w:eastAsia="zh-CN" w:bidi="ar"/>
                <w14:textFill>
                  <w14:solidFill>
                    <w14:schemeClr w14:val="tx1"/>
                  </w14:solidFill>
                </w14:textFill>
              </w:rPr>
              <w:t>暂存于</w:t>
            </w:r>
            <w:r>
              <w:rPr>
                <w:rFonts w:hint="eastAsia" w:cs="Times New Roman"/>
                <w:color w:val="000000" w:themeColor="text1"/>
                <w:kern w:val="0"/>
                <w:sz w:val="24"/>
                <w:highlight w:val="none"/>
                <w:lang w:val="en-US" w:eastAsia="zh-CN" w:bidi="ar"/>
                <w14:textFill>
                  <w14:solidFill>
                    <w14:schemeClr w14:val="tx1"/>
                  </w14:solidFill>
                </w14:textFill>
              </w:rPr>
              <w:t>危险废物收集贮存库</w:t>
            </w:r>
            <w:r>
              <w:rPr>
                <w:rFonts w:hint="eastAsia" w:ascii="Times New Roman" w:hAnsi="Times New Roman" w:eastAsia="宋体" w:cs="Times New Roman"/>
                <w:color w:val="000000" w:themeColor="text1"/>
                <w:kern w:val="0"/>
                <w:sz w:val="24"/>
                <w:highlight w:val="none"/>
                <w:lang w:val="en-US" w:eastAsia="zh-CN" w:bidi="ar"/>
                <w14:textFill>
                  <w14:solidFill>
                    <w14:schemeClr w14:val="tx1"/>
                  </w14:solidFill>
                </w14:textFill>
              </w:rPr>
              <w:t>，委托有资质单位定期处置。</w:t>
            </w:r>
          </w:p>
          <w:p w14:paraId="2E11C639">
            <w:pPr>
              <w:spacing w:line="360" w:lineRule="auto"/>
              <w:ind w:firstLine="480"/>
              <w:rPr>
                <w:rFonts w:ascii="Times New Roman" w:hAnsi="Times New Roman" w:eastAsia="宋体" w:cs="Times New Roman"/>
                <w:sz w:val="24"/>
                <w:highlight w:val="none"/>
              </w:rPr>
            </w:pPr>
            <w:r>
              <w:rPr>
                <w:rFonts w:hint="eastAsia" w:ascii="Times New Roman" w:hAnsi="Times New Roman" w:eastAsia="宋体" w:cs="Times New Roman"/>
                <w:sz w:val="24"/>
                <w:highlight w:val="none"/>
              </w:rPr>
              <w:t>⑤生活垃圾产生量按照0.5kg/d·人核算，项目运营时间</w:t>
            </w:r>
            <w:r>
              <w:rPr>
                <w:rFonts w:hint="eastAsia" w:ascii="Times New Roman" w:hAnsi="Times New Roman" w:eastAsia="宋体" w:cs="Times New Roman"/>
                <w:sz w:val="24"/>
                <w:highlight w:val="none"/>
                <w:lang w:val="en-US" w:eastAsia="zh-CN"/>
              </w:rPr>
              <w:t>为365</w:t>
            </w:r>
            <w:r>
              <w:rPr>
                <w:rFonts w:hint="eastAsia" w:ascii="Times New Roman" w:hAnsi="Times New Roman" w:eastAsia="宋体" w:cs="Times New Roman"/>
                <w:sz w:val="24"/>
                <w:highlight w:val="none"/>
              </w:rPr>
              <w:t>d/a，企业职工</w:t>
            </w:r>
            <w:r>
              <w:rPr>
                <w:rFonts w:hint="eastAsia" w:ascii="Times New Roman" w:hAnsi="Times New Roman" w:eastAsia="宋体" w:cs="Times New Roman"/>
                <w:sz w:val="24"/>
                <w:highlight w:val="none"/>
                <w:lang w:val="en-US" w:eastAsia="zh-CN"/>
              </w:rPr>
              <w:t>3</w:t>
            </w:r>
            <w:r>
              <w:rPr>
                <w:rFonts w:hint="eastAsia" w:ascii="Times New Roman" w:hAnsi="Times New Roman" w:eastAsia="宋体" w:cs="Times New Roman"/>
                <w:sz w:val="24"/>
                <w:highlight w:val="none"/>
              </w:rPr>
              <w:t>人，则生活垃圾产生量为</w:t>
            </w:r>
            <w:r>
              <w:rPr>
                <w:rFonts w:hint="eastAsia" w:ascii="Times New Roman" w:hAnsi="Times New Roman" w:eastAsia="宋体" w:cs="Times New Roman"/>
                <w:sz w:val="24"/>
                <w:highlight w:val="none"/>
                <w:lang w:val="en-US" w:eastAsia="zh-CN"/>
              </w:rPr>
              <w:t>0.55</w:t>
            </w:r>
            <w:r>
              <w:rPr>
                <w:rFonts w:hint="eastAsia" w:ascii="Times New Roman" w:hAnsi="Times New Roman" w:eastAsia="宋体" w:cs="Times New Roman"/>
                <w:sz w:val="24"/>
                <w:highlight w:val="none"/>
              </w:rPr>
              <w:t>t/a，由环卫部门统一处理。</w:t>
            </w:r>
          </w:p>
          <w:p w14:paraId="42D62468">
            <w:pPr>
              <w:spacing w:line="360" w:lineRule="auto"/>
              <w:ind w:firstLine="480"/>
              <w:rPr>
                <w:rFonts w:ascii="Times New Roman" w:hAnsi="Times New Roman" w:eastAsia="宋体" w:cs="Times New Roman"/>
                <w:sz w:val="24"/>
                <w:highlight w:val="none"/>
              </w:rPr>
            </w:pPr>
            <w:r>
              <w:rPr>
                <w:rFonts w:ascii="Times New Roman" w:hAnsi="Times New Roman" w:eastAsia="宋体" w:cs="Times New Roman"/>
                <w:sz w:val="24"/>
                <w:highlight w:val="none"/>
              </w:rPr>
              <w:t>项目危险废物汇总情况见下表：</w:t>
            </w:r>
          </w:p>
          <w:p w14:paraId="785439CD">
            <w:pPr>
              <w:pStyle w:val="48"/>
              <w:numPr>
                <w:ilvl w:val="0"/>
                <w:numId w:val="9"/>
              </w:numPr>
              <w:spacing w:line="360" w:lineRule="auto"/>
              <w:ind w:left="0" w:firstLine="0" w:firstLineChars="0"/>
              <w:jc w:val="center"/>
              <w:rPr>
                <w:rFonts w:ascii="Times New Roman" w:hAnsi="Times New Roman" w:eastAsia="宋体"/>
                <w:b/>
                <w:sz w:val="21"/>
                <w:highlight w:val="none"/>
              </w:rPr>
            </w:pPr>
            <w:r>
              <w:rPr>
                <w:rFonts w:hint="eastAsia" w:ascii="Times New Roman" w:hAnsi="Times New Roman" w:eastAsia="宋体"/>
                <w:b/>
                <w:sz w:val="21"/>
                <w:highlight w:val="none"/>
              </w:rPr>
              <w:t>危险废物情况一览表</w:t>
            </w:r>
          </w:p>
          <w:tbl>
            <w:tblPr>
              <w:tblStyle w:val="22"/>
              <w:tblW w:w="8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7"/>
              <w:gridCol w:w="1123"/>
              <w:gridCol w:w="1196"/>
              <w:gridCol w:w="1004"/>
              <w:gridCol w:w="599"/>
              <w:gridCol w:w="626"/>
              <w:gridCol w:w="598"/>
              <w:gridCol w:w="599"/>
              <w:gridCol w:w="731"/>
              <w:gridCol w:w="1037"/>
            </w:tblGrid>
            <w:tr w14:paraId="3BAEAA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577" w:type="dxa"/>
                  <w:vAlign w:val="center"/>
                </w:tcPr>
                <w:p w14:paraId="5CE8C17C">
                  <w:pPr>
                    <w:widowControl/>
                    <w:jc w:val="center"/>
                    <w:rPr>
                      <w:b/>
                      <w:szCs w:val="21"/>
                      <w:highlight w:val="none"/>
                    </w:rPr>
                  </w:pPr>
                  <w:r>
                    <w:rPr>
                      <w:b/>
                      <w:kern w:val="0"/>
                      <w:szCs w:val="21"/>
                      <w:highlight w:val="none"/>
                      <w:lang w:bidi="ar"/>
                    </w:rPr>
                    <w:t>废物名称</w:t>
                  </w:r>
                </w:p>
              </w:tc>
              <w:tc>
                <w:tcPr>
                  <w:tcW w:w="1123" w:type="dxa"/>
                  <w:vAlign w:val="center"/>
                </w:tcPr>
                <w:p w14:paraId="68539D91">
                  <w:pPr>
                    <w:widowControl/>
                    <w:jc w:val="center"/>
                    <w:rPr>
                      <w:b/>
                      <w:szCs w:val="21"/>
                      <w:highlight w:val="none"/>
                    </w:rPr>
                  </w:pPr>
                  <w:r>
                    <w:rPr>
                      <w:b/>
                      <w:kern w:val="0"/>
                      <w:szCs w:val="21"/>
                      <w:highlight w:val="none"/>
                      <w:lang w:bidi="ar"/>
                    </w:rPr>
                    <w:t>危险废物类别</w:t>
                  </w:r>
                </w:p>
              </w:tc>
              <w:tc>
                <w:tcPr>
                  <w:tcW w:w="1196" w:type="dxa"/>
                  <w:vAlign w:val="center"/>
                </w:tcPr>
                <w:p w14:paraId="6AD0B69D">
                  <w:pPr>
                    <w:widowControl/>
                    <w:jc w:val="center"/>
                    <w:rPr>
                      <w:b/>
                      <w:szCs w:val="21"/>
                      <w:highlight w:val="none"/>
                    </w:rPr>
                  </w:pPr>
                  <w:r>
                    <w:rPr>
                      <w:b/>
                      <w:kern w:val="0"/>
                      <w:szCs w:val="21"/>
                      <w:highlight w:val="none"/>
                      <w:lang w:bidi="ar"/>
                    </w:rPr>
                    <w:t>危险废物代码</w:t>
                  </w:r>
                </w:p>
              </w:tc>
              <w:tc>
                <w:tcPr>
                  <w:tcW w:w="1004" w:type="dxa"/>
                  <w:vAlign w:val="center"/>
                </w:tcPr>
                <w:p w14:paraId="63FA974D">
                  <w:pPr>
                    <w:widowControl/>
                    <w:jc w:val="center"/>
                    <w:rPr>
                      <w:b/>
                      <w:szCs w:val="21"/>
                      <w:highlight w:val="none"/>
                    </w:rPr>
                  </w:pPr>
                  <w:r>
                    <w:rPr>
                      <w:b/>
                      <w:kern w:val="0"/>
                      <w:szCs w:val="21"/>
                      <w:highlight w:val="none"/>
                      <w:lang w:bidi="ar"/>
                    </w:rPr>
                    <w:t>产生量</w:t>
                  </w:r>
                </w:p>
              </w:tc>
              <w:tc>
                <w:tcPr>
                  <w:tcW w:w="599" w:type="dxa"/>
                  <w:vAlign w:val="center"/>
                </w:tcPr>
                <w:p w14:paraId="1F8B3EF7">
                  <w:pPr>
                    <w:widowControl/>
                    <w:jc w:val="center"/>
                    <w:rPr>
                      <w:b/>
                      <w:szCs w:val="21"/>
                      <w:highlight w:val="none"/>
                    </w:rPr>
                  </w:pPr>
                  <w:r>
                    <w:rPr>
                      <w:b/>
                      <w:kern w:val="0"/>
                      <w:szCs w:val="21"/>
                      <w:highlight w:val="none"/>
                      <w:lang w:bidi="ar"/>
                    </w:rPr>
                    <w:t>形态</w:t>
                  </w:r>
                </w:p>
              </w:tc>
              <w:tc>
                <w:tcPr>
                  <w:tcW w:w="626" w:type="dxa"/>
                  <w:vAlign w:val="center"/>
                </w:tcPr>
                <w:p w14:paraId="3BFB42FA">
                  <w:pPr>
                    <w:widowControl/>
                    <w:jc w:val="center"/>
                    <w:rPr>
                      <w:b/>
                      <w:szCs w:val="21"/>
                      <w:highlight w:val="none"/>
                    </w:rPr>
                  </w:pPr>
                  <w:r>
                    <w:rPr>
                      <w:b/>
                      <w:kern w:val="0"/>
                      <w:szCs w:val="21"/>
                      <w:highlight w:val="none"/>
                      <w:lang w:bidi="ar"/>
                    </w:rPr>
                    <w:t>主要成分</w:t>
                  </w:r>
                </w:p>
              </w:tc>
              <w:tc>
                <w:tcPr>
                  <w:tcW w:w="598" w:type="dxa"/>
                  <w:vAlign w:val="center"/>
                </w:tcPr>
                <w:p w14:paraId="314541F8">
                  <w:pPr>
                    <w:widowControl/>
                    <w:jc w:val="center"/>
                    <w:rPr>
                      <w:b/>
                      <w:szCs w:val="21"/>
                      <w:highlight w:val="none"/>
                    </w:rPr>
                  </w:pPr>
                  <w:r>
                    <w:rPr>
                      <w:b/>
                      <w:kern w:val="0"/>
                      <w:szCs w:val="21"/>
                      <w:highlight w:val="none"/>
                      <w:lang w:bidi="ar"/>
                    </w:rPr>
                    <w:t>有害成分</w:t>
                  </w:r>
                </w:p>
              </w:tc>
              <w:tc>
                <w:tcPr>
                  <w:tcW w:w="599" w:type="dxa"/>
                  <w:vAlign w:val="center"/>
                </w:tcPr>
                <w:p w14:paraId="49009611">
                  <w:pPr>
                    <w:widowControl/>
                    <w:jc w:val="center"/>
                    <w:rPr>
                      <w:b/>
                      <w:szCs w:val="21"/>
                      <w:highlight w:val="none"/>
                    </w:rPr>
                  </w:pPr>
                  <w:r>
                    <w:rPr>
                      <w:b/>
                      <w:szCs w:val="21"/>
                      <w:highlight w:val="none"/>
                    </w:rPr>
                    <w:t>产废周期</w:t>
                  </w:r>
                </w:p>
              </w:tc>
              <w:tc>
                <w:tcPr>
                  <w:tcW w:w="731" w:type="dxa"/>
                  <w:vAlign w:val="center"/>
                </w:tcPr>
                <w:p w14:paraId="3689F540">
                  <w:pPr>
                    <w:widowControl/>
                    <w:jc w:val="center"/>
                    <w:rPr>
                      <w:b/>
                      <w:szCs w:val="21"/>
                      <w:highlight w:val="none"/>
                    </w:rPr>
                  </w:pPr>
                  <w:r>
                    <w:rPr>
                      <w:b/>
                      <w:szCs w:val="21"/>
                      <w:highlight w:val="none"/>
                    </w:rPr>
                    <w:t>危险特性</w:t>
                  </w:r>
                </w:p>
              </w:tc>
              <w:tc>
                <w:tcPr>
                  <w:tcW w:w="1037" w:type="dxa"/>
                  <w:vAlign w:val="center"/>
                </w:tcPr>
                <w:p w14:paraId="65926161">
                  <w:pPr>
                    <w:jc w:val="center"/>
                    <w:rPr>
                      <w:b/>
                      <w:color w:val="000000"/>
                      <w:szCs w:val="21"/>
                      <w:highlight w:val="none"/>
                    </w:rPr>
                  </w:pPr>
                  <w:r>
                    <w:rPr>
                      <w:b/>
                      <w:color w:val="000000"/>
                      <w:szCs w:val="21"/>
                      <w:highlight w:val="none"/>
                    </w:rPr>
                    <w:t>污染防治措施</w:t>
                  </w:r>
                </w:p>
              </w:tc>
            </w:tr>
            <w:tr w14:paraId="34C2C7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jc w:val="center"/>
              </w:trPr>
              <w:tc>
                <w:tcPr>
                  <w:tcW w:w="577" w:type="dxa"/>
                  <w:vAlign w:val="center"/>
                </w:tcPr>
                <w:p w14:paraId="36DDDE51">
                  <w:pPr>
                    <w:widowControl/>
                    <w:jc w:val="center"/>
                    <w:rPr>
                      <w:kern w:val="0"/>
                      <w:szCs w:val="21"/>
                      <w:highlight w:val="none"/>
                      <w:lang w:bidi="ar"/>
                    </w:rPr>
                  </w:pPr>
                  <w:r>
                    <w:rPr>
                      <w:rFonts w:hint="eastAsia" w:ascii="Times New Roman" w:hAnsi="Times New Roman" w:eastAsia="宋体" w:cs="Times New Roman"/>
                      <w:kern w:val="0"/>
                      <w:szCs w:val="21"/>
                      <w:highlight w:val="none"/>
                      <w:lang w:val="en-US" w:eastAsia="zh-CN" w:bidi="ar"/>
                    </w:rPr>
                    <w:t>废包装桶/袋</w:t>
                  </w:r>
                </w:p>
              </w:tc>
              <w:tc>
                <w:tcPr>
                  <w:tcW w:w="1123" w:type="dxa"/>
                  <w:shd w:val="clear" w:color="auto" w:fill="auto"/>
                  <w:vAlign w:val="center"/>
                </w:tcPr>
                <w:p w14:paraId="78A690D4">
                  <w:pPr>
                    <w:widowControl/>
                    <w:jc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bidi="ar"/>
                    </w:rPr>
                    <w:t>H</w:t>
                  </w:r>
                  <w:r>
                    <w:rPr>
                      <w:kern w:val="0"/>
                      <w:szCs w:val="21"/>
                      <w:highlight w:val="none"/>
                      <w:lang w:bidi="ar"/>
                    </w:rPr>
                    <w:t>W49</w:t>
                  </w:r>
                  <w:r>
                    <w:rPr>
                      <w:rFonts w:hint="eastAsia"/>
                      <w:kern w:val="0"/>
                      <w:szCs w:val="21"/>
                      <w:highlight w:val="none"/>
                      <w:lang w:bidi="ar"/>
                    </w:rPr>
                    <w:t>其他废物</w:t>
                  </w:r>
                </w:p>
              </w:tc>
              <w:tc>
                <w:tcPr>
                  <w:tcW w:w="1196" w:type="dxa"/>
                  <w:shd w:val="clear" w:color="auto" w:fill="auto"/>
                  <w:vAlign w:val="center"/>
                </w:tcPr>
                <w:p w14:paraId="290F1931">
                  <w:pPr>
                    <w:widowControl/>
                    <w:jc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bidi="ar"/>
                    </w:rPr>
                    <w:t>9</w:t>
                  </w:r>
                  <w:r>
                    <w:rPr>
                      <w:kern w:val="0"/>
                      <w:szCs w:val="21"/>
                      <w:highlight w:val="none"/>
                      <w:lang w:bidi="ar"/>
                    </w:rPr>
                    <w:t>00-041-49</w:t>
                  </w:r>
                </w:p>
              </w:tc>
              <w:tc>
                <w:tcPr>
                  <w:tcW w:w="1004" w:type="dxa"/>
                  <w:vAlign w:val="center"/>
                </w:tcPr>
                <w:p w14:paraId="43463029">
                  <w:pPr>
                    <w:widowControl/>
                    <w:jc w:val="center"/>
                    <w:rPr>
                      <w:rFonts w:hint="default" w:eastAsia="宋体"/>
                      <w:kern w:val="0"/>
                      <w:szCs w:val="21"/>
                      <w:highlight w:val="none"/>
                      <w:lang w:val="en-US" w:eastAsia="zh-CN" w:bidi="ar"/>
                    </w:rPr>
                  </w:pPr>
                  <w:r>
                    <w:rPr>
                      <w:rFonts w:hint="eastAsia"/>
                      <w:kern w:val="0"/>
                      <w:szCs w:val="21"/>
                      <w:highlight w:val="none"/>
                      <w:lang w:val="en-US" w:eastAsia="zh-CN" w:bidi="ar"/>
                    </w:rPr>
                    <w:t>0.5t/a</w:t>
                  </w:r>
                </w:p>
              </w:tc>
              <w:tc>
                <w:tcPr>
                  <w:tcW w:w="599" w:type="dxa"/>
                  <w:vAlign w:val="center"/>
                </w:tcPr>
                <w:p w14:paraId="76B27A0B">
                  <w:pPr>
                    <w:widowControl/>
                    <w:jc w:val="center"/>
                    <w:rPr>
                      <w:rFonts w:hint="eastAsia" w:eastAsia="宋体"/>
                      <w:kern w:val="0"/>
                      <w:szCs w:val="21"/>
                      <w:highlight w:val="none"/>
                      <w:lang w:val="en-US" w:eastAsia="zh-CN" w:bidi="ar"/>
                    </w:rPr>
                  </w:pPr>
                  <w:r>
                    <w:rPr>
                      <w:rFonts w:hint="eastAsia"/>
                      <w:kern w:val="0"/>
                      <w:szCs w:val="21"/>
                      <w:highlight w:val="none"/>
                      <w:lang w:val="en-US" w:eastAsia="zh-CN" w:bidi="ar"/>
                    </w:rPr>
                    <w:t>固态</w:t>
                  </w:r>
                </w:p>
              </w:tc>
              <w:tc>
                <w:tcPr>
                  <w:tcW w:w="626" w:type="dxa"/>
                  <w:vAlign w:val="center"/>
                </w:tcPr>
                <w:p w14:paraId="38010071">
                  <w:pPr>
                    <w:widowControl/>
                    <w:jc w:val="center"/>
                    <w:rPr>
                      <w:kern w:val="0"/>
                      <w:szCs w:val="21"/>
                      <w:highlight w:val="none"/>
                      <w:lang w:bidi="ar"/>
                    </w:rPr>
                  </w:pPr>
                  <w:r>
                    <w:rPr>
                      <w:rFonts w:ascii="Times New Roman" w:cs="Times New Roman"/>
                      <w:color w:val="auto"/>
                      <w:sz w:val="21"/>
                      <w:szCs w:val="21"/>
                      <w:highlight w:val="none"/>
                    </w:rPr>
                    <w:t>沾染的毒性物质</w:t>
                  </w:r>
                </w:p>
              </w:tc>
              <w:tc>
                <w:tcPr>
                  <w:tcW w:w="598" w:type="dxa"/>
                  <w:vAlign w:val="center"/>
                </w:tcPr>
                <w:p w14:paraId="197AC00D">
                  <w:pPr>
                    <w:widowControl/>
                    <w:jc w:val="center"/>
                    <w:rPr>
                      <w:kern w:val="0"/>
                      <w:szCs w:val="21"/>
                      <w:highlight w:val="none"/>
                      <w:lang w:bidi="ar"/>
                    </w:rPr>
                  </w:pPr>
                  <w:r>
                    <w:rPr>
                      <w:rFonts w:ascii="Times New Roman" w:cs="Times New Roman"/>
                      <w:color w:val="auto"/>
                      <w:sz w:val="21"/>
                      <w:szCs w:val="21"/>
                      <w:highlight w:val="none"/>
                    </w:rPr>
                    <w:t>沾染的毒性物质</w:t>
                  </w:r>
                </w:p>
              </w:tc>
              <w:tc>
                <w:tcPr>
                  <w:tcW w:w="599" w:type="dxa"/>
                  <w:vAlign w:val="center"/>
                </w:tcPr>
                <w:p w14:paraId="152673C3">
                  <w:pPr>
                    <w:widowControl/>
                    <w:jc w:val="center"/>
                    <w:rPr>
                      <w:szCs w:val="21"/>
                      <w:highlight w:val="none"/>
                    </w:rPr>
                  </w:pPr>
                  <w:r>
                    <w:rPr>
                      <w:rFonts w:hint="eastAsia"/>
                      <w:color w:val="000000"/>
                      <w:szCs w:val="21"/>
                      <w:highlight w:val="none"/>
                      <w:lang w:val="en-US" w:eastAsia="zh-CN"/>
                    </w:rPr>
                    <w:t>6</w:t>
                  </w:r>
                  <w:r>
                    <w:rPr>
                      <w:rFonts w:hint="eastAsia"/>
                      <w:color w:val="000000"/>
                      <w:szCs w:val="21"/>
                      <w:highlight w:val="none"/>
                    </w:rPr>
                    <w:t>个月</w:t>
                  </w:r>
                </w:p>
              </w:tc>
              <w:tc>
                <w:tcPr>
                  <w:tcW w:w="731" w:type="dxa"/>
                  <w:vAlign w:val="center"/>
                </w:tcPr>
                <w:p w14:paraId="7F33CCCA">
                  <w:pPr>
                    <w:widowControl/>
                    <w:jc w:val="center"/>
                    <w:rPr>
                      <w:rFonts w:hint="eastAsia" w:eastAsia="宋体"/>
                      <w:szCs w:val="21"/>
                      <w:highlight w:val="none"/>
                      <w:lang w:val="en-US" w:eastAsia="zh-CN"/>
                    </w:rPr>
                  </w:pPr>
                  <w:r>
                    <w:rPr>
                      <w:rFonts w:hint="eastAsia"/>
                      <w:szCs w:val="21"/>
                      <w:highlight w:val="none"/>
                      <w:lang w:val="en-US" w:eastAsia="zh-CN"/>
                    </w:rPr>
                    <w:t>T</w:t>
                  </w:r>
                </w:p>
              </w:tc>
              <w:tc>
                <w:tcPr>
                  <w:tcW w:w="1037" w:type="dxa"/>
                  <w:vMerge w:val="restart"/>
                  <w:vAlign w:val="center"/>
                </w:tcPr>
                <w:p w14:paraId="01445022">
                  <w:pPr>
                    <w:jc w:val="center"/>
                    <w:rPr>
                      <w:bCs/>
                      <w:color w:val="000000"/>
                      <w:szCs w:val="21"/>
                      <w:highlight w:val="none"/>
                    </w:rPr>
                  </w:pPr>
                  <w:r>
                    <w:rPr>
                      <w:rFonts w:hint="eastAsia"/>
                      <w:bCs/>
                      <w:color w:val="000000"/>
                      <w:szCs w:val="21"/>
                      <w:highlight w:val="none"/>
                    </w:rPr>
                    <w:t>暂存于</w:t>
                  </w:r>
                  <w:r>
                    <w:rPr>
                      <w:rFonts w:hint="eastAsia"/>
                      <w:bCs/>
                      <w:color w:val="000000"/>
                      <w:szCs w:val="21"/>
                      <w:highlight w:val="none"/>
                      <w:lang w:eastAsia="zh-CN"/>
                    </w:rPr>
                    <w:t>危险废物收集贮存库</w:t>
                  </w:r>
                  <w:r>
                    <w:rPr>
                      <w:rFonts w:hint="eastAsia"/>
                      <w:bCs/>
                      <w:color w:val="000000"/>
                      <w:szCs w:val="21"/>
                      <w:highlight w:val="none"/>
                    </w:rPr>
                    <w:t>，委托有资质单位定期处置</w:t>
                  </w:r>
                </w:p>
              </w:tc>
            </w:tr>
            <w:tr w14:paraId="12767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jc w:val="center"/>
              </w:trPr>
              <w:tc>
                <w:tcPr>
                  <w:tcW w:w="577" w:type="dxa"/>
                  <w:vAlign w:val="center"/>
                </w:tcPr>
                <w:p w14:paraId="7149CF81">
                  <w:pPr>
                    <w:widowControl/>
                    <w:jc w:val="center"/>
                    <w:rPr>
                      <w:rFonts w:hint="default" w:ascii="Times New Roman" w:hAnsi="Times New Roman" w:eastAsia="宋体" w:cs="Times New Roman"/>
                      <w:kern w:val="0"/>
                      <w:szCs w:val="21"/>
                      <w:highlight w:val="none"/>
                      <w:lang w:val="en-US" w:eastAsia="zh-CN" w:bidi="ar"/>
                    </w:rPr>
                  </w:pPr>
                  <w:r>
                    <w:rPr>
                      <w:rFonts w:hint="eastAsia" w:ascii="Times New Roman" w:hAnsi="Times New Roman" w:eastAsia="宋体" w:cs="Times New Roman"/>
                      <w:kern w:val="0"/>
                      <w:szCs w:val="21"/>
                      <w:highlight w:val="none"/>
                      <w:lang w:val="en-US" w:eastAsia="zh-CN" w:bidi="ar"/>
                    </w:rPr>
                    <w:t>废碱液</w:t>
                  </w:r>
                </w:p>
              </w:tc>
              <w:tc>
                <w:tcPr>
                  <w:tcW w:w="1123" w:type="dxa"/>
                  <w:shd w:val="clear" w:color="auto" w:fill="auto"/>
                  <w:vAlign w:val="center"/>
                </w:tcPr>
                <w:p w14:paraId="686C1D1B">
                  <w:pPr>
                    <w:widowControl/>
                    <w:jc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bidi="ar"/>
                    </w:rPr>
                    <w:t>H</w:t>
                  </w:r>
                  <w:r>
                    <w:rPr>
                      <w:kern w:val="0"/>
                      <w:szCs w:val="21"/>
                      <w:highlight w:val="none"/>
                      <w:lang w:bidi="ar"/>
                    </w:rPr>
                    <w:t>W</w:t>
                  </w:r>
                  <w:r>
                    <w:rPr>
                      <w:rFonts w:hint="eastAsia"/>
                      <w:kern w:val="0"/>
                      <w:szCs w:val="21"/>
                      <w:highlight w:val="none"/>
                      <w:lang w:val="en-US" w:eastAsia="zh-CN" w:bidi="ar"/>
                    </w:rPr>
                    <w:t>35废碱</w:t>
                  </w:r>
                </w:p>
              </w:tc>
              <w:tc>
                <w:tcPr>
                  <w:tcW w:w="1196" w:type="dxa"/>
                  <w:shd w:val="clear" w:color="auto" w:fill="auto"/>
                  <w:vAlign w:val="center"/>
                </w:tcPr>
                <w:p w14:paraId="50A817DC">
                  <w:pPr>
                    <w:widowControl/>
                    <w:jc w:val="center"/>
                    <w:rPr>
                      <w:rFonts w:hint="eastAsia" w:ascii="Times New Roman" w:hAnsi="Times New Roman" w:eastAsia="宋体" w:cs="Times New Roman"/>
                      <w:kern w:val="0"/>
                      <w:sz w:val="21"/>
                      <w:szCs w:val="21"/>
                      <w:highlight w:val="none"/>
                      <w:lang w:val="en-US" w:eastAsia="zh-CN" w:bidi="ar"/>
                    </w:rPr>
                  </w:pPr>
                  <w:r>
                    <w:rPr>
                      <w:rFonts w:hint="eastAsia"/>
                      <w:kern w:val="0"/>
                      <w:szCs w:val="21"/>
                      <w:highlight w:val="none"/>
                      <w:lang w:bidi="ar"/>
                    </w:rPr>
                    <w:t>9</w:t>
                  </w:r>
                  <w:r>
                    <w:rPr>
                      <w:kern w:val="0"/>
                      <w:szCs w:val="21"/>
                      <w:highlight w:val="none"/>
                      <w:lang w:bidi="ar"/>
                    </w:rPr>
                    <w:t>00-</w:t>
                  </w:r>
                  <w:r>
                    <w:rPr>
                      <w:rFonts w:hint="eastAsia"/>
                      <w:kern w:val="0"/>
                      <w:szCs w:val="21"/>
                      <w:highlight w:val="none"/>
                      <w:lang w:val="en-US" w:eastAsia="zh-CN" w:bidi="ar"/>
                    </w:rPr>
                    <w:t>399-35</w:t>
                  </w:r>
                </w:p>
              </w:tc>
              <w:tc>
                <w:tcPr>
                  <w:tcW w:w="1004" w:type="dxa"/>
                  <w:shd w:val="clear" w:color="auto" w:fill="auto"/>
                  <w:vAlign w:val="center"/>
                </w:tcPr>
                <w:p w14:paraId="6AE1441C">
                  <w:pPr>
                    <w:widowControl/>
                    <w:jc w:val="center"/>
                    <w:rPr>
                      <w:rFonts w:hint="eastAsia" w:ascii="Times New Roman" w:hAnsi="Times New Roman" w:eastAsia="宋体" w:cs="Times New Roman"/>
                      <w:color w:val="000000"/>
                      <w:kern w:val="2"/>
                      <w:sz w:val="21"/>
                      <w:szCs w:val="21"/>
                      <w:highlight w:val="none"/>
                      <w:lang w:val="en-US" w:eastAsia="zh-CN" w:bidi="ar-SA"/>
                    </w:rPr>
                  </w:pPr>
                  <w:r>
                    <w:rPr>
                      <w:rFonts w:hint="eastAsia"/>
                      <w:color w:val="000000"/>
                      <w:szCs w:val="21"/>
                      <w:highlight w:val="none"/>
                      <w:lang w:val="en-US" w:eastAsia="zh-CN"/>
                    </w:rPr>
                    <w:t>0.5</w:t>
                  </w:r>
                  <w:r>
                    <w:rPr>
                      <w:rFonts w:hint="eastAsia"/>
                      <w:kern w:val="0"/>
                      <w:szCs w:val="21"/>
                      <w:highlight w:val="none"/>
                      <w:lang w:val="en-US" w:eastAsia="zh-CN" w:bidi="ar"/>
                    </w:rPr>
                    <w:t>t/a</w:t>
                  </w:r>
                </w:p>
              </w:tc>
              <w:tc>
                <w:tcPr>
                  <w:tcW w:w="599" w:type="dxa"/>
                  <w:vAlign w:val="center"/>
                </w:tcPr>
                <w:p w14:paraId="29DD38CA">
                  <w:pPr>
                    <w:widowControl/>
                    <w:jc w:val="center"/>
                    <w:rPr>
                      <w:rFonts w:hint="default"/>
                      <w:kern w:val="0"/>
                      <w:szCs w:val="21"/>
                      <w:highlight w:val="none"/>
                      <w:lang w:val="en-US" w:eastAsia="zh-CN" w:bidi="ar"/>
                    </w:rPr>
                  </w:pPr>
                  <w:r>
                    <w:rPr>
                      <w:rFonts w:hint="eastAsia"/>
                      <w:kern w:val="0"/>
                      <w:szCs w:val="21"/>
                      <w:highlight w:val="none"/>
                      <w:lang w:val="en-US" w:eastAsia="zh-CN" w:bidi="ar"/>
                    </w:rPr>
                    <w:t>液态</w:t>
                  </w:r>
                </w:p>
              </w:tc>
              <w:tc>
                <w:tcPr>
                  <w:tcW w:w="626" w:type="dxa"/>
                  <w:vAlign w:val="center"/>
                </w:tcPr>
                <w:p w14:paraId="7D0BB241">
                  <w:pPr>
                    <w:widowControl/>
                    <w:jc w:val="center"/>
                    <w:rPr>
                      <w:rFonts w:hint="default" w:ascii="Times New Roman" w:eastAsia="宋体"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废酸</w:t>
                  </w:r>
                </w:p>
              </w:tc>
              <w:tc>
                <w:tcPr>
                  <w:tcW w:w="598" w:type="dxa"/>
                  <w:vAlign w:val="center"/>
                </w:tcPr>
                <w:p w14:paraId="3F97F8FD">
                  <w:pPr>
                    <w:widowControl/>
                    <w:jc w:val="center"/>
                    <w:rPr>
                      <w:rFonts w:ascii="Times New Roman" w:cs="Times New Roman"/>
                      <w:color w:val="auto"/>
                      <w:sz w:val="21"/>
                      <w:szCs w:val="21"/>
                      <w:highlight w:val="none"/>
                    </w:rPr>
                  </w:pPr>
                  <w:r>
                    <w:rPr>
                      <w:rFonts w:hint="eastAsia" w:ascii="Times New Roman" w:cs="Times New Roman"/>
                      <w:color w:val="auto"/>
                      <w:sz w:val="21"/>
                      <w:szCs w:val="21"/>
                      <w:highlight w:val="none"/>
                      <w:lang w:val="en-US" w:eastAsia="zh-CN"/>
                    </w:rPr>
                    <w:t>废酸</w:t>
                  </w:r>
                </w:p>
              </w:tc>
              <w:tc>
                <w:tcPr>
                  <w:tcW w:w="599" w:type="dxa"/>
                  <w:vAlign w:val="center"/>
                </w:tcPr>
                <w:p w14:paraId="008A1DCB">
                  <w:pPr>
                    <w:widowControl/>
                    <w:jc w:val="center"/>
                    <w:rPr>
                      <w:color w:val="000000"/>
                      <w:szCs w:val="21"/>
                      <w:highlight w:val="none"/>
                    </w:rPr>
                  </w:pPr>
                  <w:r>
                    <w:rPr>
                      <w:rFonts w:hint="eastAsia"/>
                      <w:color w:val="000000"/>
                      <w:szCs w:val="21"/>
                      <w:highlight w:val="none"/>
                      <w:lang w:val="en-US" w:eastAsia="zh-CN"/>
                    </w:rPr>
                    <w:t>6</w:t>
                  </w:r>
                  <w:r>
                    <w:rPr>
                      <w:rFonts w:hint="eastAsia"/>
                      <w:color w:val="000000"/>
                      <w:szCs w:val="21"/>
                      <w:highlight w:val="none"/>
                    </w:rPr>
                    <w:t>个月</w:t>
                  </w:r>
                </w:p>
              </w:tc>
              <w:tc>
                <w:tcPr>
                  <w:tcW w:w="731" w:type="dxa"/>
                  <w:vAlign w:val="center"/>
                </w:tcPr>
                <w:p w14:paraId="655008C6">
                  <w:pPr>
                    <w:widowControl/>
                    <w:jc w:val="center"/>
                    <w:rPr>
                      <w:rFonts w:hint="default"/>
                      <w:szCs w:val="21"/>
                      <w:highlight w:val="none"/>
                      <w:lang w:val="en-US" w:eastAsia="zh-CN"/>
                    </w:rPr>
                  </w:pPr>
                  <w:r>
                    <w:rPr>
                      <w:rFonts w:hint="eastAsia"/>
                      <w:szCs w:val="21"/>
                      <w:highlight w:val="none"/>
                      <w:lang w:val="en-US" w:eastAsia="zh-CN"/>
                    </w:rPr>
                    <w:t>T</w:t>
                  </w:r>
                </w:p>
              </w:tc>
              <w:tc>
                <w:tcPr>
                  <w:tcW w:w="1037" w:type="dxa"/>
                  <w:vMerge w:val="continue"/>
                  <w:vAlign w:val="center"/>
                </w:tcPr>
                <w:p w14:paraId="56B8EC87">
                  <w:pPr>
                    <w:jc w:val="center"/>
                    <w:rPr>
                      <w:rFonts w:hint="eastAsia"/>
                      <w:bCs/>
                      <w:color w:val="000000"/>
                      <w:szCs w:val="21"/>
                      <w:highlight w:val="none"/>
                    </w:rPr>
                  </w:pPr>
                </w:p>
              </w:tc>
            </w:tr>
            <w:tr w14:paraId="5B31FF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jc w:val="center"/>
              </w:trPr>
              <w:tc>
                <w:tcPr>
                  <w:tcW w:w="577" w:type="dxa"/>
                  <w:vAlign w:val="center"/>
                </w:tcPr>
                <w:p w14:paraId="0B35C6A2">
                  <w:pPr>
                    <w:widowControl/>
                    <w:jc w:val="center"/>
                    <w:rPr>
                      <w:rFonts w:hint="eastAsia" w:eastAsia="宋体"/>
                      <w:kern w:val="0"/>
                      <w:szCs w:val="21"/>
                      <w:highlight w:val="none"/>
                      <w:lang w:val="en-US" w:eastAsia="zh-CN" w:bidi="ar"/>
                    </w:rPr>
                  </w:pPr>
                  <w:r>
                    <w:rPr>
                      <w:rFonts w:hint="eastAsia"/>
                      <w:kern w:val="0"/>
                      <w:szCs w:val="21"/>
                      <w:highlight w:val="none"/>
                      <w:lang w:val="en-US" w:eastAsia="zh-CN" w:bidi="ar"/>
                    </w:rPr>
                    <w:t>废活性炭</w:t>
                  </w:r>
                </w:p>
              </w:tc>
              <w:tc>
                <w:tcPr>
                  <w:tcW w:w="1123" w:type="dxa"/>
                  <w:vAlign w:val="center"/>
                </w:tcPr>
                <w:p w14:paraId="7AC5DD8D">
                  <w:pPr>
                    <w:widowControl/>
                    <w:jc w:val="center"/>
                    <w:rPr>
                      <w:kern w:val="0"/>
                      <w:szCs w:val="21"/>
                      <w:highlight w:val="none"/>
                      <w:lang w:bidi="ar"/>
                    </w:rPr>
                  </w:pPr>
                  <w:r>
                    <w:rPr>
                      <w:rFonts w:hint="eastAsia"/>
                      <w:kern w:val="0"/>
                      <w:szCs w:val="21"/>
                      <w:highlight w:val="none"/>
                      <w:lang w:bidi="ar"/>
                    </w:rPr>
                    <w:t>H</w:t>
                  </w:r>
                  <w:r>
                    <w:rPr>
                      <w:kern w:val="0"/>
                      <w:szCs w:val="21"/>
                      <w:highlight w:val="none"/>
                      <w:lang w:bidi="ar"/>
                    </w:rPr>
                    <w:t>W49</w:t>
                  </w:r>
                  <w:r>
                    <w:rPr>
                      <w:rFonts w:hint="eastAsia"/>
                      <w:kern w:val="0"/>
                      <w:szCs w:val="21"/>
                      <w:highlight w:val="none"/>
                      <w:lang w:bidi="ar"/>
                    </w:rPr>
                    <w:t>其他废物</w:t>
                  </w:r>
                </w:p>
              </w:tc>
              <w:tc>
                <w:tcPr>
                  <w:tcW w:w="1196" w:type="dxa"/>
                  <w:vAlign w:val="center"/>
                </w:tcPr>
                <w:p w14:paraId="738F8C9D">
                  <w:pPr>
                    <w:widowControl/>
                    <w:jc w:val="center"/>
                    <w:rPr>
                      <w:kern w:val="0"/>
                      <w:szCs w:val="21"/>
                      <w:highlight w:val="none"/>
                      <w:lang w:bidi="ar"/>
                    </w:rPr>
                  </w:pPr>
                  <w:r>
                    <w:rPr>
                      <w:rFonts w:hint="eastAsia"/>
                      <w:kern w:val="0"/>
                      <w:szCs w:val="21"/>
                      <w:highlight w:val="none"/>
                      <w:lang w:bidi="ar"/>
                    </w:rPr>
                    <w:t>9</w:t>
                  </w:r>
                  <w:r>
                    <w:rPr>
                      <w:kern w:val="0"/>
                      <w:szCs w:val="21"/>
                      <w:highlight w:val="none"/>
                      <w:lang w:bidi="ar"/>
                    </w:rPr>
                    <w:t>00-041-49</w:t>
                  </w:r>
                </w:p>
              </w:tc>
              <w:tc>
                <w:tcPr>
                  <w:tcW w:w="1004" w:type="dxa"/>
                  <w:vAlign w:val="center"/>
                </w:tcPr>
                <w:p w14:paraId="4B9D8990">
                  <w:pPr>
                    <w:widowControl/>
                    <w:jc w:val="center"/>
                    <w:rPr>
                      <w:rFonts w:hint="default" w:eastAsia="宋体"/>
                      <w:color w:val="000000"/>
                      <w:szCs w:val="21"/>
                      <w:highlight w:val="none"/>
                      <w:lang w:val="en-US" w:eastAsia="zh-CN"/>
                    </w:rPr>
                  </w:pPr>
                  <w:r>
                    <w:rPr>
                      <w:rFonts w:hint="eastAsia"/>
                      <w:color w:val="000000"/>
                      <w:szCs w:val="21"/>
                      <w:highlight w:val="none"/>
                      <w:lang w:val="en-US" w:eastAsia="zh-CN"/>
                    </w:rPr>
                    <w:t>2.508</w:t>
                  </w:r>
                  <w:r>
                    <w:rPr>
                      <w:rFonts w:hint="eastAsia"/>
                      <w:kern w:val="0"/>
                      <w:szCs w:val="21"/>
                      <w:highlight w:val="none"/>
                      <w:lang w:val="en-US" w:eastAsia="zh-CN" w:bidi="ar"/>
                    </w:rPr>
                    <w:t>t/a</w:t>
                  </w:r>
                </w:p>
              </w:tc>
              <w:tc>
                <w:tcPr>
                  <w:tcW w:w="599" w:type="dxa"/>
                  <w:vAlign w:val="center"/>
                </w:tcPr>
                <w:p w14:paraId="07CF1313">
                  <w:pPr>
                    <w:widowControl/>
                    <w:jc w:val="center"/>
                    <w:rPr>
                      <w:rFonts w:hint="eastAsia" w:eastAsia="宋体"/>
                      <w:color w:val="000000"/>
                      <w:szCs w:val="21"/>
                      <w:highlight w:val="none"/>
                      <w:lang w:val="en-US" w:eastAsia="zh-CN"/>
                    </w:rPr>
                  </w:pPr>
                  <w:r>
                    <w:rPr>
                      <w:rFonts w:hint="eastAsia"/>
                      <w:color w:val="000000"/>
                      <w:szCs w:val="21"/>
                      <w:highlight w:val="none"/>
                      <w:lang w:val="en-US" w:eastAsia="zh-CN"/>
                    </w:rPr>
                    <w:t>固态</w:t>
                  </w:r>
                </w:p>
              </w:tc>
              <w:tc>
                <w:tcPr>
                  <w:tcW w:w="626" w:type="dxa"/>
                  <w:vAlign w:val="center"/>
                </w:tcPr>
                <w:p w14:paraId="2CF960DF">
                  <w:pPr>
                    <w:widowControl/>
                    <w:jc w:val="center"/>
                    <w:rPr>
                      <w:kern w:val="0"/>
                      <w:szCs w:val="21"/>
                      <w:highlight w:val="none"/>
                      <w:lang w:bidi="ar"/>
                    </w:rPr>
                  </w:pPr>
                  <w:r>
                    <w:rPr>
                      <w:rFonts w:hint="eastAsia" w:ascii="Times New Roman" w:hAnsi="Times New Roman" w:eastAsia="宋体" w:cs="Times New Roman"/>
                      <w:bCs/>
                      <w:color w:val="000000" w:themeColor="text1"/>
                      <w:szCs w:val="21"/>
                      <w:highlight w:val="none"/>
                      <w:lang w:val="en-US" w:eastAsia="zh-CN" w:bidi="ar"/>
                      <w14:textFill>
                        <w14:solidFill>
                          <w14:schemeClr w14:val="tx1"/>
                        </w14:solidFill>
                      </w14:textFill>
                    </w:rPr>
                    <w:t>挥发性有机物</w:t>
                  </w:r>
                </w:p>
              </w:tc>
              <w:tc>
                <w:tcPr>
                  <w:tcW w:w="598" w:type="dxa"/>
                  <w:vAlign w:val="center"/>
                </w:tcPr>
                <w:p w14:paraId="06DE179B">
                  <w:pPr>
                    <w:widowControl/>
                    <w:jc w:val="center"/>
                    <w:rPr>
                      <w:rFonts w:hint="eastAsia"/>
                      <w:color w:val="000000"/>
                      <w:sz w:val="20"/>
                      <w:szCs w:val="21"/>
                      <w:highlight w:val="none"/>
                    </w:rPr>
                  </w:pPr>
                  <w:r>
                    <w:rPr>
                      <w:rFonts w:hint="eastAsia" w:ascii="Times New Roman" w:hAnsi="Times New Roman" w:eastAsia="宋体" w:cs="Times New Roman"/>
                      <w:bCs/>
                      <w:color w:val="000000" w:themeColor="text1"/>
                      <w:szCs w:val="21"/>
                      <w:highlight w:val="none"/>
                      <w:lang w:val="en-US" w:eastAsia="zh-CN" w:bidi="ar"/>
                      <w14:textFill>
                        <w14:solidFill>
                          <w14:schemeClr w14:val="tx1"/>
                        </w14:solidFill>
                      </w14:textFill>
                    </w:rPr>
                    <w:t>挥发性有机物</w:t>
                  </w:r>
                </w:p>
              </w:tc>
              <w:tc>
                <w:tcPr>
                  <w:tcW w:w="599" w:type="dxa"/>
                  <w:vAlign w:val="center"/>
                </w:tcPr>
                <w:p w14:paraId="7F59295A">
                  <w:pPr>
                    <w:widowControl/>
                    <w:jc w:val="center"/>
                    <w:rPr>
                      <w:color w:val="000000"/>
                      <w:szCs w:val="21"/>
                      <w:highlight w:val="none"/>
                    </w:rPr>
                  </w:pPr>
                  <w:r>
                    <w:rPr>
                      <w:rFonts w:hint="eastAsia"/>
                      <w:color w:val="000000"/>
                      <w:szCs w:val="21"/>
                      <w:highlight w:val="none"/>
                      <w:lang w:val="en-US" w:eastAsia="zh-CN"/>
                    </w:rPr>
                    <w:t>6</w:t>
                  </w:r>
                  <w:r>
                    <w:rPr>
                      <w:rFonts w:hint="eastAsia"/>
                      <w:color w:val="000000"/>
                      <w:szCs w:val="21"/>
                      <w:highlight w:val="none"/>
                    </w:rPr>
                    <w:t>个月</w:t>
                  </w:r>
                </w:p>
              </w:tc>
              <w:tc>
                <w:tcPr>
                  <w:tcW w:w="731" w:type="dxa"/>
                  <w:vAlign w:val="center"/>
                </w:tcPr>
                <w:p w14:paraId="6A39C0E8">
                  <w:pPr>
                    <w:widowControl/>
                    <w:jc w:val="center"/>
                    <w:rPr>
                      <w:color w:val="000000"/>
                      <w:szCs w:val="21"/>
                      <w:highlight w:val="none"/>
                    </w:rPr>
                  </w:pPr>
                  <w:r>
                    <w:rPr>
                      <w:rFonts w:hint="eastAsia" w:ascii="Times New Roman" w:hAnsi="Times New Roman" w:eastAsia="宋体" w:cs="Times New Roman"/>
                      <w:bCs/>
                      <w:color w:val="000000" w:themeColor="text1"/>
                      <w:szCs w:val="21"/>
                      <w:highlight w:val="none"/>
                      <w:lang w:val="en-US" w:eastAsia="zh-CN" w:bidi="ar"/>
                      <w14:textFill>
                        <w14:solidFill>
                          <w14:schemeClr w14:val="tx1"/>
                        </w14:solidFill>
                      </w14:textFill>
                    </w:rPr>
                    <w:t>T</w:t>
                  </w:r>
                </w:p>
              </w:tc>
              <w:tc>
                <w:tcPr>
                  <w:tcW w:w="1037" w:type="dxa"/>
                  <w:vMerge w:val="continue"/>
                  <w:vAlign w:val="center"/>
                </w:tcPr>
                <w:p w14:paraId="44C260EB">
                  <w:pPr>
                    <w:jc w:val="center"/>
                    <w:rPr>
                      <w:rFonts w:hint="eastAsia"/>
                      <w:bCs/>
                      <w:color w:val="000000"/>
                      <w:szCs w:val="21"/>
                      <w:highlight w:val="none"/>
                    </w:rPr>
                  </w:pPr>
                </w:p>
              </w:tc>
            </w:tr>
            <w:tr w14:paraId="14F219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jc w:val="center"/>
              </w:trPr>
              <w:tc>
                <w:tcPr>
                  <w:tcW w:w="577" w:type="dxa"/>
                  <w:shd w:val="clear" w:color="auto" w:fill="auto"/>
                  <w:vAlign w:val="center"/>
                </w:tcPr>
                <w:p w14:paraId="002CD7D9">
                  <w:pPr>
                    <w:widowControl/>
                    <w:jc w:val="center"/>
                    <w:rPr>
                      <w:rFonts w:ascii="Times New Roman" w:hAnsi="Times New Roman" w:eastAsia="宋体" w:cs="Times New Roman"/>
                      <w:kern w:val="0"/>
                      <w:sz w:val="21"/>
                      <w:szCs w:val="21"/>
                      <w:highlight w:val="none"/>
                      <w:lang w:val="en-US" w:eastAsia="zh-CN" w:bidi="ar"/>
                    </w:rPr>
                  </w:pPr>
                  <w:r>
                    <w:rPr>
                      <w:kern w:val="0"/>
                      <w:szCs w:val="21"/>
                      <w:highlight w:val="none"/>
                      <w:lang w:bidi="ar"/>
                    </w:rPr>
                    <w:t>废</w:t>
                  </w:r>
                  <w:r>
                    <w:rPr>
                      <w:rFonts w:hint="eastAsia"/>
                      <w:kern w:val="0"/>
                      <w:szCs w:val="21"/>
                      <w:highlight w:val="none"/>
                      <w:lang w:val="en-US" w:eastAsia="zh-CN" w:bidi="ar"/>
                    </w:rPr>
                    <w:t>矿物</w:t>
                  </w:r>
                  <w:r>
                    <w:rPr>
                      <w:rFonts w:hint="eastAsia"/>
                      <w:kern w:val="0"/>
                      <w:szCs w:val="21"/>
                      <w:highlight w:val="none"/>
                      <w:lang w:bidi="ar"/>
                    </w:rPr>
                    <w:t>油</w:t>
                  </w:r>
                </w:p>
              </w:tc>
              <w:tc>
                <w:tcPr>
                  <w:tcW w:w="1123" w:type="dxa"/>
                  <w:shd w:val="clear" w:color="auto" w:fill="auto"/>
                  <w:vAlign w:val="center"/>
                </w:tcPr>
                <w:p w14:paraId="0A139D47">
                  <w:pPr>
                    <w:widowControl/>
                    <w:jc w:val="center"/>
                    <w:rPr>
                      <w:rFonts w:ascii="Times New Roman" w:hAnsi="Times New Roman" w:eastAsia="宋体" w:cs="Times New Roman"/>
                      <w:kern w:val="0"/>
                      <w:sz w:val="21"/>
                      <w:szCs w:val="21"/>
                      <w:highlight w:val="none"/>
                      <w:lang w:val="en-US" w:eastAsia="zh-CN" w:bidi="ar"/>
                    </w:rPr>
                  </w:pPr>
                  <w:r>
                    <w:rPr>
                      <w:kern w:val="0"/>
                      <w:szCs w:val="21"/>
                      <w:highlight w:val="none"/>
                      <w:lang w:bidi="ar"/>
                    </w:rPr>
                    <w:t>HW08</w:t>
                  </w:r>
                  <w:r>
                    <w:rPr>
                      <w:kern w:val="0"/>
                      <w:szCs w:val="21"/>
                      <w:highlight w:val="none"/>
                    </w:rPr>
                    <w:t>废矿物油与含矿物油废物</w:t>
                  </w:r>
                </w:p>
              </w:tc>
              <w:tc>
                <w:tcPr>
                  <w:tcW w:w="1196" w:type="dxa"/>
                  <w:shd w:val="clear" w:color="auto" w:fill="auto"/>
                  <w:vAlign w:val="center"/>
                </w:tcPr>
                <w:p w14:paraId="2F4D5384">
                  <w:pPr>
                    <w:widowControl/>
                    <w:jc w:val="center"/>
                    <w:rPr>
                      <w:rFonts w:ascii="Times New Roman" w:hAnsi="Times New Roman" w:eastAsia="宋体" w:cs="Times New Roman"/>
                      <w:kern w:val="0"/>
                      <w:sz w:val="21"/>
                      <w:szCs w:val="21"/>
                      <w:highlight w:val="none"/>
                      <w:lang w:val="en-US" w:eastAsia="zh-CN" w:bidi="ar"/>
                    </w:rPr>
                  </w:pPr>
                  <w:r>
                    <w:rPr>
                      <w:kern w:val="0"/>
                      <w:szCs w:val="21"/>
                      <w:highlight w:val="none"/>
                      <w:lang w:bidi="ar"/>
                    </w:rPr>
                    <w:t>900-217-08</w:t>
                  </w:r>
                </w:p>
              </w:tc>
              <w:tc>
                <w:tcPr>
                  <w:tcW w:w="1004" w:type="dxa"/>
                  <w:shd w:val="clear" w:color="auto" w:fill="auto"/>
                  <w:vAlign w:val="center"/>
                </w:tcPr>
                <w:p w14:paraId="7F90C9DB">
                  <w:pPr>
                    <w:widowControl/>
                    <w:jc w:val="center"/>
                    <w:rPr>
                      <w:rFonts w:ascii="Times New Roman" w:hAnsi="Times New Roman" w:eastAsia="宋体" w:cs="Times New Roman"/>
                      <w:kern w:val="0"/>
                      <w:sz w:val="21"/>
                      <w:szCs w:val="21"/>
                      <w:highlight w:val="none"/>
                      <w:lang w:val="en-US" w:eastAsia="zh-CN" w:bidi="ar"/>
                    </w:rPr>
                  </w:pPr>
                  <w:r>
                    <w:rPr>
                      <w:color w:val="000000"/>
                      <w:szCs w:val="21"/>
                      <w:highlight w:val="none"/>
                    </w:rPr>
                    <w:t>0.</w:t>
                  </w:r>
                  <w:r>
                    <w:rPr>
                      <w:rFonts w:hint="eastAsia"/>
                      <w:color w:val="000000"/>
                      <w:szCs w:val="21"/>
                      <w:highlight w:val="none"/>
                      <w:lang w:val="en-US" w:eastAsia="zh-CN"/>
                    </w:rPr>
                    <w:t>05</w:t>
                  </w:r>
                  <w:r>
                    <w:rPr>
                      <w:color w:val="000000"/>
                      <w:szCs w:val="21"/>
                      <w:highlight w:val="none"/>
                    </w:rPr>
                    <w:t>t/a</w:t>
                  </w:r>
                </w:p>
              </w:tc>
              <w:tc>
                <w:tcPr>
                  <w:tcW w:w="599" w:type="dxa"/>
                  <w:shd w:val="clear" w:color="auto" w:fill="auto"/>
                  <w:vAlign w:val="center"/>
                </w:tcPr>
                <w:p w14:paraId="624885CE">
                  <w:pPr>
                    <w:widowControl/>
                    <w:jc w:val="center"/>
                    <w:rPr>
                      <w:rFonts w:hint="eastAsia" w:ascii="Times New Roman" w:hAnsi="Times New Roman" w:eastAsia="宋体" w:cs="Times New Roman"/>
                      <w:kern w:val="0"/>
                      <w:sz w:val="21"/>
                      <w:szCs w:val="21"/>
                      <w:highlight w:val="none"/>
                      <w:lang w:val="en-US" w:eastAsia="zh-CN" w:bidi="ar"/>
                    </w:rPr>
                  </w:pPr>
                  <w:r>
                    <w:rPr>
                      <w:rFonts w:hint="eastAsia"/>
                      <w:color w:val="000000"/>
                      <w:szCs w:val="21"/>
                      <w:highlight w:val="none"/>
                    </w:rPr>
                    <w:t>液态</w:t>
                  </w:r>
                </w:p>
              </w:tc>
              <w:tc>
                <w:tcPr>
                  <w:tcW w:w="626" w:type="dxa"/>
                  <w:shd w:val="clear" w:color="auto" w:fill="auto"/>
                  <w:vAlign w:val="center"/>
                </w:tcPr>
                <w:p w14:paraId="7D0B31F5">
                  <w:pPr>
                    <w:widowControl/>
                    <w:jc w:val="center"/>
                    <w:rPr>
                      <w:rFonts w:ascii="Times New Roman" w:hAnsi="Times New Roman" w:eastAsia="宋体" w:cs="Times New Roman"/>
                      <w:kern w:val="0"/>
                      <w:sz w:val="21"/>
                      <w:szCs w:val="21"/>
                      <w:highlight w:val="none"/>
                      <w:lang w:val="en-US" w:eastAsia="zh-CN" w:bidi="ar"/>
                    </w:rPr>
                  </w:pPr>
                  <w:r>
                    <w:rPr>
                      <w:kern w:val="0"/>
                      <w:szCs w:val="21"/>
                      <w:highlight w:val="none"/>
                      <w:lang w:bidi="ar"/>
                    </w:rPr>
                    <w:t>矿物油</w:t>
                  </w:r>
                </w:p>
              </w:tc>
              <w:tc>
                <w:tcPr>
                  <w:tcW w:w="598" w:type="dxa"/>
                  <w:shd w:val="clear" w:color="auto" w:fill="auto"/>
                  <w:vAlign w:val="center"/>
                </w:tcPr>
                <w:p w14:paraId="4F711A0B">
                  <w:pPr>
                    <w:widowControl/>
                    <w:jc w:val="center"/>
                    <w:rPr>
                      <w:rFonts w:hint="eastAsia" w:ascii="Times New Roman" w:hAnsi="Times New Roman" w:eastAsia="宋体" w:cs="Times New Roman"/>
                      <w:kern w:val="0"/>
                      <w:sz w:val="21"/>
                      <w:szCs w:val="21"/>
                      <w:highlight w:val="none"/>
                      <w:lang w:val="en-US" w:eastAsia="zh-CN" w:bidi="ar"/>
                    </w:rPr>
                  </w:pPr>
                  <w:r>
                    <w:rPr>
                      <w:rFonts w:hint="eastAsia"/>
                      <w:color w:val="000000"/>
                      <w:sz w:val="20"/>
                      <w:szCs w:val="21"/>
                      <w:highlight w:val="none"/>
                    </w:rPr>
                    <w:t>沾染的矿物油</w:t>
                  </w:r>
                </w:p>
              </w:tc>
              <w:tc>
                <w:tcPr>
                  <w:tcW w:w="599" w:type="dxa"/>
                  <w:shd w:val="clear" w:color="auto" w:fill="auto"/>
                  <w:vAlign w:val="center"/>
                </w:tcPr>
                <w:p w14:paraId="4D10A944">
                  <w:pPr>
                    <w:widowControl/>
                    <w:jc w:val="center"/>
                    <w:rPr>
                      <w:rFonts w:ascii="Times New Roman" w:hAnsi="Times New Roman" w:eastAsia="宋体" w:cs="Times New Roman"/>
                      <w:kern w:val="2"/>
                      <w:sz w:val="21"/>
                      <w:szCs w:val="21"/>
                      <w:highlight w:val="none"/>
                      <w:lang w:val="en-US" w:eastAsia="zh-CN" w:bidi="ar-SA"/>
                    </w:rPr>
                  </w:pPr>
                  <w:r>
                    <w:rPr>
                      <w:rFonts w:hint="eastAsia"/>
                      <w:color w:val="000000"/>
                      <w:szCs w:val="21"/>
                      <w:highlight w:val="none"/>
                      <w:lang w:val="en-US" w:eastAsia="zh-CN"/>
                    </w:rPr>
                    <w:t>6</w:t>
                  </w:r>
                  <w:r>
                    <w:rPr>
                      <w:rFonts w:hint="eastAsia"/>
                      <w:color w:val="000000"/>
                      <w:szCs w:val="21"/>
                      <w:highlight w:val="none"/>
                    </w:rPr>
                    <w:t>个月</w:t>
                  </w:r>
                </w:p>
              </w:tc>
              <w:tc>
                <w:tcPr>
                  <w:tcW w:w="731" w:type="dxa"/>
                  <w:shd w:val="clear" w:color="auto" w:fill="auto"/>
                  <w:vAlign w:val="center"/>
                </w:tcPr>
                <w:p w14:paraId="7E7D99C3">
                  <w:pPr>
                    <w:widowControl/>
                    <w:jc w:val="center"/>
                    <w:rPr>
                      <w:rFonts w:ascii="Times New Roman" w:hAnsi="Times New Roman" w:eastAsia="宋体" w:cs="Times New Roman"/>
                      <w:kern w:val="2"/>
                      <w:sz w:val="21"/>
                      <w:szCs w:val="21"/>
                      <w:highlight w:val="none"/>
                      <w:lang w:val="en-US" w:eastAsia="zh-CN" w:bidi="ar-SA"/>
                    </w:rPr>
                  </w:pPr>
                  <w:r>
                    <w:rPr>
                      <w:color w:val="000000"/>
                      <w:szCs w:val="21"/>
                      <w:highlight w:val="none"/>
                    </w:rPr>
                    <w:t>T</w:t>
                  </w:r>
                  <w:r>
                    <w:rPr>
                      <w:rFonts w:hint="eastAsia"/>
                      <w:color w:val="000000"/>
                      <w:szCs w:val="21"/>
                      <w:highlight w:val="none"/>
                      <w:lang w:eastAsia="zh-CN"/>
                    </w:rPr>
                    <w:t>,</w:t>
                  </w:r>
                  <w:r>
                    <w:rPr>
                      <w:color w:val="000000"/>
                      <w:szCs w:val="21"/>
                      <w:highlight w:val="none"/>
                    </w:rPr>
                    <w:t>I</w:t>
                  </w:r>
                </w:p>
              </w:tc>
              <w:tc>
                <w:tcPr>
                  <w:tcW w:w="1037" w:type="dxa"/>
                  <w:vMerge w:val="continue"/>
                  <w:vAlign w:val="center"/>
                </w:tcPr>
                <w:p w14:paraId="70B6FBF3">
                  <w:pPr>
                    <w:jc w:val="center"/>
                    <w:rPr>
                      <w:rFonts w:hint="eastAsia"/>
                      <w:bCs/>
                      <w:color w:val="000000"/>
                      <w:szCs w:val="21"/>
                      <w:highlight w:val="none"/>
                    </w:rPr>
                  </w:pPr>
                </w:p>
              </w:tc>
            </w:tr>
            <w:tr w14:paraId="09B74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jc w:val="center"/>
              </w:trPr>
              <w:tc>
                <w:tcPr>
                  <w:tcW w:w="577" w:type="dxa"/>
                  <w:vAlign w:val="center"/>
                </w:tcPr>
                <w:p w14:paraId="6F655550">
                  <w:pPr>
                    <w:widowControl/>
                    <w:jc w:val="center"/>
                    <w:rPr>
                      <w:kern w:val="0"/>
                      <w:szCs w:val="21"/>
                      <w:highlight w:val="none"/>
                      <w:lang w:bidi="ar"/>
                    </w:rPr>
                  </w:pPr>
                  <w:r>
                    <w:rPr>
                      <w:rFonts w:hint="eastAsia"/>
                      <w:kern w:val="0"/>
                      <w:szCs w:val="21"/>
                      <w:highlight w:val="none"/>
                      <w:lang w:bidi="ar"/>
                    </w:rPr>
                    <w:t>废</w:t>
                  </w:r>
                  <w:r>
                    <w:rPr>
                      <w:rFonts w:hint="eastAsia"/>
                      <w:kern w:val="0"/>
                      <w:szCs w:val="21"/>
                      <w:highlight w:val="none"/>
                      <w:lang w:val="en-US" w:eastAsia="zh-CN" w:bidi="ar"/>
                    </w:rPr>
                    <w:t>矿物</w:t>
                  </w:r>
                  <w:r>
                    <w:rPr>
                      <w:rFonts w:hint="eastAsia"/>
                      <w:kern w:val="0"/>
                      <w:szCs w:val="21"/>
                      <w:highlight w:val="none"/>
                      <w:lang w:bidi="ar"/>
                    </w:rPr>
                    <w:t>油桶</w:t>
                  </w:r>
                </w:p>
              </w:tc>
              <w:tc>
                <w:tcPr>
                  <w:tcW w:w="1123" w:type="dxa"/>
                  <w:vAlign w:val="center"/>
                </w:tcPr>
                <w:p w14:paraId="1D86DE7E">
                  <w:pPr>
                    <w:widowControl/>
                    <w:jc w:val="center"/>
                    <w:rPr>
                      <w:kern w:val="0"/>
                      <w:szCs w:val="21"/>
                      <w:highlight w:val="none"/>
                      <w:lang w:bidi="ar"/>
                    </w:rPr>
                  </w:pPr>
                  <w:r>
                    <w:rPr>
                      <w:kern w:val="0"/>
                      <w:szCs w:val="21"/>
                      <w:highlight w:val="none"/>
                      <w:lang w:bidi="ar"/>
                    </w:rPr>
                    <w:t>HW08</w:t>
                  </w:r>
                  <w:r>
                    <w:rPr>
                      <w:kern w:val="0"/>
                      <w:szCs w:val="21"/>
                      <w:highlight w:val="none"/>
                    </w:rPr>
                    <w:t>废矿物油与含矿物油废物</w:t>
                  </w:r>
                </w:p>
              </w:tc>
              <w:tc>
                <w:tcPr>
                  <w:tcW w:w="1196" w:type="dxa"/>
                  <w:vAlign w:val="center"/>
                </w:tcPr>
                <w:p w14:paraId="5A124823">
                  <w:pPr>
                    <w:widowControl/>
                    <w:jc w:val="center"/>
                    <w:rPr>
                      <w:kern w:val="0"/>
                      <w:szCs w:val="21"/>
                      <w:highlight w:val="none"/>
                      <w:lang w:bidi="ar"/>
                    </w:rPr>
                  </w:pPr>
                  <w:r>
                    <w:rPr>
                      <w:kern w:val="0"/>
                      <w:szCs w:val="21"/>
                      <w:highlight w:val="none"/>
                      <w:lang w:bidi="ar"/>
                    </w:rPr>
                    <w:t>900-249-08</w:t>
                  </w:r>
                </w:p>
              </w:tc>
              <w:tc>
                <w:tcPr>
                  <w:tcW w:w="1004" w:type="dxa"/>
                  <w:vAlign w:val="center"/>
                </w:tcPr>
                <w:p w14:paraId="0A6641AE">
                  <w:pPr>
                    <w:widowControl/>
                    <w:jc w:val="center"/>
                    <w:rPr>
                      <w:color w:val="000000"/>
                      <w:szCs w:val="21"/>
                      <w:highlight w:val="none"/>
                    </w:rPr>
                  </w:pPr>
                  <w:r>
                    <w:rPr>
                      <w:color w:val="000000"/>
                      <w:szCs w:val="21"/>
                      <w:highlight w:val="none"/>
                    </w:rPr>
                    <w:t>0.</w:t>
                  </w:r>
                  <w:r>
                    <w:rPr>
                      <w:rFonts w:hint="eastAsia"/>
                      <w:color w:val="000000"/>
                      <w:szCs w:val="21"/>
                      <w:highlight w:val="none"/>
                      <w:lang w:val="en-US" w:eastAsia="zh-CN"/>
                    </w:rPr>
                    <w:t>01</w:t>
                  </w:r>
                  <w:r>
                    <w:rPr>
                      <w:color w:val="000000"/>
                      <w:szCs w:val="21"/>
                      <w:highlight w:val="none"/>
                    </w:rPr>
                    <w:t>/a</w:t>
                  </w:r>
                </w:p>
              </w:tc>
              <w:tc>
                <w:tcPr>
                  <w:tcW w:w="599" w:type="dxa"/>
                  <w:vAlign w:val="center"/>
                </w:tcPr>
                <w:p w14:paraId="0FF27752">
                  <w:pPr>
                    <w:widowControl/>
                    <w:jc w:val="center"/>
                    <w:rPr>
                      <w:color w:val="000000"/>
                      <w:szCs w:val="21"/>
                      <w:highlight w:val="none"/>
                    </w:rPr>
                  </w:pPr>
                  <w:r>
                    <w:rPr>
                      <w:color w:val="000000"/>
                      <w:szCs w:val="21"/>
                      <w:highlight w:val="none"/>
                    </w:rPr>
                    <w:t>固态</w:t>
                  </w:r>
                </w:p>
              </w:tc>
              <w:tc>
                <w:tcPr>
                  <w:tcW w:w="626" w:type="dxa"/>
                  <w:vAlign w:val="center"/>
                </w:tcPr>
                <w:p w14:paraId="63D846B9">
                  <w:pPr>
                    <w:widowControl/>
                    <w:jc w:val="center"/>
                    <w:rPr>
                      <w:kern w:val="0"/>
                      <w:szCs w:val="21"/>
                      <w:highlight w:val="none"/>
                      <w:lang w:bidi="ar"/>
                    </w:rPr>
                  </w:pPr>
                  <w:r>
                    <w:rPr>
                      <w:rFonts w:hint="eastAsia"/>
                      <w:color w:val="000000"/>
                      <w:szCs w:val="21"/>
                      <w:highlight w:val="none"/>
                    </w:rPr>
                    <w:t>铁</w:t>
                  </w:r>
                </w:p>
              </w:tc>
              <w:tc>
                <w:tcPr>
                  <w:tcW w:w="598" w:type="dxa"/>
                  <w:vAlign w:val="center"/>
                </w:tcPr>
                <w:p w14:paraId="7B1E2169">
                  <w:pPr>
                    <w:widowControl/>
                    <w:jc w:val="center"/>
                    <w:rPr>
                      <w:kern w:val="0"/>
                      <w:szCs w:val="21"/>
                      <w:highlight w:val="none"/>
                      <w:lang w:bidi="ar"/>
                    </w:rPr>
                  </w:pPr>
                  <w:r>
                    <w:rPr>
                      <w:rFonts w:hint="eastAsia"/>
                      <w:color w:val="000000"/>
                      <w:sz w:val="20"/>
                      <w:szCs w:val="21"/>
                      <w:highlight w:val="none"/>
                    </w:rPr>
                    <w:t>沾染的矿物油</w:t>
                  </w:r>
                </w:p>
              </w:tc>
              <w:tc>
                <w:tcPr>
                  <w:tcW w:w="599" w:type="dxa"/>
                  <w:vAlign w:val="center"/>
                </w:tcPr>
                <w:p w14:paraId="4DF4C329">
                  <w:pPr>
                    <w:widowControl/>
                    <w:jc w:val="center"/>
                    <w:rPr>
                      <w:color w:val="000000"/>
                      <w:szCs w:val="21"/>
                      <w:highlight w:val="none"/>
                    </w:rPr>
                  </w:pPr>
                  <w:r>
                    <w:rPr>
                      <w:color w:val="000000"/>
                      <w:szCs w:val="21"/>
                      <w:highlight w:val="none"/>
                    </w:rPr>
                    <w:t>--</w:t>
                  </w:r>
                </w:p>
              </w:tc>
              <w:tc>
                <w:tcPr>
                  <w:tcW w:w="731" w:type="dxa"/>
                  <w:vAlign w:val="center"/>
                </w:tcPr>
                <w:p w14:paraId="41EFEC36">
                  <w:pPr>
                    <w:widowControl/>
                    <w:jc w:val="center"/>
                    <w:rPr>
                      <w:color w:val="000000"/>
                      <w:szCs w:val="21"/>
                      <w:highlight w:val="none"/>
                    </w:rPr>
                  </w:pPr>
                  <w:r>
                    <w:rPr>
                      <w:color w:val="000000"/>
                      <w:szCs w:val="21"/>
                      <w:highlight w:val="none"/>
                    </w:rPr>
                    <w:t>T</w:t>
                  </w:r>
                  <w:r>
                    <w:rPr>
                      <w:rFonts w:hint="eastAsia"/>
                      <w:color w:val="000000"/>
                      <w:szCs w:val="21"/>
                      <w:highlight w:val="none"/>
                      <w:lang w:eastAsia="zh-CN"/>
                    </w:rPr>
                    <w:t>,</w:t>
                  </w:r>
                  <w:r>
                    <w:rPr>
                      <w:color w:val="000000"/>
                      <w:szCs w:val="21"/>
                      <w:highlight w:val="none"/>
                    </w:rPr>
                    <w:t>I</w:t>
                  </w:r>
                </w:p>
              </w:tc>
              <w:tc>
                <w:tcPr>
                  <w:tcW w:w="1037" w:type="dxa"/>
                  <w:vMerge w:val="continue"/>
                  <w:vAlign w:val="center"/>
                </w:tcPr>
                <w:p w14:paraId="2C45B82C">
                  <w:pPr>
                    <w:jc w:val="center"/>
                    <w:rPr>
                      <w:bCs/>
                      <w:color w:val="000000"/>
                      <w:szCs w:val="21"/>
                      <w:highlight w:val="none"/>
                    </w:rPr>
                  </w:pPr>
                </w:p>
              </w:tc>
            </w:tr>
            <w:tr w14:paraId="23704F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jc w:val="center"/>
              </w:trPr>
              <w:tc>
                <w:tcPr>
                  <w:tcW w:w="577" w:type="dxa"/>
                  <w:vAlign w:val="center"/>
                </w:tcPr>
                <w:p w14:paraId="2F6A48DE">
                  <w:pPr>
                    <w:widowControl/>
                    <w:jc w:val="center"/>
                    <w:rPr>
                      <w:kern w:val="0"/>
                      <w:sz w:val="18"/>
                      <w:szCs w:val="21"/>
                      <w:highlight w:val="none"/>
                      <w:lang w:bidi="ar"/>
                    </w:rPr>
                  </w:pPr>
                  <w:r>
                    <w:rPr>
                      <w:rFonts w:hint="eastAsia"/>
                      <w:kern w:val="0"/>
                      <w:sz w:val="18"/>
                      <w:szCs w:val="21"/>
                      <w:highlight w:val="none"/>
                      <w:lang w:bidi="ar"/>
                    </w:rPr>
                    <w:t>废弃的含油抹布、劳保用品</w:t>
                  </w:r>
                </w:p>
              </w:tc>
              <w:tc>
                <w:tcPr>
                  <w:tcW w:w="1123" w:type="dxa"/>
                  <w:vAlign w:val="center"/>
                </w:tcPr>
                <w:p w14:paraId="1B7A3392">
                  <w:pPr>
                    <w:widowControl/>
                    <w:jc w:val="center"/>
                    <w:rPr>
                      <w:kern w:val="0"/>
                      <w:szCs w:val="21"/>
                      <w:highlight w:val="none"/>
                      <w:lang w:bidi="ar"/>
                    </w:rPr>
                  </w:pPr>
                  <w:r>
                    <w:rPr>
                      <w:rFonts w:hint="eastAsia"/>
                      <w:kern w:val="0"/>
                      <w:szCs w:val="21"/>
                      <w:highlight w:val="none"/>
                      <w:lang w:bidi="ar"/>
                    </w:rPr>
                    <w:t>H</w:t>
                  </w:r>
                  <w:r>
                    <w:rPr>
                      <w:kern w:val="0"/>
                      <w:szCs w:val="21"/>
                      <w:highlight w:val="none"/>
                      <w:lang w:bidi="ar"/>
                    </w:rPr>
                    <w:t>W49</w:t>
                  </w:r>
                  <w:r>
                    <w:rPr>
                      <w:rFonts w:hint="eastAsia"/>
                      <w:kern w:val="0"/>
                      <w:szCs w:val="21"/>
                      <w:highlight w:val="none"/>
                      <w:lang w:bidi="ar"/>
                    </w:rPr>
                    <w:t>其他废物</w:t>
                  </w:r>
                </w:p>
              </w:tc>
              <w:tc>
                <w:tcPr>
                  <w:tcW w:w="1196" w:type="dxa"/>
                  <w:vAlign w:val="center"/>
                </w:tcPr>
                <w:p w14:paraId="3A192BBD">
                  <w:pPr>
                    <w:widowControl/>
                    <w:jc w:val="center"/>
                    <w:rPr>
                      <w:kern w:val="0"/>
                      <w:szCs w:val="21"/>
                      <w:highlight w:val="none"/>
                      <w:lang w:bidi="ar"/>
                    </w:rPr>
                  </w:pPr>
                  <w:r>
                    <w:rPr>
                      <w:rFonts w:hint="eastAsia"/>
                      <w:kern w:val="0"/>
                      <w:szCs w:val="21"/>
                      <w:highlight w:val="none"/>
                      <w:lang w:bidi="ar"/>
                    </w:rPr>
                    <w:t>9</w:t>
                  </w:r>
                  <w:r>
                    <w:rPr>
                      <w:kern w:val="0"/>
                      <w:szCs w:val="21"/>
                      <w:highlight w:val="none"/>
                      <w:lang w:bidi="ar"/>
                    </w:rPr>
                    <w:t>00-041-49</w:t>
                  </w:r>
                </w:p>
              </w:tc>
              <w:tc>
                <w:tcPr>
                  <w:tcW w:w="1004" w:type="dxa"/>
                  <w:vAlign w:val="center"/>
                </w:tcPr>
                <w:p w14:paraId="72AFBCA0">
                  <w:pPr>
                    <w:jc w:val="center"/>
                    <w:rPr>
                      <w:color w:val="000000"/>
                      <w:szCs w:val="21"/>
                      <w:highlight w:val="none"/>
                    </w:rPr>
                  </w:pPr>
                  <w:r>
                    <w:rPr>
                      <w:rFonts w:hint="eastAsia"/>
                      <w:color w:val="000000"/>
                      <w:szCs w:val="21"/>
                      <w:highlight w:val="none"/>
                    </w:rPr>
                    <w:t>0</w:t>
                  </w:r>
                  <w:r>
                    <w:rPr>
                      <w:color w:val="000000"/>
                      <w:szCs w:val="21"/>
                      <w:highlight w:val="none"/>
                    </w:rPr>
                    <w:t>.01</w:t>
                  </w:r>
                  <w:r>
                    <w:rPr>
                      <w:rFonts w:hint="eastAsia"/>
                      <w:color w:val="000000"/>
                      <w:szCs w:val="21"/>
                      <w:highlight w:val="none"/>
                    </w:rPr>
                    <w:t>t/a</w:t>
                  </w:r>
                </w:p>
              </w:tc>
              <w:tc>
                <w:tcPr>
                  <w:tcW w:w="599" w:type="dxa"/>
                  <w:vAlign w:val="center"/>
                </w:tcPr>
                <w:p w14:paraId="5AE428E1">
                  <w:pPr>
                    <w:jc w:val="center"/>
                    <w:rPr>
                      <w:color w:val="000000"/>
                      <w:szCs w:val="21"/>
                      <w:highlight w:val="none"/>
                    </w:rPr>
                  </w:pPr>
                  <w:r>
                    <w:rPr>
                      <w:rFonts w:hint="eastAsia"/>
                      <w:color w:val="000000"/>
                      <w:szCs w:val="21"/>
                      <w:highlight w:val="none"/>
                    </w:rPr>
                    <w:t>固态</w:t>
                  </w:r>
                </w:p>
              </w:tc>
              <w:tc>
                <w:tcPr>
                  <w:tcW w:w="626" w:type="dxa"/>
                  <w:vAlign w:val="center"/>
                </w:tcPr>
                <w:p w14:paraId="7E012929">
                  <w:pPr>
                    <w:jc w:val="center"/>
                    <w:rPr>
                      <w:color w:val="000000"/>
                      <w:szCs w:val="21"/>
                      <w:highlight w:val="none"/>
                    </w:rPr>
                  </w:pPr>
                  <w:r>
                    <w:rPr>
                      <w:kern w:val="0"/>
                      <w:szCs w:val="21"/>
                      <w:highlight w:val="none"/>
                      <w:lang w:bidi="ar"/>
                    </w:rPr>
                    <w:t>矿物油</w:t>
                  </w:r>
                </w:p>
              </w:tc>
              <w:tc>
                <w:tcPr>
                  <w:tcW w:w="598" w:type="dxa"/>
                  <w:vAlign w:val="center"/>
                </w:tcPr>
                <w:p w14:paraId="0D94F98B">
                  <w:pPr>
                    <w:jc w:val="center"/>
                    <w:rPr>
                      <w:color w:val="000000"/>
                      <w:szCs w:val="21"/>
                      <w:highlight w:val="none"/>
                    </w:rPr>
                  </w:pPr>
                  <w:r>
                    <w:rPr>
                      <w:rFonts w:hint="eastAsia"/>
                      <w:color w:val="000000"/>
                      <w:sz w:val="20"/>
                      <w:szCs w:val="21"/>
                      <w:highlight w:val="none"/>
                    </w:rPr>
                    <w:t>沾染的矿物油</w:t>
                  </w:r>
                </w:p>
              </w:tc>
              <w:tc>
                <w:tcPr>
                  <w:tcW w:w="599" w:type="dxa"/>
                  <w:vAlign w:val="center"/>
                </w:tcPr>
                <w:p w14:paraId="2735EF7D">
                  <w:pPr>
                    <w:jc w:val="center"/>
                    <w:rPr>
                      <w:color w:val="000000"/>
                      <w:szCs w:val="21"/>
                      <w:highlight w:val="none"/>
                    </w:rPr>
                  </w:pPr>
                  <w:r>
                    <w:rPr>
                      <w:rFonts w:hint="eastAsia"/>
                      <w:color w:val="000000"/>
                      <w:szCs w:val="21"/>
                      <w:highlight w:val="none"/>
                    </w:rPr>
                    <w:t>-</w:t>
                  </w:r>
                  <w:r>
                    <w:rPr>
                      <w:color w:val="000000"/>
                      <w:szCs w:val="21"/>
                      <w:highlight w:val="none"/>
                    </w:rPr>
                    <w:t>-</w:t>
                  </w:r>
                </w:p>
              </w:tc>
              <w:tc>
                <w:tcPr>
                  <w:tcW w:w="731" w:type="dxa"/>
                  <w:vAlign w:val="center"/>
                </w:tcPr>
                <w:p w14:paraId="5B314568">
                  <w:pPr>
                    <w:jc w:val="center"/>
                    <w:rPr>
                      <w:color w:val="000000"/>
                      <w:szCs w:val="21"/>
                      <w:highlight w:val="none"/>
                    </w:rPr>
                  </w:pPr>
                  <w:r>
                    <w:rPr>
                      <w:rFonts w:hint="eastAsia"/>
                      <w:color w:val="000000"/>
                      <w:szCs w:val="21"/>
                      <w:highlight w:val="none"/>
                    </w:rPr>
                    <w:t>T</w:t>
                  </w:r>
                </w:p>
              </w:tc>
              <w:tc>
                <w:tcPr>
                  <w:tcW w:w="1037" w:type="dxa"/>
                  <w:vMerge w:val="continue"/>
                  <w:vAlign w:val="center"/>
                </w:tcPr>
                <w:p w14:paraId="0C408D10">
                  <w:pPr>
                    <w:jc w:val="center"/>
                    <w:rPr>
                      <w:color w:val="000000"/>
                      <w:szCs w:val="21"/>
                      <w:highlight w:val="none"/>
                    </w:rPr>
                  </w:pPr>
                </w:p>
              </w:tc>
            </w:tr>
          </w:tbl>
          <w:p w14:paraId="41B5673A">
            <w:pPr>
              <w:spacing w:before="120" w:beforeLines="50" w:line="360" w:lineRule="auto"/>
              <w:ind w:firstLine="482"/>
              <w:rPr>
                <w:b/>
                <w:sz w:val="24"/>
                <w:highlight w:val="none"/>
              </w:rPr>
            </w:pPr>
            <w:r>
              <w:rPr>
                <w:rFonts w:hint="eastAsia"/>
                <w:b/>
                <w:sz w:val="24"/>
                <w:highlight w:val="none"/>
              </w:rPr>
              <w:t>（2）固体废物产生、属性、量、去向汇总</w:t>
            </w:r>
          </w:p>
          <w:p w14:paraId="6745FC20">
            <w:pPr>
              <w:spacing w:line="360" w:lineRule="auto"/>
              <w:ind w:firstLine="480"/>
              <w:rPr>
                <w:sz w:val="24"/>
                <w:highlight w:val="none"/>
              </w:rPr>
            </w:pPr>
            <w:r>
              <w:rPr>
                <w:rFonts w:hint="eastAsia"/>
                <w:sz w:val="24"/>
                <w:highlight w:val="none"/>
              </w:rPr>
              <w:t>项目运营期固体废物情况列表如下：</w:t>
            </w:r>
          </w:p>
          <w:p w14:paraId="02E65296">
            <w:pPr>
              <w:pStyle w:val="48"/>
              <w:numPr>
                <w:ilvl w:val="0"/>
                <w:numId w:val="9"/>
              </w:numPr>
              <w:spacing w:line="360" w:lineRule="auto"/>
              <w:ind w:left="0" w:firstLine="0" w:firstLineChars="0"/>
              <w:jc w:val="center"/>
              <w:rPr>
                <w:rFonts w:ascii="Times New Roman" w:hAnsi="Times New Roman" w:eastAsia="宋体"/>
                <w:b/>
                <w:sz w:val="21"/>
                <w:highlight w:val="none"/>
              </w:rPr>
            </w:pPr>
            <w:r>
              <w:rPr>
                <w:rFonts w:hint="eastAsia" w:ascii="Times New Roman" w:hAnsi="Times New Roman" w:eastAsia="宋体"/>
                <w:b/>
                <w:sz w:val="21"/>
                <w:highlight w:val="none"/>
              </w:rPr>
              <w:t>固体废物情况一览表</w:t>
            </w:r>
          </w:p>
          <w:tbl>
            <w:tblPr>
              <w:tblStyle w:val="21"/>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8"/>
              <w:gridCol w:w="696"/>
              <w:gridCol w:w="606"/>
              <w:gridCol w:w="1444"/>
              <w:gridCol w:w="601"/>
              <w:gridCol w:w="591"/>
              <w:gridCol w:w="794"/>
              <w:gridCol w:w="794"/>
              <w:gridCol w:w="606"/>
              <w:gridCol w:w="973"/>
              <w:gridCol w:w="770"/>
            </w:tblGrid>
            <w:tr w14:paraId="6BE865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8" w:hRule="atLeast"/>
              </w:trPr>
              <w:tc>
                <w:tcPr>
                  <w:tcW w:w="342" w:type="pct"/>
                  <w:tcBorders>
                    <w:top w:val="single" w:color="auto" w:sz="4" w:space="0"/>
                    <w:left w:val="single" w:color="auto" w:sz="4" w:space="0"/>
                    <w:bottom w:val="single" w:color="auto" w:sz="4" w:space="0"/>
                    <w:right w:val="single" w:color="auto" w:sz="4" w:space="0"/>
                  </w:tcBorders>
                  <w:shd w:val="clear" w:color="auto" w:fill="auto"/>
                  <w:vAlign w:val="center"/>
                </w:tcPr>
                <w:p w14:paraId="58FAFABD">
                  <w:pPr>
                    <w:autoSpaceDE w:val="0"/>
                    <w:jc w:val="center"/>
                    <w:rPr>
                      <w:b/>
                      <w:bCs/>
                      <w:color w:val="000000"/>
                      <w:szCs w:val="21"/>
                      <w:highlight w:val="none"/>
                    </w:rPr>
                  </w:pPr>
                  <w:r>
                    <w:rPr>
                      <w:b/>
                      <w:bCs/>
                      <w:color w:val="000000"/>
                      <w:szCs w:val="21"/>
                      <w:highlight w:val="none"/>
                    </w:rPr>
                    <w:t>产生环节</w:t>
                  </w:r>
                </w:p>
              </w:tc>
              <w:tc>
                <w:tcPr>
                  <w:tcW w:w="411" w:type="pct"/>
                  <w:tcBorders>
                    <w:top w:val="single" w:color="auto" w:sz="4" w:space="0"/>
                    <w:left w:val="nil"/>
                    <w:bottom w:val="single" w:color="auto" w:sz="4" w:space="0"/>
                    <w:right w:val="single" w:color="auto" w:sz="4" w:space="0"/>
                  </w:tcBorders>
                  <w:shd w:val="clear" w:color="auto" w:fill="auto"/>
                  <w:vAlign w:val="center"/>
                </w:tcPr>
                <w:p w14:paraId="2F7211FC">
                  <w:pPr>
                    <w:autoSpaceDE w:val="0"/>
                    <w:jc w:val="center"/>
                    <w:rPr>
                      <w:b/>
                      <w:bCs/>
                      <w:color w:val="000000"/>
                      <w:szCs w:val="21"/>
                      <w:highlight w:val="none"/>
                    </w:rPr>
                  </w:pPr>
                  <w:r>
                    <w:rPr>
                      <w:b/>
                      <w:bCs/>
                      <w:color w:val="000000"/>
                      <w:szCs w:val="21"/>
                      <w:highlight w:val="none"/>
                    </w:rPr>
                    <w:t>名称</w:t>
                  </w:r>
                </w:p>
              </w:tc>
              <w:tc>
                <w:tcPr>
                  <w:tcW w:w="358" w:type="pct"/>
                  <w:tcBorders>
                    <w:top w:val="single" w:color="auto" w:sz="4" w:space="0"/>
                    <w:left w:val="nil"/>
                    <w:bottom w:val="single" w:color="auto" w:sz="4" w:space="0"/>
                    <w:right w:val="single" w:color="auto" w:sz="4" w:space="0"/>
                  </w:tcBorders>
                  <w:shd w:val="clear" w:color="auto" w:fill="auto"/>
                  <w:vAlign w:val="center"/>
                </w:tcPr>
                <w:p w14:paraId="4628BB8D">
                  <w:pPr>
                    <w:autoSpaceDE w:val="0"/>
                    <w:jc w:val="center"/>
                    <w:rPr>
                      <w:b/>
                      <w:bCs/>
                      <w:color w:val="000000"/>
                      <w:szCs w:val="21"/>
                      <w:highlight w:val="none"/>
                    </w:rPr>
                  </w:pPr>
                  <w:r>
                    <w:rPr>
                      <w:b/>
                      <w:bCs/>
                      <w:color w:val="000000"/>
                      <w:szCs w:val="21"/>
                      <w:highlight w:val="none"/>
                    </w:rPr>
                    <w:t>属性</w:t>
                  </w:r>
                </w:p>
              </w:tc>
              <w:tc>
                <w:tcPr>
                  <w:tcW w:w="853" w:type="pct"/>
                  <w:tcBorders>
                    <w:top w:val="single" w:color="auto" w:sz="4" w:space="0"/>
                    <w:left w:val="nil"/>
                    <w:bottom w:val="single" w:color="auto" w:sz="4" w:space="0"/>
                    <w:right w:val="single" w:color="auto" w:sz="4" w:space="0"/>
                  </w:tcBorders>
                  <w:shd w:val="clear" w:color="auto" w:fill="auto"/>
                  <w:vAlign w:val="center"/>
                </w:tcPr>
                <w:p w14:paraId="23AFE33F">
                  <w:pPr>
                    <w:autoSpaceDE w:val="0"/>
                    <w:jc w:val="center"/>
                    <w:rPr>
                      <w:b/>
                      <w:bCs/>
                      <w:color w:val="000000"/>
                      <w:szCs w:val="21"/>
                      <w:highlight w:val="none"/>
                    </w:rPr>
                  </w:pPr>
                  <w:r>
                    <w:rPr>
                      <w:rFonts w:hint="eastAsia"/>
                      <w:b/>
                      <w:bCs/>
                      <w:color w:val="000000"/>
                      <w:szCs w:val="21"/>
                      <w:highlight w:val="none"/>
                    </w:rPr>
                    <w:t>编码</w:t>
                  </w:r>
                </w:p>
              </w:tc>
              <w:tc>
                <w:tcPr>
                  <w:tcW w:w="355" w:type="pct"/>
                  <w:tcBorders>
                    <w:top w:val="single" w:color="auto" w:sz="4" w:space="0"/>
                    <w:left w:val="nil"/>
                    <w:bottom w:val="single" w:color="auto" w:sz="4" w:space="0"/>
                    <w:right w:val="single" w:color="auto" w:sz="4" w:space="0"/>
                  </w:tcBorders>
                  <w:shd w:val="clear" w:color="auto" w:fill="auto"/>
                  <w:vAlign w:val="center"/>
                </w:tcPr>
                <w:p w14:paraId="2DADA541">
                  <w:pPr>
                    <w:autoSpaceDE w:val="0"/>
                    <w:jc w:val="center"/>
                    <w:rPr>
                      <w:b/>
                      <w:bCs/>
                      <w:color w:val="000000"/>
                      <w:szCs w:val="21"/>
                      <w:highlight w:val="none"/>
                    </w:rPr>
                  </w:pPr>
                  <w:r>
                    <w:rPr>
                      <w:b/>
                      <w:bCs/>
                      <w:color w:val="000000"/>
                      <w:szCs w:val="21"/>
                      <w:highlight w:val="none"/>
                    </w:rPr>
                    <w:t>主要有毒有害物质名称</w:t>
                  </w:r>
                </w:p>
              </w:tc>
              <w:tc>
                <w:tcPr>
                  <w:tcW w:w="349" w:type="pct"/>
                  <w:tcBorders>
                    <w:top w:val="single" w:color="auto" w:sz="4" w:space="0"/>
                    <w:left w:val="nil"/>
                    <w:bottom w:val="single" w:color="auto" w:sz="4" w:space="0"/>
                    <w:right w:val="single" w:color="auto" w:sz="4" w:space="0"/>
                  </w:tcBorders>
                  <w:shd w:val="clear" w:color="auto" w:fill="auto"/>
                  <w:vAlign w:val="center"/>
                </w:tcPr>
                <w:p w14:paraId="79A97F62">
                  <w:pPr>
                    <w:autoSpaceDE w:val="0"/>
                    <w:jc w:val="center"/>
                    <w:rPr>
                      <w:b/>
                      <w:bCs/>
                      <w:color w:val="000000"/>
                      <w:szCs w:val="21"/>
                      <w:highlight w:val="none"/>
                    </w:rPr>
                  </w:pPr>
                  <w:r>
                    <w:rPr>
                      <w:b/>
                      <w:bCs/>
                      <w:color w:val="000000"/>
                      <w:szCs w:val="21"/>
                      <w:highlight w:val="none"/>
                    </w:rPr>
                    <w:t>物理性状</w:t>
                  </w:r>
                </w:p>
              </w:tc>
              <w:tc>
                <w:tcPr>
                  <w:tcW w:w="469" w:type="pct"/>
                  <w:tcBorders>
                    <w:top w:val="single" w:color="auto" w:sz="4" w:space="0"/>
                    <w:left w:val="nil"/>
                    <w:bottom w:val="single" w:color="auto" w:sz="4" w:space="0"/>
                    <w:right w:val="single" w:color="auto" w:sz="4" w:space="0"/>
                  </w:tcBorders>
                  <w:shd w:val="clear" w:color="auto" w:fill="auto"/>
                  <w:vAlign w:val="center"/>
                </w:tcPr>
                <w:p w14:paraId="7688CB75">
                  <w:pPr>
                    <w:autoSpaceDE w:val="0"/>
                    <w:jc w:val="center"/>
                    <w:rPr>
                      <w:b/>
                      <w:bCs/>
                      <w:color w:val="000000"/>
                      <w:szCs w:val="21"/>
                      <w:highlight w:val="none"/>
                    </w:rPr>
                  </w:pPr>
                  <w:r>
                    <w:rPr>
                      <w:b/>
                      <w:bCs/>
                      <w:color w:val="000000"/>
                      <w:szCs w:val="21"/>
                      <w:highlight w:val="none"/>
                    </w:rPr>
                    <w:t>环境危险特性</w:t>
                  </w:r>
                </w:p>
              </w:tc>
              <w:tc>
                <w:tcPr>
                  <w:tcW w:w="469" w:type="pct"/>
                  <w:tcBorders>
                    <w:top w:val="single" w:color="auto" w:sz="4" w:space="0"/>
                    <w:left w:val="nil"/>
                    <w:bottom w:val="single" w:color="auto" w:sz="4" w:space="0"/>
                    <w:right w:val="single" w:color="auto" w:sz="4" w:space="0"/>
                  </w:tcBorders>
                  <w:shd w:val="clear" w:color="auto" w:fill="auto"/>
                  <w:vAlign w:val="center"/>
                </w:tcPr>
                <w:p w14:paraId="5B307802">
                  <w:pPr>
                    <w:autoSpaceDE w:val="0"/>
                    <w:jc w:val="center"/>
                    <w:rPr>
                      <w:b/>
                      <w:bCs/>
                      <w:color w:val="000000"/>
                      <w:szCs w:val="21"/>
                      <w:highlight w:val="none"/>
                    </w:rPr>
                  </w:pPr>
                  <w:r>
                    <w:rPr>
                      <w:b/>
                      <w:bCs/>
                      <w:color w:val="000000"/>
                      <w:szCs w:val="21"/>
                      <w:highlight w:val="none"/>
                    </w:rPr>
                    <w:t>年度产生量</w:t>
                  </w:r>
                </w:p>
                <w:p w14:paraId="78F24741">
                  <w:pPr>
                    <w:autoSpaceDE w:val="0"/>
                    <w:jc w:val="center"/>
                    <w:rPr>
                      <w:b/>
                      <w:bCs/>
                      <w:color w:val="000000"/>
                      <w:szCs w:val="21"/>
                      <w:highlight w:val="none"/>
                    </w:rPr>
                  </w:pPr>
                  <w:r>
                    <w:rPr>
                      <w:rFonts w:hint="eastAsia"/>
                      <w:b/>
                      <w:bCs/>
                      <w:color w:val="000000"/>
                      <w:szCs w:val="21"/>
                      <w:highlight w:val="none"/>
                    </w:rPr>
                    <w:t>t/a</w:t>
                  </w:r>
                </w:p>
              </w:tc>
              <w:tc>
                <w:tcPr>
                  <w:tcW w:w="358" w:type="pct"/>
                  <w:tcBorders>
                    <w:top w:val="single" w:color="auto" w:sz="4" w:space="0"/>
                    <w:left w:val="nil"/>
                    <w:bottom w:val="single" w:color="auto" w:sz="4" w:space="0"/>
                    <w:right w:val="single" w:color="auto" w:sz="4" w:space="0"/>
                  </w:tcBorders>
                  <w:shd w:val="clear" w:color="auto" w:fill="auto"/>
                  <w:vAlign w:val="center"/>
                </w:tcPr>
                <w:p w14:paraId="01A47D48">
                  <w:pPr>
                    <w:autoSpaceDE w:val="0"/>
                    <w:jc w:val="center"/>
                    <w:rPr>
                      <w:b/>
                      <w:bCs/>
                      <w:color w:val="000000"/>
                      <w:szCs w:val="21"/>
                      <w:highlight w:val="none"/>
                    </w:rPr>
                  </w:pPr>
                  <w:r>
                    <w:rPr>
                      <w:b/>
                      <w:bCs/>
                      <w:color w:val="000000"/>
                      <w:szCs w:val="21"/>
                      <w:highlight w:val="none"/>
                    </w:rPr>
                    <w:t>贮存方式</w:t>
                  </w:r>
                </w:p>
              </w:tc>
              <w:tc>
                <w:tcPr>
                  <w:tcW w:w="575" w:type="pct"/>
                  <w:tcBorders>
                    <w:top w:val="single" w:color="auto" w:sz="4" w:space="0"/>
                    <w:left w:val="nil"/>
                    <w:bottom w:val="single" w:color="auto" w:sz="4" w:space="0"/>
                    <w:right w:val="single" w:color="auto" w:sz="4" w:space="0"/>
                  </w:tcBorders>
                  <w:shd w:val="clear" w:color="auto" w:fill="auto"/>
                  <w:vAlign w:val="center"/>
                </w:tcPr>
                <w:p w14:paraId="1E66DF97">
                  <w:pPr>
                    <w:autoSpaceDE w:val="0"/>
                    <w:jc w:val="center"/>
                    <w:rPr>
                      <w:b/>
                      <w:bCs/>
                      <w:color w:val="000000"/>
                      <w:szCs w:val="21"/>
                      <w:highlight w:val="none"/>
                    </w:rPr>
                  </w:pPr>
                  <w:r>
                    <w:rPr>
                      <w:b/>
                      <w:bCs/>
                      <w:color w:val="000000"/>
                      <w:szCs w:val="21"/>
                      <w:highlight w:val="none"/>
                    </w:rPr>
                    <w:t>处置方式及去向</w:t>
                  </w:r>
                </w:p>
              </w:tc>
              <w:tc>
                <w:tcPr>
                  <w:tcW w:w="455" w:type="pct"/>
                  <w:tcBorders>
                    <w:top w:val="single" w:color="auto" w:sz="4" w:space="0"/>
                    <w:left w:val="nil"/>
                    <w:bottom w:val="single" w:color="auto" w:sz="4" w:space="0"/>
                    <w:right w:val="single" w:color="auto" w:sz="4" w:space="0"/>
                  </w:tcBorders>
                  <w:shd w:val="clear" w:color="auto" w:fill="auto"/>
                  <w:vAlign w:val="center"/>
                </w:tcPr>
                <w:p w14:paraId="6B9C72AE">
                  <w:pPr>
                    <w:autoSpaceDE w:val="0"/>
                    <w:jc w:val="center"/>
                    <w:rPr>
                      <w:b/>
                      <w:bCs/>
                      <w:color w:val="000000"/>
                      <w:szCs w:val="21"/>
                      <w:highlight w:val="none"/>
                    </w:rPr>
                  </w:pPr>
                  <w:r>
                    <w:rPr>
                      <w:rFonts w:hint="eastAsia"/>
                      <w:b/>
                      <w:bCs/>
                      <w:color w:val="000000"/>
                      <w:szCs w:val="21"/>
                      <w:highlight w:val="none"/>
                    </w:rPr>
                    <w:t>利</w:t>
                  </w:r>
                  <w:r>
                    <w:rPr>
                      <w:b/>
                      <w:bCs/>
                      <w:color w:val="000000"/>
                      <w:szCs w:val="21"/>
                      <w:highlight w:val="none"/>
                    </w:rPr>
                    <w:t>用或处置量</w:t>
                  </w:r>
                  <w:r>
                    <w:rPr>
                      <w:rFonts w:hint="eastAsia"/>
                      <w:b/>
                      <w:bCs/>
                      <w:color w:val="000000"/>
                      <w:szCs w:val="21"/>
                      <w:highlight w:val="none"/>
                    </w:rPr>
                    <w:t>t/a</w:t>
                  </w:r>
                </w:p>
              </w:tc>
            </w:tr>
            <w:tr w14:paraId="1E840D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4" w:hRule="atLeast"/>
              </w:trPr>
              <w:tc>
                <w:tcPr>
                  <w:tcW w:w="342" w:type="pct"/>
                  <w:tcBorders>
                    <w:top w:val="single" w:color="auto" w:sz="4" w:space="0"/>
                    <w:left w:val="single" w:color="auto" w:sz="4" w:space="0"/>
                    <w:bottom w:val="single" w:color="auto" w:sz="4" w:space="0"/>
                    <w:right w:val="single" w:color="auto" w:sz="4" w:space="0"/>
                  </w:tcBorders>
                  <w:shd w:val="clear" w:color="auto" w:fill="auto"/>
                  <w:vAlign w:val="center"/>
                </w:tcPr>
                <w:p w14:paraId="4D9815F7">
                  <w:pPr>
                    <w:autoSpaceDE w:val="0"/>
                    <w:jc w:val="center"/>
                    <w:rPr>
                      <w:color w:val="000000"/>
                      <w:szCs w:val="21"/>
                      <w:highlight w:val="none"/>
                    </w:rPr>
                  </w:pPr>
                  <w:r>
                    <w:rPr>
                      <w:color w:val="000000"/>
                      <w:szCs w:val="21"/>
                      <w:highlight w:val="none"/>
                    </w:rPr>
                    <w:t>办公生活</w:t>
                  </w:r>
                </w:p>
              </w:tc>
              <w:tc>
                <w:tcPr>
                  <w:tcW w:w="411" w:type="pct"/>
                  <w:tcBorders>
                    <w:top w:val="single" w:color="auto" w:sz="4" w:space="0"/>
                    <w:left w:val="nil"/>
                    <w:bottom w:val="single" w:color="auto" w:sz="4" w:space="0"/>
                    <w:right w:val="single" w:color="auto" w:sz="4" w:space="0"/>
                  </w:tcBorders>
                  <w:shd w:val="clear" w:color="auto" w:fill="auto"/>
                  <w:vAlign w:val="center"/>
                </w:tcPr>
                <w:p w14:paraId="5E8F805E">
                  <w:pPr>
                    <w:autoSpaceDE w:val="0"/>
                    <w:jc w:val="center"/>
                    <w:rPr>
                      <w:color w:val="000000"/>
                      <w:szCs w:val="21"/>
                      <w:highlight w:val="none"/>
                    </w:rPr>
                  </w:pPr>
                  <w:r>
                    <w:rPr>
                      <w:color w:val="000000"/>
                      <w:szCs w:val="21"/>
                      <w:highlight w:val="none"/>
                    </w:rPr>
                    <w:t>生活垃圾</w:t>
                  </w:r>
                </w:p>
              </w:tc>
              <w:tc>
                <w:tcPr>
                  <w:tcW w:w="358" w:type="pct"/>
                  <w:tcBorders>
                    <w:top w:val="single" w:color="auto" w:sz="4" w:space="0"/>
                    <w:left w:val="nil"/>
                    <w:bottom w:val="single" w:color="auto" w:sz="4" w:space="0"/>
                    <w:right w:val="single" w:color="auto" w:sz="4" w:space="0"/>
                  </w:tcBorders>
                  <w:shd w:val="clear" w:color="auto" w:fill="auto"/>
                  <w:vAlign w:val="center"/>
                </w:tcPr>
                <w:p w14:paraId="423C759B">
                  <w:pPr>
                    <w:autoSpaceDE w:val="0"/>
                    <w:jc w:val="center"/>
                    <w:rPr>
                      <w:color w:val="000000"/>
                      <w:szCs w:val="21"/>
                      <w:highlight w:val="none"/>
                    </w:rPr>
                  </w:pPr>
                  <w:r>
                    <w:rPr>
                      <w:rFonts w:hint="eastAsia"/>
                      <w:color w:val="000000"/>
                      <w:szCs w:val="21"/>
                      <w:highlight w:val="none"/>
                    </w:rPr>
                    <w:t>生活垃圾</w:t>
                  </w:r>
                </w:p>
              </w:tc>
              <w:tc>
                <w:tcPr>
                  <w:tcW w:w="853" w:type="pct"/>
                  <w:tcBorders>
                    <w:top w:val="single" w:color="auto" w:sz="4" w:space="0"/>
                    <w:left w:val="nil"/>
                    <w:bottom w:val="single" w:color="auto" w:sz="4" w:space="0"/>
                    <w:right w:val="single" w:color="auto" w:sz="4" w:space="0"/>
                  </w:tcBorders>
                  <w:shd w:val="clear" w:color="auto" w:fill="auto"/>
                  <w:vAlign w:val="center"/>
                </w:tcPr>
                <w:p w14:paraId="2478A4E2">
                  <w:pPr>
                    <w:autoSpaceDE w:val="0"/>
                    <w:jc w:val="center"/>
                    <w:rPr>
                      <w:color w:val="000000"/>
                      <w:szCs w:val="21"/>
                      <w:highlight w:val="none"/>
                    </w:rPr>
                  </w:pPr>
                  <w:r>
                    <w:rPr>
                      <w:color w:val="000000"/>
                      <w:szCs w:val="21"/>
                      <w:highlight w:val="none"/>
                    </w:rPr>
                    <w:t>900-099-S64</w:t>
                  </w:r>
                </w:p>
              </w:tc>
              <w:tc>
                <w:tcPr>
                  <w:tcW w:w="355" w:type="pct"/>
                  <w:tcBorders>
                    <w:top w:val="single" w:color="auto" w:sz="4" w:space="0"/>
                    <w:left w:val="nil"/>
                    <w:bottom w:val="single" w:color="auto" w:sz="4" w:space="0"/>
                    <w:right w:val="single" w:color="auto" w:sz="4" w:space="0"/>
                  </w:tcBorders>
                  <w:shd w:val="clear" w:color="auto" w:fill="auto"/>
                  <w:vAlign w:val="center"/>
                </w:tcPr>
                <w:p w14:paraId="435A4951">
                  <w:pPr>
                    <w:autoSpaceDE w:val="0"/>
                    <w:jc w:val="center"/>
                    <w:rPr>
                      <w:color w:val="000000"/>
                      <w:szCs w:val="21"/>
                      <w:highlight w:val="none"/>
                    </w:rPr>
                  </w:pPr>
                  <w:r>
                    <w:rPr>
                      <w:color w:val="000000"/>
                      <w:szCs w:val="21"/>
                      <w:highlight w:val="none"/>
                    </w:rPr>
                    <w:t>/</w:t>
                  </w:r>
                </w:p>
              </w:tc>
              <w:tc>
                <w:tcPr>
                  <w:tcW w:w="349" w:type="pct"/>
                  <w:tcBorders>
                    <w:top w:val="single" w:color="auto" w:sz="4" w:space="0"/>
                    <w:left w:val="nil"/>
                    <w:bottom w:val="single" w:color="auto" w:sz="4" w:space="0"/>
                    <w:right w:val="single" w:color="auto" w:sz="4" w:space="0"/>
                  </w:tcBorders>
                  <w:shd w:val="clear" w:color="auto" w:fill="auto"/>
                  <w:vAlign w:val="center"/>
                </w:tcPr>
                <w:p w14:paraId="79BB92BF">
                  <w:pPr>
                    <w:autoSpaceDE w:val="0"/>
                    <w:jc w:val="center"/>
                    <w:rPr>
                      <w:color w:val="000000"/>
                      <w:szCs w:val="21"/>
                      <w:highlight w:val="none"/>
                    </w:rPr>
                  </w:pPr>
                  <w:r>
                    <w:rPr>
                      <w:color w:val="000000"/>
                      <w:szCs w:val="21"/>
                      <w:highlight w:val="none"/>
                    </w:rPr>
                    <w:t>固态</w:t>
                  </w:r>
                </w:p>
              </w:tc>
              <w:tc>
                <w:tcPr>
                  <w:tcW w:w="469" w:type="pct"/>
                  <w:tcBorders>
                    <w:top w:val="single" w:color="auto" w:sz="4" w:space="0"/>
                    <w:left w:val="nil"/>
                    <w:bottom w:val="single" w:color="auto" w:sz="4" w:space="0"/>
                    <w:right w:val="single" w:color="auto" w:sz="4" w:space="0"/>
                  </w:tcBorders>
                  <w:shd w:val="clear" w:color="auto" w:fill="auto"/>
                  <w:vAlign w:val="center"/>
                </w:tcPr>
                <w:p w14:paraId="2BF99FED">
                  <w:pPr>
                    <w:autoSpaceDE w:val="0"/>
                    <w:jc w:val="center"/>
                    <w:rPr>
                      <w:color w:val="000000"/>
                      <w:szCs w:val="21"/>
                      <w:highlight w:val="none"/>
                    </w:rPr>
                  </w:pPr>
                  <w:r>
                    <w:rPr>
                      <w:color w:val="000000"/>
                      <w:szCs w:val="21"/>
                      <w:highlight w:val="none"/>
                    </w:rPr>
                    <w:t>/</w:t>
                  </w:r>
                </w:p>
              </w:tc>
              <w:tc>
                <w:tcPr>
                  <w:tcW w:w="469" w:type="pct"/>
                  <w:tcBorders>
                    <w:top w:val="single" w:color="auto" w:sz="4" w:space="0"/>
                    <w:left w:val="nil"/>
                    <w:bottom w:val="single" w:color="auto" w:sz="4" w:space="0"/>
                    <w:right w:val="single" w:color="auto" w:sz="4" w:space="0"/>
                  </w:tcBorders>
                  <w:shd w:val="clear" w:color="auto" w:fill="auto"/>
                  <w:vAlign w:val="center"/>
                </w:tcPr>
                <w:p w14:paraId="18429348">
                  <w:pPr>
                    <w:autoSpaceDE w:val="0"/>
                    <w:jc w:val="center"/>
                    <w:rPr>
                      <w:rFonts w:hint="default" w:eastAsia="宋体"/>
                      <w:color w:val="000000"/>
                      <w:szCs w:val="21"/>
                      <w:highlight w:val="none"/>
                      <w:lang w:val="en-US" w:eastAsia="zh-CN"/>
                    </w:rPr>
                  </w:pPr>
                  <w:r>
                    <w:rPr>
                      <w:rFonts w:hint="eastAsia"/>
                      <w:color w:val="000000"/>
                      <w:szCs w:val="21"/>
                      <w:highlight w:val="none"/>
                      <w:lang w:val="en-US" w:eastAsia="zh-CN"/>
                    </w:rPr>
                    <w:t>0.55</w:t>
                  </w:r>
                </w:p>
              </w:tc>
              <w:tc>
                <w:tcPr>
                  <w:tcW w:w="358" w:type="pct"/>
                  <w:tcBorders>
                    <w:top w:val="single" w:color="auto" w:sz="4" w:space="0"/>
                    <w:left w:val="nil"/>
                    <w:bottom w:val="single" w:color="auto" w:sz="4" w:space="0"/>
                    <w:right w:val="single" w:color="auto" w:sz="4" w:space="0"/>
                  </w:tcBorders>
                  <w:shd w:val="clear" w:color="auto" w:fill="auto"/>
                  <w:vAlign w:val="center"/>
                </w:tcPr>
                <w:p w14:paraId="4D18ED2C">
                  <w:pPr>
                    <w:autoSpaceDE w:val="0"/>
                    <w:jc w:val="center"/>
                    <w:rPr>
                      <w:color w:val="000000"/>
                      <w:szCs w:val="21"/>
                      <w:highlight w:val="none"/>
                    </w:rPr>
                  </w:pPr>
                  <w:r>
                    <w:rPr>
                      <w:rFonts w:hint="eastAsia"/>
                      <w:szCs w:val="21"/>
                      <w:highlight w:val="none"/>
                    </w:rPr>
                    <w:t>袋装</w:t>
                  </w:r>
                </w:p>
              </w:tc>
              <w:tc>
                <w:tcPr>
                  <w:tcW w:w="575" w:type="pct"/>
                  <w:tcBorders>
                    <w:top w:val="single" w:color="auto" w:sz="4" w:space="0"/>
                    <w:left w:val="nil"/>
                    <w:bottom w:val="single" w:color="auto" w:sz="4" w:space="0"/>
                    <w:right w:val="single" w:color="auto" w:sz="4" w:space="0"/>
                  </w:tcBorders>
                  <w:shd w:val="clear" w:color="auto" w:fill="auto"/>
                  <w:vAlign w:val="center"/>
                </w:tcPr>
                <w:p w14:paraId="504F9DC8">
                  <w:pPr>
                    <w:autoSpaceDE w:val="0"/>
                    <w:jc w:val="center"/>
                    <w:rPr>
                      <w:color w:val="000000"/>
                      <w:szCs w:val="21"/>
                      <w:highlight w:val="none"/>
                    </w:rPr>
                  </w:pPr>
                  <w:r>
                    <w:rPr>
                      <w:rFonts w:hint="eastAsia"/>
                      <w:szCs w:val="21"/>
                      <w:highlight w:val="none"/>
                    </w:rPr>
                    <w:t>由环卫部门统一处理</w:t>
                  </w:r>
                </w:p>
              </w:tc>
              <w:tc>
                <w:tcPr>
                  <w:tcW w:w="455" w:type="pct"/>
                  <w:tcBorders>
                    <w:top w:val="single" w:color="auto" w:sz="4" w:space="0"/>
                    <w:left w:val="nil"/>
                    <w:bottom w:val="single" w:color="auto" w:sz="4" w:space="0"/>
                    <w:right w:val="single" w:color="auto" w:sz="4" w:space="0"/>
                  </w:tcBorders>
                  <w:shd w:val="clear" w:color="auto" w:fill="auto"/>
                  <w:vAlign w:val="center"/>
                </w:tcPr>
                <w:p w14:paraId="4BC9F9E1">
                  <w:pPr>
                    <w:autoSpaceDE w:val="0"/>
                    <w:jc w:val="center"/>
                    <w:rPr>
                      <w:rFonts w:hint="default" w:eastAsia="宋体"/>
                      <w:color w:val="000000"/>
                      <w:szCs w:val="21"/>
                      <w:highlight w:val="none"/>
                      <w:lang w:val="en-US" w:eastAsia="zh-CN"/>
                    </w:rPr>
                  </w:pPr>
                  <w:r>
                    <w:rPr>
                      <w:rFonts w:hint="eastAsia"/>
                      <w:szCs w:val="21"/>
                      <w:highlight w:val="none"/>
                      <w:lang w:val="en-US" w:eastAsia="zh-CN"/>
                    </w:rPr>
                    <w:t>0</w:t>
                  </w:r>
                </w:p>
              </w:tc>
            </w:tr>
            <w:tr w14:paraId="33DCA3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342" w:type="pct"/>
                  <w:vMerge w:val="restart"/>
                  <w:tcBorders>
                    <w:left w:val="single" w:color="auto" w:sz="4" w:space="0"/>
                    <w:right w:val="single" w:color="auto" w:sz="4" w:space="0"/>
                  </w:tcBorders>
                  <w:shd w:val="clear" w:color="auto" w:fill="auto"/>
                  <w:vAlign w:val="center"/>
                </w:tcPr>
                <w:p w14:paraId="4AF46251">
                  <w:pPr>
                    <w:autoSpaceDE w:val="0"/>
                    <w:jc w:val="center"/>
                    <w:rPr>
                      <w:color w:val="000000"/>
                      <w:szCs w:val="21"/>
                      <w:highlight w:val="none"/>
                    </w:rPr>
                  </w:pPr>
                  <w:r>
                    <w:rPr>
                      <w:rFonts w:hint="eastAsia"/>
                      <w:szCs w:val="21"/>
                      <w:highlight w:val="none"/>
                    </w:rPr>
                    <w:t>废气治理</w:t>
                  </w:r>
                </w:p>
              </w:tc>
              <w:tc>
                <w:tcPr>
                  <w:tcW w:w="411" w:type="pct"/>
                  <w:tcBorders>
                    <w:top w:val="single" w:color="auto" w:sz="4" w:space="0"/>
                    <w:left w:val="nil"/>
                    <w:bottom w:val="single" w:color="auto" w:sz="4" w:space="0"/>
                    <w:right w:val="single" w:color="auto" w:sz="4" w:space="0"/>
                  </w:tcBorders>
                  <w:shd w:val="clear" w:color="auto" w:fill="auto"/>
                  <w:vAlign w:val="center"/>
                </w:tcPr>
                <w:p w14:paraId="1C6C8DAD">
                  <w:pPr>
                    <w:autoSpaceDE w:val="0"/>
                    <w:jc w:val="center"/>
                    <w:rPr>
                      <w:rFonts w:hint="eastAsia" w:eastAsia="宋体"/>
                      <w:color w:val="000000"/>
                      <w:szCs w:val="21"/>
                      <w:highlight w:val="none"/>
                      <w:lang w:eastAsia="zh-CN"/>
                    </w:rPr>
                  </w:pPr>
                  <w:r>
                    <w:rPr>
                      <w:rFonts w:hint="eastAsia"/>
                      <w:szCs w:val="21"/>
                      <w:highlight w:val="none"/>
                      <w:lang w:val="en-US" w:eastAsia="zh-CN"/>
                    </w:rPr>
                    <w:t>废碱液</w:t>
                  </w:r>
                </w:p>
              </w:tc>
              <w:tc>
                <w:tcPr>
                  <w:tcW w:w="358" w:type="pct"/>
                  <w:vMerge w:val="restart"/>
                  <w:tcBorders>
                    <w:left w:val="nil"/>
                    <w:right w:val="single" w:color="auto" w:sz="4" w:space="0"/>
                  </w:tcBorders>
                  <w:shd w:val="clear" w:color="auto" w:fill="auto"/>
                  <w:vAlign w:val="center"/>
                </w:tcPr>
                <w:p w14:paraId="4EA283D8">
                  <w:pPr>
                    <w:autoSpaceDE w:val="0"/>
                    <w:jc w:val="center"/>
                    <w:rPr>
                      <w:color w:val="000000"/>
                      <w:szCs w:val="21"/>
                      <w:highlight w:val="none"/>
                    </w:rPr>
                  </w:pPr>
                  <w:r>
                    <w:rPr>
                      <w:color w:val="000000"/>
                      <w:szCs w:val="21"/>
                      <w:highlight w:val="none"/>
                    </w:rPr>
                    <w:t>危险废物</w:t>
                  </w:r>
                </w:p>
              </w:tc>
              <w:tc>
                <w:tcPr>
                  <w:tcW w:w="853" w:type="pct"/>
                  <w:tcBorders>
                    <w:top w:val="single" w:color="auto" w:sz="4" w:space="0"/>
                    <w:left w:val="nil"/>
                    <w:bottom w:val="single" w:color="auto" w:sz="4" w:space="0"/>
                    <w:right w:val="single" w:color="auto" w:sz="4" w:space="0"/>
                  </w:tcBorders>
                  <w:shd w:val="clear" w:color="auto" w:fill="auto"/>
                  <w:vAlign w:val="center"/>
                </w:tcPr>
                <w:p w14:paraId="5F4B9342">
                  <w:pPr>
                    <w:widowControl/>
                    <w:jc w:val="center"/>
                    <w:rPr>
                      <w:rFonts w:hint="default" w:ascii="Times New Roman" w:hAnsi="Times New Roman" w:eastAsia="宋体" w:cs="Times New Roman"/>
                      <w:kern w:val="0"/>
                      <w:sz w:val="21"/>
                      <w:szCs w:val="21"/>
                      <w:highlight w:val="none"/>
                      <w:lang w:val="en-US" w:eastAsia="zh-CN" w:bidi="ar"/>
                    </w:rPr>
                  </w:pPr>
                  <w:r>
                    <w:rPr>
                      <w:rFonts w:hint="eastAsia"/>
                      <w:kern w:val="0"/>
                      <w:szCs w:val="21"/>
                      <w:highlight w:val="none"/>
                      <w:lang w:bidi="ar"/>
                    </w:rPr>
                    <w:t>9</w:t>
                  </w:r>
                  <w:r>
                    <w:rPr>
                      <w:kern w:val="0"/>
                      <w:szCs w:val="21"/>
                      <w:highlight w:val="none"/>
                      <w:lang w:bidi="ar"/>
                    </w:rPr>
                    <w:t>00-</w:t>
                  </w:r>
                  <w:r>
                    <w:rPr>
                      <w:rFonts w:hint="eastAsia"/>
                      <w:kern w:val="0"/>
                      <w:szCs w:val="21"/>
                      <w:highlight w:val="none"/>
                      <w:lang w:val="en-US" w:eastAsia="zh-CN" w:bidi="ar"/>
                    </w:rPr>
                    <w:t>399</w:t>
                  </w:r>
                  <w:r>
                    <w:rPr>
                      <w:kern w:val="0"/>
                      <w:szCs w:val="21"/>
                      <w:highlight w:val="none"/>
                      <w:lang w:bidi="ar"/>
                    </w:rPr>
                    <w:t>-</w:t>
                  </w:r>
                  <w:r>
                    <w:rPr>
                      <w:rFonts w:hint="eastAsia"/>
                      <w:kern w:val="0"/>
                      <w:szCs w:val="21"/>
                      <w:highlight w:val="none"/>
                      <w:lang w:val="en-US" w:eastAsia="zh-CN" w:bidi="ar"/>
                    </w:rPr>
                    <w:t>35</w:t>
                  </w:r>
                </w:p>
              </w:tc>
              <w:tc>
                <w:tcPr>
                  <w:tcW w:w="355" w:type="pct"/>
                  <w:tcBorders>
                    <w:top w:val="single" w:color="auto" w:sz="4" w:space="0"/>
                    <w:left w:val="nil"/>
                    <w:bottom w:val="single" w:color="auto" w:sz="4" w:space="0"/>
                    <w:right w:val="single" w:color="auto" w:sz="4" w:space="0"/>
                  </w:tcBorders>
                  <w:shd w:val="clear" w:color="auto" w:fill="auto"/>
                  <w:vAlign w:val="center"/>
                </w:tcPr>
                <w:p w14:paraId="715D35F9">
                  <w:pPr>
                    <w:widowControl/>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cs="Times New Roman"/>
                      <w:color w:val="auto"/>
                      <w:sz w:val="21"/>
                      <w:szCs w:val="21"/>
                      <w:highlight w:val="none"/>
                      <w:lang w:val="en-US" w:eastAsia="zh-CN"/>
                    </w:rPr>
                    <w:t>废酸</w:t>
                  </w:r>
                </w:p>
              </w:tc>
              <w:tc>
                <w:tcPr>
                  <w:tcW w:w="349" w:type="pct"/>
                  <w:tcBorders>
                    <w:top w:val="single" w:color="auto" w:sz="4" w:space="0"/>
                    <w:left w:val="nil"/>
                    <w:bottom w:val="single" w:color="auto" w:sz="4" w:space="0"/>
                    <w:right w:val="single" w:color="auto" w:sz="4" w:space="0"/>
                  </w:tcBorders>
                  <w:shd w:val="clear" w:color="auto" w:fill="auto"/>
                  <w:vAlign w:val="center"/>
                </w:tcPr>
                <w:p w14:paraId="1FEC79FC">
                  <w:pPr>
                    <w:autoSpaceDE w:val="0"/>
                    <w:jc w:val="center"/>
                    <w:rPr>
                      <w:color w:val="000000"/>
                      <w:szCs w:val="21"/>
                      <w:highlight w:val="none"/>
                    </w:rPr>
                  </w:pPr>
                  <w:r>
                    <w:rPr>
                      <w:rFonts w:hint="eastAsia"/>
                      <w:szCs w:val="21"/>
                      <w:highlight w:val="none"/>
                      <w:lang w:val="en-US" w:eastAsia="zh-CN"/>
                    </w:rPr>
                    <w:t>液</w:t>
                  </w:r>
                  <w:r>
                    <w:rPr>
                      <w:szCs w:val="21"/>
                      <w:highlight w:val="none"/>
                    </w:rPr>
                    <w:t>态</w:t>
                  </w:r>
                </w:p>
              </w:tc>
              <w:tc>
                <w:tcPr>
                  <w:tcW w:w="794" w:type="dxa"/>
                  <w:tcBorders>
                    <w:top w:val="single" w:color="auto" w:sz="4" w:space="0"/>
                    <w:left w:val="nil"/>
                    <w:bottom w:val="single" w:color="auto" w:sz="4" w:space="0"/>
                    <w:right w:val="single" w:color="auto" w:sz="4" w:space="0"/>
                  </w:tcBorders>
                  <w:shd w:val="clear" w:color="auto" w:fill="auto"/>
                  <w:vAlign w:val="center"/>
                </w:tcPr>
                <w:p w14:paraId="4E107B02">
                  <w:pPr>
                    <w:widowControl/>
                    <w:jc w:val="center"/>
                    <w:rPr>
                      <w:color w:val="000000"/>
                      <w:szCs w:val="21"/>
                      <w:highlight w:val="none"/>
                    </w:rPr>
                  </w:pPr>
                  <w:r>
                    <w:rPr>
                      <w:rFonts w:hint="eastAsia"/>
                      <w:szCs w:val="21"/>
                      <w:highlight w:val="none"/>
                      <w:lang w:val="en-US" w:eastAsia="zh-CN"/>
                    </w:rPr>
                    <w:t>T</w:t>
                  </w:r>
                </w:p>
              </w:tc>
              <w:tc>
                <w:tcPr>
                  <w:tcW w:w="469" w:type="pct"/>
                  <w:tcBorders>
                    <w:top w:val="single" w:color="auto" w:sz="4" w:space="0"/>
                    <w:left w:val="nil"/>
                    <w:bottom w:val="single" w:color="auto" w:sz="4" w:space="0"/>
                    <w:right w:val="single" w:color="auto" w:sz="4" w:space="0"/>
                  </w:tcBorders>
                  <w:shd w:val="clear" w:color="auto" w:fill="auto"/>
                  <w:vAlign w:val="center"/>
                </w:tcPr>
                <w:p w14:paraId="694BD9FC">
                  <w:pPr>
                    <w:autoSpaceDE w:val="0"/>
                    <w:jc w:val="center"/>
                    <w:rPr>
                      <w:rFonts w:hint="default" w:eastAsia="宋体"/>
                      <w:color w:val="000000"/>
                      <w:szCs w:val="21"/>
                      <w:highlight w:val="none"/>
                      <w:lang w:val="en-US" w:eastAsia="zh-CN"/>
                    </w:rPr>
                  </w:pPr>
                  <w:r>
                    <w:rPr>
                      <w:rFonts w:hint="eastAsia"/>
                      <w:szCs w:val="21"/>
                      <w:highlight w:val="none"/>
                      <w:lang w:val="en-US" w:eastAsia="zh-CN"/>
                    </w:rPr>
                    <w:t>261.07</w:t>
                  </w:r>
                </w:p>
              </w:tc>
              <w:tc>
                <w:tcPr>
                  <w:tcW w:w="358" w:type="pct"/>
                  <w:vMerge w:val="restart"/>
                  <w:tcBorders>
                    <w:top w:val="single" w:color="auto" w:sz="4" w:space="0"/>
                    <w:left w:val="nil"/>
                    <w:right w:val="single" w:color="auto" w:sz="4" w:space="0"/>
                  </w:tcBorders>
                  <w:shd w:val="clear" w:color="auto" w:fill="auto"/>
                  <w:vAlign w:val="center"/>
                </w:tcPr>
                <w:p w14:paraId="1DF685B8">
                  <w:pPr>
                    <w:autoSpaceDE w:val="0"/>
                    <w:jc w:val="center"/>
                    <w:rPr>
                      <w:rFonts w:hint="eastAsia" w:eastAsia="宋体"/>
                      <w:color w:val="000000"/>
                      <w:szCs w:val="21"/>
                      <w:highlight w:val="none"/>
                      <w:lang w:eastAsia="zh-CN"/>
                    </w:rPr>
                  </w:pPr>
                  <w:r>
                    <w:rPr>
                      <w:rFonts w:hint="eastAsia"/>
                      <w:color w:val="000000"/>
                      <w:szCs w:val="21"/>
                      <w:highlight w:val="none"/>
                    </w:rPr>
                    <w:t>暂存于</w:t>
                  </w:r>
                  <w:r>
                    <w:rPr>
                      <w:rFonts w:hint="eastAsia"/>
                      <w:color w:val="000000"/>
                      <w:szCs w:val="21"/>
                      <w:highlight w:val="none"/>
                      <w:lang w:eastAsia="zh-CN"/>
                    </w:rPr>
                    <w:t>危险废物收集贮存库</w:t>
                  </w:r>
                </w:p>
              </w:tc>
              <w:tc>
                <w:tcPr>
                  <w:tcW w:w="575" w:type="pct"/>
                  <w:vMerge w:val="restart"/>
                  <w:tcBorders>
                    <w:top w:val="single" w:color="auto" w:sz="4" w:space="0"/>
                    <w:left w:val="nil"/>
                    <w:right w:val="single" w:color="auto" w:sz="4" w:space="0"/>
                  </w:tcBorders>
                  <w:shd w:val="clear" w:color="auto" w:fill="auto"/>
                  <w:vAlign w:val="center"/>
                </w:tcPr>
                <w:p w14:paraId="1574B046">
                  <w:pPr>
                    <w:autoSpaceDE w:val="0"/>
                    <w:jc w:val="center"/>
                    <w:rPr>
                      <w:color w:val="000000"/>
                      <w:szCs w:val="21"/>
                      <w:highlight w:val="none"/>
                    </w:rPr>
                  </w:pPr>
                  <w:r>
                    <w:rPr>
                      <w:rFonts w:hint="eastAsia"/>
                      <w:bCs/>
                      <w:color w:val="000000"/>
                      <w:szCs w:val="21"/>
                      <w:highlight w:val="none"/>
                    </w:rPr>
                    <w:t>委托有资质单位定期处置</w:t>
                  </w:r>
                </w:p>
              </w:tc>
              <w:tc>
                <w:tcPr>
                  <w:tcW w:w="455" w:type="pct"/>
                  <w:tcBorders>
                    <w:top w:val="single" w:color="auto" w:sz="4" w:space="0"/>
                    <w:left w:val="nil"/>
                    <w:bottom w:val="single" w:color="auto" w:sz="4" w:space="0"/>
                    <w:right w:val="single" w:color="auto" w:sz="4" w:space="0"/>
                  </w:tcBorders>
                  <w:shd w:val="clear" w:color="auto" w:fill="auto"/>
                  <w:vAlign w:val="center"/>
                </w:tcPr>
                <w:p w14:paraId="389B2B65">
                  <w:pPr>
                    <w:autoSpaceDE w:val="0"/>
                    <w:jc w:val="center"/>
                    <w:rPr>
                      <w:rFonts w:hint="default" w:eastAsia="宋体"/>
                      <w:color w:val="000000"/>
                      <w:szCs w:val="21"/>
                      <w:highlight w:val="none"/>
                      <w:lang w:val="en-US" w:eastAsia="zh-CN"/>
                    </w:rPr>
                  </w:pPr>
                  <w:r>
                    <w:rPr>
                      <w:rFonts w:hint="eastAsia"/>
                      <w:szCs w:val="21"/>
                      <w:highlight w:val="none"/>
                      <w:lang w:val="en-US" w:eastAsia="zh-CN"/>
                    </w:rPr>
                    <w:t>0</w:t>
                  </w:r>
                </w:p>
              </w:tc>
            </w:tr>
            <w:tr w14:paraId="68CF38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342" w:type="pct"/>
                  <w:vMerge w:val="continue"/>
                  <w:tcBorders>
                    <w:left w:val="single" w:color="auto" w:sz="4" w:space="0"/>
                    <w:right w:val="single" w:color="auto" w:sz="4" w:space="0"/>
                  </w:tcBorders>
                  <w:shd w:val="clear" w:color="auto" w:fill="auto"/>
                  <w:vAlign w:val="center"/>
                </w:tcPr>
                <w:p w14:paraId="025F3828">
                  <w:pPr>
                    <w:autoSpaceDE w:val="0"/>
                    <w:jc w:val="center"/>
                    <w:rPr>
                      <w:color w:val="000000"/>
                      <w:szCs w:val="21"/>
                      <w:highlight w:val="none"/>
                    </w:rPr>
                  </w:pPr>
                </w:p>
              </w:tc>
              <w:tc>
                <w:tcPr>
                  <w:tcW w:w="411" w:type="pct"/>
                  <w:tcBorders>
                    <w:top w:val="single" w:color="auto" w:sz="4" w:space="0"/>
                    <w:left w:val="nil"/>
                    <w:bottom w:val="single" w:color="auto" w:sz="4" w:space="0"/>
                    <w:right w:val="single" w:color="auto" w:sz="4" w:space="0"/>
                  </w:tcBorders>
                  <w:shd w:val="clear" w:color="auto" w:fill="auto"/>
                  <w:vAlign w:val="center"/>
                </w:tcPr>
                <w:p w14:paraId="19F9FC86">
                  <w:pPr>
                    <w:autoSpaceDE w:val="0"/>
                    <w:jc w:val="center"/>
                    <w:rPr>
                      <w:rFonts w:hint="eastAsia" w:eastAsia="宋体"/>
                      <w:color w:val="000000"/>
                      <w:szCs w:val="21"/>
                      <w:highlight w:val="none"/>
                      <w:lang w:eastAsia="zh-CN"/>
                    </w:rPr>
                  </w:pPr>
                  <w:r>
                    <w:rPr>
                      <w:rFonts w:hint="eastAsia"/>
                      <w:szCs w:val="21"/>
                      <w:highlight w:val="none"/>
                      <w:lang w:val="en-US" w:eastAsia="zh-CN"/>
                    </w:rPr>
                    <w:t>废活性炭</w:t>
                  </w:r>
                </w:p>
              </w:tc>
              <w:tc>
                <w:tcPr>
                  <w:tcW w:w="358" w:type="pct"/>
                  <w:vMerge w:val="continue"/>
                  <w:tcBorders>
                    <w:left w:val="nil"/>
                    <w:right w:val="single" w:color="auto" w:sz="4" w:space="0"/>
                  </w:tcBorders>
                  <w:shd w:val="clear" w:color="auto" w:fill="auto"/>
                  <w:vAlign w:val="center"/>
                </w:tcPr>
                <w:p w14:paraId="265957AE">
                  <w:pPr>
                    <w:autoSpaceDE w:val="0"/>
                    <w:jc w:val="center"/>
                    <w:rPr>
                      <w:color w:val="000000"/>
                      <w:szCs w:val="21"/>
                      <w:highlight w:val="none"/>
                    </w:rPr>
                  </w:pPr>
                </w:p>
              </w:tc>
              <w:tc>
                <w:tcPr>
                  <w:tcW w:w="853" w:type="pct"/>
                  <w:tcBorders>
                    <w:top w:val="single" w:color="auto" w:sz="4" w:space="0"/>
                    <w:left w:val="nil"/>
                    <w:bottom w:val="single" w:color="auto" w:sz="4" w:space="0"/>
                    <w:right w:val="single" w:color="auto" w:sz="4" w:space="0"/>
                  </w:tcBorders>
                  <w:shd w:val="clear" w:color="auto" w:fill="auto"/>
                  <w:vAlign w:val="center"/>
                </w:tcPr>
                <w:p w14:paraId="4C858521">
                  <w:pPr>
                    <w:widowControl/>
                    <w:jc w:val="center"/>
                    <w:rPr>
                      <w:rFonts w:ascii="Times New Roman" w:hAnsi="Times New Roman" w:eastAsia="宋体" w:cs="Times New Roman"/>
                      <w:kern w:val="0"/>
                      <w:sz w:val="21"/>
                      <w:szCs w:val="21"/>
                      <w:highlight w:val="none"/>
                      <w:lang w:val="en-US" w:eastAsia="zh-CN" w:bidi="ar"/>
                    </w:rPr>
                  </w:pPr>
                  <w:r>
                    <w:rPr>
                      <w:rFonts w:hint="eastAsia"/>
                      <w:kern w:val="0"/>
                      <w:szCs w:val="21"/>
                      <w:highlight w:val="none"/>
                      <w:lang w:bidi="ar"/>
                    </w:rPr>
                    <w:t>9</w:t>
                  </w:r>
                  <w:r>
                    <w:rPr>
                      <w:kern w:val="0"/>
                      <w:szCs w:val="21"/>
                      <w:highlight w:val="none"/>
                      <w:lang w:bidi="ar"/>
                    </w:rPr>
                    <w:t>00-041-49</w:t>
                  </w:r>
                </w:p>
              </w:tc>
              <w:tc>
                <w:tcPr>
                  <w:tcW w:w="355" w:type="pct"/>
                  <w:tcBorders>
                    <w:top w:val="single" w:color="auto" w:sz="4" w:space="0"/>
                    <w:left w:val="nil"/>
                    <w:bottom w:val="single" w:color="auto" w:sz="4" w:space="0"/>
                    <w:right w:val="single" w:color="auto" w:sz="4" w:space="0"/>
                  </w:tcBorders>
                  <w:shd w:val="clear" w:color="auto" w:fill="auto"/>
                  <w:vAlign w:val="center"/>
                </w:tcPr>
                <w:p w14:paraId="39511170">
                  <w:pPr>
                    <w:widowControl/>
                    <w:jc w:val="center"/>
                    <w:rPr>
                      <w:rFonts w:ascii="Times New Roman" w:hAnsi="Times New Roman" w:eastAsia="宋体" w:cs="Times New Roman"/>
                      <w:kern w:val="0"/>
                      <w:sz w:val="21"/>
                      <w:szCs w:val="21"/>
                      <w:highlight w:val="none"/>
                      <w:lang w:val="en-US" w:eastAsia="zh-CN" w:bidi="ar"/>
                    </w:rPr>
                  </w:pPr>
                  <w:r>
                    <w:rPr>
                      <w:rFonts w:hint="eastAsia" w:ascii="Times New Roman" w:hAnsi="Times New Roman" w:eastAsia="宋体" w:cs="Times New Roman"/>
                      <w:bCs/>
                      <w:color w:val="000000" w:themeColor="text1"/>
                      <w:szCs w:val="21"/>
                      <w:highlight w:val="none"/>
                      <w:lang w:val="en-US" w:eastAsia="zh-CN" w:bidi="ar"/>
                      <w14:textFill>
                        <w14:solidFill>
                          <w14:schemeClr w14:val="tx1"/>
                        </w14:solidFill>
                      </w14:textFill>
                    </w:rPr>
                    <w:t>挥发性有机物</w:t>
                  </w:r>
                </w:p>
              </w:tc>
              <w:tc>
                <w:tcPr>
                  <w:tcW w:w="349" w:type="pct"/>
                  <w:tcBorders>
                    <w:top w:val="single" w:color="auto" w:sz="4" w:space="0"/>
                    <w:left w:val="nil"/>
                    <w:bottom w:val="single" w:color="auto" w:sz="4" w:space="0"/>
                    <w:right w:val="single" w:color="auto" w:sz="4" w:space="0"/>
                  </w:tcBorders>
                  <w:shd w:val="clear" w:color="auto" w:fill="auto"/>
                  <w:vAlign w:val="center"/>
                </w:tcPr>
                <w:p w14:paraId="7616D658">
                  <w:pPr>
                    <w:autoSpaceDE w:val="0"/>
                    <w:jc w:val="center"/>
                    <w:rPr>
                      <w:color w:val="000000"/>
                      <w:szCs w:val="21"/>
                      <w:highlight w:val="none"/>
                    </w:rPr>
                  </w:pPr>
                  <w:r>
                    <w:rPr>
                      <w:szCs w:val="21"/>
                      <w:highlight w:val="none"/>
                    </w:rPr>
                    <w:t>固态</w:t>
                  </w:r>
                </w:p>
              </w:tc>
              <w:tc>
                <w:tcPr>
                  <w:tcW w:w="794" w:type="dxa"/>
                  <w:tcBorders>
                    <w:top w:val="single" w:color="auto" w:sz="4" w:space="0"/>
                    <w:left w:val="nil"/>
                    <w:bottom w:val="single" w:color="auto" w:sz="4" w:space="0"/>
                    <w:right w:val="single" w:color="auto" w:sz="4" w:space="0"/>
                  </w:tcBorders>
                  <w:shd w:val="clear" w:color="auto" w:fill="auto"/>
                  <w:vAlign w:val="center"/>
                </w:tcPr>
                <w:p w14:paraId="6529D3F2">
                  <w:pPr>
                    <w:widowControl/>
                    <w:jc w:val="center"/>
                    <w:rPr>
                      <w:color w:val="000000"/>
                      <w:szCs w:val="21"/>
                      <w:highlight w:val="none"/>
                    </w:rPr>
                  </w:pPr>
                  <w:r>
                    <w:rPr>
                      <w:rFonts w:hint="eastAsia" w:ascii="Times New Roman" w:hAnsi="Times New Roman" w:eastAsia="宋体" w:cs="Times New Roman"/>
                      <w:bCs/>
                      <w:color w:val="000000" w:themeColor="text1"/>
                      <w:szCs w:val="21"/>
                      <w:highlight w:val="none"/>
                      <w:lang w:val="en-US" w:eastAsia="zh-CN" w:bidi="ar"/>
                      <w14:textFill>
                        <w14:solidFill>
                          <w14:schemeClr w14:val="tx1"/>
                        </w14:solidFill>
                      </w14:textFill>
                    </w:rPr>
                    <w:t>T</w:t>
                  </w:r>
                </w:p>
              </w:tc>
              <w:tc>
                <w:tcPr>
                  <w:tcW w:w="469" w:type="pct"/>
                  <w:tcBorders>
                    <w:top w:val="single" w:color="auto" w:sz="4" w:space="0"/>
                    <w:left w:val="nil"/>
                    <w:bottom w:val="single" w:color="auto" w:sz="4" w:space="0"/>
                    <w:right w:val="single" w:color="auto" w:sz="4" w:space="0"/>
                  </w:tcBorders>
                  <w:shd w:val="clear" w:color="auto" w:fill="auto"/>
                  <w:vAlign w:val="center"/>
                </w:tcPr>
                <w:p w14:paraId="10B4CD00">
                  <w:pPr>
                    <w:autoSpaceDE w:val="0"/>
                    <w:jc w:val="center"/>
                    <w:rPr>
                      <w:rFonts w:hint="default" w:eastAsia="宋体"/>
                      <w:color w:val="000000"/>
                      <w:szCs w:val="21"/>
                      <w:highlight w:val="none"/>
                      <w:lang w:val="en-US" w:eastAsia="zh-CN"/>
                    </w:rPr>
                  </w:pPr>
                  <w:r>
                    <w:rPr>
                      <w:rFonts w:hint="eastAsia"/>
                      <w:color w:val="000000"/>
                      <w:szCs w:val="21"/>
                      <w:highlight w:val="none"/>
                      <w:lang w:val="en-US" w:eastAsia="zh-CN"/>
                    </w:rPr>
                    <w:t>2.508</w:t>
                  </w:r>
                </w:p>
              </w:tc>
              <w:tc>
                <w:tcPr>
                  <w:tcW w:w="358" w:type="pct"/>
                  <w:vMerge w:val="continue"/>
                  <w:tcBorders>
                    <w:left w:val="nil"/>
                    <w:right w:val="single" w:color="auto" w:sz="4" w:space="0"/>
                  </w:tcBorders>
                  <w:shd w:val="clear" w:color="auto" w:fill="auto"/>
                  <w:vAlign w:val="center"/>
                </w:tcPr>
                <w:p w14:paraId="03292390">
                  <w:pPr>
                    <w:autoSpaceDE w:val="0"/>
                    <w:jc w:val="center"/>
                    <w:rPr>
                      <w:color w:val="000000"/>
                      <w:szCs w:val="21"/>
                      <w:highlight w:val="none"/>
                    </w:rPr>
                  </w:pPr>
                </w:p>
              </w:tc>
              <w:tc>
                <w:tcPr>
                  <w:tcW w:w="575" w:type="pct"/>
                  <w:vMerge w:val="continue"/>
                  <w:tcBorders>
                    <w:left w:val="nil"/>
                    <w:right w:val="single" w:color="auto" w:sz="4" w:space="0"/>
                  </w:tcBorders>
                  <w:shd w:val="clear" w:color="auto" w:fill="auto"/>
                  <w:vAlign w:val="center"/>
                </w:tcPr>
                <w:p w14:paraId="5C460561">
                  <w:pPr>
                    <w:autoSpaceDE w:val="0"/>
                    <w:jc w:val="center"/>
                    <w:rPr>
                      <w:color w:val="000000"/>
                      <w:szCs w:val="21"/>
                      <w:highlight w:val="none"/>
                    </w:rPr>
                  </w:pPr>
                </w:p>
              </w:tc>
              <w:tc>
                <w:tcPr>
                  <w:tcW w:w="455" w:type="pct"/>
                  <w:tcBorders>
                    <w:top w:val="single" w:color="auto" w:sz="4" w:space="0"/>
                    <w:left w:val="nil"/>
                    <w:bottom w:val="single" w:color="auto" w:sz="4" w:space="0"/>
                    <w:right w:val="single" w:color="auto" w:sz="4" w:space="0"/>
                  </w:tcBorders>
                  <w:shd w:val="clear" w:color="auto" w:fill="auto"/>
                  <w:vAlign w:val="center"/>
                </w:tcPr>
                <w:p w14:paraId="054951AE">
                  <w:pPr>
                    <w:autoSpaceDE w:val="0"/>
                    <w:jc w:val="center"/>
                    <w:rPr>
                      <w:rFonts w:hint="default" w:eastAsia="宋体"/>
                      <w:color w:val="000000"/>
                      <w:szCs w:val="21"/>
                      <w:highlight w:val="none"/>
                      <w:lang w:val="en-US" w:eastAsia="zh-CN"/>
                    </w:rPr>
                  </w:pPr>
                  <w:r>
                    <w:rPr>
                      <w:color w:val="000000"/>
                      <w:szCs w:val="21"/>
                      <w:highlight w:val="none"/>
                    </w:rPr>
                    <w:t>0</w:t>
                  </w:r>
                </w:p>
              </w:tc>
            </w:tr>
            <w:tr w14:paraId="4AB14F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342" w:type="pct"/>
                  <w:tcBorders>
                    <w:left w:val="single" w:color="auto" w:sz="4" w:space="0"/>
                    <w:right w:val="single" w:color="auto" w:sz="4" w:space="0"/>
                  </w:tcBorders>
                  <w:shd w:val="clear" w:color="auto" w:fill="auto"/>
                  <w:vAlign w:val="center"/>
                </w:tcPr>
                <w:p w14:paraId="12F3D7BE">
                  <w:pPr>
                    <w:autoSpaceDE w:val="0"/>
                    <w:jc w:val="center"/>
                    <w:rPr>
                      <w:rFonts w:hint="default" w:eastAsia="宋体"/>
                      <w:color w:val="000000"/>
                      <w:szCs w:val="21"/>
                      <w:highlight w:val="none"/>
                      <w:lang w:val="en-US" w:eastAsia="zh-CN"/>
                    </w:rPr>
                  </w:pPr>
                  <w:r>
                    <w:rPr>
                      <w:rFonts w:hint="eastAsia"/>
                      <w:color w:val="000000"/>
                      <w:szCs w:val="21"/>
                      <w:highlight w:val="none"/>
                      <w:lang w:val="en-US" w:eastAsia="zh-CN"/>
                    </w:rPr>
                    <w:t>危险废物贮存</w:t>
                  </w:r>
                </w:p>
              </w:tc>
              <w:tc>
                <w:tcPr>
                  <w:tcW w:w="411" w:type="pct"/>
                  <w:tcBorders>
                    <w:top w:val="single" w:color="auto" w:sz="4" w:space="0"/>
                    <w:left w:val="nil"/>
                    <w:bottom w:val="single" w:color="auto" w:sz="4" w:space="0"/>
                    <w:right w:val="single" w:color="auto" w:sz="4" w:space="0"/>
                  </w:tcBorders>
                  <w:shd w:val="clear" w:color="auto" w:fill="auto"/>
                  <w:vAlign w:val="center"/>
                </w:tcPr>
                <w:p w14:paraId="0100AB08">
                  <w:pPr>
                    <w:autoSpaceDE w:val="0"/>
                    <w:jc w:val="center"/>
                    <w:rPr>
                      <w:rFonts w:hint="eastAsia"/>
                      <w:szCs w:val="21"/>
                      <w:highlight w:val="none"/>
                      <w:lang w:val="en-US" w:eastAsia="zh-CN"/>
                    </w:rPr>
                  </w:pPr>
                  <w:r>
                    <w:rPr>
                      <w:rFonts w:hint="eastAsia" w:ascii="Times New Roman" w:hAnsi="Times New Roman" w:eastAsia="宋体" w:cs="Times New Roman"/>
                      <w:kern w:val="0"/>
                      <w:szCs w:val="21"/>
                      <w:highlight w:val="none"/>
                      <w:lang w:val="en-US" w:eastAsia="zh-CN" w:bidi="ar"/>
                    </w:rPr>
                    <w:t>废包装桶/袋</w:t>
                  </w:r>
                </w:p>
              </w:tc>
              <w:tc>
                <w:tcPr>
                  <w:tcW w:w="358" w:type="pct"/>
                  <w:vMerge w:val="continue"/>
                  <w:tcBorders>
                    <w:left w:val="nil"/>
                    <w:right w:val="single" w:color="auto" w:sz="4" w:space="0"/>
                  </w:tcBorders>
                  <w:shd w:val="clear" w:color="auto" w:fill="auto"/>
                  <w:vAlign w:val="center"/>
                </w:tcPr>
                <w:p w14:paraId="56471548">
                  <w:pPr>
                    <w:autoSpaceDE w:val="0"/>
                    <w:jc w:val="center"/>
                    <w:rPr>
                      <w:color w:val="000000"/>
                      <w:szCs w:val="21"/>
                      <w:highlight w:val="none"/>
                    </w:rPr>
                  </w:pPr>
                </w:p>
              </w:tc>
              <w:tc>
                <w:tcPr>
                  <w:tcW w:w="853" w:type="pct"/>
                  <w:tcBorders>
                    <w:top w:val="single" w:color="auto" w:sz="4" w:space="0"/>
                    <w:left w:val="nil"/>
                    <w:bottom w:val="single" w:color="auto" w:sz="4" w:space="0"/>
                    <w:right w:val="single" w:color="auto" w:sz="4" w:space="0"/>
                  </w:tcBorders>
                  <w:shd w:val="clear" w:color="auto" w:fill="auto"/>
                  <w:vAlign w:val="center"/>
                </w:tcPr>
                <w:p w14:paraId="2B4E1B10">
                  <w:pPr>
                    <w:widowControl/>
                    <w:jc w:val="center"/>
                    <w:rPr>
                      <w:rFonts w:hint="eastAsia"/>
                      <w:kern w:val="0"/>
                      <w:szCs w:val="21"/>
                      <w:highlight w:val="none"/>
                      <w:lang w:bidi="ar"/>
                    </w:rPr>
                  </w:pPr>
                  <w:r>
                    <w:rPr>
                      <w:rFonts w:hint="eastAsia"/>
                      <w:kern w:val="0"/>
                      <w:szCs w:val="21"/>
                      <w:highlight w:val="none"/>
                      <w:lang w:bidi="ar"/>
                    </w:rPr>
                    <w:t>9</w:t>
                  </w:r>
                  <w:r>
                    <w:rPr>
                      <w:kern w:val="0"/>
                      <w:szCs w:val="21"/>
                      <w:highlight w:val="none"/>
                      <w:lang w:bidi="ar"/>
                    </w:rPr>
                    <w:t>00-041-49</w:t>
                  </w:r>
                </w:p>
              </w:tc>
              <w:tc>
                <w:tcPr>
                  <w:tcW w:w="355" w:type="pct"/>
                  <w:tcBorders>
                    <w:top w:val="single" w:color="auto" w:sz="4" w:space="0"/>
                    <w:left w:val="nil"/>
                    <w:bottom w:val="single" w:color="auto" w:sz="4" w:space="0"/>
                    <w:right w:val="single" w:color="auto" w:sz="4" w:space="0"/>
                  </w:tcBorders>
                  <w:shd w:val="clear" w:color="auto" w:fill="auto"/>
                  <w:vAlign w:val="center"/>
                </w:tcPr>
                <w:p w14:paraId="044FC604">
                  <w:pPr>
                    <w:widowControl/>
                    <w:jc w:val="center"/>
                    <w:rPr>
                      <w:rFonts w:hint="eastAsia" w:ascii="Times New Roman" w:hAnsi="Times New Roman" w:eastAsia="宋体" w:cs="Times New Roman"/>
                      <w:bCs/>
                      <w:color w:val="000000" w:themeColor="text1"/>
                      <w:szCs w:val="21"/>
                      <w:highlight w:val="none"/>
                      <w:lang w:val="en-US" w:eastAsia="zh-CN" w:bidi="ar"/>
                      <w14:textFill>
                        <w14:solidFill>
                          <w14:schemeClr w14:val="tx1"/>
                        </w14:solidFill>
                      </w14:textFill>
                    </w:rPr>
                  </w:pPr>
                  <w:r>
                    <w:rPr>
                      <w:rFonts w:ascii="Times New Roman" w:cs="Times New Roman"/>
                      <w:color w:val="auto"/>
                      <w:sz w:val="21"/>
                      <w:szCs w:val="21"/>
                      <w:highlight w:val="none"/>
                    </w:rPr>
                    <w:t>沾染的毒性物质</w:t>
                  </w:r>
                </w:p>
              </w:tc>
              <w:tc>
                <w:tcPr>
                  <w:tcW w:w="349" w:type="pct"/>
                  <w:tcBorders>
                    <w:top w:val="single" w:color="auto" w:sz="4" w:space="0"/>
                    <w:left w:val="nil"/>
                    <w:bottom w:val="single" w:color="auto" w:sz="4" w:space="0"/>
                    <w:right w:val="single" w:color="auto" w:sz="4" w:space="0"/>
                  </w:tcBorders>
                  <w:shd w:val="clear" w:color="auto" w:fill="auto"/>
                  <w:vAlign w:val="center"/>
                </w:tcPr>
                <w:p w14:paraId="0E4624D6">
                  <w:pPr>
                    <w:autoSpaceDE w:val="0"/>
                    <w:jc w:val="center"/>
                    <w:rPr>
                      <w:rFonts w:hint="eastAsia" w:eastAsia="宋体"/>
                      <w:szCs w:val="21"/>
                      <w:highlight w:val="none"/>
                      <w:lang w:val="en-US" w:eastAsia="zh-CN"/>
                    </w:rPr>
                  </w:pPr>
                  <w:r>
                    <w:rPr>
                      <w:rFonts w:hint="eastAsia"/>
                      <w:szCs w:val="21"/>
                      <w:highlight w:val="none"/>
                      <w:lang w:val="en-US" w:eastAsia="zh-CN"/>
                    </w:rPr>
                    <w:t>固态</w:t>
                  </w:r>
                </w:p>
              </w:tc>
              <w:tc>
                <w:tcPr>
                  <w:tcW w:w="469" w:type="pct"/>
                  <w:tcBorders>
                    <w:top w:val="single" w:color="auto" w:sz="4" w:space="0"/>
                    <w:left w:val="nil"/>
                    <w:bottom w:val="single" w:color="auto" w:sz="4" w:space="0"/>
                    <w:right w:val="single" w:color="auto" w:sz="4" w:space="0"/>
                  </w:tcBorders>
                  <w:shd w:val="clear" w:color="auto" w:fill="auto"/>
                  <w:vAlign w:val="center"/>
                </w:tcPr>
                <w:p w14:paraId="76F70A1D">
                  <w:pPr>
                    <w:autoSpaceDE w:val="0"/>
                    <w:jc w:val="center"/>
                    <w:rPr>
                      <w:rFonts w:hint="eastAsia"/>
                      <w:szCs w:val="21"/>
                      <w:highlight w:val="none"/>
                    </w:rPr>
                  </w:pPr>
                  <w:r>
                    <w:rPr>
                      <w:rFonts w:hint="eastAsia"/>
                      <w:szCs w:val="21"/>
                      <w:highlight w:val="none"/>
                      <w:lang w:val="en-US" w:eastAsia="zh-CN"/>
                    </w:rPr>
                    <w:t>T</w:t>
                  </w:r>
                </w:p>
              </w:tc>
              <w:tc>
                <w:tcPr>
                  <w:tcW w:w="469" w:type="pct"/>
                  <w:tcBorders>
                    <w:top w:val="single" w:color="auto" w:sz="4" w:space="0"/>
                    <w:left w:val="nil"/>
                    <w:bottom w:val="single" w:color="auto" w:sz="4" w:space="0"/>
                    <w:right w:val="single" w:color="auto" w:sz="4" w:space="0"/>
                  </w:tcBorders>
                  <w:shd w:val="clear" w:color="auto" w:fill="auto"/>
                  <w:vAlign w:val="center"/>
                </w:tcPr>
                <w:p w14:paraId="43EAEF6E">
                  <w:pPr>
                    <w:autoSpaceDE w:val="0"/>
                    <w:jc w:val="center"/>
                    <w:rPr>
                      <w:rFonts w:hint="default"/>
                      <w:color w:val="000000"/>
                      <w:szCs w:val="21"/>
                      <w:highlight w:val="none"/>
                      <w:lang w:val="en-US" w:eastAsia="zh-CN"/>
                    </w:rPr>
                  </w:pPr>
                  <w:r>
                    <w:rPr>
                      <w:rFonts w:hint="eastAsia"/>
                      <w:color w:val="000000"/>
                      <w:szCs w:val="21"/>
                      <w:highlight w:val="none"/>
                      <w:lang w:val="en-US" w:eastAsia="zh-CN"/>
                    </w:rPr>
                    <w:t>0.5</w:t>
                  </w:r>
                </w:p>
              </w:tc>
              <w:tc>
                <w:tcPr>
                  <w:tcW w:w="358" w:type="pct"/>
                  <w:vMerge w:val="continue"/>
                  <w:tcBorders>
                    <w:left w:val="nil"/>
                    <w:right w:val="single" w:color="auto" w:sz="4" w:space="0"/>
                  </w:tcBorders>
                  <w:shd w:val="clear" w:color="auto" w:fill="auto"/>
                  <w:vAlign w:val="center"/>
                </w:tcPr>
                <w:p w14:paraId="7A969FB1">
                  <w:pPr>
                    <w:autoSpaceDE w:val="0"/>
                    <w:jc w:val="center"/>
                    <w:rPr>
                      <w:color w:val="000000"/>
                      <w:szCs w:val="21"/>
                      <w:highlight w:val="none"/>
                    </w:rPr>
                  </w:pPr>
                </w:p>
              </w:tc>
              <w:tc>
                <w:tcPr>
                  <w:tcW w:w="575" w:type="pct"/>
                  <w:vMerge w:val="continue"/>
                  <w:tcBorders>
                    <w:left w:val="nil"/>
                    <w:right w:val="single" w:color="auto" w:sz="4" w:space="0"/>
                  </w:tcBorders>
                  <w:shd w:val="clear" w:color="auto" w:fill="auto"/>
                  <w:vAlign w:val="center"/>
                </w:tcPr>
                <w:p w14:paraId="3EBA546C">
                  <w:pPr>
                    <w:autoSpaceDE w:val="0"/>
                    <w:jc w:val="center"/>
                    <w:rPr>
                      <w:color w:val="000000"/>
                      <w:szCs w:val="21"/>
                      <w:highlight w:val="none"/>
                    </w:rPr>
                  </w:pPr>
                </w:p>
              </w:tc>
              <w:tc>
                <w:tcPr>
                  <w:tcW w:w="455" w:type="pct"/>
                  <w:tcBorders>
                    <w:top w:val="single" w:color="auto" w:sz="4" w:space="0"/>
                    <w:left w:val="nil"/>
                    <w:bottom w:val="single" w:color="auto" w:sz="4" w:space="0"/>
                    <w:right w:val="single" w:color="auto" w:sz="4" w:space="0"/>
                  </w:tcBorders>
                  <w:shd w:val="clear" w:color="auto" w:fill="auto"/>
                  <w:vAlign w:val="center"/>
                </w:tcPr>
                <w:p w14:paraId="00FEDCF3">
                  <w:pPr>
                    <w:autoSpaceDE w:val="0"/>
                    <w:jc w:val="center"/>
                    <w:rPr>
                      <w:rFonts w:hint="default" w:eastAsia="宋体"/>
                      <w:szCs w:val="21"/>
                      <w:highlight w:val="none"/>
                      <w:lang w:val="en-US" w:eastAsia="zh-CN"/>
                    </w:rPr>
                  </w:pPr>
                  <w:r>
                    <w:rPr>
                      <w:color w:val="000000"/>
                      <w:szCs w:val="21"/>
                      <w:highlight w:val="none"/>
                    </w:rPr>
                    <w:t>0</w:t>
                  </w:r>
                </w:p>
              </w:tc>
            </w:tr>
            <w:tr w14:paraId="3AA155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342" w:type="pct"/>
                  <w:vMerge w:val="restart"/>
                  <w:tcBorders>
                    <w:top w:val="single" w:color="auto" w:sz="4" w:space="0"/>
                    <w:left w:val="single" w:color="auto" w:sz="4" w:space="0"/>
                    <w:right w:val="single" w:color="auto" w:sz="4" w:space="0"/>
                  </w:tcBorders>
                  <w:shd w:val="clear" w:color="auto" w:fill="auto"/>
                  <w:vAlign w:val="center"/>
                </w:tcPr>
                <w:p w14:paraId="681C8ACF">
                  <w:pPr>
                    <w:autoSpaceDE w:val="0"/>
                    <w:jc w:val="center"/>
                    <w:rPr>
                      <w:rFonts w:hint="default" w:eastAsia="宋体"/>
                      <w:color w:val="000000"/>
                      <w:szCs w:val="21"/>
                      <w:highlight w:val="none"/>
                      <w:lang w:val="en-US" w:eastAsia="zh-CN"/>
                    </w:rPr>
                  </w:pPr>
                  <w:r>
                    <w:rPr>
                      <w:color w:val="000000"/>
                      <w:szCs w:val="21"/>
                      <w:highlight w:val="none"/>
                    </w:rPr>
                    <w:t>设备维护</w:t>
                  </w:r>
                  <w:r>
                    <w:rPr>
                      <w:rFonts w:hint="eastAsia"/>
                      <w:color w:val="000000"/>
                      <w:szCs w:val="21"/>
                      <w:highlight w:val="none"/>
                      <w:lang w:val="en-US" w:eastAsia="zh-CN"/>
                    </w:rPr>
                    <w:t>及油桶压实</w:t>
                  </w:r>
                </w:p>
              </w:tc>
              <w:tc>
                <w:tcPr>
                  <w:tcW w:w="411" w:type="pct"/>
                  <w:tcBorders>
                    <w:top w:val="single" w:color="auto" w:sz="4" w:space="0"/>
                    <w:left w:val="nil"/>
                    <w:bottom w:val="single" w:color="auto" w:sz="4" w:space="0"/>
                    <w:right w:val="single" w:color="auto" w:sz="4" w:space="0"/>
                  </w:tcBorders>
                  <w:shd w:val="clear" w:color="auto" w:fill="auto"/>
                  <w:vAlign w:val="center"/>
                </w:tcPr>
                <w:p w14:paraId="2A061BCA">
                  <w:pPr>
                    <w:autoSpaceDE w:val="0"/>
                    <w:jc w:val="center"/>
                    <w:rPr>
                      <w:color w:val="000000"/>
                      <w:szCs w:val="21"/>
                      <w:highlight w:val="none"/>
                    </w:rPr>
                  </w:pPr>
                  <w:r>
                    <w:rPr>
                      <w:color w:val="000000"/>
                      <w:szCs w:val="21"/>
                      <w:highlight w:val="none"/>
                    </w:rPr>
                    <w:t>废</w:t>
                  </w:r>
                  <w:r>
                    <w:rPr>
                      <w:rFonts w:hint="eastAsia"/>
                      <w:color w:val="000000"/>
                      <w:szCs w:val="21"/>
                      <w:highlight w:val="none"/>
                      <w:lang w:val="en-US" w:eastAsia="zh-CN"/>
                    </w:rPr>
                    <w:t>矿物</w:t>
                  </w:r>
                  <w:r>
                    <w:rPr>
                      <w:color w:val="000000"/>
                      <w:szCs w:val="21"/>
                      <w:highlight w:val="none"/>
                    </w:rPr>
                    <w:t>油</w:t>
                  </w:r>
                </w:p>
              </w:tc>
              <w:tc>
                <w:tcPr>
                  <w:tcW w:w="358" w:type="pct"/>
                  <w:vMerge w:val="continue"/>
                  <w:tcBorders>
                    <w:left w:val="nil"/>
                    <w:right w:val="single" w:color="auto" w:sz="4" w:space="0"/>
                  </w:tcBorders>
                  <w:shd w:val="clear" w:color="auto" w:fill="auto"/>
                  <w:vAlign w:val="center"/>
                </w:tcPr>
                <w:p w14:paraId="4764E023">
                  <w:pPr>
                    <w:autoSpaceDE w:val="0"/>
                    <w:jc w:val="center"/>
                    <w:rPr>
                      <w:color w:val="000000"/>
                      <w:szCs w:val="21"/>
                      <w:highlight w:val="none"/>
                    </w:rPr>
                  </w:pPr>
                </w:p>
              </w:tc>
              <w:tc>
                <w:tcPr>
                  <w:tcW w:w="853" w:type="pct"/>
                  <w:tcBorders>
                    <w:top w:val="single" w:color="auto" w:sz="4" w:space="0"/>
                    <w:left w:val="nil"/>
                    <w:bottom w:val="single" w:color="auto" w:sz="4" w:space="0"/>
                    <w:right w:val="single" w:color="auto" w:sz="4" w:space="0"/>
                  </w:tcBorders>
                  <w:shd w:val="clear" w:color="auto" w:fill="auto"/>
                  <w:vAlign w:val="center"/>
                </w:tcPr>
                <w:p w14:paraId="03F76AB2">
                  <w:pPr>
                    <w:autoSpaceDE w:val="0"/>
                    <w:jc w:val="center"/>
                    <w:rPr>
                      <w:color w:val="000000"/>
                      <w:szCs w:val="21"/>
                      <w:highlight w:val="none"/>
                    </w:rPr>
                  </w:pPr>
                  <w:r>
                    <w:rPr>
                      <w:szCs w:val="21"/>
                      <w:highlight w:val="none"/>
                    </w:rPr>
                    <w:t>900-217-08</w:t>
                  </w:r>
                </w:p>
              </w:tc>
              <w:tc>
                <w:tcPr>
                  <w:tcW w:w="355" w:type="pct"/>
                  <w:tcBorders>
                    <w:top w:val="single" w:color="auto" w:sz="4" w:space="0"/>
                    <w:left w:val="nil"/>
                    <w:bottom w:val="single" w:color="auto" w:sz="4" w:space="0"/>
                    <w:right w:val="single" w:color="auto" w:sz="4" w:space="0"/>
                  </w:tcBorders>
                  <w:shd w:val="clear" w:color="auto" w:fill="auto"/>
                  <w:vAlign w:val="center"/>
                </w:tcPr>
                <w:p w14:paraId="45C4E92F">
                  <w:pPr>
                    <w:autoSpaceDE w:val="0"/>
                    <w:jc w:val="center"/>
                    <w:rPr>
                      <w:color w:val="000000"/>
                      <w:szCs w:val="21"/>
                      <w:highlight w:val="none"/>
                    </w:rPr>
                  </w:pPr>
                  <w:r>
                    <w:rPr>
                      <w:szCs w:val="21"/>
                      <w:highlight w:val="none"/>
                    </w:rPr>
                    <w:t>废矿物油</w:t>
                  </w:r>
                </w:p>
              </w:tc>
              <w:tc>
                <w:tcPr>
                  <w:tcW w:w="349" w:type="pct"/>
                  <w:tcBorders>
                    <w:top w:val="single" w:color="auto" w:sz="4" w:space="0"/>
                    <w:left w:val="nil"/>
                    <w:bottom w:val="single" w:color="auto" w:sz="4" w:space="0"/>
                    <w:right w:val="single" w:color="auto" w:sz="4" w:space="0"/>
                  </w:tcBorders>
                  <w:shd w:val="clear" w:color="auto" w:fill="auto"/>
                  <w:vAlign w:val="center"/>
                </w:tcPr>
                <w:p w14:paraId="2E328498">
                  <w:pPr>
                    <w:autoSpaceDE w:val="0"/>
                    <w:jc w:val="center"/>
                    <w:rPr>
                      <w:color w:val="000000"/>
                      <w:szCs w:val="21"/>
                      <w:highlight w:val="none"/>
                    </w:rPr>
                  </w:pPr>
                  <w:r>
                    <w:rPr>
                      <w:color w:val="000000"/>
                      <w:highlight w:val="none"/>
                    </w:rPr>
                    <w:t>液态</w:t>
                  </w:r>
                </w:p>
              </w:tc>
              <w:tc>
                <w:tcPr>
                  <w:tcW w:w="469" w:type="pct"/>
                  <w:tcBorders>
                    <w:top w:val="single" w:color="auto" w:sz="4" w:space="0"/>
                    <w:left w:val="nil"/>
                    <w:bottom w:val="single" w:color="auto" w:sz="4" w:space="0"/>
                    <w:right w:val="single" w:color="auto" w:sz="4" w:space="0"/>
                  </w:tcBorders>
                  <w:shd w:val="clear" w:color="auto" w:fill="auto"/>
                  <w:vAlign w:val="center"/>
                </w:tcPr>
                <w:p w14:paraId="631590DC">
                  <w:pPr>
                    <w:autoSpaceDE w:val="0"/>
                    <w:jc w:val="center"/>
                    <w:rPr>
                      <w:color w:val="000000"/>
                      <w:szCs w:val="21"/>
                      <w:highlight w:val="none"/>
                    </w:rPr>
                  </w:pPr>
                  <w:r>
                    <w:rPr>
                      <w:color w:val="000000"/>
                      <w:szCs w:val="21"/>
                      <w:highlight w:val="none"/>
                    </w:rPr>
                    <w:t>T</w:t>
                  </w:r>
                  <w:r>
                    <w:rPr>
                      <w:rFonts w:hint="eastAsia"/>
                      <w:color w:val="000000"/>
                      <w:szCs w:val="21"/>
                      <w:highlight w:val="none"/>
                      <w:lang w:eastAsia="zh-CN"/>
                    </w:rPr>
                    <w:t>,</w:t>
                  </w:r>
                  <w:r>
                    <w:rPr>
                      <w:color w:val="000000"/>
                      <w:szCs w:val="21"/>
                      <w:highlight w:val="none"/>
                    </w:rPr>
                    <w:t>I</w:t>
                  </w:r>
                </w:p>
              </w:tc>
              <w:tc>
                <w:tcPr>
                  <w:tcW w:w="469" w:type="pct"/>
                  <w:tcBorders>
                    <w:top w:val="single" w:color="auto" w:sz="4" w:space="0"/>
                    <w:left w:val="nil"/>
                    <w:bottom w:val="single" w:color="auto" w:sz="4" w:space="0"/>
                    <w:right w:val="single" w:color="auto" w:sz="4" w:space="0"/>
                  </w:tcBorders>
                  <w:shd w:val="clear" w:color="auto" w:fill="auto"/>
                  <w:vAlign w:val="center"/>
                </w:tcPr>
                <w:p w14:paraId="4D63395D">
                  <w:pPr>
                    <w:autoSpaceDE w:val="0"/>
                    <w:jc w:val="center"/>
                    <w:rPr>
                      <w:rFonts w:hint="default" w:eastAsia="宋体"/>
                      <w:color w:val="000000"/>
                      <w:szCs w:val="21"/>
                      <w:highlight w:val="none"/>
                      <w:lang w:val="en-US" w:eastAsia="zh-CN"/>
                    </w:rPr>
                  </w:pPr>
                  <w:r>
                    <w:rPr>
                      <w:color w:val="000000"/>
                      <w:szCs w:val="21"/>
                      <w:highlight w:val="none"/>
                    </w:rPr>
                    <w:t>0.</w:t>
                  </w:r>
                  <w:r>
                    <w:rPr>
                      <w:rFonts w:hint="eastAsia"/>
                      <w:color w:val="000000"/>
                      <w:szCs w:val="21"/>
                      <w:highlight w:val="none"/>
                      <w:lang w:val="en-US" w:eastAsia="zh-CN"/>
                    </w:rPr>
                    <w:t>05</w:t>
                  </w:r>
                </w:p>
              </w:tc>
              <w:tc>
                <w:tcPr>
                  <w:tcW w:w="358" w:type="pct"/>
                  <w:vMerge w:val="continue"/>
                  <w:tcBorders>
                    <w:left w:val="nil"/>
                    <w:right w:val="single" w:color="auto" w:sz="4" w:space="0"/>
                  </w:tcBorders>
                  <w:shd w:val="clear" w:color="auto" w:fill="auto"/>
                  <w:vAlign w:val="center"/>
                </w:tcPr>
                <w:p w14:paraId="729C7EC5">
                  <w:pPr>
                    <w:autoSpaceDE w:val="0"/>
                    <w:jc w:val="center"/>
                    <w:rPr>
                      <w:color w:val="000000"/>
                      <w:szCs w:val="21"/>
                      <w:highlight w:val="none"/>
                    </w:rPr>
                  </w:pPr>
                </w:p>
              </w:tc>
              <w:tc>
                <w:tcPr>
                  <w:tcW w:w="575" w:type="pct"/>
                  <w:vMerge w:val="continue"/>
                  <w:tcBorders>
                    <w:left w:val="nil"/>
                    <w:right w:val="single" w:color="auto" w:sz="4" w:space="0"/>
                  </w:tcBorders>
                  <w:shd w:val="clear" w:color="auto" w:fill="auto"/>
                  <w:vAlign w:val="center"/>
                </w:tcPr>
                <w:p w14:paraId="78B85189">
                  <w:pPr>
                    <w:autoSpaceDE w:val="0"/>
                    <w:jc w:val="center"/>
                    <w:rPr>
                      <w:color w:val="000000"/>
                      <w:szCs w:val="21"/>
                      <w:highlight w:val="none"/>
                    </w:rPr>
                  </w:pPr>
                </w:p>
              </w:tc>
              <w:tc>
                <w:tcPr>
                  <w:tcW w:w="455" w:type="pct"/>
                  <w:tcBorders>
                    <w:top w:val="single" w:color="auto" w:sz="4" w:space="0"/>
                    <w:left w:val="nil"/>
                    <w:bottom w:val="single" w:color="auto" w:sz="4" w:space="0"/>
                    <w:right w:val="single" w:color="auto" w:sz="4" w:space="0"/>
                  </w:tcBorders>
                  <w:shd w:val="clear" w:color="auto" w:fill="auto"/>
                  <w:vAlign w:val="center"/>
                </w:tcPr>
                <w:p w14:paraId="521CEC48">
                  <w:pPr>
                    <w:autoSpaceDE w:val="0"/>
                    <w:jc w:val="center"/>
                    <w:rPr>
                      <w:color w:val="000000"/>
                      <w:szCs w:val="21"/>
                      <w:highlight w:val="none"/>
                    </w:rPr>
                  </w:pPr>
                  <w:r>
                    <w:rPr>
                      <w:color w:val="000000"/>
                      <w:szCs w:val="21"/>
                      <w:highlight w:val="none"/>
                    </w:rPr>
                    <w:t>0</w:t>
                  </w:r>
                </w:p>
              </w:tc>
            </w:tr>
            <w:tr w14:paraId="1F288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342" w:type="pct"/>
                  <w:vMerge w:val="continue"/>
                  <w:tcBorders>
                    <w:left w:val="single" w:color="auto" w:sz="4" w:space="0"/>
                    <w:right w:val="single" w:color="auto" w:sz="4" w:space="0"/>
                  </w:tcBorders>
                  <w:shd w:val="clear" w:color="auto" w:fill="auto"/>
                  <w:vAlign w:val="center"/>
                </w:tcPr>
                <w:p w14:paraId="312AC266">
                  <w:pPr>
                    <w:autoSpaceDE w:val="0"/>
                    <w:jc w:val="center"/>
                    <w:rPr>
                      <w:color w:val="000000"/>
                      <w:szCs w:val="21"/>
                      <w:highlight w:val="none"/>
                    </w:rPr>
                  </w:pPr>
                </w:p>
              </w:tc>
              <w:tc>
                <w:tcPr>
                  <w:tcW w:w="411" w:type="pct"/>
                  <w:tcBorders>
                    <w:top w:val="single" w:color="auto" w:sz="4" w:space="0"/>
                    <w:left w:val="nil"/>
                    <w:bottom w:val="single" w:color="auto" w:sz="4" w:space="0"/>
                    <w:right w:val="single" w:color="auto" w:sz="4" w:space="0"/>
                  </w:tcBorders>
                  <w:shd w:val="clear" w:color="auto" w:fill="auto"/>
                  <w:vAlign w:val="center"/>
                </w:tcPr>
                <w:p w14:paraId="50709267">
                  <w:pPr>
                    <w:autoSpaceDE w:val="0"/>
                    <w:jc w:val="center"/>
                    <w:rPr>
                      <w:color w:val="000000"/>
                      <w:szCs w:val="21"/>
                      <w:highlight w:val="none"/>
                    </w:rPr>
                  </w:pPr>
                  <w:r>
                    <w:rPr>
                      <w:color w:val="000000"/>
                      <w:szCs w:val="21"/>
                      <w:highlight w:val="none"/>
                    </w:rPr>
                    <w:t>废</w:t>
                  </w:r>
                  <w:r>
                    <w:rPr>
                      <w:rFonts w:hint="eastAsia"/>
                      <w:color w:val="000000"/>
                      <w:szCs w:val="21"/>
                      <w:highlight w:val="none"/>
                      <w:lang w:val="en-US" w:eastAsia="zh-CN"/>
                    </w:rPr>
                    <w:t>矿物</w:t>
                  </w:r>
                  <w:r>
                    <w:rPr>
                      <w:color w:val="000000"/>
                      <w:szCs w:val="21"/>
                      <w:highlight w:val="none"/>
                    </w:rPr>
                    <w:t>油桶</w:t>
                  </w:r>
                </w:p>
              </w:tc>
              <w:tc>
                <w:tcPr>
                  <w:tcW w:w="358" w:type="pct"/>
                  <w:vMerge w:val="continue"/>
                  <w:tcBorders>
                    <w:left w:val="nil"/>
                    <w:right w:val="single" w:color="auto" w:sz="4" w:space="0"/>
                  </w:tcBorders>
                  <w:shd w:val="clear" w:color="auto" w:fill="auto"/>
                  <w:vAlign w:val="center"/>
                </w:tcPr>
                <w:p w14:paraId="09AD60F9">
                  <w:pPr>
                    <w:autoSpaceDE w:val="0"/>
                    <w:jc w:val="center"/>
                    <w:rPr>
                      <w:color w:val="000000"/>
                      <w:szCs w:val="21"/>
                      <w:highlight w:val="none"/>
                    </w:rPr>
                  </w:pPr>
                </w:p>
              </w:tc>
              <w:tc>
                <w:tcPr>
                  <w:tcW w:w="853" w:type="pct"/>
                  <w:tcBorders>
                    <w:top w:val="single" w:color="auto" w:sz="4" w:space="0"/>
                    <w:left w:val="nil"/>
                    <w:bottom w:val="single" w:color="auto" w:sz="4" w:space="0"/>
                    <w:right w:val="single" w:color="auto" w:sz="4" w:space="0"/>
                  </w:tcBorders>
                  <w:shd w:val="clear" w:color="auto" w:fill="auto"/>
                  <w:vAlign w:val="center"/>
                </w:tcPr>
                <w:p w14:paraId="5B6DE4FB">
                  <w:pPr>
                    <w:autoSpaceDE w:val="0"/>
                    <w:jc w:val="center"/>
                    <w:rPr>
                      <w:szCs w:val="21"/>
                      <w:highlight w:val="none"/>
                    </w:rPr>
                  </w:pPr>
                  <w:r>
                    <w:rPr>
                      <w:szCs w:val="21"/>
                      <w:highlight w:val="none"/>
                    </w:rPr>
                    <w:t>900-249-08</w:t>
                  </w:r>
                </w:p>
              </w:tc>
              <w:tc>
                <w:tcPr>
                  <w:tcW w:w="355" w:type="pct"/>
                  <w:tcBorders>
                    <w:top w:val="single" w:color="auto" w:sz="4" w:space="0"/>
                    <w:left w:val="nil"/>
                    <w:bottom w:val="single" w:color="auto" w:sz="4" w:space="0"/>
                    <w:right w:val="single" w:color="auto" w:sz="4" w:space="0"/>
                  </w:tcBorders>
                  <w:shd w:val="clear" w:color="auto" w:fill="auto"/>
                  <w:vAlign w:val="center"/>
                </w:tcPr>
                <w:p w14:paraId="21F657B0">
                  <w:pPr>
                    <w:autoSpaceDE w:val="0"/>
                    <w:jc w:val="center"/>
                    <w:rPr>
                      <w:szCs w:val="21"/>
                      <w:highlight w:val="none"/>
                    </w:rPr>
                  </w:pPr>
                  <w:r>
                    <w:rPr>
                      <w:szCs w:val="21"/>
                      <w:highlight w:val="none"/>
                    </w:rPr>
                    <w:t>废矿物油</w:t>
                  </w:r>
                </w:p>
              </w:tc>
              <w:tc>
                <w:tcPr>
                  <w:tcW w:w="349" w:type="pct"/>
                  <w:tcBorders>
                    <w:top w:val="single" w:color="auto" w:sz="4" w:space="0"/>
                    <w:left w:val="nil"/>
                    <w:bottom w:val="single" w:color="auto" w:sz="4" w:space="0"/>
                    <w:right w:val="single" w:color="auto" w:sz="4" w:space="0"/>
                  </w:tcBorders>
                  <w:shd w:val="clear" w:color="auto" w:fill="auto"/>
                  <w:vAlign w:val="center"/>
                </w:tcPr>
                <w:p w14:paraId="028EC100">
                  <w:pPr>
                    <w:autoSpaceDE w:val="0"/>
                    <w:jc w:val="center"/>
                    <w:rPr>
                      <w:color w:val="000000"/>
                      <w:highlight w:val="none"/>
                    </w:rPr>
                  </w:pPr>
                  <w:r>
                    <w:rPr>
                      <w:color w:val="000000"/>
                      <w:highlight w:val="none"/>
                    </w:rPr>
                    <w:t>固态</w:t>
                  </w:r>
                </w:p>
              </w:tc>
              <w:tc>
                <w:tcPr>
                  <w:tcW w:w="469" w:type="pct"/>
                  <w:tcBorders>
                    <w:top w:val="single" w:color="auto" w:sz="4" w:space="0"/>
                    <w:left w:val="nil"/>
                    <w:bottom w:val="single" w:color="auto" w:sz="4" w:space="0"/>
                    <w:right w:val="single" w:color="auto" w:sz="4" w:space="0"/>
                  </w:tcBorders>
                  <w:shd w:val="clear" w:color="auto" w:fill="auto"/>
                  <w:vAlign w:val="center"/>
                </w:tcPr>
                <w:p w14:paraId="398ECA1C">
                  <w:pPr>
                    <w:autoSpaceDE w:val="0"/>
                    <w:jc w:val="center"/>
                    <w:rPr>
                      <w:color w:val="000000"/>
                      <w:szCs w:val="21"/>
                      <w:highlight w:val="none"/>
                    </w:rPr>
                  </w:pPr>
                  <w:r>
                    <w:rPr>
                      <w:color w:val="000000"/>
                      <w:szCs w:val="21"/>
                      <w:highlight w:val="none"/>
                    </w:rPr>
                    <w:t>T</w:t>
                  </w:r>
                  <w:r>
                    <w:rPr>
                      <w:rFonts w:hint="eastAsia"/>
                      <w:color w:val="000000"/>
                      <w:szCs w:val="21"/>
                      <w:highlight w:val="none"/>
                      <w:lang w:eastAsia="zh-CN"/>
                    </w:rPr>
                    <w:t>,</w:t>
                  </w:r>
                  <w:r>
                    <w:rPr>
                      <w:color w:val="000000"/>
                      <w:szCs w:val="21"/>
                      <w:highlight w:val="none"/>
                    </w:rPr>
                    <w:t>I</w:t>
                  </w:r>
                </w:p>
              </w:tc>
              <w:tc>
                <w:tcPr>
                  <w:tcW w:w="469" w:type="pct"/>
                  <w:tcBorders>
                    <w:top w:val="single" w:color="auto" w:sz="4" w:space="0"/>
                    <w:left w:val="nil"/>
                    <w:bottom w:val="single" w:color="auto" w:sz="4" w:space="0"/>
                    <w:right w:val="single" w:color="auto" w:sz="4" w:space="0"/>
                  </w:tcBorders>
                  <w:shd w:val="clear" w:color="auto" w:fill="auto"/>
                  <w:vAlign w:val="center"/>
                </w:tcPr>
                <w:p w14:paraId="35EC54FD">
                  <w:pPr>
                    <w:autoSpaceDE w:val="0"/>
                    <w:jc w:val="center"/>
                    <w:rPr>
                      <w:rFonts w:hint="default" w:eastAsia="宋体"/>
                      <w:color w:val="000000"/>
                      <w:szCs w:val="21"/>
                      <w:highlight w:val="none"/>
                      <w:lang w:val="en-US" w:eastAsia="zh-CN"/>
                    </w:rPr>
                  </w:pPr>
                  <w:r>
                    <w:rPr>
                      <w:color w:val="000000"/>
                      <w:szCs w:val="21"/>
                      <w:highlight w:val="none"/>
                    </w:rPr>
                    <w:t>0.</w:t>
                  </w:r>
                  <w:r>
                    <w:rPr>
                      <w:rFonts w:hint="eastAsia"/>
                      <w:color w:val="000000"/>
                      <w:szCs w:val="21"/>
                      <w:highlight w:val="none"/>
                      <w:lang w:val="en-US" w:eastAsia="zh-CN"/>
                    </w:rPr>
                    <w:t>01</w:t>
                  </w:r>
                </w:p>
              </w:tc>
              <w:tc>
                <w:tcPr>
                  <w:tcW w:w="358" w:type="pct"/>
                  <w:vMerge w:val="continue"/>
                  <w:tcBorders>
                    <w:left w:val="nil"/>
                    <w:right w:val="single" w:color="auto" w:sz="4" w:space="0"/>
                  </w:tcBorders>
                  <w:shd w:val="clear" w:color="auto" w:fill="auto"/>
                  <w:vAlign w:val="center"/>
                </w:tcPr>
                <w:p w14:paraId="46853CF6">
                  <w:pPr>
                    <w:autoSpaceDE w:val="0"/>
                    <w:jc w:val="center"/>
                    <w:rPr>
                      <w:color w:val="000000"/>
                      <w:szCs w:val="21"/>
                      <w:highlight w:val="none"/>
                    </w:rPr>
                  </w:pPr>
                </w:p>
              </w:tc>
              <w:tc>
                <w:tcPr>
                  <w:tcW w:w="575" w:type="pct"/>
                  <w:vMerge w:val="continue"/>
                  <w:tcBorders>
                    <w:left w:val="nil"/>
                    <w:right w:val="single" w:color="auto" w:sz="4" w:space="0"/>
                  </w:tcBorders>
                  <w:shd w:val="clear" w:color="auto" w:fill="auto"/>
                  <w:vAlign w:val="center"/>
                </w:tcPr>
                <w:p w14:paraId="0080750D">
                  <w:pPr>
                    <w:autoSpaceDE w:val="0"/>
                    <w:jc w:val="center"/>
                    <w:rPr>
                      <w:color w:val="000000"/>
                      <w:szCs w:val="21"/>
                      <w:highlight w:val="none"/>
                    </w:rPr>
                  </w:pPr>
                </w:p>
              </w:tc>
              <w:tc>
                <w:tcPr>
                  <w:tcW w:w="455" w:type="pct"/>
                  <w:tcBorders>
                    <w:top w:val="single" w:color="auto" w:sz="4" w:space="0"/>
                    <w:left w:val="nil"/>
                    <w:bottom w:val="single" w:color="auto" w:sz="4" w:space="0"/>
                    <w:right w:val="single" w:color="auto" w:sz="4" w:space="0"/>
                  </w:tcBorders>
                  <w:shd w:val="clear" w:color="auto" w:fill="auto"/>
                  <w:vAlign w:val="center"/>
                </w:tcPr>
                <w:p w14:paraId="5B17125E">
                  <w:pPr>
                    <w:autoSpaceDE w:val="0"/>
                    <w:jc w:val="center"/>
                    <w:rPr>
                      <w:color w:val="000000"/>
                      <w:szCs w:val="21"/>
                      <w:highlight w:val="none"/>
                    </w:rPr>
                  </w:pPr>
                  <w:r>
                    <w:rPr>
                      <w:color w:val="000000"/>
                      <w:szCs w:val="21"/>
                      <w:highlight w:val="none"/>
                    </w:rPr>
                    <w:t>0</w:t>
                  </w:r>
                </w:p>
              </w:tc>
            </w:tr>
            <w:tr w14:paraId="6DD26D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342" w:type="pct"/>
                  <w:tcBorders>
                    <w:left w:val="single" w:color="auto" w:sz="4" w:space="0"/>
                    <w:right w:val="single" w:color="auto" w:sz="4" w:space="0"/>
                  </w:tcBorders>
                  <w:shd w:val="clear" w:color="auto" w:fill="auto"/>
                  <w:vAlign w:val="center"/>
                </w:tcPr>
                <w:p w14:paraId="5A4E9DEE">
                  <w:pPr>
                    <w:autoSpaceDE w:val="0"/>
                    <w:jc w:val="both"/>
                    <w:rPr>
                      <w:rFonts w:hint="default" w:eastAsia="宋体"/>
                      <w:color w:val="000000"/>
                      <w:szCs w:val="21"/>
                      <w:highlight w:val="none"/>
                      <w:lang w:val="en-US" w:eastAsia="zh-CN"/>
                    </w:rPr>
                  </w:pPr>
                  <w:r>
                    <w:rPr>
                      <w:rFonts w:hint="eastAsia"/>
                      <w:color w:val="000000"/>
                      <w:szCs w:val="21"/>
                      <w:highlight w:val="none"/>
                      <w:lang w:val="en-US" w:eastAsia="zh-CN"/>
                    </w:rPr>
                    <w:t>设备维护及日常工作</w:t>
                  </w:r>
                </w:p>
              </w:tc>
              <w:tc>
                <w:tcPr>
                  <w:tcW w:w="411" w:type="pct"/>
                  <w:tcBorders>
                    <w:top w:val="single" w:color="auto" w:sz="4" w:space="0"/>
                    <w:left w:val="nil"/>
                    <w:bottom w:val="single" w:color="auto" w:sz="4" w:space="0"/>
                    <w:right w:val="single" w:color="auto" w:sz="4" w:space="0"/>
                  </w:tcBorders>
                  <w:shd w:val="clear" w:color="auto" w:fill="auto"/>
                  <w:vAlign w:val="center"/>
                </w:tcPr>
                <w:p w14:paraId="150D9ED6">
                  <w:pPr>
                    <w:autoSpaceDE w:val="0"/>
                    <w:jc w:val="center"/>
                    <w:rPr>
                      <w:color w:val="000000"/>
                      <w:sz w:val="11"/>
                      <w:szCs w:val="21"/>
                      <w:highlight w:val="none"/>
                    </w:rPr>
                  </w:pPr>
                  <w:r>
                    <w:rPr>
                      <w:rFonts w:hint="eastAsia"/>
                      <w:color w:val="000000"/>
                      <w:szCs w:val="21"/>
                      <w:highlight w:val="none"/>
                    </w:rPr>
                    <w:t>废弃的含油抹布、劳保用品</w:t>
                  </w:r>
                </w:p>
              </w:tc>
              <w:tc>
                <w:tcPr>
                  <w:tcW w:w="358" w:type="pct"/>
                  <w:vMerge w:val="continue"/>
                  <w:tcBorders>
                    <w:left w:val="nil"/>
                    <w:right w:val="single" w:color="auto" w:sz="4" w:space="0"/>
                  </w:tcBorders>
                  <w:shd w:val="clear" w:color="auto" w:fill="auto"/>
                  <w:vAlign w:val="center"/>
                </w:tcPr>
                <w:p w14:paraId="46933662">
                  <w:pPr>
                    <w:autoSpaceDE w:val="0"/>
                    <w:jc w:val="center"/>
                    <w:rPr>
                      <w:color w:val="000000"/>
                      <w:szCs w:val="21"/>
                      <w:highlight w:val="none"/>
                    </w:rPr>
                  </w:pPr>
                </w:p>
              </w:tc>
              <w:tc>
                <w:tcPr>
                  <w:tcW w:w="853" w:type="pct"/>
                  <w:tcBorders>
                    <w:top w:val="single" w:color="auto" w:sz="4" w:space="0"/>
                    <w:left w:val="nil"/>
                    <w:bottom w:val="single" w:color="auto" w:sz="4" w:space="0"/>
                    <w:right w:val="single" w:color="auto" w:sz="4" w:space="0"/>
                  </w:tcBorders>
                  <w:shd w:val="clear" w:color="auto" w:fill="auto"/>
                  <w:vAlign w:val="center"/>
                </w:tcPr>
                <w:p w14:paraId="189A21C0">
                  <w:pPr>
                    <w:autoSpaceDE w:val="0"/>
                    <w:jc w:val="center"/>
                    <w:rPr>
                      <w:color w:val="000000"/>
                      <w:szCs w:val="21"/>
                      <w:highlight w:val="none"/>
                    </w:rPr>
                  </w:pPr>
                  <w:r>
                    <w:rPr>
                      <w:rFonts w:hint="eastAsia"/>
                      <w:color w:val="000000"/>
                      <w:szCs w:val="21"/>
                      <w:highlight w:val="none"/>
                    </w:rPr>
                    <w:t>9</w:t>
                  </w:r>
                  <w:r>
                    <w:rPr>
                      <w:color w:val="000000"/>
                      <w:szCs w:val="21"/>
                      <w:highlight w:val="none"/>
                    </w:rPr>
                    <w:t>00-041-49</w:t>
                  </w:r>
                </w:p>
              </w:tc>
              <w:tc>
                <w:tcPr>
                  <w:tcW w:w="355" w:type="pct"/>
                  <w:tcBorders>
                    <w:top w:val="single" w:color="auto" w:sz="4" w:space="0"/>
                    <w:left w:val="nil"/>
                    <w:bottom w:val="single" w:color="auto" w:sz="4" w:space="0"/>
                    <w:right w:val="single" w:color="auto" w:sz="4" w:space="0"/>
                  </w:tcBorders>
                  <w:shd w:val="clear" w:color="auto" w:fill="auto"/>
                  <w:vAlign w:val="center"/>
                </w:tcPr>
                <w:p w14:paraId="6C0D758D">
                  <w:pPr>
                    <w:autoSpaceDE w:val="0"/>
                    <w:jc w:val="center"/>
                    <w:rPr>
                      <w:color w:val="000000"/>
                      <w:szCs w:val="21"/>
                      <w:highlight w:val="none"/>
                    </w:rPr>
                  </w:pPr>
                  <w:r>
                    <w:rPr>
                      <w:szCs w:val="21"/>
                      <w:highlight w:val="none"/>
                    </w:rPr>
                    <w:t>废矿物油</w:t>
                  </w:r>
                </w:p>
              </w:tc>
              <w:tc>
                <w:tcPr>
                  <w:tcW w:w="349" w:type="pct"/>
                  <w:tcBorders>
                    <w:top w:val="single" w:color="auto" w:sz="4" w:space="0"/>
                    <w:left w:val="nil"/>
                    <w:bottom w:val="single" w:color="auto" w:sz="4" w:space="0"/>
                    <w:right w:val="single" w:color="auto" w:sz="4" w:space="0"/>
                  </w:tcBorders>
                  <w:shd w:val="clear" w:color="auto" w:fill="auto"/>
                  <w:vAlign w:val="center"/>
                </w:tcPr>
                <w:p w14:paraId="5B6381E8">
                  <w:pPr>
                    <w:autoSpaceDE w:val="0"/>
                    <w:jc w:val="center"/>
                    <w:rPr>
                      <w:color w:val="000000"/>
                      <w:szCs w:val="21"/>
                      <w:highlight w:val="none"/>
                    </w:rPr>
                  </w:pPr>
                  <w:r>
                    <w:rPr>
                      <w:color w:val="000000"/>
                      <w:highlight w:val="none"/>
                    </w:rPr>
                    <w:t>固态</w:t>
                  </w:r>
                </w:p>
              </w:tc>
              <w:tc>
                <w:tcPr>
                  <w:tcW w:w="469" w:type="pct"/>
                  <w:tcBorders>
                    <w:top w:val="single" w:color="auto" w:sz="4" w:space="0"/>
                    <w:left w:val="nil"/>
                    <w:bottom w:val="single" w:color="auto" w:sz="4" w:space="0"/>
                    <w:right w:val="single" w:color="auto" w:sz="4" w:space="0"/>
                  </w:tcBorders>
                  <w:shd w:val="clear" w:color="auto" w:fill="auto"/>
                  <w:vAlign w:val="center"/>
                </w:tcPr>
                <w:p w14:paraId="137B797A">
                  <w:pPr>
                    <w:autoSpaceDE w:val="0"/>
                    <w:jc w:val="center"/>
                    <w:rPr>
                      <w:color w:val="000000"/>
                      <w:szCs w:val="21"/>
                      <w:highlight w:val="none"/>
                    </w:rPr>
                  </w:pPr>
                  <w:r>
                    <w:rPr>
                      <w:rFonts w:hint="eastAsia"/>
                      <w:color w:val="000000"/>
                      <w:szCs w:val="21"/>
                      <w:highlight w:val="none"/>
                    </w:rPr>
                    <w:t>T</w:t>
                  </w:r>
                </w:p>
              </w:tc>
              <w:tc>
                <w:tcPr>
                  <w:tcW w:w="469" w:type="pct"/>
                  <w:tcBorders>
                    <w:top w:val="single" w:color="auto" w:sz="4" w:space="0"/>
                    <w:left w:val="nil"/>
                    <w:bottom w:val="single" w:color="auto" w:sz="4" w:space="0"/>
                    <w:right w:val="single" w:color="auto" w:sz="4" w:space="0"/>
                  </w:tcBorders>
                  <w:shd w:val="clear" w:color="auto" w:fill="auto"/>
                  <w:vAlign w:val="center"/>
                </w:tcPr>
                <w:p w14:paraId="02EFE8C8">
                  <w:pPr>
                    <w:autoSpaceDE w:val="0"/>
                    <w:jc w:val="center"/>
                    <w:rPr>
                      <w:color w:val="000000"/>
                      <w:szCs w:val="21"/>
                      <w:highlight w:val="none"/>
                    </w:rPr>
                  </w:pPr>
                  <w:r>
                    <w:rPr>
                      <w:rFonts w:hint="eastAsia"/>
                      <w:color w:val="000000"/>
                      <w:szCs w:val="21"/>
                      <w:highlight w:val="none"/>
                    </w:rPr>
                    <w:t>0</w:t>
                  </w:r>
                  <w:r>
                    <w:rPr>
                      <w:color w:val="000000"/>
                      <w:szCs w:val="21"/>
                      <w:highlight w:val="none"/>
                    </w:rPr>
                    <w:t>.01</w:t>
                  </w:r>
                </w:p>
              </w:tc>
              <w:tc>
                <w:tcPr>
                  <w:tcW w:w="358" w:type="pct"/>
                  <w:vMerge w:val="continue"/>
                  <w:tcBorders>
                    <w:left w:val="nil"/>
                    <w:bottom w:val="single" w:color="auto" w:sz="4" w:space="0"/>
                    <w:right w:val="single" w:color="auto" w:sz="4" w:space="0"/>
                  </w:tcBorders>
                  <w:shd w:val="clear" w:color="auto" w:fill="auto"/>
                  <w:vAlign w:val="center"/>
                </w:tcPr>
                <w:p w14:paraId="48C2019E">
                  <w:pPr>
                    <w:autoSpaceDE w:val="0"/>
                    <w:jc w:val="center"/>
                    <w:rPr>
                      <w:color w:val="000000"/>
                      <w:szCs w:val="21"/>
                      <w:highlight w:val="none"/>
                    </w:rPr>
                  </w:pPr>
                </w:p>
              </w:tc>
              <w:tc>
                <w:tcPr>
                  <w:tcW w:w="575" w:type="pct"/>
                  <w:vMerge w:val="continue"/>
                  <w:tcBorders>
                    <w:left w:val="nil"/>
                    <w:bottom w:val="single" w:color="auto" w:sz="4" w:space="0"/>
                    <w:right w:val="single" w:color="auto" w:sz="4" w:space="0"/>
                  </w:tcBorders>
                  <w:shd w:val="clear" w:color="auto" w:fill="auto"/>
                  <w:vAlign w:val="center"/>
                </w:tcPr>
                <w:p w14:paraId="55C4F6BF">
                  <w:pPr>
                    <w:autoSpaceDE w:val="0"/>
                    <w:jc w:val="center"/>
                    <w:rPr>
                      <w:color w:val="000000"/>
                      <w:szCs w:val="21"/>
                      <w:highlight w:val="none"/>
                    </w:rPr>
                  </w:pPr>
                </w:p>
              </w:tc>
              <w:tc>
                <w:tcPr>
                  <w:tcW w:w="455" w:type="pct"/>
                  <w:tcBorders>
                    <w:top w:val="single" w:color="auto" w:sz="4" w:space="0"/>
                    <w:left w:val="nil"/>
                    <w:bottom w:val="single" w:color="auto" w:sz="4" w:space="0"/>
                    <w:right w:val="single" w:color="auto" w:sz="4" w:space="0"/>
                  </w:tcBorders>
                  <w:shd w:val="clear" w:color="auto" w:fill="auto"/>
                  <w:vAlign w:val="center"/>
                </w:tcPr>
                <w:p w14:paraId="003AE0E5">
                  <w:pPr>
                    <w:autoSpaceDE w:val="0"/>
                    <w:jc w:val="center"/>
                    <w:rPr>
                      <w:color w:val="000000"/>
                      <w:szCs w:val="21"/>
                      <w:highlight w:val="none"/>
                    </w:rPr>
                  </w:pPr>
                  <w:r>
                    <w:rPr>
                      <w:color w:val="000000"/>
                      <w:szCs w:val="21"/>
                      <w:highlight w:val="none"/>
                    </w:rPr>
                    <w:t>0</w:t>
                  </w:r>
                </w:p>
              </w:tc>
            </w:tr>
          </w:tbl>
          <w:p w14:paraId="07D6C739">
            <w:pPr>
              <w:ind w:firstLine="482"/>
              <w:rPr>
                <w:b/>
                <w:highlight w:val="none"/>
              </w:rPr>
            </w:pPr>
            <w:r>
              <w:rPr>
                <w:rFonts w:hint="eastAsia"/>
                <w:b/>
                <w:highlight w:val="none"/>
              </w:rPr>
              <w:t>注：1、生活垃圾、一般工业固体废物编码依据关于发布《固体废物分类与代码目录》的公告（公告2024年第4号）确定；2、危险废物编码依据《国家危险废物名录》（2</w:t>
            </w:r>
            <w:r>
              <w:rPr>
                <w:b/>
                <w:highlight w:val="none"/>
              </w:rPr>
              <w:t>021</w:t>
            </w:r>
            <w:r>
              <w:rPr>
                <w:rFonts w:hint="eastAsia"/>
                <w:b/>
                <w:highlight w:val="none"/>
              </w:rPr>
              <w:t>年版）确定。</w:t>
            </w:r>
          </w:p>
          <w:p w14:paraId="3CAEB74F">
            <w:pPr>
              <w:spacing w:before="120" w:beforeLines="50" w:line="360" w:lineRule="auto"/>
              <w:ind w:firstLine="482"/>
              <w:rPr>
                <w:b/>
                <w:sz w:val="24"/>
                <w:highlight w:val="none"/>
              </w:rPr>
            </w:pPr>
            <w:r>
              <w:rPr>
                <w:rFonts w:hint="eastAsia"/>
                <w:b/>
                <w:sz w:val="24"/>
                <w:highlight w:val="none"/>
              </w:rPr>
              <w:t>（</w:t>
            </w:r>
            <w:r>
              <w:rPr>
                <w:b/>
                <w:sz w:val="24"/>
                <w:highlight w:val="none"/>
              </w:rPr>
              <w:t>3</w:t>
            </w:r>
            <w:r>
              <w:rPr>
                <w:rFonts w:hint="eastAsia"/>
                <w:b/>
                <w:sz w:val="24"/>
                <w:highlight w:val="none"/>
              </w:rPr>
              <w:t>）危险废物环境影响分析</w:t>
            </w:r>
          </w:p>
          <w:p w14:paraId="15BB3847">
            <w:pPr>
              <w:spacing w:line="360" w:lineRule="auto"/>
              <w:ind w:firstLine="480"/>
              <w:rPr>
                <w:sz w:val="24"/>
                <w:highlight w:val="none"/>
              </w:rPr>
            </w:pPr>
            <w:r>
              <w:rPr>
                <w:sz w:val="24"/>
                <w:highlight w:val="none"/>
              </w:rPr>
              <w:t>①</w:t>
            </w:r>
            <w:r>
              <w:rPr>
                <w:rFonts w:hint="eastAsia"/>
                <w:sz w:val="24"/>
                <w:highlight w:val="none"/>
              </w:rPr>
              <w:t>危险废物贮存场所（设施）</w:t>
            </w:r>
          </w:p>
          <w:p w14:paraId="4A6AC8D2">
            <w:pPr>
              <w:spacing w:line="360" w:lineRule="auto"/>
              <w:ind w:firstLine="480"/>
              <w:rPr>
                <w:sz w:val="24"/>
                <w:highlight w:val="none"/>
              </w:rPr>
            </w:pPr>
            <w:r>
              <w:rPr>
                <w:rFonts w:hint="eastAsia" w:ascii="Times New Roman" w:hAnsi="Times New Roman"/>
                <w:sz w:val="24"/>
                <w:highlight w:val="none"/>
              </w:rPr>
              <w:t>本项目贮存的危险废物涉及</w:t>
            </w:r>
            <w:r>
              <w:rPr>
                <w:rFonts w:ascii="Times New Roman" w:hAnsi="Times New Roman"/>
                <w:sz w:val="24"/>
                <w:highlight w:val="none"/>
              </w:rPr>
              <w:t>HW03、HW04、HW05、HW06、HW08、HW09、HW11、HW12、HW13、HW16、HW17、HW21、HW22、HW23、HW29、HW34、HW35、HW36、HW37、HW46、HW48、HW49、HW50</w:t>
            </w:r>
            <w:r>
              <w:rPr>
                <w:rFonts w:hint="eastAsia" w:ascii="Times New Roman" w:hAnsi="Times New Roman"/>
                <w:sz w:val="24"/>
                <w:highlight w:val="none"/>
              </w:rPr>
              <w:t>共计2</w:t>
            </w:r>
            <w:r>
              <w:rPr>
                <w:rFonts w:hint="eastAsia"/>
                <w:sz w:val="24"/>
                <w:highlight w:val="none"/>
                <w:lang w:val="en-US" w:eastAsia="zh-CN"/>
              </w:rPr>
              <w:t>3</w:t>
            </w:r>
            <w:r>
              <w:rPr>
                <w:rFonts w:hint="eastAsia" w:ascii="Times New Roman" w:hAnsi="Times New Roman"/>
                <w:sz w:val="24"/>
                <w:highlight w:val="none"/>
              </w:rPr>
              <w:t>类危险废物。具体信息见下表</w:t>
            </w:r>
            <w:r>
              <w:rPr>
                <w:rFonts w:hint="eastAsia"/>
                <w:sz w:val="24"/>
                <w:highlight w:val="none"/>
              </w:rPr>
              <w:t>。</w:t>
            </w:r>
          </w:p>
          <w:p w14:paraId="749FFCAB">
            <w:pPr>
              <w:spacing w:line="360" w:lineRule="auto"/>
              <w:ind w:firstLine="480"/>
              <w:rPr>
                <w:sz w:val="24"/>
                <w:highlight w:val="none"/>
              </w:rPr>
            </w:pPr>
            <w:r>
              <w:rPr>
                <w:rFonts w:hint="eastAsia"/>
                <w:sz w:val="24"/>
                <w:highlight w:val="none"/>
              </w:rPr>
              <w:t>项目拟建</w:t>
            </w:r>
            <w:r>
              <w:rPr>
                <w:rFonts w:hint="eastAsia" w:ascii="Times New Roman" w:hAnsi="Times New Roman" w:eastAsia="宋体" w:cs="Times New Roman"/>
                <w:sz w:val="24"/>
                <w:highlight w:val="none"/>
              </w:rPr>
              <w:t>设的</w:t>
            </w:r>
            <w:r>
              <w:rPr>
                <w:rFonts w:hint="eastAsia" w:cs="Times New Roman"/>
                <w:sz w:val="24"/>
                <w:highlight w:val="none"/>
                <w:lang w:eastAsia="zh-CN"/>
              </w:rPr>
              <w:t>危险废物收集贮存库</w:t>
            </w:r>
            <w:r>
              <w:rPr>
                <w:rFonts w:hint="eastAsia" w:ascii="Times New Roman" w:hAnsi="Times New Roman" w:eastAsia="宋体" w:cs="Times New Roman"/>
                <w:sz w:val="24"/>
                <w:highlight w:val="none"/>
              </w:rPr>
              <w:t>基</w:t>
            </w:r>
            <w:r>
              <w:rPr>
                <w:rFonts w:hint="eastAsia"/>
                <w:sz w:val="24"/>
                <w:highlight w:val="none"/>
              </w:rPr>
              <w:t>本情况列表如下：</w:t>
            </w:r>
          </w:p>
          <w:p w14:paraId="755320B2">
            <w:pPr>
              <w:pStyle w:val="48"/>
              <w:numPr>
                <w:ilvl w:val="0"/>
                <w:numId w:val="9"/>
              </w:numPr>
              <w:spacing w:line="360" w:lineRule="auto"/>
              <w:ind w:left="0" w:firstLine="0" w:firstLineChars="0"/>
              <w:jc w:val="center"/>
              <w:rPr>
                <w:rFonts w:ascii="Times New Roman" w:hAnsi="Times New Roman" w:eastAsia="宋体"/>
                <w:b/>
                <w:sz w:val="21"/>
                <w:highlight w:val="none"/>
              </w:rPr>
            </w:pPr>
            <w:r>
              <w:rPr>
                <w:rFonts w:hint="eastAsia" w:ascii="Times New Roman" w:hAnsi="Times New Roman" w:eastAsia="宋体"/>
                <w:b/>
                <w:sz w:val="21"/>
                <w:highlight w:val="none"/>
              </w:rPr>
              <w:t>危险废物贮存场所基本情况一览表</w:t>
            </w:r>
          </w:p>
          <w:tbl>
            <w:tblPr>
              <w:tblStyle w:val="21"/>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1027"/>
              <w:gridCol w:w="1057"/>
              <w:gridCol w:w="1073"/>
              <w:gridCol w:w="1105"/>
              <w:gridCol w:w="932"/>
              <w:gridCol w:w="1064"/>
              <w:gridCol w:w="656"/>
              <w:gridCol w:w="531"/>
              <w:gridCol w:w="584"/>
            </w:tblGrid>
            <w:tr w14:paraId="4BA6BE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3" w:hRule="atLeast"/>
              </w:trPr>
              <w:tc>
                <w:tcPr>
                  <w:tcW w:w="427" w:type="dxa"/>
                  <w:noWrap w:val="0"/>
                  <w:vAlign w:val="center"/>
                </w:tcPr>
                <w:p w14:paraId="1B3D70A0">
                  <w:pPr>
                    <w:jc w:val="center"/>
                    <w:rPr>
                      <w:rFonts w:ascii="Times New Roman" w:hAnsi="Times New Roman"/>
                      <w:b/>
                      <w:bCs/>
                      <w:highlight w:val="none"/>
                    </w:rPr>
                  </w:pPr>
                  <w:r>
                    <w:rPr>
                      <w:rFonts w:ascii="Times New Roman" w:hAnsi="Times New Roman"/>
                      <w:b/>
                      <w:bCs/>
                      <w:highlight w:val="none"/>
                    </w:rPr>
                    <w:t>序号</w:t>
                  </w:r>
                </w:p>
              </w:tc>
              <w:tc>
                <w:tcPr>
                  <w:tcW w:w="1028" w:type="dxa"/>
                  <w:noWrap w:val="0"/>
                  <w:vAlign w:val="center"/>
                </w:tcPr>
                <w:p w14:paraId="10762888">
                  <w:pPr>
                    <w:jc w:val="center"/>
                    <w:rPr>
                      <w:rFonts w:hint="default" w:ascii="Times New Roman" w:hAnsi="Times New Roman" w:eastAsia="宋体"/>
                      <w:b/>
                      <w:bCs/>
                      <w:highlight w:val="none"/>
                      <w:lang w:val="en-US" w:eastAsia="zh-CN"/>
                    </w:rPr>
                  </w:pPr>
                  <w:r>
                    <w:rPr>
                      <w:rFonts w:hint="eastAsia" w:ascii="Times New Roman" w:hAnsi="Times New Roman"/>
                      <w:b/>
                      <w:bCs/>
                      <w:highlight w:val="none"/>
                      <w:lang w:val="en-US" w:eastAsia="zh-CN"/>
                    </w:rPr>
                    <w:t>贮存设施</w:t>
                  </w:r>
                </w:p>
              </w:tc>
              <w:tc>
                <w:tcPr>
                  <w:tcW w:w="1057" w:type="dxa"/>
                  <w:noWrap w:val="0"/>
                  <w:vAlign w:val="center"/>
                </w:tcPr>
                <w:p w14:paraId="16842727">
                  <w:pPr>
                    <w:jc w:val="center"/>
                    <w:rPr>
                      <w:rFonts w:hint="default" w:ascii="Times New Roman" w:hAnsi="Times New Roman" w:eastAsia="宋体"/>
                      <w:b/>
                      <w:bCs/>
                      <w:highlight w:val="none"/>
                      <w:lang w:val="en-US" w:eastAsia="zh-CN"/>
                    </w:rPr>
                  </w:pPr>
                  <w:r>
                    <w:rPr>
                      <w:rFonts w:hint="eastAsia" w:ascii="Times New Roman" w:hAnsi="Times New Roman"/>
                      <w:b/>
                      <w:bCs/>
                      <w:highlight w:val="none"/>
                      <w:lang w:val="en-US" w:eastAsia="zh-CN"/>
                    </w:rPr>
                    <w:t>位置</w:t>
                  </w:r>
                </w:p>
              </w:tc>
              <w:tc>
                <w:tcPr>
                  <w:tcW w:w="1073" w:type="dxa"/>
                  <w:noWrap w:val="0"/>
                  <w:vAlign w:val="center"/>
                </w:tcPr>
                <w:p w14:paraId="69651E61">
                  <w:pPr>
                    <w:jc w:val="center"/>
                    <w:rPr>
                      <w:rFonts w:hint="eastAsia" w:ascii="Times New Roman" w:hAnsi="Times New Roman"/>
                      <w:b/>
                      <w:bCs/>
                      <w:highlight w:val="none"/>
                      <w:lang w:val="en-US" w:eastAsia="zh-CN"/>
                    </w:rPr>
                  </w:pPr>
                  <w:r>
                    <w:rPr>
                      <w:rFonts w:hint="eastAsia" w:ascii="Times New Roman" w:hAnsi="Times New Roman"/>
                      <w:b/>
                      <w:bCs/>
                      <w:highlight w:val="none"/>
                      <w:lang w:val="en-US" w:eastAsia="zh-CN"/>
                    </w:rPr>
                    <w:t>面积</w:t>
                  </w:r>
                </w:p>
              </w:tc>
              <w:tc>
                <w:tcPr>
                  <w:tcW w:w="1105" w:type="dxa"/>
                  <w:noWrap w:val="0"/>
                  <w:vAlign w:val="center"/>
                </w:tcPr>
                <w:p w14:paraId="29EC3723">
                  <w:pPr>
                    <w:jc w:val="center"/>
                    <w:rPr>
                      <w:rFonts w:ascii="Times New Roman" w:hAnsi="Times New Roman"/>
                      <w:b/>
                      <w:bCs/>
                      <w:highlight w:val="none"/>
                    </w:rPr>
                  </w:pPr>
                  <w:r>
                    <w:rPr>
                      <w:rFonts w:ascii="Times New Roman" w:hAnsi="Times New Roman"/>
                      <w:b/>
                      <w:bCs/>
                      <w:highlight w:val="none"/>
                    </w:rPr>
                    <w:t>危险废物类别</w:t>
                  </w:r>
                </w:p>
              </w:tc>
              <w:tc>
                <w:tcPr>
                  <w:tcW w:w="932" w:type="dxa"/>
                  <w:noWrap w:val="0"/>
                  <w:vAlign w:val="center"/>
                </w:tcPr>
                <w:p w14:paraId="4076FA9D">
                  <w:pPr>
                    <w:jc w:val="center"/>
                    <w:rPr>
                      <w:rFonts w:ascii="Times New Roman" w:hAnsi="Times New Roman"/>
                      <w:b/>
                      <w:bCs/>
                      <w:highlight w:val="none"/>
                    </w:rPr>
                  </w:pPr>
                  <w:r>
                    <w:rPr>
                      <w:rFonts w:hint="eastAsia" w:ascii="Times New Roman" w:hAnsi="Times New Roman"/>
                      <w:b/>
                      <w:bCs/>
                      <w:highlight w:val="none"/>
                    </w:rPr>
                    <w:t>贮存状态</w:t>
                  </w:r>
                </w:p>
              </w:tc>
              <w:tc>
                <w:tcPr>
                  <w:tcW w:w="1064" w:type="dxa"/>
                  <w:noWrap w:val="0"/>
                  <w:vAlign w:val="center"/>
                </w:tcPr>
                <w:p w14:paraId="2DF65FB1">
                  <w:pPr>
                    <w:jc w:val="center"/>
                    <w:rPr>
                      <w:rFonts w:hint="eastAsia" w:ascii="Times New Roman" w:hAnsi="Times New Roman"/>
                      <w:b/>
                      <w:bCs/>
                      <w:highlight w:val="none"/>
                    </w:rPr>
                  </w:pPr>
                  <w:r>
                    <w:rPr>
                      <w:rFonts w:hint="eastAsia" w:ascii="Times New Roman" w:hAnsi="Times New Roman"/>
                      <w:b/>
                      <w:bCs/>
                      <w:highlight w:val="none"/>
                    </w:rPr>
                    <w:t>危险特性</w:t>
                  </w:r>
                </w:p>
              </w:tc>
              <w:tc>
                <w:tcPr>
                  <w:tcW w:w="656" w:type="dxa"/>
                  <w:noWrap w:val="0"/>
                  <w:vAlign w:val="center"/>
                </w:tcPr>
                <w:p w14:paraId="2B4DCF69">
                  <w:pPr>
                    <w:jc w:val="center"/>
                    <w:rPr>
                      <w:rFonts w:ascii="Times New Roman" w:hAnsi="Times New Roman"/>
                      <w:b/>
                      <w:bCs/>
                      <w:highlight w:val="none"/>
                    </w:rPr>
                  </w:pPr>
                  <w:r>
                    <w:rPr>
                      <w:rFonts w:hint="eastAsia" w:ascii="Times New Roman" w:hAnsi="Times New Roman"/>
                      <w:b/>
                      <w:bCs/>
                      <w:highlight w:val="none"/>
                    </w:rPr>
                    <w:t>贮存形式</w:t>
                  </w:r>
                </w:p>
              </w:tc>
              <w:tc>
                <w:tcPr>
                  <w:tcW w:w="531" w:type="dxa"/>
                  <w:noWrap w:val="0"/>
                  <w:vAlign w:val="center"/>
                </w:tcPr>
                <w:p w14:paraId="5197D6D5">
                  <w:pPr>
                    <w:jc w:val="center"/>
                    <w:rPr>
                      <w:rFonts w:ascii="Times New Roman" w:hAnsi="Times New Roman"/>
                      <w:b/>
                      <w:bCs/>
                      <w:highlight w:val="none"/>
                    </w:rPr>
                  </w:pPr>
                  <w:r>
                    <w:rPr>
                      <w:rFonts w:hint="eastAsia" w:ascii="Times New Roman" w:hAnsi="Times New Roman"/>
                      <w:b/>
                      <w:bCs/>
                      <w:highlight w:val="none"/>
                    </w:rPr>
                    <w:t>最大贮存量t</w:t>
                  </w:r>
                </w:p>
              </w:tc>
              <w:tc>
                <w:tcPr>
                  <w:tcW w:w="584" w:type="dxa"/>
                  <w:noWrap w:val="0"/>
                  <w:vAlign w:val="center"/>
                </w:tcPr>
                <w:p w14:paraId="1AE90AA1">
                  <w:pPr>
                    <w:jc w:val="center"/>
                    <w:rPr>
                      <w:rFonts w:hint="default" w:ascii="Times New Roman" w:hAnsi="Times New Roman" w:eastAsia="宋体"/>
                      <w:b/>
                      <w:bCs/>
                      <w:highlight w:val="none"/>
                      <w:lang w:val="en-US" w:eastAsia="zh-CN"/>
                    </w:rPr>
                  </w:pPr>
                  <w:r>
                    <w:rPr>
                      <w:rFonts w:hint="eastAsia" w:ascii="Times New Roman" w:hAnsi="Times New Roman"/>
                      <w:b/>
                      <w:bCs/>
                      <w:highlight w:val="none"/>
                      <w:lang w:val="en-US" w:eastAsia="zh-CN"/>
                    </w:rPr>
                    <w:t>贮存周期</w:t>
                  </w:r>
                </w:p>
              </w:tc>
            </w:tr>
            <w:tr w14:paraId="22C3E3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427" w:type="dxa"/>
                  <w:noWrap w:val="0"/>
                  <w:vAlign w:val="center"/>
                </w:tcPr>
                <w:p w14:paraId="36AB7207">
                  <w:pPr>
                    <w:jc w:val="center"/>
                    <w:rPr>
                      <w:rFonts w:hint="eastAsia" w:ascii="Times New Roman" w:hAnsi="Times New Roman"/>
                      <w:highlight w:val="none"/>
                    </w:rPr>
                  </w:pPr>
                  <w:r>
                    <w:rPr>
                      <w:rFonts w:hint="eastAsia" w:ascii="Times New Roman" w:hAnsi="Times New Roman"/>
                      <w:highlight w:val="none"/>
                    </w:rPr>
                    <w:t>1</w:t>
                  </w:r>
                </w:p>
              </w:tc>
              <w:tc>
                <w:tcPr>
                  <w:tcW w:w="1028" w:type="dxa"/>
                  <w:vMerge w:val="restart"/>
                  <w:noWrap w:val="0"/>
                  <w:vAlign w:val="center"/>
                </w:tcPr>
                <w:p w14:paraId="1C323686">
                  <w:pPr>
                    <w:jc w:val="center"/>
                    <w:rPr>
                      <w:rFonts w:hint="eastAsia" w:ascii="Times New Roman" w:hAnsi="Times New Roman" w:eastAsia="宋体"/>
                      <w:szCs w:val="21"/>
                      <w:highlight w:val="none"/>
                      <w:lang w:eastAsia="zh-CN"/>
                    </w:rPr>
                  </w:pPr>
                  <w:r>
                    <w:rPr>
                      <w:rFonts w:hint="eastAsia"/>
                      <w:szCs w:val="21"/>
                      <w:highlight w:val="none"/>
                      <w:lang w:eastAsia="zh-CN"/>
                    </w:rPr>
                    <w:t>危险废物收集贮存库</w:t>
                  </w:r>
                </w:p>
              </w:tc>
              <w:tc>
                <w:tcPr>
                  <w:tcW w:w="1057" w:type="dxa"/>
                  <w:vMerge w:val="restart"/>
                  <w:noWrap w:val="0"/>
                  <w:vAlign w:val="center"/>
                </w:tcPr>
                <w:p w14:paraId="12609837">
                  <w:pPr>
                    <w:jc w:val="center"/>
                    <w:rPr>
                      <w:rFonts w:hint="default" w:ascii="Times New Roman" w:hAnsi="Times New Roman" w:eastAsia="宋体"/>
                      <w:szCs w:val="21"/>
                      <w:highlight w:val="none"/>
                      <w:lang w:val="en-US" w:eastAsia="zh-CN"/>
                    </w:rPr>
                  </w:pPr>
                  <w:r>
                    <w:rPr>
                      <w:rFonts w:hint="eastAsia" w:ascii="Times New Roman" w:hAnsi="Times New Roman"/>
                      <w:szCs w:val="21"/>
                      <w:highlight w:val="none"/>
                      <w:lang w:val="en-US" w:eastAsia="zh-CN"/>
                    </w:rPr>
                    <w:t>厂区南侧</w:t>
                  </w:r>
                </w:p>
              </w:tc>
              <w:tc>
                <w:tcPr>
                  <w:tcW w:w="1073" w:type="dxa"/>
                  <w:vMerge w:val="restart"/>
                  <w:noWrap w:val="0"/>
                  <w:vAlign w:val="center"/>
                </w:tcPr>
                <w:p w14:paraId="0191A863">
                  <w:pPr>
                    <w:jc w:val="center"/>
                    <w:rPr>
                      <w:rFonts w:hint="default" w:ascii="Times New Roman" w:hAnsi="Times New Roman" w:eastAsia="宋体"/>
                      <w:szCs w:val="21"/>
                      <w:highlight w:val="none"/>
                      <w:lang w:val="en-US" w:eastAsia="zh-CN"/>
                    </w:rPr>
                  </w:pPr>
                  <w:r>
                    <w:rPr>
                      <w:rFonts w:hint="eastAsia" w:ascii="Times New Roman" w:hAnsi="Times New Roman"/>
                      <w:szCs w:val="21"/>
                      <w:highlight w:val="none"/>
                      <w:lang w:val="en-US" w:eastAsia="zh-CN"/>
                    </w:rPr>
                    <w:t>2400m</w:t>
                  </w:r>
                  <w:r>
                    <w:rPr>
                      <w:rFonts w:hint="eastAsia" w:ascii="Times New Roman" w:hAnsi="Times New Roman"/>
                      <w:szCs w:val="21"/>
                      <w:highlight w:val="none"/>
                      <w:vertAlign w:val="superscript"/>
                      <w:lang w:val="en-US" w:eastAsia="zh-CN"/>
                    </w:rPr>
                    <w:t>2</w:t>
                  </w:r>
                </w:p>
              </w:tc>
              <w:tc>
                <w:tcPr>
                  <w:tcW w:w="1105" w:type="dxa"/>
                  <w:shd w:val="clear" w:color="auto" w:fill="auto"/>
                  <w:noWrap w:val="0"/>
                  <w:vAlign w:val="center"/>
                </w:tcPr>
                <w:p w14:paraId="0E491227">
                  <w:pPr>
                    <w:jc w:val="center"/>
                    <w:rPr>
                      <w:rFonts w:ascii="Times New Roman" w:hAnsi="Times New Roman" w:eastAsia="宋体" w:cs="Times New Roman"/>
                      <w:kern w:val="2"/>
                      <w:sz w:val="21"/>
                      <w:szCs w:val="24"/>
                      <w:highlight w:val="none"/>
                      <w:lang w:val="en-US" w:eastAsia="zh-CN" w:bidi="ar-SA"/>
                    </w:rPr>
                  </w:pPr>
                  <w:r>
                    <w:rPr>
                      <w:rFonts w:ascii="Times New Roman" w:hAnsi="Times New Roman"/>
                      <w:szCs w:val="21"/>
                      <w:highlight w:val="none"/>
                    </w:rPr>
                    <w:t>HW03</w:t>
                  </w:r>
                  <w:r>
                    <w:rPr>
                      <w:rFonts w:hint="eastAsia" w:ascii="Times New Roman" w:hAnsi="Times New Roman"/>
                      <w:szCs w:val="21"/>
                      <w:highlight w:val="none"/>
                    </w:rPr>
                    <w:t>废药物、药品</w:t>
                  </w:r>
                </w:p>
              </w:tc>
              <w:tc>
                <w:tcPr>
                  <w:tcW w:w="932" w:type="dxa"/>
                  <w:shd w:val="clear" w:color="auto" w:fill="auto"/>
                  <w:noWrap w:val="0"/>
                  <w:vAlign w:val="center"/>
                </w:tcPr>
                <w:p w14:paraId="38BAC0CD">
                  <w:pPr>
                    <w:jc w:val="center"/>
                    <w:rPr>
                      <w:rFonts w:ascii="Times New Roman" w:hAnsi="Times New Roman" w:eastAsia="宋体" w:cs="Times New Roman"/>
                      <w:kern w:val="2"/>
                      <w:sz w:val="21"/>
                      <w:szCs w:val="24"/>
                      <w:highlight w:val="none"/>
                      <w:lang w:val="en-US" w:eastAsia="zh-CN" w:bidi="ar-SA"/>
                    </w:rPr>
                  </w:pPr>
                  <w:r>
                    <w:rPr>
                      <w:rFonts w:hint="eastAsia" w:ascii="Times New Roman" w:hAnsi="Times New Roman"/>
                      <w:highlight w:val="none"/>
                    </w:rPr>
                    <w:t>固体</w:t>
                  </w:r>
                </w:p>
              </w:tc>
              <w:tc>
                <w:tcPr>
                  <w:tcW w:w="1064" w:type="dxa"/>
                  <w:shd w:val="clear" w:color="auto" w:fill="auto"/>
                  <w:noWrap w:val="0"/>
                  <w:vAlign w:val="center"/>
                </w:tcPr>
                <w:p w14:paraId="08C4D0C2">
                  <w:pPr>
                    <w:jc w:val="center"/>
                    <w:rPr>
                      <w:rFonts w:ascii="Times New Roman" w:hAnsi="Times New Roman" w:eastAsia="宋体" w:cs="Times New Roman"/>
                      <w:kern w:val="2"/>
                      <w:sz w:val="21"/>
                      <w:szCs w:val="24"/>
                      <w:highlight w:val="none"/>
                      <w:lang w:val="en-US" w:eastAsia="zh-CN" w:bidi="ar-SA"/>
                    </w:rPr>
                  </w:pPr>
                  <w:r>
                    <w:rPr>
                      <w:rFonts w:hint="eastAsia" w:ascii="Times New Roman" w:hAnsi="Times New Roman"/>
                      <w:highlight w:val="none"/>
                    </w:rPr>
                    <w:t>T</w:t>
                  </w:r>
                </w:p>
              </w:tc>
              <w:tc>
                <w:tcPr>
                  <w:tcW w:w="656" w:type="dxa"/>
                  <w:shd w:val="clear" w:color="auto" w:fill="auto"/>
                  <w:noWrap w:val="0"/>
                  <w:vAlign w:val="center"/>
                </w:tcPr>
                <w:p w14:paraId="20187FF3">
                  <w:pPr>
                    <w:jc w:val="center"/>
                    <w:rPr>
                      <w:rFonts w:ascii="Times New Roman" w:hAnsi="Times New Roman" w:eastAsia="宋体" w:cs="Times New Roman"/>
                      <w:kern w:val="2"/>
                      <w:sz w:val="21"/>
                      <w:szCs w:val="24"/>
                      <w:highlight w:val="none"/>
                      <w:lang w:val="en-US" w:eastAsia="zh-CN" w:bidi="ar-SA"/>
                    </w:rPr>
                  </w:pPr>
                  <w:r>
                    <w:rPr>
                      <w:rFonts w:hint="eastAsia" w:ascii="Times New Roman" w:hAnsi="Times New Roman"/>
                      <w:highlight w:val="none"/>
                    </w:rPr>
                    <w:t>桶装/袋装</w:t>
                  </w:r>
                </w:p>
              </w:tc>
              <w:tc>
                <w:tcPr>
                  <w:tcW w:w="531" w:type="dxa"/>
                  <w:shd w:val="clear" w:color="auto" w:fill="auto"/>
                  <w:noWrap w:val="0"/>
                  <w:vAlign w:val="center"/>
                </w:tcPr>
                <w:p w14:paraId="5BE04DA4">
                  <w:pPr>
                    <w:jc w:val="center"/>
                    <w:rPr>
                      <w:rFonts w:hint="default"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12</w:t>
                  </w:r>
                </w:p>
              </w:tc>
              <w:tc>
                <w:tcPr>
                  <w:tcW w:w="584" w:type="dxa"/>
                  <w:shd w:val="clear" w:color="auto" w:fill="auto"/>
                  <w:noWrap w:val="0"/>
                  <w:vAlign w:val="center"/>
                </w:tcPr>
                <w:p w14:paraId="19ADC6F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1.8个月</w:t>
                  </w:r>
                </w:p>
              </w:tc>
            </w:tr>
            <w:tr w14:paraId="44605B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427" w:type="dxa"/>
                  <w:noWrap w:val="0"/>
                  <w:vAlign w:val="center"/>
                </w:tcPr>
                <w:p w14:paraId="74FB4475">
                  <w:pPr>
                    <w:jc w:val="center"/>
                    <w:rPr>
                      <w:rFonts w:hint="eastAsia" w:ascii="Times New Roman" w:hAnsi="Times New Roman"/>
                      <w:highlight w:val="none"/>
                    </w:rPr>
                  </w:pPr>
                  <w:r>
                    <w:rPr>
                      <w:rFonts w:hint="eastAsia" w:ascii="Times New Roman" w:hAnsi="Times New Roman"/>
                      <w:highlight w:val="none"/>
                    </w:rPr>
                    <w:t>3</w:t>
                  </w:r>
                </w:p>
              </w:tc>
              <w:tc>
                <w:tcPr>
                  <w:tcW w:w="1028" w:type="dxa"/>
                  <w:vMerge w:val="continue"/>
                  <w:noWrap w:val="0"/>
                  <w:vAlign w:val="center"/>
                </w:tcPr>
                <w:p w14:paraId="63F6AE85">
                  <w:pPr>
                    <w:jc w:val="center"/>
                    <w:rPr>
                      <w:rFonts w:hint="eastAsia" w:ascii="Times New Roman" w:hAnsi="Times New Roman"/>
                      <w:szCs w:val="21"/>
                      <w:highlight w:val="none"/>
                    </w:rPr>
                  </w:pPr>
                </w:p>
              </w:tc>
              <w:tc>
                <w:tcPr>
                  <w:tcW w:w="1057" w:type="dxa"/>
                  <w:vMerge w:val="continue"/>
                  <w:noWrap w:val="0"/>
                  <w:vAlign w:val="center"/>
                </w:tcPr>
                <w:p w14:paraId="5E966546">
                  <w:pPr>
                    <w:jc w:val="center"/>
                    <w:rPr>
                      <w:rFonts w:hint="eastAsia" w:ascii="Times New Roman" w:hAnsi="Times New Roman"/>
                      <w:szCs w:val="21"/>
                      <w:highlight w:val="none"/>
                    </w:rPr>
                  </w:pPr>
                </w:p>
              </w:tc>
              <w:tc>
                <w:tcPr>
                  <w:tcW w:w="1073" w:type="dxa"/>
                  <w:vMerge w:val="continue"/>
                  <w:noWrap w:val="0"/>
                  <w:vAlign w:val="center"/>
                </w:tcPr>
                <w:p w14:paraId="7E9BBFD4">
                  <w:pPr>
                    <w:jc w:val="center"/>
                    <w:rPr>
                      <w:rFonts w:hint="eastAsia" w:ascii="Times New Roman" w:hAnsi="Times New Roman"/>
                      <w:szCs w:val="21"/>
                      <w:highlight w:val="none"/>
                    </w:rPr>
                  </w:pPr>
                </w:p>
              </w:tc>
              <w:tc>
                <w:tcPr>
                  <w:tcW w:w="1105" w:type="dxa"/>
                  <w:noWrap w:val="0"/>
                  <w:vAlign w:val="center"/>
                </w:tcPr>
                <w:p w14:paraId="64FF2BC7">
                  <w:pPr>
                    <w:jc w:val="center"/>
                    <w:rPr>
                      <w:rFonts w:ascii="Times New Roman" w:hAnsi="Times New Roman"/>
                      <w:highlight w:val="none"/>
                    </w:rPr>
                  </w:pPr>
                  <w:r>
                    <w:rPr>
                      <w:rFonts w:hint="eastAsia" w:ascii="Times New Roman" w:hAnsi="Times New Roman"/>
                      <w:szCs w:val="21"/>
                      <w:highlight w:val="none"/>
                    </w:rPr>
                    <w:t>HW04农药废物</w:t>
                  </w:r>
                </w:p>
              </w:tc>
              <w:tc>
                <w:tcPr>
                  <w:tcW w:w="932" w:type="dxa"/>
                  <w:noWrap w:val="0"/>
                  <w:vAlign w:val="center"/>
                </w:tcPr>
                <w:p w14:paraId="532EA003">
                  <w:pPr>
                    <w:jc w:val="center"/>
                    <w:rPr>
                      <w:rFonts w:ascii="Times New Roman" w:hAnsi="Times New Roman"/>
                      <w:highlight w:val="none"/>
                    </w:rPr>
                  </w:pPr>
                  <w:r>
                    <w:rPr>
                      <w:rFonts w:hint="eastAsia" w:ascii="Times New Roman" w:hAnsi="Times New Roman"/>
                      <w:highlight w:val="none"/>
                    </w:rPr>
                    <w:t>液态/半固态/固体</w:t>
                  </w:r>
                </w:p>
              </w:tc>
              <w:tc>
                <w:tcPr>
                  <w:tcW w:w="1064" w:type="dxa"/>
                  <w:noWrap w:val="0"/>
                  <w:vAlign w:val="center"/>
                </w:tcPr>
                <w:p w14:paraId="45DF72D9">
                  <w:pPr>
                    <w:jc w:val="center"/>
                    <w:rPr>
                      <w:rFonts w:ascii="Times New Roman" w:hAnsi="Times New Roman"/>
                      <w:highlight w:val="none"/>
                    </w:rPr>
                  </w:pPr>
                  <w:r>
                    <w:rPr>
                      <w:rFonts w:hint="eastAsia" w:ascii="Times New Roman" w:hAnsi="Times New Roman"/>
                      <w:highlight w:val="none"/>
                    </w:rPr>
                    <w:t>T</w:t>
                  </w:r>
                </w:p>
              </w:tc>
              <w:tc>
                <w:tcPr>
                  <w:tcW w:w="656" w:type="dxa"/>
                  <w:noWrap w:val="0"/>
                  <w:vAlign w:val="center"/>
                </w:tcPr>
                <w:p w14:paraId="21ADE95A">
                  <w:pPr>
                    <w:jc w:val="center"/>
                    <w:rPr>
                      <w:rFonts w:ascii="Times New Roman" w:hAnsi="Times New Roman"/>
                      <w:highlight w:val="none"/>
                    </w:rPr>
                  </w:pPr>
                  <w:r>
                    <w:rPr>
                      <w:rFonts w:hint="eastAsia" w:ascii="Times New Roman" w:hAnsi="Times New Roman"/>
                      <w:highlight w:val="none"/>
                    </w:rPr>
                    <w:t>桶装/袋装</w:t>
                  </w:r>
                </w:p>
              </w:tc>
              <w:tc>
                <w:tcPr>
                  <w:tcW w:w="531" w:type="dxa"/>
                  <w:shd w:val="clear" w:color="auto" w:fill="auto"/>
                  <w:noWrap w:val="0"/>
                  <w:vAlign w:val="center"/>
                </w:tcPr>
                <w:p w14:paraId="099A83B5">
                  <w:pPr>
                    <w:jc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12</w:t>
                  </w:r>
                </w:p>
              </w:tc>
              <w:tc>
                <w:tcPr>
                  <w:tcW w:w="584" w:type="dxa"/>
                  <w:shd w:val="clear" w:color="auto" w:fill="auto"/>
                  <w:noWrap w:val="0"/>
                  <w:vAlign w:val="center"/>
                </w:tcPr>
                <w:p w14:paraId="3CC58B7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1.8个月</w:t>
                  </w:r>
                </w:p>
              </w:tc>
            </w:tr>
            <w:tr w14:paraId="576970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427" w:type="dxa"/>
                  <w:noWrap w:val="0"/>
                  <w:vAlign w:val="center"/>
                </w:tcPr>
                <w:p w14:paraId="69DF64CA">
                  <w:pPr>
                    <w:jc w:val="center"/>
                    <w:rPr>
                      <w:rFonts w:hint="eastAsia" w:ascii="Times New Roman" w:hAnsi="Times New Roman"/>
                      <w:highlight w:val="none"/>
                    </w:rPr>
                  </w:pPr>
                  <w:r>
                    <w:rPr>
                      <w:rFonts w:hint="eastAsia" w:ascii="Times New Roman" w:hAnsi="Times New Roman"/>
                      <w:highlight w:val="none"/>
                    </w:rPr>
                    <w:t>4</w:t>
                  </w:r>
                </w:p>
              </w:tc>
              <w:tc>
                <w:tcPr>
                  <w:tcW w:w="1028" w:type="dxa"/>
                  <w:vMerge w:val="continue"/>
                  <w:noWrap w:val="0"/>
                  <w:vAlign w:val="center"/>
                </w:tcPr>
                <w:p w14:paraId="059349A6">
                  <w:pPr>
                    <w:jc w:val="center"/>
                    <w:rPr>
                      <w:rFonts w:hint="eastAsia" w:ascii="Times New Roman" w:hAnsi="Times New Roman"/>
                      <w:szCs w:val="21"/>
                      <w:highlight w:val="none"/>
                    </w:rPr>
                  </w:pPr>
                </w:p>
              </w:tc>
              <w:tc>
                <w:tcPr>
                  <w:tcW w:w="1057" w:type="dxa"/>
                  <w:vMerge w:val="continue"/>
                  <w:noWrap w:val="0"/>
                  <w:vAlign w:val="center"/>
                </w:tcPr>
                <w:p w14:paraId="78B3B05E">
                  <w:pPr>
                    <w:jc w:val="center"/>
                    <w:rPr>
                      <w:rFonts w:hint="eastAsia" w:ascii="Times New Roman" w:hAnsi="Times New Roman"/>
                      <w:szCs w:val="21"/>
                      <w:highlight w:val="none"/>
                    </w:rPr>
                  </w:pPr>
                </w:p>
              </w:tc>
              <w:tc>
                <w:tcPr>
                  <w:tcW w:w="1073" w:type="dxa"/>
                  <w:vMerge w:val="continue"/>
                  <w:noWrap w:val="0"/>
                  <w:vAlign w:val="center"/>
                </w:tcPr>
                <w:p w14:paraId="07CD2462">
                  <w:pPr>
                    <w:jc w:val="center"/>
                    <w:rPr>
                      <w:rFonts w:hint="eastAsia" w:ascii="Times New Roman" w:hAnsi="Times New Roman"/>
                      <w:szCs w:val="21"/>
                      <w:highlight w:val="none"/>
                    </w:rPr>
                  </w:pPr>
                </w:p>
              </w:tc>
              <w:tc>
                <w:tcPr>
                  <w:tcW w:w="1105" w:type="dxa"/>
                  <w:noWrap w:val="0"/>
                  <w:vAlign w:val="center"/>
                </w:tcPr>
                <w:p w14:paraId="38457F2D">
                  <w:pPr>
                    <w:jc w:val="center"/>
                    <w:rPr>
                      <w:rFonts w:ascii="Times New Roman" w:hAnsi="Times New Roman"/>
                      <w:highlight w:val="none"/>
                    </w:rPr>
                  </w:pPr>
                  <w:r>
                    <w:rPr>
                      <w:rFonts w:hint="eastAsia" w:ascii="Times New Roman" w:hAnsi="Times New Roman"/>
                      <w:szCs w:val="21"/>
                      <w:highlight w:val="none"/>
                    </w:rPr>
                    <w:t>HW05木材防腐剂废物</w:t>
                  </w:r>
                </w:p>
              </w:tc>
              <w:tc>
                <w:tcPr>
                  <w:tcW w:w="932" w:type="dxa"/>
                  <w:noWrap w:val="0"/>
                  <w:vAlign w:val="center"/>
                </w:tcPr>
                <w:p w14:paraId="26D81EF3">
                  <w:pPr>
                    <w:jc w:val="center"/>
                    <w:rPr>
                      <w:rFonts w:ascii="Times New Roman" w:hAnsi="Times New Roman"/>
                      <w:highlight w:val="none"/>
                    </w:rPr>
                  </w:pPr>
                  <w:r>
                    <w:rPr>
                      <w:rFonts w:hint="eastAsia" w:ascii="Times New Roman" w:hAnsi="Times New Roman"/>
                      <w:highlight w:val="none"/>
                    </w:rPr>
                    <w:t>半固态/固体</w:t>
                  </w:r>
                </w:p>
              </w:tc>
              <w:tc>
                <w:tcPr>
                  <w:tcW w:w="1064" w:type="dxa"/>
                  <w:noWrap w:val="0"/>
                  <w:vAlign w:val="center"/>
                </w:tcPr>
                <w:p w14:paraId="1E33F87C">
                  <w:pPr>
                    <w:jc w:val="center"/>
                    <w:rPr>
                      <w:rFonts w:ascii="Times New Roman" w:hAnsi="Times New Roman"/>
                      <w:highlight w:val="none"/>
                    </w:rPr>
                  </w:pPr>
                  <w:r>
                    <w:rPr>
                      <w:rFonts w:hint="eastAsia" w:ascii="Times New Roman" w:hAnsi="Times New Roman"/>
                      <w:highlight w:val="none"/>
                    </w:rPr>
                    <w:t>T</w:t>
                  </w:r>
                </w:p>
              </w:tc>
              <w:tc>
                <w:tcPr>
                  <w:tcW w:w="656" w:type="dxa"/>
                  <w:noWrap w:val="0"/>
                  <w:vAlign w:val="center"/>
                </w:tcPr>
                <w:p w14:paraId="4B5CF961">
                  <w:pPr>
                    <w:jc w:val="center"/>
                    <w:rPr>
                      <w:rFonts w:ascii="Times New Roman" w:hAnsi="Times New Roman"/>
                      <w:highlight w:val="none"/>
                    </w:rPr>
                  </w:pPr>
                  <w:r>
                    <w:rPr>
                      <w:rFonts w:hint="eastAsia" w:ascii="Times New Roman" w:hAnsi="Times New Roman"/>
                      <w:highlight w:val="none"/>
                    </w:rPr>
                    <w:t>桶装/袋装</w:t>
                  </w:r>
                </w:p>
              </w:tc>
              <w:tc>
                <w:tcPr>
                  <w:tcW w:w="531" w:type="dxa"/>
                  <w:shd w:val="clear" w:color="auto" w:fill="auto"/>
                  <w:noWrap w:val="0"/>
                  <w:vAlign w:val="center"/>
                </w:tcPr>
                <w:p w14:paraId="536D7A14">
                  <w:pPr>
                    <w:jc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12</w:t>
                  </w:r>
                </w:p>
              </w:tc>
              <w:tc>
                <w:tcPr>
                  <w:tcW w:w="584" w:type="dxa"/>
                  <w:shd w:val="clear" w:color="auto" w:fill="auto"/>
                  <w:noWrap w:val="0"/>
                  <w:vAlign w:val="center"/>
                </w:tcPr>
                <w:p w14:paraId="47C8370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1.8个月</w:t>
                  </w:r>
                </w:p>
              </w:tc>
            </w:tr>
            <w:tr w14:paraId="434C27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trPr>
              <w:tc>
                <w:tcPr>
                  <w:tcW w:w="427" w:type="dxa"/>
                  <w:noWrap w:val="0"/>
                  <w:vAlign w:val="center"/>
                </w:tcPr>
                <w:p w14:paraId="547E44F9">
                  <w:pPr>
                    <w:jc w:val="center"/>
                    <w:rPr>
                      <w:rFonts w:hint="eastAsia" w:ascii="Times New Roman" w:hAnsi="Times New Roman"/>
                      <w:highlight w:val="none"/>
                    </w:rPr>
                  </w:pPr>
                  <w:r>
                    <w:rPr>
                      <w:rFonts w:hint="eastAsia" w:ascii="Times New Roman" w:hAnsi="Times New Roman"/>
                      <w:highlight w:val="none"/>
                    </w:rPr>
                    <w:t>5</w:t>
                  </w:r>
                </w:p>
              </w:tc>
              <w:tc>
                <w:tcPr>
                  <w:tcW w:w="1028" w:type="dxa"/>
                  <w:vMerge w:val="continue"/>
                  <w:noWrap w:val="0"/>
                  <w:vAlign w:val="center"/>
                </w:tcPr>
                <w:p w14:paraId="3D977A21">
                  <w:pPr>
                    <w:jc w:val="center"/>
                    <w:rPr>
                      <w:rFonts w:hint="eastAsia" w:ascii="Times New Roman" w:hAnsi="Times New Roman"/>
                      <w:szCs w:val="21"/>
                      <w:highlight w:val="none"/>
                    </w:rPr>
                  </w:pPr>
                </w:p>
              </w:tc>
              <w:tc>
                <w:tcPr>
                  <w:tcW w:w="1057" w:type="dxa"/>
                  <w:vMerge w:val="continue"/>
                  <w:noWrap w:val="0"/>
                  <w:vAlign w:val="center"/>
                </w:tcPr>
                <w:p w14:paraId="035FF2F5">
                  <w:pPr>
                    <w:jc w:val="center"/>
                    <w:rPr>
                      <w:rFonts w:hint="eastAsia" w:ascii="Times New Roman" w:hAnsi="Times New Roman"/>
                      <w:szCs w:val="21"/>
                      <w:highlight w:val="none"/>
                    </w:rPr>
                  </w:pPr>
                </w:p>
              </w:tc>
              <w:tc>
                <w:tcPr>
                  <w:tcW w:w="1073" w:type="dxa"/>
                  <w:vMerge w:val="continue"/>
                  <w:noWrap w:val="0"/>
                  <w:vAlign w:val="center"/>
                </w:tcPr>
                <w:p w14:paraId="02C2E709">
                  <w:pPr>
                    <w:jc w:val="center"/>
                    <w:rPr>
                      <w:rFonts w:hint="eastAsia" w:ascii="Times New Roman" w:hAnsi="Times New Roman"/>
                      <w:szCs w:val="21"/>
                      <w:highlight w:val="none"/>
                    </w:rPr>
                  </w:pPr>
                </w:p>
              </w:tc>
              <w:tc>
                <w:tcPr>
                  <w:tcW w:w="1105" w:type="dxa"/>
                  <w:noWrap w:val="0"/>
                  <w:vAlign w:val="center"/>
                </w:tcPr>
                <w:p w14:paraId="55974558">
                  <w:pPr>
                    <w:jc w:val="center"/>
                    <w:rPr>
                      <w:rFonts w:ascii="Times New Roman" w:hAnsi="Times New Roman"/>
                      <w:highlight w:val="none"/>
                    </w:rPr>
                  </w:pPr>
                  <w:r>
                    <w:rPr>
                      <w:rFonts w:hint="eastAsia" w:ascii="Times New Roman" w:hAnsi="Times New Roman"/>
                      <w:szCs w:val="21"/>
                      <w:highlight w:val="none"/>
                    </w:rPr>
                    <w:t>HW06废有机溶剂与含有机溶剂废物</w:t>
                  </w:r>
                </w:p>
              </w:tc>
              <w:tc>
                <w:tcPr>
                  <w:tcW w:w="932" w:type="dxa"/>
                  <w:noWrap w:val="0"/>
                  <w:vAlign w:val="center"/>
                </w:tcPr>
                <w:p w14:paraId="16BFC723">
                  <w:pPr>
                    <w:jc w:val="center"/>
                    <w:rPr>
                      <w:rFonts w:ascii="Times New Roman" w:hAnsi="Times New Roman"/>
                      <w:highlight w:val="none"/>
                    </w:rPr>
                  </w:pPr>
                  <w:r>
                    <w:rPr>
                      <w:rFonts w:hint="eastAsia" w:ascii="Times New Roman" w:hAnsi="Times New Roman"/>
                      <w:highlight w:val="none"/>
                    </w:rPr>
                    <w:t>液态/半固态/固体</w:t>
                  </w:r>
                </w:p>
              </w:tc>
              <w:tc>
                <w:tcPr>
                  <w:tcW w:w="1064" w:type="dxa"/>
                  <w:noWrap w:val="0"/>
                  <w:vAlign w:val="center"/>
                </w:tcPr>
                <w:p w14:paraId="201791B0">
                  <w:pPr>
                    <w:jc w:val="center"/>
                    <w:rPr>
                      <w:rFonts w:ascii="Times New Roman" w:hAnsi="Times New Roman"/>
                      <w:highlight w:val="none"/>
                    </w:rPr>
                  </w:pPr>
                  <w:r>
                    <w:rPr>
                      <w:rFonts w:hint="eastAsia" w:ascii="Times New Roman" w:hAnsi="Times New Roman"/>
                      <w:highlight w:val="none"/>
                    </w:rPr>
                    <w:t>T,I,R</w:t>
                  </w:r>
                </w:p>
              </w:tc>
              <w:tc>
                <w:tcPr>
                  <w:tcW w:w="656" w:type="dxa"/>
                  <w:noWrap w:val="0"/>
                  <w:vAlign w:val="center"/>
                </w:tcPr>
                <w:p w14:paraId="68929A51">
                  <w:pPr>
                    <w:jc w:val="center"/>
                    <w:rPr>
                      <w:rFonts w:ascii="Times New Roman" w:hAnsi="Times New Roman"/>
                      <w:highlight w:val="none"/>
                    </w:rPr>
                  </w:pPr>
                  <w:r>
                    <w:rPr>
                      <w:rFonts w:hint="eastAsia" w:ascii="Times New Roman" w:hAnsi="Times New Roman"/>
                      <w:highlight w:val="none"/>
                    </w:rPr>
                    <w:t>桶装/袋装</w:t>
                  </w:r>
                </w:p>
              </w:tc>
              <w:tc>
                <w:tcPr>
                  <w:tcW w:w="531" w:type="dxa"/>
                  <w:shd w:val="clear" w:color="auto" w:fill="auto"/>
                  <w:noWrap w:val="0"/>
                  <w:vAlign w:val="center"/>
                </w:tcPr>
                <w:p w14:paraId="55F503E1">
                  <w:pPr>
                    <w:jc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12</w:t>
                  </w:r>
                </w:p>
              </w:tc>
              <w:tc>
                <w:tcPr>
                  <w:tcW w:w="584" w:type="dxa"/>
                  <w:shd w:val="clear" w:color="auto" w:fill="auto"/>
                  <w:noWrap w:val="0"/>
                  <w:vAlign w:val="center"/>
                </w:tcPr>
                <w:p w14:paraId="72440A1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1.8个月</w:t>
                  </w:r>
                </w:p>
              </w:tc>
            </w:tr>
            <w:tr w14:paraId="45E285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427" w:type="dxa"/>
                  <w:noWrap w:val="0"/>
                  <w:vAlign w:val="center"/>
                </w:tcPr>
                <w:p w14:paraId="5DE14111">
                  <w:pPr>
                    <w:jc w:val="center"/>
                    <w:rPr>
                      <w:rFonts w:hint="eastAsia" w:ascii="Times New Roman" w:hAnsi="Times New Roman"/>
                      <w:highlight w:val="none"/>
                    </w:rPr>
                  </w:pPr>
                  <w:r>
                    <w:rPr>
                      <w:rFonts w:hint="eastAsia" w:ascii="Times New Roman" w:hAnsi="Times New Roman"/>
                      <w:highlight w:val="none"/>
                    </w:rPr>
                    <w:t>6</w:t>
                  </w:r>
                </w:p>
              </w:tc>
              <w:tc>
                <w:tcPr>
                  <w:tcW w:w="1028" w:type="dxa"/>
                  <w:vMerge w:val="continue"/>
                  <w:noWrap w:val="0"/>
                  <w:vAlign w:val="center"/>
                </w:tcPr>
                <w:p w14:paraId="6DA588F7">
                  <w:pPr>
                    <w:jc w:val="center"/>
                    <w:rPr>
                      <w:rFonts w:ascii="Times New Roman" w:hAnsi="Times New Roman"/>
                      <w:szCs w:val="21"/>
                      <w:highlight w:val="none"/>
                    </w:rPr>
                  </w:pPr>
                </w:p>
              </w:tc>
              <w:tc>
                <w:tcPr>
                  <w:tcW w:w="1057" w:type="dxa"/>
                  <w:vMerge w:val="continue"/>
                  <w:noWrap w:val="0"/>
                  <w:vAlign w:val="center"/>
                </w:tcPr>
                <w:p w14:paraId="18FCA3BA">
                  <w:pPr>
                    <w:jc w:val="center"/>
                    <w:rPr>
                      <w:rFonts w:ascii="Times New Roman" w:hAnsi="Times New Roman"/>
                      <w:szCs w:val="21"/>
                      <w:highlight w:val="none"/>
                    </w:rPr>
                  </w:pPr>
                </w:p>
              </w:tc>
              <w:tc>
                <w:tcPr>
                  <w:tcW w:w="1073" w:type="dxa"/>
                  <w:vMerge w:val="continue"/>
                  <w:noWrap w:val="0"/>
                  <w:vAlign w:val="center"/>
                </w:tcPr>
                <w:p w14:paraId="7CD876D4">
                  <w:pPr>
                    <w:jc w:val="center"/>
                    <w:rPr>
                      <w:rFonts w:ascii="Times New Roman" w:hAnsi="Times New Roman"/>
                      <w:szCs w:val="21"/>
                      <w:highlight w:val="none"/>
                    </w:rPr>
                  </w:pPr>
                </w:p>
              </w:tc>
              <w:tc>
                <w:tcPr>
                  <w:tcW w:w="1105" w:type="dxa"/>
                  <w:noWrap w:val="0"/>
                  <w:vAlign w:val="center"/>
                </w:tcPr>
                <w:p w14:paraId="40A24F71">
                  <w:pPr>
                    <w:jc w:val="center"/>
                    <w:rPr>
                      <w:rFonts w:ascii="Times New Roman" w:hAnsi="Times New Roman"/>
                      <w:highlight w:val="none"/>
                    </w:rPr>
                  </w:pPr>
                  <w:r>
                    <w:rPr>
                      <w:rFonts w:ascii="Times New Roman" w:hAnsi="Times New Roman"/>
                      <w:szCs w:val="21"/>
                      <w:highlight w:val="none"/>
                    </w:rPr>
                    <w:t>HW08</w:t>
                  </w:r>
                  <w:r>
                    <w:rPr>
                      <w:rFonts w:hint="eastAsia" w:ascii="Times New Roman" w:hAnsi="Times New Roman"/>
                      <w:szCs w:val="21"/>
                      <w:highlight w:val="none"/>
                    </w:rPr>
                    <w:t>废矿物油与含矿物油废物</w:t>
                  </w:r>
                </w:p>
              </w:tc>
              <w:tc>
                <w:tcPr>
                  <w:tcW w:w="932" w:type="dxa"/>
                  <w:noWrap w:val="0"/>
                  <w:vAlign w:val="center"/>
                </w:tcPr>
                <w:p w14:paraId="3936FE19">
                  <w:pPr>
                    <w:jc w:val="center"/>
                    <w:rPr>
                      <w:rFonts w:ascii="Times New Roman" w:hAnsi="Times New Roman"/>
                      <w:highlight w:val="none"/>
                    </w:rPr>
                  </w:pPr>
                  <w:r>
                    <w:rPr>
                      <w:rFonts w:hint="eastAsia" w:ascii="Times New Roman" w:hAnsi="Times New Roman"/>
                      <w:highlight w:val="none"/>
                    </w:rPr>
                    <w:t>液态/半固态/固体</w:t>
                  </w:r>
                </w:p>
              </w:tc>
              <w:tc>
                <w:tcPr>
                  <w:tcW w:w="1064" w:type="dxa"/>
                  <w:noWrap w:val="0"/>
                  <w:vAlign w:val="center"/>
                </w:tcPr>
                <w:p w14:paraId="2DC6186D">
                  <w:pPr>
                    <w:jc w:val="center"/>
                    <w:rPr>
                      <w:rFonts w:ascii="Times New Roman" w:hAnsi="Times New Roman"/>
                      <w:highlight w:val="none"/>
                    </w:rPr>
                  </w:pPr>
                  <w:r>
                    <w:rPr>
                      <w:rFonts w:hint="eastAsia" w:ascii="Times New Roman" w:hAnsi="Times New Roman"/>
                      <w:highlight w:val="none"/>
                    </w:rPr>
                    <w:t>T,I</w:t>
                  </w:r>
                </w:p>
              </w:tc>
              <w:tc>
                <w:tcPr>
                  <w:tcW w:w="656" w:type="dxa"/>
                  <w:noWrap w:val="0"/>
                  <w:vAlign w:val="center"/>
                </w:tcPr>
                <w:p w14:paraId="466AAE71">
                  <w:pPr>
                    <w:jc w:val="center"/>
                    <w:rPr>
                      <w:rFonts w:ascii="Times New Roman" w:hAnsi="Times New Roman"/>
                      <w:highlight w:val="none"/>
                    </w:rPr>
                  </w:pPr>
                  <w:r>
                    <w:rPr>
                      <w:rFonts w:hint="eastAsia" w:ascii="Times New Roman" w:hAnsi="Times New Roman"/>
                      <w:highlight w:val="none"/>
                    </w:rPr>
                    <w:t>储罐/桶装/袋装</w:t>
                  </w:r>
                </w:p>
              </w:tc>
              <w:tc>
                <w:tcPr>
                  <w:tcW w:w="531" w:type="dxa"/>
                  <w:shd w:val="clear" w:color="auto" w:fill="auto"/>
                  <w:noWrap w:val="0"/>
                  <w:vAlign w:val="center"/>
                </w:tcPr>
                <w:p w14:paraId="3FB6BB59">
                  <w:pPr>
                    <w:jc w:val="center"/>
                    <w:rPr>
                      <w:rFonts w:hint="default"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153</w:t>
                  </w:r>
                </w:p>
              </w:tc>
              <w:tc>
                <w:tcPr>
                  <w:tcW w:w="584" w:type="dxa"/>
                  <w:shd w:val="clear" w:color="auto" w:fill="auto"/>
                  <w:noWrap w:val="0"/>
                  <w:vAlign w:val="center"/>
                </w:tcPr>
                <w:p w14:paraId="213943C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0.23个月</w:t>
                  </w:r>
                </w:p>
              </w:tc>
            </w:tr>
            <w:tr w14:paraId="735989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trPr>
              <w:tc>
                <w:tcPr>
                  <w:tcW w:w="427" w:type="dxa"/>
                  <w:noWrap w:val="0"/>
                  <w:vAlign w:val="center"/>
                </w:tcPr>
                <w:p w14:paraId="1D5D7077">
                  <w:pPr>
                    <w:jc w:val="center"/>
                    <w:rPr>
                      <w:rFonts w:hint="eastAsia" w:ascii="Times New Roman" w:hAnsi="Times New Roman"/>
                      <w:highlight w:val="none"/>
                    </w:rPr>
                  </w:pPr>
                  <w:r>
                    <w:rPr>
                      <w:rFonts w:hint="eastAsia" w:ascii="Times New Roman" w:hAnsi="Times New Roman"/>
                      <w:highlight w:val="none"/>
                    </w:rPr>
                    <w:t>7</w:t>
                  </w:r>
                </w:p>
              </w:tc>
              <w:tc>
                <w:tcPr>
                  <w:tcW w:w="1028" w:type="dxa"/>
                  <w:vMerge w:val="continue"/>
                  <w:noWrap w:val="0"/>
                  <w:vAlign w:val="center"/>
                </w:tcPr>
                <w:p w14:paraId="219E815F">
                  <w:pPr>
                    <w:jc w:val="center"/>
                    <w:rPr>
                      <w:rFonts w:hint="eastAsia" w:ascii="Times New Roman" w:hAnsi="Times New Roman"/>
                      <w:szCs w:val="21"/>
                      <w:highlight w:val="none"/>
                    </w:rPr>
                  </w:pPr>
                </w:p>
              </w:tc>
              <w:tc>
                <w:tcPr>
                  <w:tcW w:w="1057" w:type="dxa"/>
                  <w:vMerge w:val="continue"/>
                  <w:noWrap w:val="0"/>
                  <w:vAlign w:val="center"/>
                </w:tcPr>
                <w:p w14:paraId="26DFCE5D">
                  <w:pPr>
                    <w:jc w:val="center"/>
                    <w:rPr>
                      <w:rFonts w:hint="eastAsia" w:ascii="Times New Roman" w:hAnsi="Times New Roman"/>
                      <w:szCs w:val="21"/>
                      <w:highlight w:val="none"/>
                    </w:rPr>
                  </w:pPr>
                </w:p>
              </w:tc>
              <w:tc>
                <w:tcPr>
                  <w:tcW w:w="1073" w:type="dxa"/>
                  <w:vMerge w:val="continue"/>
                  <w:noWrap w:val="0"/>
                  <w:vAlign w:val="center"/>
                </w:tcPr>
                <w:p w14:paraId="79EAEEB6">
                  <w:pPr>
                    <w:jc w:val="center"/>
                    <w:rPr>
                      <w:rFonts w:hint="eastAsia" w:ascii="Times New Roman" w:hAnsi="Times New Roman"/>
                      <w:szCs w:val="21"/>
                      <w:highlight w:val="none"/>
                    </w:rPr>
                  </w:pPr>
                </w:p>
              </w:tc>
              <w:tc>
                <w:tcPr>
                  <w:tcW w:w="1105" w:type="dxa"/>
                  <w:noWrap w:val="0"/>
                  <w:vAlign w:val="center"/>
                </w:tcPr>
                <w:p w14:paraId="54609C1A">
                  <w:pPr>
                    <w:jc w:val="center"/>
                    <w:rPr>
                      <w:rFonts w:ascii="Times New Roman" w:hAnsi="Times New Roman"/>
                      <w:highlight w:val="none"/>
                    </w:rPr>
                  </w:pPr>
                  <w:r>
                    <w:rPr>
                      <w:rFonts w:hint="eastAsia" w:ascii="Times New Roman" w:hAnsi="Times New Roman"/>
                      <w:szCs w:val="21"/>
                      <w:highlight w:val="none"/>
                    </w:rPr>
                    <w:t>HW09油/水、烃/水混合物或乳化液</w:t>
                  </w:r>
                </w:p>
              </w:tc>
              <w:tc>
                <w:tcPr>
                  <w:tcW w:w="932" w:type="dxa"/>
                  <w:noWrap w:val="0"/>
                  <w:vAlign w:val="center"/>
                </w:tcPr>
                <w:p w14:paraId="11E3BB6F">
                  <w:pPr>
                    <w:jc w:val="center"/>
                    <w:rPr>
                      <w:rFonts w:ascii="Times New Roman" w:hAnsi="Times New Roman"/>
                      <w:highlight w:val="none"/>
                    </w:rPr>
                  </w:pPr>
                  <w:r>
                    <w:rPr>
                      <w:rFonts w:hint="eastAsia" w:ascii="Times New Roman" w:hAnsi="Times New Roman"/>
                      <w:highlight w:val="none"/>
                    </w:rPr>
                    <w:t>液态/半固态</w:t>
                  </w:r>
                </w:p>
              </w:tc>
              <w:tc>
                <w:tcPr>
                  <w:tcW w:w="1064" w:type="dxa"/>
                  <w:noWrap w:val="0"/>
                  <w:vAlign w:val="center"/>
                </w:tcPr>
                <w:p w14:paraId="3653FB75">
                  <w:pPr>
                    <w:jc w:val="center"/>
                    <w:rPr>
                      <w:rFonts w:ascii="Times New Roman" w:hAnsi="Times New Roman"/>
                      <w:highlight w:val="none"/>
                    </w:rPr>
                  </w:pPr>
                  <w:r>
                    <w:rPr>
                      <w:rFonts w:hint="eastAsia" w:ascii="Times New Roman" w:hAnsi="Times New Roman"/>
                      <w:highlight w:val="none"/>
                    </w:rPr>
                    <w:t>T</w:t>
                  </w:r>
                </w:p>
              </w:tc>
              <w:tc>
                <w:tcPr>
                  <w:tcW w:w="656" w:type="dxa"/>
                  <w:noWrap w:val="0"/>
                  <w:vAlign w:val="center"/>
                </w:tcPr>
                <w:p w14:paraId="499F09A3">
                  <w:pPr>
                    <w:jc w:val="center"/>
                    <w:rPr>
                      <w:rFonts w:ascii="Times New Roman" w:hAnsi="Times New Roman"/>
                      <w:highlight w:val="none"/>
                    </w:rPr>
                  </w:pPr>
                  <w:r>
                    <w:rPr>
                      <w:rFonts w:hint="eastAsia" w:ascii="Times New Roman" w:hAnsi="Times New Roman"/>
                      <w:highlight w:val="none"/>
                    </w:rPr>
                    <w:t>桶装</w:t>
                  </w:r>
                </w:p>
              </w:tc>
              <w:tc>
                <w:tcPr>
                  <w:tcW w:w="531" w:type="dxa"/>
                  <w:shd w:val="clear" w:color="auto" w:fill="auto"/>
                  <w:noWrap w:val="0"/>
                  <w:vAlign w:val="center"/>
                </w:tcPr>
                <w:p w14:paraId="5D471E01">
                  <w:pPr>
                    <w:jc w:val="center"/>
                    <w:rPr>
                      <w:rFonts w:hint="default"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10</w:t>
                  </w:r>
                </w:p>
              </w:tc>
              <w:tc>
                <w:tcPr>
                  <w:tcW w:w="584" w:type="dxa"/>
                  <w:shd w:val="clear" w:color="auto" w:fill="auto"/>
                  <w:noWrap w:val="0"/>
                  <w:vAlign w:val="center"/>
                </w:tcPr>
                <w:p w14:paraId="2E347E1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1.5个月</w:t>
                  </w:r>
                </w:p>
              </w:tc>
            </w:tr>
            <w:tr w14:paraId="28D75A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427" w:type="dxa"/>
                  <w:noWrap w:val="0"/>
                  <w:vAlign w:val="center"/>
                </w:tcPr>
                <w:p w14:paraId="2C4B062F">
                  <w:pPr>
                    <w:jc w:val="center"/>
                    <w:rPr>
                      <w:rFonts w:hint="eastAsia" w:ascii="Times New Roman" w:hAnsi="Times New Roman"/>
                      <w:highlight w:val="none"/>
                    </w:rPr>
                  </w:pPr>
                  <w:r>
                    <w:rPr>
                      <w:rFonts w:hint="eastAsia" w:ascii="Times New Roman" w:hAnsi="Times New Roman"/>
                      <w:highlight w:val="none"/>
                    </w:rPr>
                    <w:t>8</w:t>
                  </w:r>
                </w:p>
              </w:tc>
              <w:tc>
                <w:tcPr>
                  <w:tcW w:w="1028" w:type="dxa"/>
                  <w:vMerge w:val="continue"/>
                  <w:noWrap w:val="0"/>
                  <w:vAlign w:val="center"/>
                </w:tcPr>
                <w:p w14:paraId="73A74D13">
                  <w:pPr>
                    <w:jc w:val="center"/>
                    <w:rPr>
                      <w:rFonts w:hint="eastAsia" w:ascii="Times New Roman" w:hAnsi="Times New Roman"/>
                      <w:szCs w:val="21"/>
                      <w:highlight w:val="none"/>
                    </w:rPr>
                  </w:pPr>
                </w:p>
              </w:tc>
              <w:tc>
                <w:tcPr>
                  <w:tcW w:w="1057" w:type="dxa"/>
                  <w:vMerge w:val="continue"/>
                  <w:noWrap w:val="0"/>
                  <w:vAlign w:val="center"/>
                </w:tcPr>
                <w:p w14:paraId="341E0313">
                  <w:pPr>
                    <w:jc w:val="center"/>
                    <w:rPr>
                      <w:rFonts w:hint="eastAsia" w:ascii="Times New Roman" w:hAnsi="Times New Roman"/>
                      <w:szCs w:val="21"/>
                      <w:highlight w:val="none"/>
                    </w:rPr>
                  </w:pPr>
                </w:p>
              </w:tc>
              <w:tc>
                <w:tcPr>
                  <w:tcW w:w="1073" w:type="dxa"/>
                  <w:vMerge w:val="continue"/>
                  <w:noWrap w:val="0"/>
                  <w:vAlign w:val="center"/>
                </w:tcPr>
                <w:p w14:paraId="73DFF369">
                  <w:pPr>
                    <w:jc w:val="center"/>
                    <w:rPr>
                      <w:rFonts w:hint="eastAsia" w:ascii="Times New Roman" w:hAnsi="Times New Roman"/>
                      <w:szCs w:val="21"/>
                      <w:highlight w:val="none"/>
                    </w:rPr>
                  </w:pPr>
                </w:p>
              </w:tc>
              <w:tc>
                <w:tcPr>
                  <w:tcW w:w="1105" w:type="dxa"/>
                  <w:noWrap w:val="0"/>
                  <w:vAlign w:val="center"/>
                </w:tcPr>
                <w:p w14:paraId="6D136BE6">
                  <w:pPr>
                    <w:jc w:val="center"/>
                    <w:rPr>
                      <w:rFonts w:ascii="Times New Roman" w:hAnsi="Times New Roman"/>
                      <w:highlight w:val="none"/>
                    </w:rPr>
                  </w:pPr>
                  <w:r>
                    <w:rPr>
                      <w:rFonts w:hint="eastAsia" w:ascii="Times New Roman" w:hAnsi="Times New Roman"/>
                      <w:szCs w:val="21"/>
                      <w:highlight w:val="none"/>
                    </w:rPr>
                    <w:t>HW11精（蒸）馏残渣</w:t>
                  </w:r>
                </w:p>
              </w:tc>
              <w:tc>
                <w:tcPr>
                  <w:tcW w:w="932" w:type="dxa"/>
                  <w:noWrap w:val="0"/>
                  <w:vAlign w:val="center"/>
                </w:tcPr>
                <w:p w14:paraId="36387E79">
                  <w:pPr>
                    <w:jc w:val="center"/>
                    <w:rPr>
                      <w:rFonts w:ascii="Times New Roman" w:hAnsi="Times New Roman"/>
                      <w:highlight w:val="none"/>
                    </w:rPr>
                  </w:pPr>
                  <w:r>
                    <w:rPr>
                      <w:rFonts w:hint="eastAsia" w:ascii="Times New Roman" w:hAnsi="Times New Roman"/>
                      <w:highlight w:val="none"/>
                    </w:rPr>
                    <w:t>液态/半固态/固体</w:t>
                  </w:r>
                </w:p>
              </w:tc>
              <w:tc>
                <w:tcPr>
                  <w:tcW w:w="1064" w:type="dxa"/>
                  <w:noWrap w:val="0"/>
                  <w:vAlign w:val="center"/>
                </w:tcPr>
                <w:p w14:paraId="3B120B5E">
                  <w:pPr>
                    <w:jc w:val="center"/>
                    <w:rPr>
                      <w:rFonts w:ascii="Times New Roman" w:hAnsi="Times New Roman"/>
                      <w:highlight w:val="none"/>
                    </w:rPr>
                  </w:pPr>
                  <w:r>
                    <w:rPr>
                      <w:rFonts w:hint="eastAsia" w:ascii="Times New Roman" w:hAnsi="Times New Roman"/>
                      <w:highlight w:val="none"/>
                    </w:rPr>
                    <w:t>T</w:t>
                  </w:r>
                </w:p>
              </w:tc>
              <w:tc>
                <w:tcPr>
                  <w:tcW w:w="656" w:type="dxa"/>
                  <w:noWrap w:val="0"/>
                  <w:vAlign w:val="center"/>
                </w:tcPr>
                <w:p w14:paraId="234A0CB7">
                  <w:pPr>
                    <w:jc w:val="center"/>
                    <w:rPr>
                      <w:rFonts w:ascii="Times New Roman" w:hAnsi="Times New Roman"/>
                      <w:highlight w:val="none"/>
                    </w:rPr>
                  </w:pPr>
                  <w:r>
                    <w:rPr>
                      <w:rFonts w:hint="eastAsia" w:ascii="Times New Roman" w:hAnsi="Times New Roman"/>
                      <w:highlight w:val="none"/>
                    </w:rPr>
                    <w:t>桶装/袋装</w:t>
                  </w:r>
                </w:p>
              </w:tc>
              <w:tc>
                <w:tcPr>
                  <w:tcW w:w="531" w:type="dxa"/>
                  <w:shd w:val="clear" w:color="auto" w:fill="auto"/>
                  <w:noWrap w:val="0"/>
                  <w:vAlign w:val="center"/>
                </w:tcPr>
                <w:p w14:paraId="695D42A3">
                  <w:pPr>
                    <w:jc w:val="center"/>
                    <w:rPr>
                      <w:rFonts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12</w:t>
                  </w:r>
                </w:p>
              </w:tc>
              <w:tc>
                <w:tcPr>
                  <w:tcW w:w="584" w:type="dxa"/>
                  <w:shd w:val="clear" w:color="auto" w:fill="auto"/>
                  <w:noWrap w:val="0"/>
                  <w:vAlign w:val="center"/>
                </w:tcPr>
                <w:p w14:paraId="330898F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1.8个月</w:t>
                  </w:r>
                </w:p>
              </w:tc>
            </w:tr>
            <w:tr w14:paraId="289AF9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427" w:type="dxa"/>
                  <w:noWrap w:val="0"/>
                  <w:vAlign w:val="center"/>
                </w:tcPr>
                <w:p w14:paraId="5EFF6EEC">
                  <w:pPr>
                    <w:jc w:val="center"/>
                    <w:rPr>
                      <w:rFonts w:hint="eastAsia" w:ascii="Times New Roman" w:hAnsi="Times New Roman"/>
                      <w:highlight w:val="none"/>
                    </w:rPr>
                  </w:pPr>
                  <w:r>
                    <w:rPr>
                      <w:rFonts w:hint="eastAsia" w:ascii="Times New Roman" w:hAnsi="Times New Roman"/>
                      <w:highlight w:val="none"/>
                    </w:rPr>
                    <w:t>9</w:t>
                  </w:r>
                </w:p>
              </w:tc>
              <w:tc>
                <w:tcPr>
                  <w:tcW w:w="1028" w:type="dxa"/>
                  <w:vMerge w:val="continue"/>
                  <w:noWrap w:val="0"/>
                  <w:vAlign w:val="center"/>
                </w:tcPr>
                <w:p w14:paraId="372B90C4">
                  <w:pPr>
                    <w:jc w:val="center"/>
                    <w:rPr>
                      <w:rFonts w:ascii="Times New Roman" w:hAnsi="Times New Roman"/>
                      <w:szCs w:val="21"/>
                      <w:highlight w:val="none"/>
                    </w:rPr>
                  </w:pPr>
                </w:p>
              </w:tc>
              <w:tc>
                <w:tcPr>
                  <w:tcW w:w="1057" w:type="dxa"/>
                  <w:vMerge w:val="continue"/>
                  <w:noWrap w:val="0"/>
                  <w:vAlign w:val="center"/>
                </w:tcPr>
                <w:p w14:paraId="63DC54E8">
                  <w:pPr>
                    <w:jc w:val="center"/>
                    <w:rPr>
                      <w:rFonts w:ascii="Times New Roman" w:hAnsi="Times New Roman"/>
                      <w:szCs w:val="21"/>
                      <w:highlight w:val="none"/>
                    </w:rPr>
                  </w:pPr>
                </w:p>
              </w:tc>
              <w:tc>
                <w:tcPr>
                  <w:tcW w:w="1073" w:type="dxa"/>
                  <w:vMerge w:val="continue"/>
                  <w:noWrap w:val="0"/>
                  <w:vAlign w:val="center"/>
                </w:tcPr>
                <w:p w14:paraId="6BC5454D">
                  <w:pPr>
                    <w:jc w:val="center"/>
                    <w:rPr>
                      <w:rFonts w:ascii="Times New Roman" w:hAnsi="Times New Roman"/>
                      <w:szCs w:val="21"/>
                      <w:highlight w:val="none"/>
                    </w:rPr>
                  </w:pPr>
                </w:p>
              </w:tc>
              <w:tc>
                <w:tcPr>
                  <w:tcW w:w="1105" w:type="dxa"/>
                  <w:noWrap w:val="0"/>
                  <w:vAlign w:val="center"/>
                </w:tcPr>
                <w:p w14:paraId="53D4D620">
                  <w:pPr>
                    <w:jc w:val="center"/>
                    <w:rPr>
                      <w:rFonts w:ascii="Times New Roman" w:hAnsi="Times New Roman"/>
                      <w:highlight w:val="none"/>
                    </w:rPr>
                  </w:pPr>
                  <w:r>
                    <w:rPr>
                      <w:rFonts w:ascii="Times New Roman" w:hAnsi="Times New Roman"/>
                      <w:szCs w:val="21"/>
                      <w:highlight w:val="none"/>
                    </w:rPr>
                    <w:t>HW12</w:t>
                  </w:r>
                  <w:r>
                    <w:rPr>
                      <w:rFonts w:hint="eastAsia" w:ascii="Times New Roman" w:hAnsi="Times New Roman"/>
                      <w:szCs w:val="21"/>
                      <w:highlight w:val="none"/>
                    </w:rPr>
                    <w:t>染料、涂料废物</w:t>
                  </w:r>
                </w:p>
              </w:tc>
              <w:tc>
                <w:tcPr>
                  <w:tcW w:w="932" w:type="dxa"/>
                  <w:noWrap w:val="0"/>
                  <w:vAlign w:val="center"/>
                </w:tcPr>
                <w:p w14:paraId="432D64C4">
                  <w:pPr>
                    <w:jc w:val="center"/>
                    <w:rPr>
                      <w:rFonts w:ascii="Times New Roman" w:hAnsi="Times New Roman"/>
                      <w:highlight w:val="none"/>
                    </w:rPr>
                  </w:pPr>
                  <w:r>
                    <w:rPr>
                      <w:rFonts w:hint="eastAsia" w:ascii="Times New Roman" w:hAnsi="Times New Roman"/>
                      <w:highlight w:val="none"/>
                    </w:rPr>
                    <w:t>液态/半固态/固体</w:t>
                  </w:r>
                </w:p>
              </w:tc>
              <w:tc>
                <w:tcPr>
                  <w:tcW w:w="1064" w:type="dxa"/>
                  <w:noWrap w:val="0"/>
                  <w:vAlign w:val="center"/>
                </w:tcPr>
                <w:p w14:paraId="522A6C81">
                  <w:pPr>
                    <w:jc w:val="center"/>
                    <w:rPr>
                      <w:rFonts w:ascii="Times New Roman" w:hAnsi="Times New Roman"/>
                      <w:highlight w:val="none"/>
                    </w:rPr>
                  </w:pPr>
                  <w:r>
                    <w:rPr>
                      <w:rFonts w:hint="eastAsia" w:ascii="Times New Roman" w:hAnsi="Times New Roman"/>
                      <w:highlight w:val="none"/>
                    </w:rPr>
                    <w:t>T,I</w:t>
                  </w:r>
                </w:p>
              </w:tc>
              <w:tc>
                <w:tcPr>
                  <w:tcW w:w="656" w:type="dxa"/>
                  <w:noWrap w:val="0"/>
                  <w:vAlign w:val="center"/>
                </w:tcPr>
                <w:p w14:paraId="4A86E9EB">
                  <w:pPr>
                    <w:jc w:val="center"/>
                    <w:rPr>
                      <w:rFonts w:ascii="Times New Roman" w:hAnsi="Times New Roman"/>
                      <w:highlight w:val="none"/>
                    </w:rPr>
                  </w:pPr>
                  <w:r>
                    <w:rPr>
                      <w:rFonts w:hint="eastAsia" w:ascii="Times New Roman" w:hAnsi="Times New Roman"/>
                      <w:highlight w:val="none"/>
                    </w:rPr>
                    <w:t>桶装/袋装</w:t>
                  </w:r>
                </w:p>
              </w:tc>
              <w:tc>
                <w:tcPr>
                  <w:tcW w:w="531" w:type="dxa"/>
                  <w:shd w:val="clear" w:color="auto" w:fill="auto"/>
                  <w:noWrap w:val="0"/>
                  <w:vAlign w:val="center"/>
                </w:tcPr>
                <w:p w14:paraId="59F3D7CA">
                  <w:pPr>
                    <w:jc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15</w:t>
                  </w:r>
                </w:p>
              </w:tc>
              <w:tc>
                <w:tcPr>
                  <w:tcW w:w="584" w:type="dxa"/>
                  <w:shd w:val="clear" w:color="auto" w:fill="auto"/>
                  <w:noWrap w:val="0"/>
                  <w:vAlign w:val="center"/>
                </w:tcPr>
                <w:p w14:paraId="1EF5416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1.8个月</w:t>
                  </w:r>
                </w:p>
              </w:tc>
            </w:tr>
            <w:tr w14:paraId="634B2E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427" w:type="dxa"/>
                  <w:noWrap w:val="0"/>
                  <w:vAlign w:val="center"/>
                </w:tcPr>
                <w:p w14:paraId="509FC303">
                  <w:pPr>
                    <w:jc w:val="center"/>
                    <w:rPr>
                      <w:rFonts w:ascii="Times New Roman" w:hAnsi="Times New Roman"/>
                      <w:highlight w:val="none"/>
                    </w:rPr>
                  </w:pPr>
                  <w:r>
                    <w:rPr>
                      <w:rFonts w:hint="eastAsia" w:ascii="Times New Roman" w:hAnsi="Times New Roman"/>
                      <w:highlight w:val="none"/>
                    </w:rPr>
                    <w:t>10</w:t>
                  </w:r>
                </w:p>
              </w:tc>
              <w:tc>
                <w:tcPr>
                  <w:tcW w:w="1028" w:type="dxa"/>
                  <w:vMerge w:val="continue"/>
                  <w:noWrap w:val="0"/>
                  <w:vAlign w:val="center"/>
                </w:tcPr>
                <w:p w14:paraId="6C56604F">
                  <w:pPr>
                    <w:jc w:val="center"/>
                    <w:rPr>
                      <w:rFonts w:hint="eastAsia" w:ascii="Times New Roman" w:hAnsi="Times New Roman"/>
                      <w:szCs w:val="21"/>
                      <w:highlight w:val="none"/>
                    </w:rPr>
                  </w:pPr>
                </w:p>
              </w:tc>
              <w:tc>
                <w:tcPr>
                  <w:tcW w:w="1057" w:type="dxa"/>
                  <w:vMerge w:val="continue"/>
                  <w:noWrap w:val="0"/>
                  <w:vAlign w:val="center"/>
                </w:tcPr>
                <w:p w14:paraId="3AC6CDF3">
                  <w:pPr>
                    <w:jc w:val="center"/>
                    <w:rPr>
                      <w:rFonts w:hint="eastAsia" w:ascii="Times New Roman" w:hAnsi="Times New Roman"/>
                      <w:szCs w:val="21"/>
                      <w:highlight w:val="none"/>
                    </w:rPr>
                  </w:pPr>
                </w:p>
              </w:tc>
              <w:tc>
                <w:tcPr>
                  <w:tcW w:w="1073" w:type="dxa"/>
                  <w:vMerge w:val="continue"/>
                  <w:noWrap w:val="0"/>
                  <w:vAlign w:val="center"/>
                </w:tcPr>
                <w:p w14:paraId="6DE00CFD">
                  <w:pPr>
                    <w:jc w:val="center"/>
                    <w:rPr>
                      <w:rFonts w:hint="eastAsia" w:ascii="Times New Roman" w:hAnsi="Times New Roman"/>
                      <w:szCs w:val="21"/>
                      <w:highlight w:val="none"/>
                    </w:rPr>
                  </w:pPr>
                </w:p>
              </w:tc>
              <w:tc>
                <w:tcPr>
                  <w:tcW w:w="1105" w:type="dxa"/>
                  <w:noWrap w:val="0"/>
                  <w:vAlign w:val="center"/>
                </w:tcPr>
                <w:p w14:paraId="4036E675">
                  <w:pPr>
                    <w:jc w:val="center"/>
                    <w:rPr>
                      <w:rFonts w:ascii="Times New Roman" w:hAnsi="Times New Roman"/>
                      <w:szCs w:val="21"/>
                      <w:highlight w:val="none"/>
                    </w:rPr>
                  </w:pPr>
                  <w:r>
                    <w:rPr>
                      <w:rFonts w:hint="eastAsia" w:ascii="Times New Roman" w:hAnsi="Times New Roman"/>
                      <w:szCs w:val="21"/>
                      <w:highlight w:val="none"/>
                    </w:rPr>
                    <w:t>HW13有机树脂类废物</w:t>
                  </w:r>
                </w:p>
              </w:tc>
              <w:tc>
                <w:tcPr>
                  <w:tcW w:w="932" w:type="dxa"/>
                  <w:noWrap w:val="0"/>
                  <w:vAlign w:val="center"/>
                </w:tcPr>
                <w:p w14:paraId="0B446713">
                  <w:pPr>
                    <w:jc w:val="center"/>
                    <w:rPr>
                      <w:rFonts w:ascii="Times New Roman" w:hAnsi="Times New Roman"/>
                      <w:highlight w:val="none"/>
                    </w:rPr>
                  </w:pPr>
                  <w:r>
                    <w:rPr>
                      <w:rFonts w:hint="eastAsia" w:ascii="Times New Roman" w:hAnsi="Times New Roman"/>
                      <w:highlight w:val="none"/>
                    </w:rPr>
                    <w:t>液态/半固态/固体</w:t>
                  </w:r>
                </w:p>
              </w:tc>
              <w:tc>
                <w:tcPr>
                  <w:tcW w:w="1064" w:type="dxa"/>
                  <w:noWrap w:val="0"/>
                  <w:vAlign w:val="center"/>
                </w:tcPr>
                <w:p w14:paraId="476F1B5A">
                  <w:pPr>
                    <w:jc w:val="center"/>
                    <w:rPr>
                      <w:rFonts w:ascii="Times New Roman" w:hAnsi="Times New Roman"/>
                      <w:highlight w:val="none"/>
                    </w:rPr>
                  </w:pPr>
                  <w:r>
                    <w:rPr>
                      <w:rFonts w:hint="eastAsia" w:ascii="Times New Roman" w:hAnsi="Times New Roman"/>
                      <w:highlight w:val="none"/>
                    </w:rPr>
                    <w:t>T</w:t>
                  </w:r>
                </w:p>
              </w:tc>
              <w:tc>
                <w:tcPr>
                  <w:tcW w:w="656" w:type="dxa"/>
                  <w:noWrap w:val="0"/>
                  <w:vAlign w:val="center"/>
                </w:tcPr>
                <w:p w14:paraId="15F45620">
                  <w:pPr>
                    <w:jc w:val="center"/>
                    <w:rPr>
                      <w:rFonts w:ascii="Times New Roman" w:hAnsi="Times New Roman"/>
                      <w:highlight w:val="none"/>
                    </w:rPr>
                  </w:pPr>
                  <w:r>
                    <w:rPr>
                      <w:rFonts w:hint="eastAsia" w:ascii="Times New Roman" w:hAnsi="Times New Roman"/>
                      <w:highlight w:val="none"/>
                    </w:rPr>
                    <w:t>桶装/袋装</w:t>
                  </w:r>
                </w:p>
              </w:tc>
              <w:tc>
                <w:tcPr>
                  <w:tcW w:w="531" w:type="dxa"/>
                  <w:shd w:val="clear" w:color="auto" w:fill="auto"/>
                  <w:noWrap w:val="0"/>
                  <w:vAlign w:val="center"/>
                </w:tcPr>
                <w:p w14:paraId="3516D176">
                  <w:pPr>
                    <w:jc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12</w:t>
                  </w:r>
                </w:p>
              </w:tc>
              <w:tc>
                <w:tcPr>
                  <w:tcW w:w="584" w:type="dxa"/>
                  <w:shd w:val="clear" w:color="auto" w:fill="auto"/>
                  <w:noWrap w:val="0"/>
                  <w:vAlign w:val="center"/>
                </w:tcPr>
                <w:p w14:paraId="0129D23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1.8个月</w:t>
                  </w:r>
                </w:p>
              </w:tc>
            </w:tr>
            <w:tr w14:paraId="6EF3D8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427" w:type="dxa"/>
                  <w:noWrap w:val="0"/>
                  <w:vAlign w:val="center"/>
                </w:tcPr>
                <w:p w14:paraId="0A2C4C56">
                  <w:pPr>
                    <w:jc w:val="center"/>
                    <w:rPr>
                      <w:rFonts w:ascii="Times New Roman" w:hAnsi="Times New Roman"/>
                      <w:highlight w:val="none"/>
                    </w:rPr>
                  </w:pPr>
                  <w:r>
                    <w:rPr>
                      <w:rFonts w:hint="eastAsia" w:ascii="Times New Roman" w:hAnsi="Times New Roman"/>
                      <w:highlight w:val="none"/>
                    </w:rPr>
                    <w:t>11</w:t>
                  </w:r>
                </w:p>
              </w:tc>
              <w:tc>
                <w:tcPr>
                  <w:tcW w:w="1028" w:type="dxa"/>
                  <w:vMerge w:val="continue"/>
                  <w:noWrap w:val="0"/>
                  <w:vAlign w:val="center"/>
                </w:tcPr>
                <w:p w14:paraId="1E7F0537">
                  <w:pPr>
                    <w:jc w:val="center"/>
                    <w:rPr>
                      <w:rFonts w:hint="eastAsia" w:ascii="Times New Roman" w:hAnsi="Times New Roman"/>
                      <w:szCs w:val="21"/>
                      <w:highlight w:val="none"/>
                    </w:rPr>
                  </w:pPr>
                </w:p>
              </w:tc>
              <w:tc>
                <w:tcPr>
                  <w:tcW w:w="1057" w:type="dxa"/>
                  <w:vMerge w:val="continue"/>
                  <w:noWrap w:val="0"/>
                  <w:vAlign w:val="center"/>
                </w:tcPr>
                <w:p w14:paraId="20EEEDA8">
                  <w:pPr>
                    <w:jc w:val="center"/>
                    <w:rPr>
                      <w:rFonts w:hint="eastAsia" w:ascii="Times New Roman" w:hAnsi="Times New Roman"/>
                      <w:szCs w:val="21"/>
                      <w:highlight w:val="none"/>
                    </w:rPr>
                  </w:pPr>
                </w:p>
              </w:tc>
              <w:tc>
                <w:tcPr>
                  <w:tcW w:w="1073" w:type="dxa"/>
                  <w:vMerge w:val="continue"/>
                  <w:noWrap w:val="0"/>
                  <w:vAlign w:val="center"/>
                </w:tcPr>
                <w:p w14:paraId="01761275">
                  <w:pPr>
                    <w:jc w:val="center"/>
                    <w:rPr>
                      <w:rFonts w:hint="eastAsia" w:ascii="Times New Roman" w:hAnsi="Times New Roman"/>
                      <w:szCs w:val="21"/>
                      <w:highlight w:val="none"/>
                    </w:rPr>
                  </w:pPr>
                </w:p>
              </w:tc>
              <w:tc>
                <w:tcPr>
                  <w:tcW w:w="1105" w:type="dxa"/>
                  <w:noWrap w:val="0"/>
                  <w:vAlign w:val="center"/>
                </w:tcPr>
                <w:p w14:paraId="626E055A">
                  <w:pPr>
                    <w:jc w:val="center"/>
                    <w:rPr>
                      <w:rFonts w:ascii="Times New Roman" w:hAnsi="Times New Roman"/>
                      <w:szCs w:val="21"/>
                      <w:highlight w:val="none"/>
                    </w:rPr>
                  </w:pPr>
                  <w:r>
                    <w:rPr>
                      <w:rFonts w:hint="eastAsia" w:ascii="Times New Roman" w:hAnsi="Times New Roman"/>
                      <w:szCs w:val="21"/>
                      <w:highlight w:val="none"/>
                    </w:rPr>
                    <w:t>HW16感光材料废物</w:t>
                  </w:r>
                </w:p>
              </w:tc>
              <w:tc>
                <w:tcPr>
                  <w:tcW w:w="932" w:type="dxa"/>
                  <w:noWrap w:val="0"/>
                  <w:vAlign w:val="center"/>
                </w:tcPr>
                <w:p w14:paraId="4953C9C4">
                  <w:pPr>
                    <w:jc w:val="center"/>
                    <w:rPr>
                      <w:rFonts w:ascii="Times New Roman" w:hAnsi="Times New Roman"/>
                      <w:highlight w:val="none"/>
                    </w:rPr>
                  </w:pPr>
                  <w:r>
                    <w:rPr>
                      <w:rFonts w:hint="eastAsia" w:ascii="Times New Roman" w:hAnsi="Times New Roman"/>
                      <w:highlight w:val="none"/>
                    </w:rPr>
                    <w:t>液态/半固态/固体</w:t>
                  </w:r>
                </w:p>
              </w:tc>
              <w:tc>
                <w:tcPr>
                  <w:tcW w:w="1064" w:type="dxa"/>
                  <w:noWrap w:val="0"/>
                  <w:vAlign w:val="center"/>
                </w:tcPr>
                <w:p w14:paraId="2797CEAA">
                  <w:pPr>
                    <w:jc w:val="center"/>
                    <w:rPr>
                      <w:rFonts w:ascii="Times New Roman" w:hAnsi="Times New Roman"/>
                      <w:highlight w:val="none"/>
                    </w:rPr>
                  </w:pPr>
                  <w:r>
                    <w:rPr>
                      <w:rFonts w:hint="eastAsia" w:ascii="Times New Roman" w:hAnsi="Times New Roman"/>
                      <w:highlight w:val="none"/>
                    </w:rPr>
                    <w:t>T</w:t>
                  </w:r>
                </w:p>
              </w:tc>
              <w:tc>
                <w:tcPr>
                  <w:tcW w:w="656" w:type="dxa"/>
                  <w:noWrap w:val="0"/>
                  <w:vAlign w:val="center"/>
                </w:tcPr>
                <w:p w14:paraId="24B21771">
                  <w:pPr>
                    <w:jc w:val="center"/>
                    <w:rPr>
                      <w:rFonts w:ascii="Times New Roman" w:hAnsi="Times New Roman"/>
                      <w:highlight w:val="none"/>
                    </w:rPr>
                  </w:pPr>
                  <w:r>
                    <w:rPr>
                      <w:rFonts w:hint="eastAsia" w:ascii="Times New Roman" w:hAnsi="Times New Roman"/>
                      <w:highlight w:val="none"/>
                    </w:rPr>
                    <w:t>桶装/袋装</w:t>
                  </w:r>
                </w:p>
              </w:tc>
              <w:tc>
                <w:tcPr>
                  <w:tcW w:w="531" w:type="dxa"/>
                  <w:shd w:val="clear" w:color="auto" w:fill="auto"/>
                  <w:noWrap w:val="0"/>
                  <w:vAlign w:val="center"/>
                </w:tcPr>
                <w:p w14:paraId="4883413A">
                  <w:pPr>
                    <w:jc w:val="center"/>
                    <w:rPr>
                      <w:rFonts w:hint="default"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12</w:t>
                  </w:r>
                </w:p>
              </w:tc>
              <w:tc>
                <w:tcPr>
                  <w:tcW w:w="584" w:type="dxa"/>
                  <w:shd w:val="clear" w:color="auto" w:fill="auto"/>
                  <w:noWrap w:val="0"/>
                  <w:vAlign w:val="center"/>
                </w:tcPr>
                <w:p w14:paraId="1F13789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1.8个月</w:t>
                  </w:r>
                </w:p>
              </w:tc>
            </w:tr>
            <w:tr w14:paraId="7F94D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427" w:type="dxa"/>
                  <w:noWrap w:val="0"/>
                  <w:vAlign w:val="center"/>
                </w:tcPr>
                <w:p w14:paraId="740F82AB">
                  <w:pPr>
                    <w:jc w:val="center"/>
                    <w:rPr>
                      <w:rFonts w:ascii="Times New Roman" w:hAnsi="Times New Roman"/>
                      <w:highlight w:val="none"/>
                    </w:rPr>
                  </w:pPr>
                  <w:r>
                    <w:rPr>
                      <w:rFonts w:hint="eastAsia" w:ascii="Times New Roman" w:hAnsi="Times New Roman"/>
                      <w:highlight w:val="none"/>
                    </w:rPr>
                    <w:t>12</w:t>
                  </w:r>
                </w:p>
              </w:tc>
              <w:tc>
                <w:tcPr>
                  <w:tcW w:w="1028" w:type="dxa"/>
                  <w:vMerge w:val="continue"/>
                  <w:noWrap w:val="0"/>
                  <w:vAlign w:val="center"/>
                </w:tcPr>
                <w:p w14:paraId="4E5616F8">
                  <w:pPr>
                    <w:jc w:val="center"/>
                    <w:rPr>
                      <w:rFonts w:hint="eastAsia" w:ascii="Times New Roman" w:hAnsi="Times New Roman"/>
                      <w:szCs w:val="21"/>
                      <w:highlight w:val="none"/>
                    </w:rPr>
                  </w:pPr>
                </w:p>
              </w:tc>
              <w:tc>
                <w:tcPr>
                  <w:tcW w:w="1057" w:type="dxa"/>
                  <w:vMerge w:val="continue"/>
                  <w:noWrap w:val="0"/>
                  <w:vAlign w:val="center"/>
                </w:tcPr>
                <w:p w14:paraId="3F592A9C">
                  <w:pPr>
                    <w:jc w:val="center"/>
                    <w:rPr>
                      <w:rFonts w:hint="eastAsia" w:ascii="Times New Roman" w:hAnsi="Times New Roman"/>
                      <w:szCs w:val="21"/>
                      <w:highlight w:val="none"/>
                    </w:rPr>
                  </w:pPr>
                </w:p>
              </w:tc>
              <w:tc>
                <w:tcPr>
                  <w:tcW w:w="1073" w:type="dxa"/>
                  <w:vMerge w:val="continue"/>
                  <w:noWrap w:val="0"/>
                  <w:vAlign w:val="center"/>
                </w:tcPr>
                <w:p w14:paraId="3D098553">
                  <w:pPr>
                    <w:jc w:val="center"/>
                    <w:rPr>
                      <w:rFonts w:hint="eastAsia" w:ascii="Times New Roman" w:hAnsi="Times New Roman"/>
                      <w:szCs w:val="21"/>
                      <w:highlight w:val="none"/>
                    </w:rPr>
                  </w:pPr>
                </w:p>
              </w:tc>
              <w:tc>
                <w:tcPr>
                  <w:tcW w:w="1105" w:type="dxa"/>
                  <w:noWrap w:val="0"/>
                  <w:vAlign w:val="center"/>
                </w:tcPr>
                <w:p w14:paraId="4B958C67">
                  <w:pPr>
                    <w:jc w:val="center"/>
                    <w:rPr>
                      <w:rFonts w:ascii="Times New Roman" w:hAnsi="Times New Roman"/>
                      <w:szCs w:val="21"/>
                      <w:highlight w:val="none"/>
                    </w:rPr>
                  </w:pPr>
                  <w:r>
                    <w:rPr>
                      <w:rFonts w:hint="eastAsia" w:ascii="Times New Roman" w:hAnsi="Times New Roman"/>
                      <w:szCs w:val="21"/>
                      <w:highlight w:val="none"/>
                    </w:rPr>
                    <w:t>HW17表面处理废物</w:t>
                  </w:r>
                </w:p>
              </w:tc>
              <w:tc>
                <w:tcPr>
                  <w:tcW w:w="932" w:type="dxa"/>
                  <w:noWrap w:val="0"/>
                  <w:vAlign w:val="center"/>
                </w:tcPr>
                <w:p w14:paraId="4A31AFFA">
                  <w:pPr>
                    <w:jc w:val="center"/>
                    <w:rPr>
                      <w:rFonts w:ascii="Times New Roman" w:hAnsi="Times New Roman"/>
                      <w:highlight w:val="none"/>
                    </w:rPr>
                  </w:pPr>
                  <w:r>
                    <w:rPr>
                      <w:rFonts w:hint="eastAsia" w:ascii="Times New Roman" w:hAnsi="Times New Roman"/>
                      <w:highlight w:val="none"/>
                    </w:rPr>
                    <w:t>液态/固体</w:t>
                  </w:r>
                </w:p>
              </w:tc>
              <w:tc>
                <w:tcPr>
                  <w:tcW w:w="1064" w:type="dxa"/>
                  <w:noWrap w:val="0"/>
                  <w:vAlign w:val="center"/>
                </w:tcPr>
                <w:p w14:paraId="423D392E">
                  <w:pPr>
                    <w:jc w:val="center"/>
                    <w:rPr>
                      <w:rFonts w:ascii="Times New Roman" w:hAnsi="Times New Roman"/>
                      <w:highlight w:val="none"/>
                    </w:rPr>
                  </w:pPr>
                  <w:r>
                    <w:rPr>
                      <w:rFonts w:hint="eastAsia" w:ascii="Times New Roman" w:hAnsi="Times New Roman"/>
                      <w:highlight w:val="none"/>
                    </w:rPr>
                    <w:t>T,C</w:t>
                  </w:r>
                </w:p>
              </w:tc>
              <w:tc>
                <w:tcPr>
                  <w:tcW w:w="656" w:type="dxa"/>
                  <w:noWrap w:val="0"/>
                  <w:vAlign w:val="center"/>
                </w:tcPr>
                <w:p w14:paraId="4F47DAB6">
                  <w:pPr>
                    <w:jc w:val="center"/>
                    <w:rPr>
                      <w:rFonts w:ascii="Times New Roman" w:hAnsi="Times New Roman"/>
                      <w:highlight w:val="none"/>
                    </w:rPr>
                  </w:pPr>
                  <w:r>
                    <w:rPr>
                      <w:rFonts w:hint="eastAsia" w:ascii="Times New Roman" w:hAnsi="Times New Roman"/>
                      <w:highlight w:val="none"/>
                    </w:rPr>
                    <w:t>桶装/袋装</w:t>
                  </w:r>
                </w:p>
              </w:tc>
              <w:tc>
                <w:tcPr>
                  <w:tcW w:w="531" w:type="dxa"/>
                  <w:shd w:val="clear" w:color="auto" w:fill="auto"/>
                  <w:noWrap w:val="0"/>
                  <w:vAlign w:val="center"/>
                </w:tcPr>
                <w:p w14:paraId="6D583F23">
                  <w:pPr>
                    <w:jc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12</w:t>
                  </w:r>
                </w:p>
              </w:tc>
              <w:tc>
                <w:tcPr>
                  <w:tcW w:w="584" w:type="dxa"/>
                  <w:shd w:val="clear" w:color="auto" w:fill="auto"/>
                  <w:noWrap w:val="0"/>
                  <w:vAlign w:val="center"/>
                </w:tcPr>
                <w:p w14:paraId="6C3A616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1.8个月</w:t>
                  </w:r>
                </w:p>
              </w:tc>
            </w:tr>
            <w:tr w14:paraId="427818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427" w:type="dxa"/>
                  <w:noWrap w:val="0"/>
                  <w:vAlign w:val="center"/>
                </w:tcPr>
                <w:p w14:paraId="67235F77">
                  <w:pPr>
                    <w:jc w:val="center"/>
                    <w:rPr>
                      <w:rFonts w:ascii="Times New Roman" w:hAnsi="Times New Roman"/>
                      <w:highlight w:val="none"/>
                    </w:rPr>
                  </w:pPr>
                  <w:r>
                    <w:rPr>
                      <w:rFonts w:hint="eastAsia" w:ascii="Times New Roman" w:hAnsi="Times New Roman"/>
                      <w:highlight w:val="none"/>
                    </w:rPr>
                    <w:t>13</w:t>
                  </w:r>
                </w:p>
              </w:tc>
              <w:tc>
                <w:tcPr>
                  <w:tcW w:w="1028" w:type="dxa"/>
                  <w:vMerge w:val="continue"/>
                  <w:noWrap w:val="0"/>
                  <w:vAlign w:val="center"/>
                </w:tcPr>
                <w:p w14:paraId="5915FA33">
                  <w:pPr>
                    <w:jc w:val="center"/>
                    <w:rPr>
                      <w:rFonts w:hint="eastAsia" w:ascii="Times New Roman" w:hAnsi="Times New Roman"/>
                      <w:szCs w:val="21"/>
                      <w:highlight w:val="none"/>
                    </w:rPr>
                  </w:pPr>
                </w:p>
              </w:tc>
              <w:tc>
                <w:tcPr>
                  <w:tcW w:w="1057" w:type="dxa"/>
                  <w:vMerge w:val="continue"/>
                  <w:noWrap w:val="0"/>
                  <w:vAlign w:val="center"/>
                </w:tcPr>
                <w:p w14:paraId="36E04140">
                  <w:pPr>
                    <w:jc w:val="center"/>
                    <w:rPr>
                      <w:rFonts w:hint="eastAsia" w:ascii="Times New Roman" w:hAnsi="Times New Roman"/>
                      <w:szCs w:val="21"/>
                      <w:highlight w:val="none"/>
                    </w:rPr>
                  </w:pPr>
                </w:p>
              </w:tc>
              <w:tc>
                <w:tcPr>
                  <w:tcW w:w="1073" w:type="dxa"/>
                  <w:vMerge w:val="continue"/>
                  <w:noWrap w:val="0"/>
                  <w:vAlign w:val="center"/>
                </w:tcPr>
                <w:p w14:paraId="4A4B3D87">
                  <w:pPr>
                    <w:jc w:val="center"/>
                    <w:rPr>
                      <w:rFonts w:hint="eastAsia" w:ascii="Times New Roman" w:hAnsi="Times New Roman"/>
                      <w:szCs w:val="21"/>
                      <w:highlight w:val="none"/>
                    </w:rPr>
                  </w:pPr>
                </w:p>
              </w:tc>
              <w:tc>
                <w:tcPr>
                  <w:tcW w:w="1105" w:type="dxa"/>
                  <w:noWrap w:val="0"/>
                  <w:vAlign w:val="center"/>
                </w:tcPr>
                <w:p w14:paraId="2E3C56D9">
                  <w:pPr>
                    <w:jc w:val="center"/>
                    <w:rPr>
                      <w:rFonts w:ascii="Times New Roman" w:hAnsi="Times New Roman"/>
                      <w:szCs w:val="21"/>
                      <w:highlight w:val="none"/>
                    </w:rPr>
                  </w:pPr>
                  <w:r>
                    <w:rPr>
                      <w:rFonts w:hint="eastAsia" w:ascii="Times New Roman" w:hAnsi="Times New Roman"/>
                      <w:szCs w:val="21"/>
                      <w:highlight w:val="none"/>
                    </w:rPr>
                    <w:t>HW21含铬废物</w:t>
                  </w:r>
                </w:p>
              </w:tc>
              <w:tc>
                <w:tcPr>
                  <w:tcW w:w="932" w:type="dxa"/>
                  <w:noWrap w:val="0"/>
                  <w:vAlign w:val="center"/>
                </w:tcPr>
                <w:p w14:paraId="66E9B74E">
                  <w:pPr>
                    <w:jc w:val="center"/>
                    <w:rPr>
                      <w:rFonts w:ascii="Times New Roman" w:hAnsi="Times New Roman"/>
                      <w:highlight w:val="none"/>
                    </w:rPr>
                  </w:pPr>
                  <w:r>
                    <w:rPr>
                      <w:rFonts w:hint="eastAsia" w:ascii="Times New Roman" w:hAnsi="Times New Roman"/>
                      <w:highlight w:val="none"/>
                    </w:rPr>
                    <w:t>液态/半固态/固体</w:t>
                  </w:r>
                </w:p>
              </w:tc>
              <w:tc>
                <w:tcPr>
                  <w:tcW w:w="1064" w:type="dxa"/>
                  <w:noWrap w:val="0"/>
                  <w:vAlign w:val="center"/>
                </w:tcPr>
                <w:p w14:paraId="2E65F30D">
                  <w:pPr>
                    <w:jc w:val="center"/>
                    <w:rPr>
                      <w:rFonts w:ascii="Times New Roman" w:hAnsi="Times New Roman"/>
                      <w:highlight w:val="none"/>
                    </w:rPr>
                  </w:pPr>
                  <w:r>
                    <w:rPr>
                      <w:rFonts w:hint="eastAsia" w:ascii="Times New Roman" w:hAnsi="Times New Roman"/>
                      <w:highlight w:val="none"/>
                    </w:rPr>
                    <w:t>T</w:t>
                  </w:r>
                </w:p>
              </w:tc>
              <w:tc>
                <w:tcPr>
                  <w:tcW w:w="656" w:type="dxa"/>
                  <w:noWrap w:val="0"/>
                  <w:vAlign w:val="center"/>
                </w:tcPr>
                <w:p w14:paraId="1AE1BF40">
                  <w:pPr>
                    <w:jc w:val="center"/>
                    <w:rPr>
                      <w:rFonts w:ascii="Times New Roman" w:hAnsi="Times New Roman"/>
                      <w:highlight w:val="none"/>
                    </w:rPr>
                  </w:pPr>
                  <w:r>
                    <w:rPr>
                      <w:rFonts w:hint="eastAsia" w:ascii="Times New Roman" w:hAnsi="Times New Roman"/>
                      <w:highlight w:val="none"/>
                    </w:rPr>
                    <w:t>桶装/袋装</w:t>
                  </w:r>
                </w:p>
              </w:tc>
              <w:tc>
                <w:tcPr>
                  <w:tcW w:w="531" w:type="dxa"/>
                  <w:shd w:val="clear" w:color="auto" w:fill="auto"/>
                  <w:noWrap w:val="0"/>
                  <w:vAlign w:val="center"/>
                </w:tcPr>
                <w:p w14:paraId="64B9F231">
                  <w:pPr>
                    <w:jc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12</w:t>
                  </w:r>
                </w:p>
              </w:tc>
              <w:tc>
                <w:tcPr>
                  <w:tcW w:w="584" w:type="dxa"/>
                  <w:shd w:val="clear" w:color="auto" w:fill="auto"/>
                  <w:noWrap w:val="0"/>
                  <w:vAlign w:val="center"/>
                </w:tcPr>
                <w:p w14:paraId="6B54F38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1.8个月</w:t>
                  </w:r>
                </w:p>
              </w:tc>
            </w:tr>
            <w:tr w14:paraId="552377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427" w:type="dxa"/>
                  <w:noWrap w:val="0"/>
                  <w:vAlign w:val="center"/>
                </w:tcPr>
                <w:p w14:paraId="3424C610">
                  <w:pPr>
                    <w:jc w:val="center"/>
                    <w:rPr>
                      <w:rFonts w:ascii="Times New Roman" w:hAnsi="Times New Roman"/>
                      <w:highlight w:val="none"/>
                    </w:rPr>
                  </w:pPr>
                  <w:r>
                    <w:rPr>
                      <w:rFonts w:hint="eastAsia" w:ascii="Times New Roman" w:hAnsi="Times New Roman"/>
                      <w:highlight w:val="none"/>
                    </w:rPr>
                    <w:t>14</w:t>
                  </w:r>
                </w:p>
              </w:tc>
              <w:tc>
                <w:tcPr>
                  <w:tcW w:w="1028" w:type="dxa"/>
                  <w:vMerge w:val="continue"/>
                  <w:noWrap w:val="0"/>
                  <w:vAlign w:val="center"/>
                </w:tcPr>
                <w:p w14:paraId="13FF7662">
                  <w:pPr>
                    <w:jc w:val="center"/>
                    <w:rPr>
                      <w:rFonts w:hint="eastAsia" w:ascii="Times New Roman" w:hAnsi="Times New Roman"/>
                      <w:szCs w:val="21"/>
                      <w:highlight w:val="none"/>
                    </w:rPr>
                  </w:pPr>
                </w:p>
              </w:tc>
              <w:tc>
                <w:tcPr>
                  <w:tcW w:w="1057" w:type="dxa"/>
                  <w:vMerge w:val="continue"/>
                  <w:noWrap w:val="0"/>
                  <w:vAlign w:val="center"/>
                </w:tcPr>
                <w:p w14:paraId="3BB183E2">
                  <w:pPr>
                    <w:jc w:val="center"/>
                    <w:rPr>
                      <w:rFonts w:hint="eastAsia" w:ascii="Times New Roman" w:hAnsi="Times New Roman"/>
                      <w:szCs w:val="21"/>
                      <w:highlight w:val="none"/>
                    </w:rPr>
                  </w:pPr>
                </w:p>
              </w:tc>
              <w:tc>
                <w:tcPr>
                  <w:tcW w:w="1073" w:type="dxa"/>
                  <w:vMerge w:val="continue"/>
                  <w:noWrap w:val="0"/>
                  <w:vAlign w:val="center"/>
                </w:tcPr>
                <w:p w14:paraId="7580EF05">
                  <w:pPr>
                    <w:jc w:val="center"/>
                    <w:rPr>
                      <w:rFonts w:hint="eastAsia" w:ascii="Times New Roman" w:hAnsi="Times New Roman"/>
                      <w:szCs w:val="21"/>
                      <w:highlight w:val="none"/>
                    </w:rPr>
                  </w:pPr>
                </w:p>
              </w:tc>
              <w:tc>
                <w:tcPr>
                  <w:tcW w:w="1105" w:type="dxa"/>
                  <w:noWrap w:val="0"/>
                  <w:vAlign w:val="center"/>
                </w:tcPr>
                <w:p w14:paraId="46555E55">
                  <w:pPr>
                    <w:jc w:val="center"/>
                    <w:rPr>
                      <w:rFonts w:ascii="Times New Roman" w:hAnsi="Times New Roman"/>
                      <w:szCs w:val="21"/>
                      <w:highlight w:val="none"/>
                    </w:rPr>
                  </w:pPr>
                  <w:r>
                    <w:rPr>
                      <w:rFonts w:hint="eastAsia" w:ascii="Times New Roman" w:hAnsi="Times New Roman"/>
                      <w:szCs w:val="21"/>
                      <w:highlight w:val="none"/>
                    </w:rPr>
                    <w:t>HW22含铜废物</w:t>
                  </w:r>
                </w:p>
              </w:tc>
              <w:tc>
                <w:tcPr>
                  <w:tcW w:w="932" w:type="dxa"/>
                  <w:noWrap w:val="0"/>
                  <w:vAlign w:val="center"/>
                </w:tcPr>
                <w:p w14:paraId="691DB09B">
                  <w:pPr>
                    <w:jc w:val="center"/>
                    <w:rPr>
                      <w:rFonts w:ascii="Times New Roman" w:hAnsi="Times New Roman"/>
                      <w:highlight w:val="none"/>
                    </w:rPr>
                  </w:pPr>
                  <w:r>
                    <w:rPr>
                      <w:rFonts w:hint="eastAsia" w:ascii="Times New Roman" w:hAnsi="Times New Roman"/>
                      <w:highlight w:val="none"/>
                    </w:rPr>
                    <w:t>液态/半固态/固体</w:t>
                  </w:r>
                </w:p>
              </w:tc>
              <w:tc>
                <w:tcPr>
                  <w:tcW w:w="1064" w:type="dxa"/>
                  <w:noWrap w:val="0"/>
                  <w:vAlign w:val="center"/>
                </w:tcPr>
                <w:p w14:paraId="30A53E89">
                  <w:pPr>
                    <w:jc w:val="center"/>
                    <w:rPr>
                      <w:rFonts w:ascii="Times New Roman" w:hAnsi="Times New Roman"/>
                      <w:highlight w:val="none"/>
                    </w:rPr>
                  </w:pPr>
                  <w:r>
                    <w:rPr>
                      <w:rFonts w:hint="eastAsia" w:ascii="Times New Roman" w:hAnsi="Times New Roman"/>
                      <w:highlight w:val="none"/>
                    </w:rPr>
                    <w:t>T</w:t>
                  </w:r>
                </w:p>
              </w:tc>
              <w:tc>
                <w:tcPr>
                  <w:tcW w:w="656" w:type="dxa"/>
                  <w:noWrap w:val="0"/>
                  <w:vAlign w:val="center"/>
                </w:tcPr>
                <w:p w14:paraId="22545A1B">
                  <w:pPr>
                    <w:jc w:val="center"/>
                    <w:rPr>
                      <w:rFonts w:ascii="Times New Roman" w:hAnsi="Times New Roman"/>
                      <w:highlight w:val="none"/>
                    </w:rPr>
                  </w:pPr>
                  <w:r>
                    <w:rPr>
                      <w:rFonts w:hint="eastAsia" w:ascii="Times New Roman" w:hAnsi="Times New Roman"/>
                      <w:highlight w:val="none"/>
                    </w:rPr>
                    <w:t>桶装/袋装</w:t>
                  </w:r>
                </w:p>
              </w:tc>
              <w:tc>
                <w:tcPr>
                  <w:tcW w:w="531" w:type="dxa"/>
                  <w:shd w:val="clear" w:color="auto" w:fill="auto"/>
                  <w:noWrap w:val="0"/>
                  <w:vAlign w:val="center"/>
                </w:tcPr>
                <w:p w14:paraId="15D80462">
                  <w:pPr>
                    <w:jc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12</w:t>
                  </w:r>
                </w:p>
              </w:tc>
              <w:tc>
                <w:tcPr>
                  <w:tcW w:w="584" w:type="dxa"/>
                  <w:shd w:val="clear" w:color="auto" w:fill="auto"/>
                  <w:noWrap w:val="0"/>
                  <w:vAlign w:val="center"/>
                </w:tcPr>
                <w:p w14:paraId="00496FA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1.8个月</w:t>
                  </w:r>
                </w:p>
              </w:tc>
            </w:tr>
            <w:tr w14:paraId="0E88A0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427" w:type="dxa"/>
                  <w:noWrap w:val="0"/>
                  <w:vAlign w:val="center"/>
                </w:tcPr>
                <w:p w14:paraId="278486F1">
                  <w:pPr>
                    <w:jc w:val="center"/>
                    <w:rPr>
                      <w:rFonts w:ascii="Times New Roman" w:hAnsi="Times New Roman"/>
                      <w:highlight w:val="none"/>
                    </w:rPr>
                  </w:pPr>
                  <w:r>
                    <w:rPr>
                      <w:rFonts w:hint="eastAsia" w:ascii="Times New Roman" w:hAnsi="Times New Roman"/>
                      <w:highlight w:val="none"/>
                    </w:rPr>
                    <w:t>15</w:t>
                  </w:r>
                </w:p>
              </w:tc>
              <w:tc>
                <w:tcPr>
                  <w:tcW w:w="1028" w:type="dxa"/>
                  <w:vMerge w:val="continue"/>
                  <w:noWrap w:val="0"/>
                  <w:vAlign w:val="center"/>
                </w:tcPr>
                <w:p w14:paraId="1A4661E2">
                  <w:pPr>
                    <w:jc w:val="center"/>
                    <w:rPr>
                      <w:rFonts w:hint="eastAsia" w:ascii="Times New Roman" w:hAnsi="Times New Roman"/>
                      <w:szCs w:val="21"/>
                      <w:highlight w:val="none"/>
                    </w:rPr>
                  </w:pPr>
                </w:p>
              </w:tc>
              <w:tc>
                <w:tcPr>
                  <w:tcW w:w="1057" w:type="dxa"/>
                  <w:vMerge w:val="continue"/>
                  <w:noWrap w:val="0"/>
                  <w:vAlign w:val="center"/>
                </w:tcPr>
                <w:p w14:paraId="25E11331">
                  <w:pPr>
                    <w:jc w:val="center"/>
                    <w:rPr>
                      <w:rFonts w:hint="eastAsia" w:ascii="Times New Roman" w:hAnsi="Times New Roman"/>
                      <w:szCs w:val="21"/>
                      <w:highlight w:val="none"/>
                    </w:rPr>
                  </w:pPr>
                </w:p>
              </w:tc>
              <w:tc>
                <w:tcPr>
                  <w:tcW w:w="1073" w:type="dxa"/>
                  <w:vMerge w:val="continue"/>
                  <w:noWrap w:val="0"/>
                  <w:vAlign w:val="center"/>
                </w:tcPr>
                <w:p w14:paraId="3B220C96">
                  <w:pPr>
                    <w:jc w:val="center"/>
                    <w:rPr>
                      <w:rFonts w:hint="eastAsia" w:ascii="Times New Roman" w:hAnsi="Times New Roman"/>
                      <w:szCs w:val="21"/>
                      <w:highlight w:val="none"/>
                    </w:rPr>
                  </w:pPr>
                </w:p>
              </w:tc>
              <w:tc>
                <w:tcPr>
                  <w:tcW w:w="1105" w:type="dxa"/>
                  <w:noWrap w:val="0"/>
                  <w:vAlign w:val="center"/>
                </w:tcPr>
                <w:p w14:paraId="0DC42727">
                  <w:pPr>
                    <w:jc w:val="center"/>
                    <w:rPr>
                      <w:rFonts w:ascii="Times New Roman" w:hAnsi="Times New Roman"/>
                      <w:szCs w:val="21"/>
                      <w:highlight w:val="none"/>
                    </w:rPr>
                  </w:pPr>
                  <w:r>
                    <w:rPr>
                      <w:rFonts w:hint="eastAsia" w:ascii="Times New Roman" w:hAnsi="Times New Roman"/>
                      <w:szCs w:val="21"/>
                      <w:highlight w:val="none"/>
                    </w:rPr>
                    <w:t>HW23含锌废物</w:t>
                  </w:r>
                </w:p>
              </w:tc>
              <w:tc>
                <w:tcPr>
                  <w:tcW w:w="932" w:type="dxa"/>
                  <w:noWrap w:val="0"/>
                  <w:vAlign w:val="center"/>
                </w:tcPr>
                <w:p w14:paraId="26305039">
                  <w:pPr>
                    <w:jc w:val="center"/>
                    <w:rPr>
                      <w:rFonts w:ascii="Times New Roman" w:hAnsi="Times New Roman"/>
                      <w:highlight w:val="none"/>
                    </w:rPr>
                  </w:pPr>
                  <w:r>
                    <w:rPr>
                      <w:rFonts w:hint="eastAsia" w:ascii="Times New Roman" w:hAnsi="Times New Roman"/>
                      <w:highlight w:val="none"/>
                    </w:rPr>
                    <w:t>固体</w:t>
                  </w:r>
                </w:p>
              </w:tc>
              <w:tc>
                <w:tcPr>
                  <w:tcW w:w="1064" w:type="dxa"/>
                  <w:noWrap w:val="0"/>
                  <w:vAlign w:val="center"/>
                </w:tcPr>
                <w:p w14:paraId="4C26C776">
                  <w:pPr>
                    <w:jc w:val="center"/>
                    <w:rPr>
                      <w:rFonts w:ascii="Times New Roman" w:hAnsi="Times New Roman"/>
                      <w:highlight w:val="none"/>
                    </w:rPr>
                  </w:pPr>
                  <w:r>
                    <w:rPr>
                      <w:rFonts w:hint="eastAsia" w:ascii="Times New Roman" w:hAnsi="Times New Roman"/>
                      <w:highlight w:val="none"/>
                    </w:rPr>
                    <w:t>T</w:t>
                  </w:r>
                </w:p>
              </w:tc>
              <w:tc>
                <w:tcPr>
                  <w:tcW w:w="656" w:type="dxa"/>
                  <w:noWrap w:val="0"/>
                  <w:vAlign w:val="center"/>
                </w:tcPr>
                <w:p w14:paraId="302735D3">
                  <w:pPr>
                    <w:jc w:val="center"/>
                    <w:rPr>
                      <w:rFonts w:ascii="Times New Roman" w:hAnsi="Times New Roman"/>
                      <w:highlight w:val="none"/>
                    </w:rPr>
                  </w:pPr>
                  <w:r>
                    <w:rPr>
                      <w:rFonts w:hint="eastAsia" w:ascii="Times New Roman" w:hAnsi="Times New Roman"/>
                      <w:highlight w:val="none"/>
                    </w:rPr>
                    <w:t>袋装</w:t>
                  </w:r>
                </w:p>
              </w:tc>
              <w:tc>
                <w:tcPr>
                  <w:tcW w:w="531" w:type="dxa"/>
                  <w:shd w:val="clear" w:color="auto" w:fill="auto"/>
                  <w:noWrap w:val="0"/>
                  <w:vAlign w:val="center"/>
                </w:tcPr>
                <w:p w14:paraId="116417E3">
                  <w:pPr>
                    <w:jc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12</w:t>
                  </w:r>
                </w:p>
              </w:tc>
              <w:tc>
                <w:tcPr>
                  <w:tcW w:w="584" w:type="dxa"/>
                  <w:shd w:val="clear" w:color="auto" w:fill="auto"/>
                  <w:noWrap w:val="0"/>
                  <w:vAlign w:val="center"/>
                </w:tcPr>
                <w:p w14:paraId="41F1A29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1.8个月</w:t>
                  </w:r>
                </w:p>
              </w:tc>
            </w:tr>
            <w:tr w14:paraId="113B92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427" w:type="dxa"/>
                  <w:noWrap w:val="0"/>
                  <w:vAlign w:val="center"/>
                </w:tcPr>
                <w:p w14:paraId="448274F1">
                  <w:pPr>
                    <w:jc w:val="center"/>
                    <w:rPr>
                      <w:rFonts w:ascii="Times New Roman" w:hAnsi="Times New Roman"/>
                      <w:highlight w:val="none"/>
                    </w:rPr>
                  </w:pPr>
                  <w:r>
                    <w:rPr>
                      <w:rFonts w:hint="eastAsia" w:ascii="Times New Roman" w:hAnsi="Times New Roman"/>
                      <w:highlight w:val="none"/>
                    </w:rPr>
                    <w:t>16</w:t>
                  </w:r>
                </w:p>
              </w:tc>
              <w:tc>
                <w:tcPr>
                  <w:tcW w:w="1028" w:type="dxa"/>
                  <w:vMerge w:val="continue"/>
                  <w:noWrap w:val="0"/>
                  <w:vAlign w:val="center"/>
                </w:tcPr>
                <w:p w14:paraId="51039EDB">
                  <w:pPr>
                    <w:jc w:val="center"/>
                    <w:rPr>
                      <w:rFonts w:hint="eastAsia" w:ascii="Times New Roman" w:hAnsi="Times New Roman"/>
                      <w:szCs w:val="21"/>
                      <w:highlight w:val="none"/>
                    </w:rPr>
                  </w:pPr>
                </w:p>
              </w:tc>
              <w:tc>
                <w:tcPr>
                  <w:tcW w:w="1057" w:type="dxa"/>
                  <w:vMerge w:val="continue"/>
                  <w:noWrap w:val="0"/>
                  <w:vAlign w:val="center"/>
                </w:tcPr>
                <w:p w14:paraId="0DF9DFEB">
                  <w:pPr>
                    <w:jc w:val="center"/>
                    <w:rPr>
                      <w:rFonts w:hint="eastAsia" w:ascii="Times New Roman" w:hAnsi="Times New Roman"/>
                      <w:szCs w:val="21"/>
                      <w:highlight w:val="none"/>
                    </w:rPr>
                  </w:pPr>
                </w:p>
              </w:tc>
              <w:tc>
                <w:tcPr>
                  <w:tcW w:w="1073" w:type="dxa"/>
                  <w:vMerge w:val="continue"/>
                  <w:noWrap w:val="0"/>
                  <w:vAlign w:val="center"/>
                </w:tcPr>
                <w:p w14:paraId="744AE92C">
                  <w:pPr>
                    <w:jc w:val="center"/>
                    <w:rPr>
                      <w:rFonts w:hint="eastAsia" w:ascii="Times New Roman" w:hAnsi="Times New Roman"/>
                      <w:szCs w:val="21"/>
                      <w:highlight w:val="none"/>
                    </w:rPr>
                  </w:pPr>
                </w:p>
              </w:tc>
              <w:tc>
                <w:tcPr>
                  <w:tcW w:w="1105" w:type="dxa"/>
                  <w:noWrap w:val="0"/>
                  <w:vAlign w:val="center"/>
                </w:tcPr>
                <w:p w14:paraId="4F260C7A">
                  <w:pPr>
                    <w:jc w:val="center"/>
                    <w:rPr>
                      <w:rFonts w:ascii="Times New Roman" w:hAnsi="Times New Roman"/>
                      <w:szCs w:val="21"/>
                      <w:highlight w:val="none"/>
                    </w:rPr>
                  </w:pPr>
                  <w:r>
                    <w:rPr>
                      <w:rFonts w:hint="eastAsia" w:ascii="Times New Roman" w:hAnsi="Times New Roman"/>
                      <w:szCs w:val="21"/>
                      <w:highlight w:val="none"/>
                    </w:rPr>
                    <w:t>HW29含汞废物</w:t>
                  </w:r>
                </w:p>
              </w:tc>
              <w:tc>
                <w:tcPr>
                  <w:tcW w:w="932" w:type="dxa"/>
                  <w:noWrap w:val="0"/>
                  <w:vAlign w:val="center"/>
                </w:tcPr>
                <w:p w14:paraId="52098DD9">
                  <w:pPr>
                    <w:jc w:val="center"/>
                    <w:rPr>
                      <w:rFonts w:ascii="Times New Roman" w:hAnsi="Times New Roman"/>
                      <w:highlight w:val="none"/>
                    </w:rPr>
                  </w:pPr>
                  <w:r>
                    <w:rPr>
                      <w:rFonts w:hint="eastAsia" w:ascii="Times New Roman" w:hAnsi="Times New Roman"/>
                      <w:highlight w:val="none"/>
                    </w:rPr>
                    <w:t>液态/固体</w:t>
                  </w:r>
                </w:p>
              </w:tc>
              <w:tc>
                <w:tcPr>
                  <w:tcW w:w="1064" w:type="dxa"/>
                  <w:noWrap w:val="0"/>
                  <w:vAlign w:val="center"/>
                </w:tcPr>
                <w:p w14:paraId="78BAB846">
                  <w:pPr>
                    <w:jc w:val="center"/>
                    <w:rPr>
                      <w:rFonts w:ascii="Times New Roman" w:hAnsi="Times New Roman"/>
                      <w:highlight w:val="none"/>
                    </w:rPr>
                  </w:pPr>
                  <w:r>
                    <w:rPr>
                      <w:rFonts w:hint="eastAsia" w:ascii="Times New Roman" w:hAnsi="Times New Roman"/>
                      <w:highlight w:val="none"/>
                    </w:rPr>
                    <w:t>T</w:t>
                  </w:r>
                </w:p>
              </w:tc>
              <w:tc>
                <w:tcPr>
                  <w:tcW w:w="656" w:type="dxa"/>
                  <w:noWrap w:val="0"/>
                  <w:vAlign w:val="center"/>
                </w:tcPr>
                <w:p w14:paraId="7CA0C74B">
                  <w:pPr>
                    <w:jc w:val="center"/>
                    <w:rPr>
                      <w:rFonts w:ascii="Times New Roman" w:hAnsi="Times New Roman"/>
                      <w:highlight w:val="none"/>
                    </w:rPr>
                  </w:pPr>
                  <w:r>
                    <w:rPr>
                      <w:rFonts w:hint="eastAsia" w:ascii="Times New Roman" w:hAnsi="Times New Roman"/>
                      <w:highlight w:val="none"/>
                    </w:rPr>
                    <w:t>桶装/袋装</w:t>
                  </w:r>
                </w:p>
              </w:tc>
              <w:tc>
                <w:tcPr>
                  <w:tcW w:w="531" w:type="dxa"/>
                  <w:shd w:val="clear" w:color="auto" w:fill="auto"/>
                  <w:noWrap w:val="0"/>
                  <w:vAlign w:val="center"/>
                </w:tcPr>
                <w:p w14:paraId="4CDE396B">
                  <w:pPr>
                    <w:jc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12</w:t>
                  </w:r>
                </w:p>
              </w:tc>
              <w:tc>
                <w:tcPr>
                  <w:tcW w:w="584" w:type="dxa"/>
                  <w:shd w:val="clear" w:color="auto" w:fill="auto"/>
                  <w:noWrap w:val="0"/>
                  <w:vAlign w:val="center"/>
                </w:tcPr>
                <w:p w14:paraId="68F9B90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1.8个月</w:t>
                  </w:r>
                </w:p>
              </w:tc>
            </w:tr>
            <w:tr w14:paraId="627CEC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427" w:type="dxa"/>
                  <w:noWrap w:val="0"/>
                  <w:vAlign w:val="center"/>
                </w:tcPr>
                <w:p w14:paraId="078A7710">
                  <w:pPr>
                    <w:jc w:val="center"/>
                    <w:rPr>
                      <w:rFonts w:ascii="Times New Roman" w:hAnsi="Times New Roman"/>
                      <w:highlight w:val="none"/>
                    </w:rPr>
                  </w:pPr>
                  <w:r>
                    <w:rPr>
                      <w:rFonts w:hint="eastAsia" w:ascii="Times New Roman" w:hAnsi="Times New Roman"/>
                      <w:highlight w:val="none"/>
                    </w:rPr>
                    <w:t>19</w:t>
                  </w:r>
                </w:p>
              </w:tc>
              <w:tc>
                <w:tcPr>
                  <w:tcW w:w="1028" w:type="dxa"/>
                  <w:vMerge w:val="continue"/>
                  <w:noWrap w:val="0"/>
                  <w:vAlign w:val="center"/>
                </w:tcPr>
                <w:p w14:paraId="0248530D">
                  <w:pPr>
                    <w:jc w:val="center"/>
                    <w:rPr>
                      <w:rFonts w:hint="eastAsia" w:ascii="Times New Roman" w:hAnsi="Times New Roman"/>
                      <w:szCs w:val="21"/>
                      <w:highlight w:val="none"/>
                    </w:rPr>
                  </w:pPr>
                </w:p>
              </w:tc>
              <w:tc>
                <w:tcPr>
                  <w:tcW w:w="1057" w:type="dxa"/>
                  <w:vMerge w:val="continue"/>
                  <w:noWrap w:val="0"/>
                  <w:vAlign w:val="center"/>
                </w:tcPr>
                <w:p w14:paraId="267CB665">
                  <w:pPr>
                    <w:jc w:val="center"/>
                    <w:rPr>
                      <w:rFonts w:hint="eastAsia" w:ascii="Times New Roman" w:hAnsi="Times New Roman"/>
                      <w:szCs w:val="21"/>
                      <w:highlight w:val="none"/>
                    </w:rPr>
                  </w:pPr>
                </w:p>
              </w:tc>
              <w:tc>
                <w:tcPr>
                  <w:tcW w:w="1073" w:type="dxa"/>
                  <w:vMerge w:val="continue"/>
                  <w:noWrap w:val="0"/>
                  <w:vAlign w:val="center"/>
                </w:tcPr>
                <w:p w14:paraId="24A6FCDF">
                  <w:pPr>
                    <w:jc w:val="center"/>
                    <w:rPr>
                      <w:rFonts w:hint="eastAsia" w:ascii="Times New Roman" w:hAnsi="Times New Roman"/>
                      <w:szCs w:val="21"/>
                      <w:highlight w:val="none"/>
                    </w:rPr>
                  </w:pPr>
                </w:p>
              </w:tc>
              <w:tc>
                <w:tcPr>
                  <w:tcW w:w="1105" w:type="dxa"/>
                  <w:noWrap w:val="0"/>
                  <w:vAlign w:val="center"/>
                </w:tcPr>
                <w:p w14:paraId="27D2BBEF">
                  <w:pPr>
                    <w:jc w:val="center"/>
                    <w:rPr>
                      <w:rFonts w:ascii="Times New Roman" w:hAnsi="Times New Roman"/>
                      <w:szCs w:val="21"/>
                      <w:highlight w:val="none"/>
                    </w:rPr>
                  </w:pPr>
                  <w:r>
                    <w:rPr>
                      <w:rFonts w:hint="eastAsia" w:ascii="Times New Roman" w:hAnsi="Times New Roman"/>
                      <w:szCs w:val="21"/>
                      <w:highlight w:val="none"/>
                    </w:rPr>
                    <w:t>HW34废酸</w:t>
                  </w:r>
                </w:p>
              </w:tc>
              <w:tc>
                <w:tcPr>
                  <w:tcW w:w="932" w:type="dxa"/>
                  <w:noWrap w:val="0"/>
                  <w:vAlign w:val="center"/>
                </w:tcPr>
                <w:p w14:paraId="08490419">
                  <w:pPr>
                    <w:jc w:val="center"/>
                    <w:rPr>
                      <w:rFonts w:ascii="Times New Roman" w:hAnsi="Times New Roman"/>
                      <w:highlight w:val="none"/>
                    </w:rPr>
                  </w:pPr>
                  <w:r>
                    <w:rPr>
                      <w:rFonts w:hint="eastAsia" w:ascii="Times New Roman" w:hAnsi="Times New Roman"/>
                      <w:highlight w:val="none"/>
                    </w:rPr>
                    <w:t>液态/固体</w:t>
                  </w:r>
                </w:p>
              </w:tc>
              <w:tc>
                <w:tcPr>
                  <w:tcW w:w="1064" w:type="dxa"/>
                  <w:noWrap w:val="0"/>
                  <w:vAlign w:val="center"/>
                </w:tcPr>
                <w:p w14:paraId="6EBE201E">
                  <w:pPr>
                    <w:jc w:val="center"/>
                    <w:rPr>
                      <w:rFonts w:ascii="Times New Roman" w:hAnsi="Times New Roman"/>
                      <w:highlight w:val="none"/>
                    </w:rPr>
                  </w:pPr>
                  <w:r>
                    <w:rPr>
                      <w:rFonts w:hint="eastAsia" w:ascii="Times New Roman" w:hAnsi="Times New Roman"/>
                      <w:highlight w:val="none"/>
                    </w:rPr>
                    <w:t>C,T</w:t>
                  </w:r>
                </w:p>
              </w:tc>
              <w:tc>
                <w:tcPr>
                  <w:tcW w:w="656" w:type="dxa"/>
                  <w:noWrap w:val="0"/>
                  <w:vAlign w:val="center"/>
                </w:tcPr>
                <w:p w14:paraId="524BFD0D">
                  <w:pPr>
                    <w:jc w:val="center"/>
                    <w:rPr>
                      <w:rFonts w:ascii="Times New Roman" w:hAnsi="Times New Roman"/>
                      <w:highlight w:val="none"/>
                    </w:rPr>
                  </w:pPr>
                  <w:r>
                    <w:rPr>
                      <w:rFonts w:hint="eastAsia" w:ascii="Times New Roman" w:hAnsi="Times New Roman"/>
                      <w:highlight w:val="none"/>
                    </w:rPr>
                    <w:t>桶装/袋装</w:t>
                  </w:r>
                </w:p>
              </w:tc>
              <w:tc>
                <w:tcPr>
                  <w:tcW w:w="531" w:type="dxa"/>
                  <w:shd w:val="clear" w:color="auto" w:fill="auto"/>
                  <w:noWrap w:val="0"/>
                  <w:vAlign w:val="center"/>
                </w:tcPr>
                <w:p w14:paraId="3D117F19">
                  <w:pPr>
                    <w:jc w:val="center"/>
                    <w:rPr>
                      <w:rFonts w:hint="default"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20</w:t>
                  </w:r>
                </w:p>
              </w:tc>
              <w:tc>
                <w:tcPr>
                  <w:tcW w:w="584" w:type="dxa"/>
                  <w:shd w:val="clear" w:color="auto" w:fill="auto"/>
                  <w:noWrap w:val="0"/>
                  <w:vAlign w:val="center"/>
                </w:tcPr>
                <w:p w14:paraId="1665316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0.12个月</w:t>
                  </w:r>
                </w:p>
              </w:tc>
            </w:tr>
            <w:tr w14:paraId="28624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427" w:type="dxa"/>
                  <w:noWrap w:val="0"/>
                  <w:vAlign w:val="center"/>
                </w:tcPr>
                <w:p w14:paraId="7F268A22">
                  <w:pPr>
                    <w:jc w:val="center"/>
                    <w:rPr>
                      <w:rFonts w:ascii="Times New Roman" w:hAnsi="Times New Roman"/>
                      <w:highlight w:val="none"/>
                    </w:rPr>
                  </w:pPr>
                  <w:r>
                    <w:rPr>
                      <w:rFonts w:hint="eastAsia" w:ascii="Times New Roman" w:hAnsi="Times New Roman"/>
                      <w:highlight w:val="none"/>
                    </w:rPr>
                    <w:t>20</w:t>
                  </w:r>
                </w:p>
              </w:tc>
              <w:tc>
                <w:tcPr>
                  <w:tcW w:w="1028" w:type="dxa"/>
                  <w:vMerge w:val="continue"/>
                  <w:noWrap w:val="0"/>
                  <w:vAlign w:val="center"/>
                </w:tcPr>
                <w:p w14:paraId="3B20565C">
                  <w:pPr>
                    <w:jc w:val="center"/>
                    <w:rPr>
                      <w:rFonts w:hint="eastAsia" w:ascii="Times New Roman" w:hAnsi="Times New Roman"/>
                      <w:szCs w:val="21"/>
                      <w:highlight w:val="none"/>
                    </w:rPr>
                  </w:pPr>
                </w:p>
              </w:tc>
              <w:tc>
                <w:tcPr>
                  <w:tcW w:w="1057" w:type="dxa"/>
                  <w:vMerge w:val="continue"/>
                  <w:noWrap w:val="0"/>
                  <w:vAlign w:val="center"/>
                </w:tcPr>
                <w:p w14:paraId="776B7CF3">
                  <w:pPr>
                    <w:jc w:val="center"/>
                    <w:rPr>
                      <w:rFonts w:hint="eastAsia" w:ascii="Times New Roman" w:hAnsi="Times New Roman"/>
                      <w:szCs w:val="21"/>
                      <w:highlight w:val="none"/>
                    </w:rPr>
                  </w:pPr>
                </w:p>
              </w:tc>
              <w:tc>
                <w:tcPr>
                  <w:tcW w:w="1073" w:type="dxa"/>
                  <w:vMerge w:val="continue"/>
                  <w:noWrap w:val="0"/>
                  <w:vAlign w:val="center"/>
                </w:tcPr>
                <w:p w14:paraId="1156E1A1">
                  <w:pPr>
                    <w:jc w:val="center"/>
                    <w:rPr>
                      <w:rFonts w:hint="eastAsia" w:ascii="Times New Roman" w:hAnsi="Times New Roman"/>
                      <w:szCs w:val="21"/>
                      <w:highlight w:val="none"/>
                    </w:rPr>
                  </w:pPr>
                </w:p>
              </w:tc>
              <w:tc>
                <w:tcPr>
                  <w:tcW w:w="1105" w:type="dxa"/>
                  <w:noWrap w:val="0"/>
                  <w:vAlign w:val="center"/>
                </w:tcPr>
                <w:p w14:paraId="245A2E36">
                  <w:pPr>
                    <w:jc w:val="center"/>
                    <w:rPr>
                      <w:rFonts w:hint="eastAsia" w:ascii="Times New Roman" w:hAnsi="Times New Roman"/>
                      <w:szCs w:val="21"/>
                      <w:highlight w:val="none"/>
                    </w:rPr>
                  </w:pPr>
                  <w:r>
                    <w:rPr>
                      <w:rFonts w:hint="eastAsia" w:ascii="Times New Roman" w:hAnsi="Times New Roman"/>
                      <w:szCs w:val="21"/>
                      <w:highlight w:val="none"/>
                    </w:rPr>
                    <w:t>HW35废碱</w:t>
                  </w:r>
                </w:p>
              </w:tc>
              <w:tc>
                <w:tcPr>
                  <w:tcW w:w="932" w:type="dxa"/>
                  <w:noWrap w:val="0"/>
                  <w:vAlign w:val="center"/>
                </w:tcPr>
                <w:p w14:paraId="28147978">
                  <w:pPr>
                    <w:jc w:val="center"/>
                    <w:rPr>
                      <w:rFonts w:ascii="Times New Roman" w:hAnsi="Times New Roman"/>
                      <w:highlight w:val="none"/>
                    </w:rPr>
                  </w:pPr>
                  <w:r>
                    <w:rPr>
                      <w:rFonts w:hint="eastAsia" w:ascii="Times New Roman" w:hAnsi="Times New Roman"/>
                      <w:highlight w:val="none"/>
                    </w:rPr>
                    <w:t>液态/固体</w:t>
                  </w:r>
                </w:p>
              </w:tc>
              <w:tc>
                <w:tcPr>
                  <w:tcW w:w="1064" w:type="dxa"/>
                  <w:noWrap w:val="0"/>
                  <w:vAlign w:val="center"/>
                </w:tcPr>
                <w:p w14:paraId="4127C948">
                  <w:pPr>
                    <w:jc w:val="center"/>
                    <w:rPr>
                      <w:rFonts w:ascii="Times New Roman" w:hAnsi="Times New Roman"/>
                      <w:highlight w:val="none"/>
                    </w:rPr>
                  </w:pPr>
                  <w:r>
                    <w:rPr>
                      <w:rFonts w:hint="eastAsia" w:ascii="Times New Roman" w:hAnsi="Times New Roman"/>
                      <w:highlight w:val="none"/>
                    </w:rPr>
                    <w:t>C,T</w:t>
                  </w:r>
                </w:p>
              </w:tc>
              <w:tc>
                <w:tcPr>
                  <w:tcW w:w="656" w:type="dxa"/>
                  <w:noWrap w:val="0"/>
                  <w:vAlign w:val="center"/>
                </w:tcPr>
                <w:p w14:paraId="7A5FE866">
                  <w:pPr>
                    <w:jc w:val="center"/>
                    <w:rPr>
                      <w:rFonts w:ascii="Times New Roman" w:hAnsi="Times New Roman"/>
                      <w:highlight w:val="none"/>
                    </w:rPr>
                  </w:pPr>
                  <w:r>
                    <w:rPr>
                      <w:rFonts w:hint="eastAsia" w:ascii="Times New Roman" w:hAnsi="Times New Roman"/>
                      <w:highlight w:val="none"/>
                    </w:rPr>
                    <w:t>桶装/袋装</w:t>
                  </w:r>
                </w:p>
              </w:tc>
              <w:tc>
                <w:tcPr>
                  <w:tcW w:w="531" w:type="dxa"/>
                  <w:shd w:val="clear" w:color="auto" w:fill="auto"/>
                  <w:noWrap w:val="0"/>
                  <w:vAlign w:val="center"/>
                </w:tcPr>
                <w:p w14:paraId="3CB5556F">
                  <w:pPr>
                    <w:jc w:val="center"/>
                    <w:rPr>
                      <w:rFonts w:hint="default"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20</w:t>
                  </w:r>
                </w:p>
              </w:tc>
              <w:tc>
                <w:tcPr>
                  <w:tcW w:w="584" w:type="dxa"/>
                  <w:shd w:val="clear" w:color="auto" w:fill="auto"/>
                  <w:noWrap w:val="0"/>
                  <w:vAlign w:val="center"/>
                </w:tcPr>
                <w:p w14:paraId="30D7BD5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0.12个月</w:t>
                  </w:r>
                </w:p>
              </w:tc>
            </w:tr>
            <w:tr w14:paraId="349289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trPr>
              <w:tc>
                <w:tcPr>
                  <w:tcW w:w="427" w:type="dxa"/>
                  <w:noWrap w:val="0"/>
                  <w:vAlign w:val="center"/>
                </w:tcPr>
                <w:p w14:paraId="7AF5BD5E">
                  <w:pPr>
                    <w:jc w:val="center"/>
                    <w:rPr>
                      <w:rFonts w:ascii="Times New Roman" w:hAnsi="Times New Roman"/>
                      <w:highlight w:val="none"/>
                    </w:rPr>
                  </w:pPr>
                  <w:r>
                    <w:rPr>
                      <w:rFonts w:hint="eastAsia" w:ascii="Times New Roman" w:hAnsi="Times New Roman"/>
                      <w:highlight w:val="none"/>
                    </w:rPr>
                    <w:t>21</w:t>
                  </w:r>
                </w:p>
              </w:tc>
              <w:tc>
                <w:tcPr>
                  <w:tcW w:w="1028" w:type="dxa"/>
                  <w:vMerge w:val="continue"/>
                  <w:noWrap w:val="0"/>
                  <w:vAlign w:val="center"/>
                </w:tcPr>
                <w:p w14:paraId="6034B012">
                  <w:pPr>
                    <w:jc w:val="center"/>
                    <w:rPr>
                      <w:rFonts w:hint="eastAsia" w:ascii="Times New Roman" w:hAnsi="Times New Roman"/>
                      <w:szCs w:val="21"/>
                      <w:highlight w:val="none"/>
                    </w:rPr>
                  </w:pPr>
                </w:p>
              </w:tc>
              <w:tc>
                <w:tcPr>
                  <w:tcW w:w="1057" w:type="dxa"/>
                  <w:vMerge w:val="continue"/>
                  <w:noWrap w:val="0"/>
                  <w:vAlign w:val="center"/>
                </w:tcPr>
                <w:p w14:paraId="093FE4EC">
                  <w:pPr>
                    <w:jc w:val="center"/>
                    <w:rPr>
                      <w:rFonts w:hint="eastAsia" w:ascii="Times New Roman" w:hAnsi="Times New Roman"/>
                      <w:szCs w:val="21"/>
                      <w:highlight w:val="none"/>
                    </w:rPr>
                  </w:pPr>
                </w:p>
              </w:tc>
              <w:tc>
                <w:tcPr>
                  <w:tcW w:w="1073" w:type="dxa"/>
                  <w:vMerge w:val="continue"/>
                  <w:noWrap w:val="0"/>
                  <w:vAlign w:val="center"/>
                </w:tcPr>
                <w:p w14:paraId="294126E6">
                  <w:pPr>
                    <w:jc w:val="center"/>
                    <w:rPr>
                      <w:rFonts w:hint="eastAsia" w:ascii="Times New Roman" w:hAnsi="Times New Roman"/>
                      <w:szCs w:val="21"/>
                      <w:highlight w:val="none"/>
                    </w:rPr>
                  </w:pPr>
                </w:p>
              </w:tc>
              <w:tc>
                <w:tcPr>
                  <w:tcW w:w="1105" w:type="dxa"/>
                  <w:noWrap w:val="0"/>
                  <w:vAlign w:val="center"/>
                </w:tcPr>
                <w:p w14:paraId="739DE2A1">
                  <w:pPr>
                    <w:jc w:val="center"/>
                    <w:rPr>
                      <w:rFonts w:hint="eastAsia" w:ascii="Times New Roman" w:hAnsi="Times New Roman"/>
                      <w:szCs w:val="21"/>
                      <w:highlight w:val="none"/>
                    </w:rPr>
                  </w:pPr>
                  <w:r>
                    <w:rPr>
                      <w:rFonts w:hint="eastAsia" w:ascii="Times New Roman" w:hAnsi="Times New Roman"/>
                      <w:szCs w:val="21"/>
                      <w:highlight w:val="none"/>
                    </w:rPr>
                    <w:t>HW36石棉废物</w:t>
                  </w:r>
                </w:p>
              </w:tc>
              <w:tc>
                <w:tcPr>
                  <w:tcW w:w="932" w:type="dxa"/>
                  <w:noWrap w:val="0"/>
                  <w:vAlign w:val="center"/>
                </w:tcPr>
                <w:p w14:paraId="1540AB56">
                  <w:pPr>
                    <w:jc w:val="center"/>
                    <w:rPr>
                      <w:rFonts w:ascii="Times New Roman" w:hAnsi="Times New Roman"/>
                      <w:highlight w:val="none"/>
                    </w:rPr>
                  </w:pPr>
                  <w:r>
                    <w:rPr>
                      <w:rFonts w:hint="eastAsia" w:ascii="Times New Roman" w:hAnsi="Times New Roman"/>
                      <w:highlight w:val="none"/>
                    </w:rPr>
                    <w:t>固体</w:t>
                  </w:r>
                </w:p>
              </w:tc>
              <w:tc>
                <w:tcPr>
                  <w:tcW w:w="1064" w:type="dxa"/>
                  <w:noWrap w:val="0"/>
                  <w:vAlign w:val="center"/>
                </w:tcPr>
                <w:p w14:paraId="2E5C83CC">
                  <w:pPr>
                    <w:jc w:val="center"/>
                    <w:rPr>
                      <w:rFonts w:ascii="Times New Roman" w:hAnsi="Times New Roman"/>
                      <w:highlight w:val="none"/>
                    </w:rPr>
                  </w:pPr>
                  <w:r>
                    <w:rPr>
                      <w:rFonts w:hint="eastAsia" w:ascii="Times New Roman" w:hAnsi="Times New Roman"/>
                      <w:highlight w:val="none"/>
                    </w:rPr>
                    <w:t>T</w:t>
                  </w:r>
                </w:p>
              </w:tc>
              <w:tc>
                <w:tcPr>
                  <w:tcW w:w="656" w:type="dxa"/>
                  <w:noWrap w:val="0"/>
                  <w:vAlign w:val="center"/>
                </w:tcPr>
                <w:p w14:paraId="341A65BD">
                  <w:pPr>
                    <w:jc w:val="center"/>
                    <w:rPr>
                      <w:rFonts w:ascii="Times New Roman" w:hAnsi="Times New Roman"/>
                      <w:highlight w:val="none"/>
                    </w:rPr>
                  </w:pPr>
                  <w:r>
                    <w:rPr>
                      <w:rFonts w:hint="eastAsia" w:ascii="Times New Roman" w:hAnsi="Times New Roman"/>
                      <w:highlight w:val="none"/>
                    </w:rPr>
                    <w:t>袋装</w:t>
                  </w:r>
                </w:p>
              </w:tc>
              <w:tc>
                <w:tcPr>
                  <w:tcW w:w="531" w:type="dxa"/>
                  <w:shd w:val="clear" w:color="auto" w:fill="auto"/>
                  <w:noWrap w:val="0"/>
                  <w:vAlign w:val="center"/>
                </w:tcPr>
                <w:p w14:paraId="6702E04F">
                  <w:pPr>
                    <w:jc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12</w:t>
                  </w:r>
                </w:p>
              </w:tc>
              <w:tc>
                <w:tcPr>
                  <w:tcW w:w="584" w:type="dxa"/>
                  <w:shd w:val="clear" w:color="auto" w:fill="auto"/>
                  <w:noWrap w:val="0"/>
                  <w:vAlign w:val="center"/>
                </w:tcPr>
                <w:p w14:paraId="281625F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1.8个月</w:t>
                  </w:r>
                </w:p>
              </w:tc>
            </w:tr>
            <w:tr w14:paraId="702ABA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427" w:type="dxa"/>
                  <w:noWrap w:val="0"/>
                  <w:vAlign w:val="center"/>
                </w:tcPr>
                <w:p w14:paraId="408E1C7F">
                  <w:pPr>
                    <w:jc w:val="center"/>
                    <w:rPr>
                      <w:rFonts w:ascii="Times New Roman" w:hAnsi="Times New Roman"/>
                      <w:highlight w:val="none"/>
                    </w:rPr>
                  </w:pPr>
                  <w:r>
                    <w:rPr>
                      <w:rFonts w:hint="eastAsia" w:ascii="Times New Roman" w:hAnsi="Times New Roman"/>
                      <w:highlight w:val="none"/>
                    </w:rPr>
                    <w:t>22</w:t>
                  </w:r>
                </w:p>
              </w:tc>
              <w:tc>
                <w:tcPr>
                  <w:tcW w:w="1028" w:type="dxa"/>
                  <w:vMerge w:val="continue"/>
                  <w:noWrap w:val="0"/>
                  <w:vAlign w:val="center"/>
                </w:tcPr>
                <w:p w14:paraId="0866B948">
                  <w:pPr>
                    <w:jc w:val="center"/>
                    <w:rPr>
                      <w:rFonts w:hint="eastAsia" w:ascii="Times New Roman" w:hAnsi="Times New Roman"/>
                      <w:szCs w:val="21"/>
                      <w:highlight w:val="none"/>
                    </w:rPr>
                  </w:pPr>
                </w:p>
              </w:tc>
              <w:tc>
                <w:tcPr>
                  <w:tcW w:w="1057" w:type="dxa"/>
                  <w:vMerge w:val="continue"/>
                  <w:noWrap w:val="0"/>
                  <w:vAlign w:val="center"/>
                </w:tcPr>
                <w:p w14:paraId="27734D82">
                  <w:pPr>
                    <w:jc w:val="center"/>
                    <w:rPr>
                      <w:rFonts w:hint="eastAsia" w:ascii="Times New Roman" w:hAnsi="Times New Roman"/>
                      <w:szCs w:val="21"/>
                      <w:highlight w:val="none"/>
                    </w:rPr>
                  </w:pPr>
                </w:p>
              </w:tc>
              <w:tc>
                <w:tcPr>
                  <w:tcW w:w="1073" w:type="dxa"/>
                  <w:vMerge w:val="continue"/>
                  <w:noWrap w:val="0"/>
                  <w:vAlign w:val="center"/>
                </w:tcPr>
                <w:p w14:paraId="63D90F21">
                  <w:pPr>
                    <w:jc w:val="center"/>
                    <w:rPr>
                      <w:rFonts w:hint="eastAsia" w:ascii="Times New Roman" w:hAnsi="Times New Roman"/>
                      <w:szCs w:val="21"/>
                      <w:highlight w:val="none"/>
                    </w:rPr>
                  </w:pPr>
                </w:p>
              </w:tc>
              <w:tc>
                <w:tcPr>
                  <w:tcW w:w="1105" w:type="dxa"/>
                  <w:noWrap w:val="0"/>
                  <w:vAlign w:val="center"/>
                </w:tcPr>
                <w:p w14:paraId="74886A44">
                  <w:pPr>
                    <w:jc w:val="center"/>
                    <w:rPr>
                      <w:rFonts w:hint="eastAsia" w:ascii="Times New Roman" w:hAnsi="Times New Roman"/>
                      <w:szCs w:val="21"/>
                      <w:highlight w:val="none"/>
                    </w:rPr>
                  </w:pPr>
                  <w:r>
                    <w:rPr>
                      <w:rFonts w:hint="eastAsia" w:ascii="Times New Roman" w:hAnsi="Times New Roman"/>
                      <w:szCs w:val="21"/>
                      <w:highlight w:val="none"/>
                    </w:rPr>
                    <w:t>HW37有机磷化合物废物</w:t>
                  </w:r>
                </w:p>
              </w:tc>
              <w:tc>
                <w:tcPr>
                  <w:tcW w:w="932" w:type="dxa"/>
                  <w:noWrap w:val="0"/>
                  <w:vAlign w:val="center"/>
                </w:tcPr>
                <w:p w14:paraId="390A7943">
                  <w:pPr>
                    <w:jc w:val="center"/>
                    <w:rPr>
                      <w:rFonts w:ascii="Times New Roman" w:hAnsi="Times New Roman"/>
                      <w:highlight w:val="none"/>
                    </w:rPr>
                  </w:pPr>
                  <w:r>
                    <w:rPr>
                      <w:rFonts w:hint="eastAsia" w:ascii="Times New Roman" w:hAnsi="Times New Roman"/>
                      <w:highlight w:val="none"/>
                    </w:rPr>
                    <w:t>液态</w:t>
                  </w:r>
                </w:p>
              </w:tc>
              <w:tc>
                <w:tcPr>
                  <w:tcW w:w="1064" w:type="dxa"/>
                  <w:noWrap w:val="0"/>
                  <w:vAlign w:val="center"/>
                </w:tcPr>
                <w:p w14:paraId="0F922965">
                  <w:pPr>
                    <w:jc w:val="center"/>
                    <w:rPr>
                      <w:rFonts w:ascii="Times New Roman" w:hAnsi="Times New Roman"/>
                      <w:highlight w:val="none"/>
                    </w:rPr>
                  </w:pPr>
                  <w:r>
                    <w:rPr>
                      <w:rFonts w:hint="eastAsia" w:ascii="Times New Roman" w:hAnsi="Times New Roman"/>
                      <w:highlight w:val="none"/>
                    </w:rPr>
                    <w:t>T</w:t>
                  </w:r>
                </w:p>
              </w:tc>
              <w:tc>
                <w:tcPr>
                  <w:tcW w:w="656" w:type="dxa"/>
                  <w:noWrap w:val="0"/>
                  <w:vAlign w:val="center"/>
                </w:tcPr>
                <w:p w14:paraId="3D94A355">
                  <w:pPr>
                    <w:jc w:val="center"/>
                    <w:rPr>
                      <w:rFonts w:ascii="Times New Roman" w:hAnsi="Times New Roman"/>
                      <w:highlight w:val="none"/>
                    </w:rPr>
                  </w:pPr>
                  <w:r>
                    <w:rPr>
                      <w:rFonts w:hint="eastAsia" w:ascii="Times New Roman" w:hAnsi="Times New Roman"/>
                      <w:highlight w:val="none"/>
                    </w:rPr>
                    <w:t>桶装</w:t>
                  </w:r>
                </w:p>
              </w:tc>
              <w:tc>
                <w:tcPr>
                  <w:tcW w:w="531" w:type="dxa"/>
                  <w:shd w:val="clear" w:color="auto" w:fill="auto"/>
                  <w:noWrap w:val="0"/>
                  <w:vAlign w:val="center"/>
                </w:tcPr>
                <w:p w14:paraId="22A941D9">
                  <w:pPr>
                    <w:jc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12</w:t>
                  </w:r>
                </w:p>
              </w:tc>
              <w:tc>
                <w:tcPr>
                  <w:tcW w:w="584" w:type="dxa"/>
                  <w:shd w:val="clear" w:color="auto" w:fill="auto"/>
                  <w:noWrap w:val="0"/>
                  <w:vAlign w:val="center"/>
                </w:tcPr>
                <w:p w14:paraId="3A81DD5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1.8个月</w:t>
                  </w:r>
                </w:p>
              </w:tc>
            </w:tr>
            <w:tr w14:paraId="401DA0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427" w:type="dxa"/>
                  <w:noWrap w:val="0"/>
                  <w:vAlign w:val="center"/>
                </w:tcPr>
                <w:p w14:paraId="58487ABA">
                  <w:pPr>
                    <w:jc w:val="center"/>
                    <w:rPr>
                      <w:rFonts w:ascii="Times New Roman" w:hAnsi="Times New Roman"/>
                      <w:highlight w:val="none"/>
                    </w:rPr>
                  </w:pPr>
                  <w:r>
                    <w:rPr>
                      <w:rFonts w:hint="eastAsia" w:ascii="Times New Roman" w:hAnsi="Times New Roman"/>
                      <w:highlight w:val="none"/>
                    </w:rPr>
                    <w:t>23</w:t>
                  </w:r>
                </w:p>
              </w:tc>
              <w:tc>
                <w:tcPr>
                  <w:tcW w:w="1028" w:type="dxa"/>
                  <w:vMerge w:val="continue"/>
                  <w:noWrap w:val="0"/>
                  <w:vAlign w:val="center"/>
                </w:tcPr>
                <w:p w14:paraId="2B0B934B">
                  <w:pPr>
                    <w:jc w:val="center"/>
                    <w:rPr>
                      <w:rFonts w:hint="eastAsia" w:ascii="Times New Roman" w:hAnsi="Times New Roman"/>
                      <w:szCs w:val="21"/>
                      <w:highlight w:val="none"/>
                    </w:rPr>
                  </w:pPr>
                </w:p>
              </w:tc>
              <w:tc>
                <w:tcPr>
                  <w:tcW w:w="1057" w:type="dxa"/>
                  <w:vMerge w:val="continue"/>
                  <w:noWrap w:val="0"/>
                  <w:vAlign w:val="center"/>
                </w:tcPr>
                <w:p w14:paraId="07405F7E">
                  <w:pPr>
                    <w:jc w:val="center"/>
                    <w:rPr>
                      <w:rFonts w:hint="eastAsia" w:ascii="Times New Roman" w:hAnsi="Times New Roman"/>
                      <w:szCs w:val="21"/>
                      <w:highlight w:val="none"/>
                    </w:rPr>
                  </w:pPr>
                </w:p>
              </w:tc>
              <w:tc>
                <w:tcPr>
                  <w:tcW w:w="1073" w:type="dxa"/>
                  <w:vMerge w:val="continue"/>
                  <w:noWrap w:val="0"/>
                  <w:vAlign w:val="center"/>
                </w:tcPr>
                <w:p w14:paraId="505139B6">
                  <w:pPr>
                    <w:jc w:val="center"/>
                    <w:rPr>
                      <w:rFonts w:hint="eastAsia" w:ascii="Times New Roman" w:hAnsi="Times New Roman"/>
                      <w:szCs w:val="21"/>
                      <w:highlight w:val="none"/>
                    </w:rPr>
                  </w:pPr>
                </w:p>
              </w:tc>
              <w:tc>
                <w:tcPr>
                  <w:tcW w:w="1105" w:type="dxa"/>
                  <w:noWrap w:val="0"/>
                  <w:vAlign w:val="center"/>
                </w:tcPr>
                <w:p w14:paraId="18FF2436">
                  <w:pPr>
                    <w:jc w:val="center"/>
                    <w:rPr>
                      <w:rFonts w:hint="eastAsia" w:ascii="Times New Roman" w:hAnsi="Times New Roman"/>
                      <w:szCs w:val="21"/>
                      <w:highlight w:val="none"/>
                    </w:rPr>
                  </w:pPr>
                  <w:r>
                    <w:rPr>
                      <w:rFonts w:hint="eastAsia" w:ascii="Times New Roman" w:hAnsi="Times New Roman"/>
                      <w:szCs w:val="21"/>
                      <w:highlight w:val="none"/>
                    </w:rPr>
                    <w:t>HW46含镍废物</w:t>
                  </w:r>
                </w:p>
              </w:tc>
              <w:tc>
                <w:tcPr>
                  <w:tcW w:w="932" w:type="dxa"/>
                  <w:noWrap w:val="0"/>
                  <w:vAlign w:val="center"/>
                </w:tcPr>
                <w:p w14:paraId="58135052">
                  <w:pPr>
                    <w:jc w:val="center"/>
                    <w:rPr>
                      <w:rFonts w:ascii="Times New Roman" w:hAnsi="Times New Roman"/>
                      <w:highlight w:val="none"/>
                    </w:rPr>
                  </w:pPr>
                  <w:r>
                    <w:rPr>
                      <w:rFonts w:hint="eastAsia" w:ascii="Times New Roman" w:hAnsi="Times New Roman"/>
                      <w:highlight w:val="none"/>
                    </w:rPr>
                    <w:t>液态/固体</w:t>
                  </w:r>
                </w:p>
              </w:tc>
              <w:tc>
                <w:tcPr>
                  <w:tcW w:w="1064" w:type="dxa"/>
                  <w:noWrap w:val="0"/>
                  <w:vAlign w:val="center"/>
                </w:tcPr>
                <w:p w14:paraId="6545184A">
                  <w:pPr>
                    <w:jc w:val="center"/>
                    <w:rPr>
                      <w:rFonts w:ascii="Times New Roman" w:hAnsi="Times New Roman"/>
                      <w:highlight w:val="none"/>
                    </w:rPr>
                  </w:pPr>
                  <w:r>
                    <w:rPr>
                      <w:rFonts w:hint="eastAsia" w:ascii="Times New Roman" w:hAnsi="Times New Roman"/>
                      <w:highlight w:val="none"/>
                    </w:rPr>
                    <w:t>T</w:t>
                  </w:r>
                </w:p>
              </w:tc>
              <w:tc>
                <w:tcPr>
                  <w:tcW w:w="656" w:type="dxa"/>
                  <w:noWrap w:val="0"/>
                  <w:vAlign w:val="center"/>
                </w:tcPr>
                <w:p w14:paraId="3ABFE4CF">
                  <w:pPr>
                    <w:jc w:val="center"/>
                    <w:rPr>
                      <w:rFonts w:ascii="Times New Roman" w:hAnsi="Times New Roman"/>
                      <w:highlight w:val="none"/>
                    </w:rPr>
                  </w:pPr>
                  <w:r>
                    <w:rPr>
                      <w:rFonts w:hint="eastAsia" w:ascii="Times New Roman" w:hAnsi="Times New Roman"/>
                      <w:highlight w:val="none"/>
                    </w:rPr>
                    <w:t>桶装/袋装</w:t>
                  </w:r>
                </w:p>
              </w:tc>
              <w:tc>
                <w:tcPr>
                  <w:tcW w:w="531" w:type="dxa"/>
                  <w:shd w:val="clear" w:color="auto" w:fill="auto"/>
                  <w:noWrap w:val="0"/>
                  <w:vAlign w:val="center"/>
                </w:tcPr>
                <w:p w14:paraId="6DE738C5">
                  <w:pPr>
                    <w:jc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12</w:t>
                  </w:r>
                </w:p>
              </w:tc>
              <w:tc>
                <w:tcPr>
                  <w:tcW w:w="584" w:type="dxa"/>
                  <w:shd w:val="clear" w:color="auto" w:fill="auto"/>
                  <w:noWrap w:val="0"/>
                  <w:vAlign w:val="center"/>
                </w:tcPr>
                <w:p w14:paraId="099185D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2.88个月</w:t>
                  </w:r>
                </w:p>
              </w:tc>
            </w:tr>
            <w:tr w14:paraId="10FB2B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427" w:type="dxa"/>
                  <w:noWrap w:val="0"/>
                  <w:vAlign w:val="center"/>
                </w:tcPr>
                <w:p w14:paraId="3F26D3F1">
                  <w:pPr>
                    <w:jc w:val="center"/>
                    <w:rPr>
                      <w:rFonts w:ascii="Times New Roman" w:hAnsi="Times New Roman"/>
                      <w:highlight w:val="none"/>
                    </w:rPr>
                  </w:pPr>
                  <w:r>
                    <w:rPr>
                      <w:rFonts w:hint="eastAsia" w:ascii="Times New Roman" w:hAnsi="Times New Roman"/>
                      <w:highlight w:val="none"/>
                    </w:rPr>
                    <w:t>24</w:t>
                  </w:r>
                </w:p>
              </w:tc>
              <w:tc>
                <w:tcPr>
                  <w:tcW w:w="1028" w:type="dxa"/>
                  <w:vMerge w:val="continue"/>
                  <w:noWrap w:val="0"/>
                  <w:vAlign w:val="center"/>
                </w:tcPr>
                <w:p w14:paraId="6402D41A">
                  <w:pPr>
                    <w:jc w:val="center"/>
                    <w:rPr>
                      <w:rFonts w:hint="eastAsia" w:ascii="Times New Roman" w:hAnsi="Times New Roman"/>
                      <w:szCs w:val="21"/>
                      <w:highlight w:val="none"/>
                    </w:rPr>
                  </w:pPr>
                </w:p>
              </w:tc>
              <w:tc>
                <w:tcPr>
                  <w:tcW w:w="1057" w:type="dxa"/>
                  <w:vMerge w:val="continue"/>
                  <w:noWrap w:val="0"/>
                  <w:vAlign w:val="center"/>
                </w:tcPr>
                <w:p w14:paraId="70F0DFB4">
                  <w:pPr>
                    <w:jc w:val="center"/>
                    <w:rPr>
                      <w:rFonts w:hint="eastAsia" w:ascii="Times New Roman" w:hAnsi="Times New Roman"/>
                      <w:szCs w:val="21"/>
                      <w:highlight w:val="none"/>
                    </w:rPr>
                  </w:pPr>
                </w:p>
              </w:tc>
              <w:tc>
                <w:tcPr>
                  <w:tcW w:w="1073" w:type="dxa"/>
                  <w:vMerge w:val="continue"/>
                  <w:noWrap w:val="0"/>
                  <w:vAlign w:val="center"/>
                </w:tcPr>
                <w:p w14:paraId="4008CE08">
                  <w:pPr>
                    <w:jc w:val="center"/>
                    <w:rPr>
                      <w:rFonts w:hint="eastAsia" w:ascii="Times New Roman" w:hAnsi="Times New Roman"/>
                      <w:szCs w:val="21"/>
                      <w:highlight w:val="none"/>
                    </w:rPr>
                  </w:pPr>
                </w:p>
              </w:tc>
              <w:tc>
                <w:tcPr>
                  <w:tcW w:w="1105" w:type="dxa"/>
                  <w:noWrap w:val="0"/>
                  <w:vAlign w:val="center"/>
                </w:tcPr>
                <w:p w14:paraId="2F94C3D4">
                  <w:pPr>
                    <w:jc w:val="center"/>
                    <w:rPr>
                      <w:rFonts w:hint="eastAsia" w:ascii="Times New Roman" w:hAnsi="Times New Roman"/>
                      <w:szCs w:val="21"/>
                      <w:highlight w:val="none"/>
                    </w:rPr>
                  </w:pPr>
                  <w:r>
                    <w:rPr>
                      <w:rFonts w:hint="eastAsia" w:ascii="Times New Roman" w:hAnsi="Times New Roman"/>
                      <w:szCs w:val="21"/>
                      <w:highlight w:val="none"/>
                    </w:rPr>
                    <w:t>HW48有色金属采选和冶炼废物</w:t>
                  </w:r>
                </w:p>
              </w:tc>
              <w:tc>
                <w:tcPr>
                  <w:tcW w:w="932" w:type="dxa"/>
                  <w:noWrap w:val="0"/>
                  <w:vAlign w:val="center"/>
                </w:tcPr>
                <w:p w14:paraId="0C352743">
                  <w:pPr>
                    <w:jc w:val="center"/>
                    <w:rPr>
                      <w:rFonts w:ascii="Times New Roman" w:hAnsi="Times New Roman"/>
                      <w:highlight w:val="none"/>
                    </w:rPr>
                  </w:pPr>
                  <w:r>
                    <w:rPr>
                      <w:rFonts w:hint="eastAsia" w:ascii="Times New Roman" w:hAnsi="Times New Roman"/>
                      <w:highlight w:val="none"/>
                    </w:rPr>
                    <w:t>半固态/固体</w:t>
                  </w:r>
                </w:p>
              </w:tc>
              <w:tc>
                <w:tcPr>
                  <w:tcW w:w="1064" w:type="dxa"/>
                  <w:noWrap w:val="0"/>
                  <w:vAlign w:val="center"/>
                </w:tcPr>
                <w:p w14:paraId="50A2CABE">
                  <w:pPr>
                    <w:jc w:val="center"/>
                    <w:rPr>
                      <w:rFonts w:ascii="Times New Roman" w:hAnsi="Times New Roman"/>
                      <w:highlight w:val="none"/>
                    </w:rPr>
                  </w:pPr>
                  <w:r>
                    <w:rPr>
                      <w:rFonts w:hint="eastAsia" w:ascii="Times New Roman" w:hAnsi="Times New Roman"/>
                      <w:highlight w:val="none"/>
                    </w:rPr>
                    <w:t>T,R</w:t>
                  </w:r>
                </w:p>
              </w:tc>
              <w:tc>
                <w:tcPr>
                  <w:tcW w:w="656" w:type="dxa"/>
                  <w:noWrap w:val="0"/>
                  <w:vAlign w:val="center"/>
                </w:tcPr>
                <w:p w14:paraId="13B93F4A">
                  <w:pPr>
                    <w:jc w:val="center"/>
                    <w:rPr>
                      <w:rFonts w:ascii="Times New Roman" w:hAnsi="Times New Roman"/>
                      <w:highlight w:val="none"/>
                    </w:rPr>
                  </w:pPr>
                  <w:r>
                    <w:rPr>
                      <w:rFonts w:hint="eastAsia" w:ascii="Times New Roman" w:hAnsi="Times New Roman"/>
                      <w:highlight w:val="none"/>
                    </w:rPr>
                    <w:t>袋装</w:t>
                  </w:r>
                </w:p>
              </w:tc>
              <w:tc>
                <w:tcPr>
                  <w:tcW w:w="531" w:type="dxa"/>
                  <w:shd w:val="clear" w:color="auto" w:fill="auto"/>
                  <w:noWrap w:val="0"/>
                  <w:vAlign w:val="center"/>
                </w:tcPr>
                <w:p w14:paraId="630D5EE5">
                  <w:pPr>
                    <w:jc w:val="center"/>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szCs w:val="21"/>
                      <w:highlight w:val="none"/>
                      <w:lang w:val="en-US" w:eastAsia="zh-CN"/>
                    </w:rPr>
                    <w:t>2</w:t>
                  </w:r>
                  <w:r>
                    <w:rPr>
                      <w:rFonts w:hint="eastAsia"/>
                      <w:szCs w:val="21"/>
                      <w:highlight w:val="none"/>
                      <w:lang w:val="en-US" w:eastAsia="zh-CN"/>
                    </w:rPr>
                    <w:t>0</w:t>
                  </w:r>
                </w:p>
              </w:tc>
              <w:tc>
                <w:tcPr>
                  <w:tcW w:w="584" w:type="dxa"/>
                  <w:shd w:val="clear" w:color="auto" w:fill="auto"/>
                  <w:noWrap w:val="0"/>
                  <w:vAlign w:val="center"/>
                </w:tcPr>
                <w:p w14:paraId="2D1217A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0.57个月</w:t>
                  </w:r>
                </w:p>
              </w:tc>
            </w:tr>
            <w:tr w14:paraId="372213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427" w:type="dxa"/>
                  <w:noWrap w:val="0"/>
                  <w:vAlign w:val="center"/>
                </w:tcPr>
                <w:p w14:paraId="13484B32">
                  <w:pPr>
                    <w:jc w:val="center"/>
                    <w:rPr>
                      <w:rFonts w:ascii="Times New Roman" w:hAnsi="Times New Roman"/>
                      <w:highlight w:val="none"/>
                    </w:rPr>
                  </w:pPr>
                  <w:r>
                    <w:rPr>
                      <w:rFonts w:hint="eastAsia" w:ascii="Times New Roman" w:hAnsi="Times New Roman"/>
                      <w:highlight w:val="none"/>
                    </w:rPr>
                    <w:t>25</w:t>
                  </w:r>
                </w:p>
              </w:tc>
              <w:tc>
                <w:tcPr>
                  <w:tcW w:w="1028" w:type="dxa"/>
                  <w:vMerge w:val="continue"/>
                  <w:noWrap w:val="0"/>
                  <w:vAlign w:val="center"/>
                </w:tcPr>
                <w:p w14:paraId="4697FB3E">
                  <w:pPr>
                    <w:jc w:val="center"/>
                    <w:rPr>
                      <w:rFonts w:ascii="Times New Roman" w:hAnsi="Times New Roman"/>
                      <w:szCs w:val="21"/>
                      <w:highlight w:val="none"/>
                    </w:rPr>
                  </w:pPr>
                </w:p>
              </w:tc>
              <w:tc>
                <w:tcPr>
                  <w:tcW w:w="1057" w:type="dxa"/>
                  <w:vMerge w:val="continue"/>
                  <w:noWrap w:val="0"/>
                  <w:vAlign w:val="center"/>
                </w:tcPr>
                <w:p w14:paraId="59BD0548">
                  <w:pPr>
                    <w:jc w:val="center"/>
                    <w:rPr>
                      <w:rFonts w:ascii="Times New Roman" w:hAnsi="Times New Roman"/>
                      <w:szCs w:val="21"/>
                      <w:highlight w:val="none"/>
                    </w:rPr>
                  </w:pPr>
                </w:p>
              </w:tc>
              <w:tc>
                <w:tcPr>
                  <w:tcW w:w="1073" w:type="dxa"/>
                  <w:vMerge w:val="continue"/>
                  <w:noWrap w:val="0"/>
                  <w:vAlign w:val="center"/>
                </w:tcPr>
                <w:p w14:paraId="4C2F7A62">
                  <w:pPr>
                    <w:jc w:val="center"/>
                    <w:rPr>
                      <w:rFonts w:ascii="Times New Roman" w:hAnsi="Times New Roman"/>
                      <w:szCs w:val="21"/>
                      <w:highlight w:val="none"/>
                    </w:rPr>
                  </w:pPr>
                </w:p>
              </w:tc>
              <w:tc>
                <w:tcPr>
                  <w:tcW w:w="1105" w:type="dxa"/>
                  <w:noWrap w:val="0"/>
                  <w:vAlign w:val="center"/>
                </w:tcPr>
                <w:p w14:paraId="50655E39">
                  <w:pPr>
                    <w:jc w:val="center"/>
                    <w:rPr>
                      <w:rFonts w:hint="eastAsia" w:ascii="Times New Roman" w:hAnsi="Times New Roman"/>
                      <w:szCs w:val="21"/>
                      <w:highlight w:val="none"/>
                    </w:rPr>
                  </w:pPr>
                  <w:r>
                    <w:rPr>
                      <w:rFonts w:ascii="Times New Roman" w:hAnsi="Times New Roman"/>
                      <w:szCs w:val="21"/>
                      <w:highlight w:val="none"/>
                    </w:rPr>
                    <w:t>HW49</w:t>
                  </w:r>
                  <w:r>
                    <w:rPr>
                      <w:rFonts w:hint="eastAsia" w:ascii="Times New Roman" w:hAnsi="Times New Roman"/>
                      <w:szCs w:val="21"/>
                      <w:highlight w:val="none"/>
                    </w:rPr>
                    <w:t>其他废物</w:t>
                  </w:r>
                </w:p>
              </w:tc>
              <w:tc>
                <w:tcPr>
                  <w:tcW w:w="932" w:type="dxa"/>
                  <w:noWrap w:val="0"/>
                  <w:vAlign w:val="center"/>
                </w:tcPr>
                <w:p w14:paraId="66D00D6D">
                  <w:pPr>
                    <w:jc w:val="center"/>
                    <w:rPr>
                      <w:rFonts w:ascii="Times New Roman" w:hAnsi="Times New Roman"/>
                      <w:highlight w:val="none"/>
                    </w:rPr>
                  </w:pPr>
                  <w:r>
                    <w:rPr>
                      <w:rFonts w:hint="eastAsia" w:ascii="Times New Roman" w:hAnsi="Times New Roman"/>
                      <w:highlight w:val="none"/>
                    </w:rPr>
                    <w:t>液态/固体</w:t>
                  </w:r>
                </w:p>
              </w:tc>
              <w:tc>
                <w:tcPr>
                  <w:tcW w:w="1064" w:type="dxa"/>
                  <w:noWrap w:val="0"/>
                  <w:vAlign w:val="center"/>
                </w:tcPr>
                <w:p w14:paraId="621123E8">
                  <w:pPr>
                    <w:jc w:val="center"/>
                    <w:rPr>
                      <w:rFonts w:ascii="Times New Roman" w:hAnsi="Times New Roman"/>
                      <w:highlight w:val="none"/>
                    </w:rPr>
                  </w:pPr>
                  <w:r>
                    <w:rPr>
                      <w:rFonts w:hint="eastAsia" w:ascii="Times New Roman" w:hAnsi="Times New Roman"/>
                      <w:highlight w:val="none"/>
                    </w:rPr>
                    <w:t>T,C,I,R,In</w:t>
                  </w:r>
                </w:p>
              </w:tc>
              <w:tc>
                <w:tcPr>
                  <w:tcW w:w="656" w:type="dxa"/>
                  <w:noWrap w:val="0"/>
                  <w:vAlign w:val="center"/>
                </w:tcPr>
                <w:p w14:paraId="6128C764">
                  <w:pPr>
                    <w:jc w:val="center"/>
                    <w:rPr>
                      <w:rFonts w:ascii="Times New Roman" w:hAnsi="Times New Roman"/>
                      <w:highlight w:val="none"/>
                    </w:rPr>
                  </w:pPr>
                  <w:r>
                    <w:rPr>
                      <w:rFonts w:hint="eastAsia" w:ascii="Times New Roman" w:hAnsi="Times New Roman"/>
                      <w:highlight w:val="none"/>
                    </w:rPr>
                    <w:t>桶装/袋装</w:t>
                  </w:r>
                </w:p>
              </w:tc>
              <w:tc>
                <w:tcPr>
                  <w:tcW w:w="531" w:type="dxa"/>
                  <w:shd w:val="clear" w:color="auto" w:fill="auto"/>
                  <w:noWrap w:val="0"/>
                  <w:vAlign w:val="center"/>
                </w:tcPr>
                <w:p w14:paraId="77F05F39">
                  <w:pPr>
                    <w:jc w:val="center"/>
                    <w:rPr>
                      <w:rFonts w:hint="default"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50</w:t>
                  </w:r>
                </w:p>
              </w:tc>
              <w:tc>
                <w:tcPr>
                  <w:tcW w:w="584" w:type="dxa"/>
                  <w:shd w:val="clear" w:color="auto" w:fill="auto"/>
                  <w:noWrap w:val="0"/>
                  <w:vAlign w:val="center"/>
                </w:tcPr>
                <w:p w14:paraId="0784827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0.6个月</w:t>
                  </w:r>
                </w:p>
              </w:tc>
            </w:tr>
            <w:tr w14:paraId="54C7F3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427" w:type="dxa"/>
                  <w:noWrap w:val="0"/>
                  <w:vAlign w:val="center"/>
                </w:tcPr>
                <w:p w14:paraId="40720AB9">
                  <w:pPr>
                    <w:jc w:val="center"/>
                    <w:rPr>
                      <w:rFonts w:ascii="Times New Roman" w:hAnsi="Times New Roman"/>
                      <w:highlight w:val="none"/>
                    </w:rPr>
                  </w:pPr>
                  <w:r>
                    <w:rPr>
                      <w:rFonts w:hint="eastAsia" w:ascii="Times New Roman" w:hAnsi="Times New Roman"/>
                      <w:highlight w:val="none"/>
                    </w:rPr>
                    <w:t>26</w:t>
                  </w:r>
                </w:p>
              </w:tc>
              <w:tc>
                <w:tcPr>
                  <w:tcW w:w="1028" w:type="dxa"/>
                  <w:vMerge w:val="continue"/>
                  <w:noWrap w:val="0"/>
                  <w:vAlign w:val="center"/>
                </w:tcPr>
                <w:p w14:paraId="00404765">
                  <w:pPr>
                    <w:jc w:val="center"/>
                    <w:rPr>
                      <w:rFonts w:hint="eastAsia" w:ascii="Times New Roman" w:hAnsi="Times New Roman"/>
                      <w:szCs w:val="21"/>
                      <w:highlight w:val="none"/>
                    </w:rPr>
                  </w:pPr>
                </w:p>
              </w:tc>
              <w:tc>
                <w:tcPr>
                  <w:tcW w:w="1057" w:type="dxa"/>
                  <w:vMerge w:val="continue"/>
                  <w:noWrap w:val="0"/>
                  <w:vAlign w:val="center"/>
                </w:tcPr>
                <w:p w14:paraId="32DC5D8B">
                  <w:pPr>
                    <w:jc w:val="center"/>
                    <w:rPr>
                      <w:rFonts w:hint="eastAsia" w:ascii="Times New Roman" w:hAnsi="Times New Roman"/>
                      <w:szCs w:val="21"/>
                      <w:highlight w:val="none"/>
                    </w:rPr>
                  </w:pPr>
                </w:p>
              </w:tc>
              <w:tc>
                <w:tcPr>
                  <w:tcW w:w="1073" w:type="dxa"/>
                  <w:vMerge w:val="continue"/>
                  <w:noWrap w:val="0"/>
                  <w:vAlign w:val="center"/>
                </w:tcPr>
                <w:p w14:paraId="792C4263">
                  <w:pPr>
                    <w:jc w:val="center"/>
                    <w:rPr>
                      <w:rFonts w:hint="eastAsia" w:ascii="Times New Roman" w:hAnsi="Times New Roman"/>
                      <w:szCs w:val="21"/>
                      <w:highlight w:val="none"/>
                    </w:rPr>
                  </w:pPr>
                </w:p>
              </w:tc>
              <w:tc>
                <w:tcPr>
                  <w:tcW w:w="1105" w:type="dxa"/>
                  <w:noWrap w:val="0"/>
                  <w:vAlign w:val="center"/>
                </w:tcPr>
                <w:p w14:paraId="2CE2E779">
                  <w:pPr>
                    <w:jc w:val="center"/>
                    <w:rPr>
                      <w:rFonts w:ascii="Times New Roman" w:hAnsi="Times New Roman"/>
                      <w:szCs w:val="21"/>
                      <w:highlight w:val="none"/>
                    </w:rPr>
                  </w:pPr>
                  <w:r>
                    <w:rPr>
                      <w:rFonts w:hint="eastAsia" w:ascii="Times New Roman" w:hAnsi="Times New Roman"/>
                      <w:szCs w:val="21"/>
                      <w:highlight w:val="none"/>
                    </w:rPr>
                    <w:t>HW50废催化剂</w:t>
                  </w:r>
                </w:p>
              </w:tc>
              <w:tc>
                <w:tcPr>
                  <w:tcW w:w="932" w:type="dxa"/>
                  <w:noWrap w:val="0"/>
                  <w:vAlign w:val="center"/>
                </w:tcPr>
                <w:p w14:paraId="6F2DBA8A">
                  <w:pPr>
                    <w:jc w:val="center"/>
                    <w:rPr>
                      <w:rFonts w:ascii="Times New Roman" w:hAnsi="Times New Roman"/>
                      <w:highlight w:val="none"/>
                    </w:rPr>
                  </w:pPr>
                  <w:r>
                    <w:rPr>
                      <w:rFonts w:hint="eastAsia" w:ascii="Times New Roman" w:hAnsi="Times New Roman"/>
                      <w:highlight w:val="none"/>
                    </w:rPr>
                    <w:t>液态/固体</w:t>
                  </w:r>
                </w:p>
              </w:tc>
              <w:tc>
                <w:tcPr>
                  <w:tcW w:w="1064" w:type="dxa"/>
                  <w:noWrap w:val="0"/>
                  <w:vAlign w:val="center"/>
                </w:tcPr>
                <w:p w14:paraId="621B9066">
                  <w:pPr>
                    <w:jc w:val="center"/>
                    <w:rPr>
                      <w:rFonts w:ascii="Times New Roman" w:hAnsi="Times New Roman"/>
                      <w:highlight w:val="none"/>
                    </w:rPr>
                  </w:pPr>
                  <w:r>
                    <w:rPr>
                      <w:rFonts w:hint="eastAsia" w:ascii="Times New Roman" w:hAnsi="Times New Roman"/>
                      <w:highlight w:val="none"/>
                    </w:rPr>
                    <w:t>T</w:t>
                  </w:r>
                </w:p>
              </w:tc>
              <w:tc>
                <w:tcPr>
                  <w:tcW w:w="656" w:type="dxa"/>
                  <w:noWrap w:val="0"/>
                  <w:vAlign w:val="center"/>
                </w:tcPr>
                <w:p w14:paraId="452E9F86">
                  <w:pPr>
                    <w:jc w:val="center"/>
                    <w:rPr>
                      <w:rFonts w:ascii="Times New Roman" w:hAnsi="Times New Roman"/>
                      <w:highlight w:val="none"/>
                    </w:rPr>
                  </w:pPr>
                  <w:r>
                    <w:rPr>
                      <w:rFonts w:hint="eastAsia" w:ascii="Times New Roman" w:hAnsi="Times New Roman"/>
                      <w:highlight w:val="none"/>
                    </w:rPr>
                    <w:t>桶装/袋装</w:t>
                  </w:r>
                </w:p>
              </w:tc>
              <w:tc>
                <w:tcPr>
                  <w:tcW w:w="531" w:type="dxa"/>
                  <w:shd w:val="clear" w:color="auto" w:fill="auto"/>
                  <w:noWrap w:val="0"/>
                  <w:vAlign w:val="center"/>
                </w:tcPr>
                <w:p w14:paraId="44849D53">
                  <w:pPr>
                    <w:jc w:val="center"/>
                    <w:rPr>
                      <w:rFonts w:hint="eastAsia" w:ascii="Times New Roman" w:hAnsi="Times New Roman" w:eastAsia="宋体" w:cs="Times New Roman"/>
                      <w:kern w:val="2"/>
                      <w:sz w:val="21"/>
                      <w:szCs w:val="21"/>
                      <w:highlight w:val="none"/>
                      <w:lang w:val="en-US" w:eastAsia="zh-CN" w:bidi="ar-SA"/>
                    </w:rPr>
                  </w:pPr>
                  <w:r>
                    <w:rPr>
                      <w:rFonts w:hint="eastAsia"/>
                      <w:szCs w:val="21"/>
                      <w:highlight w:val="none"/>
                      <w:lang w:val="en-US" w:eastAsia="zh-CN"/>
                    </w:rPr>
                    <w:t>15</w:t>
                  </w:r>
                </w:p>
              </w:tc>
              <w:tc>
                <w:tcPr>
                  <w:tcW w:w="584" w:type="dxa"/>
                  <w:shd w:val="clear" w:color="auto" w:fill="auto"/>
                  <w:noWrap w:val="0"/>
                  <w:vAlign w:val="center"/>
                </w:tcPr>
                <w:p w14:paraId="459D015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0.9个月</w:t>
                  </w:r>
                </w:p>
              </w:tc>
            </w:tr>
          </w:tbl>
          <w:p w14:paraId="7DA6EFA2">
            <w:pPr>
              <w:spacing w:before="120" w:beforeLines="50" w:line="360" w:lineRule="auto"/>
              <w:ind w:firstLine="482"/>
              <w:rPr>
                <w:sz w:val="24"/>
                <w:highlight w:val="none"/>
              </w:rPr>
            </w:pPr>
            <w:r>
              <w:rPr>
                <w:sz w:val="24"/>
                <w:highlight w:val="none"/>
              </w:rPr>
              <w:t>建设单位</w:t>
            </w:r>
            <w:r>
              <w:rPr>
                <w:rFonts w:hint="eastAsia"/>
                <w:sz w:val="24"/>
                <w:highlight w:val="none"/>
              </w:rPr>
              <w:t>拟建设</w:t>
            </w:r>
            <w:r>
              <w:rPr>
                <w:rFonts w:hint="eastAsia" w:cs="Times New Roman"/>
                <w:sz w:val="24"/>
                <w:highlight w:val="none"/>
                <w:lang w:eastAsia="zh-CN"/>
              </w:rPr>
              <w:t>危险废物收集贮存库</w:t>
            </w:r>
            <w:r>
              <w:rPr>
                <w:rFonts w:hint="eastAsia" w:ascii="Times New Roman" w:hAnsi="Times New Roman" w:eastAsia="宋体" w:cs="Times New Roman"/>
                <w:sz w:val="24"/>
                <w:highlight w:val="none"/>
              </w:rPr>
              <w:t>，按</w:t>
            </w:r>
            <w:r>
              <w:rPr>
                <w:sz w:val="24"/>
                <w:highlight w:val="none"/>
              </w:rPr>
              <w:t>照《</w:t>
            </w:r>
            <w:r>
              <w:rPr>
                <w:rFonts w:hint="eastAsia"/>
                <w:sz w:val="24"/>
                <w:highlight w:val="none"/>
                <w:lang w:eastAsia="zh-CN"/>
              </w:rPr>
              <w:t>危险废物收集贮存运输技术规范</w:t>
            </w:r>
            <w:r>
              <w:rPr>
                <w:sz w:val="24"/>
                <w:highlight w:val="none"/>
              </w:rPr>
              <w:t>》（HJ2025-2012）</w:t>
            </w:r>
            <w:r>
              <w:rPr>
                <w:rFonts w:hint="eastAsia"/>
                <w:sz w:val="24"/>
                <w:highlight w:val="none"/>
                <w:lang w:val="en-US" w:eastAsia="zh-CN"/>
              </w:rPr>
              <w:t>和</w:t>
            </w:r>
            <w:r>
              <w:rPr>
                <w:rFonts w:hint="eastAsia"/>
                <w:sz w:val="24"/>
                <w:highlight w:val="none"/>
              </w:rPr>
              <w:t>《危险废物贮存污染控制标准》（GB18597-2023）</w:t>
            </w:r>
            <w:r>
              <w:rPr>
                <w:sz w:val="24"/>
                <w:highlight w:val="none"/>
              </w:rPr>
              <w:t>中相关技术要求设置，具体如下</w:t>
            </w:r>
            <w:r>
              <w:rPr>
                <w:rFonts w:hint="eastAsia"/>
                <w:sz w:val="24"/>
                <w:highlight w:val="none"/>
                <w:lang w:val="en-US" w:eastAsia="zh-CN"/>
              </w:rPr>
              <w:t>表</w:t>
            </w:r>
            <w:r>
              <w:rPr>
                <w:sz w:val="24"/>
                <w:highlight w:val="none"/>
              </w:rPr>
              <w:t>：</w:t>
            </w:r>
          </w:p>
          <w:p w14:paraId="6BDFE985">
            <w:pPr>
              <w:pStyle w:val="48"/>
              <w:numPr>
                <w:ilvl w:val="0"/>
                <w:numId w:val="9"/>
              </w:numPr>
              <w:spacing w:line="360" w:lineRule="auto"/>
              <w:ind w:left="0" w:firstLine="0" w:firstLineChars="0"/>
              <w:jc w:val="center"/>
              <w:rPr>
                <w:rFonts w:ascii="Times New Roman" w:hAnsi="Times New Roman" w:eastAsia="宋体"/>
                <w:b/>
                <w:sz w:val="21"/>
                <w:highlight w:val="none"/>
              </w:rPr>
            </w:pPr>
            <w:r>
              <w:rPr>
                <w:rFonts w:hint="eastAsia" w:ascii="Times New Roman" w:hAnsi="Times New Roman" w:eastAsia="宋体"/>
                <w:b/>
                <w:sz w:val="21"/>
                <w:highlight w:val="none"/>
              </w:rPr>
              <w:t>《危险废物贮存污染控制标准》</w:t>
            </w:r>
            <w:r>
              <w:rPr>
                <w:rFonts w:hint="eastAsia" w:ascii="Times New Roman" w:hAnsi="Times New Roman" w:eastAsia="宋体"/>
                <w:b/>
                <w:sz w:val="21"/>
                <w:highlight w:val="none"/>
                <w:lang w:val="en-US" w:eastAsia="zh-CN"/>
              </w:rPr>
              <w:t>相关</w:t>
            </w:r>
            <w:r>
              <w:rPr>
                <w:rFonts w:hint="eastAsia" w:ascii="Times New Roman" w:hAnsi="Times New Roman" w:eastAsia="宋体"/>
                <w:b/>
                <w:sz w:val="21"/>
                <w:highlight w:val="none"/>
              </w:rPr>
              <w:t>要求一览表</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6"/>
              <w:gridCol w:w="4524"/>
              <w:gridCol w:w="3308"/>
            </w:tblGrid>
            <w:tr w14:paraId="24EB23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0" w:type="pct"/>
                  <w:vAlign w:val="center"/>
                </w:tcPr>
                <w:p w14:paraId="0D70446E">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eastAsia="宋体"/>
                      <w:b/>
                      <w:bCs/>
                      <w:sz w:val="21"/>
                      <w:szCs w:val="21"/>
                      <w:highlight w:val="none"/>
                      <w:vertAlign w:val="baseline"/>
                      <w:lang w:val="en-US" w:eastAsia="zh-CN"/>
                    </w:rPr>
                  </w:pPr>
                  <w:r>
                    <w:rPr>
                      <w:rFonts w:hint="eastAsia"/>
                      <w:b/>
                      <w:bCs/>
                      <w:sz w:val="21"/>
                      <w:szCs w:val="21"/>
                      <w:highlight w:val="none"/>
                      <w:vertAlign w:val="baseline"/>
                      <w:lang w:val="en-US" w:eastAsia="zh-CN"/>
                    </w:rPr>
                    <w:t>项目</w:t>
                  </w:r>
                </w:p>
              </w:tc>
              <w:tc>
                <w:tcPr>
                  <w:tcW w:w="2674" w:type="pct"/>
                  <w:vAlign w:val="center"/>
                </w:tcPr>
                <w:p w14:paraId="0A7D095B">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b/>
                      <w:bCs/>
                      <w:sz w:val="21"/>
                      <w:szCs w:val="21"/>
                      <w:highlight w:val="none"/>
                      <w:vertAlign w:val="baseline"/>
                      <w:lang w:val="en-US" w:eastAsia="zh-CN"/>
                    </w:rPr>
                  </w:pPr>
                  <w:r>
                    <w:rPr>
                      <w:rFonts w:hint="eastAsia"/>
                      <w:b/>
                      <w:bCs/>
                      <w:sz w:val="21"/>
                      <w:szCs w:val="21"/>
                      <w:highlight w:val="none"/>
                      <w:vertAlign w:val="baseline"/>
                      <w:lang w:val="en-US" w:eastAsia="zh-CN"/>
                    </w:rPr>
                    <w:t>规范要求</w:t>
                  </w:r>
                </w:p>
              </w:tc>
              <w:tc>
                <w:tcPr>
                  <w:tcW w:w="1955" w:type="pct"/>
                  <w:vAlign w:val="center"/>
                </w:tcPr>
                <w:p w14:paraId="7D02F3C0">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b/>
                      <w:bCs/>
                      <w:sz w:val="21"/>
                      <w:szCs w:val="21"/>
                      <w:highlight w:val="none"/>
                      <w:vertAlign w:val="baseline"/>
                      <w:lang w:val="en-US" w:eastAsia="zh-CN"/>
                    </w:rPr>
                  </w:pPr>
                  <w:r>
                    <w:rPr>
                      <w:rFonts w:hint="eastAsia"/>
                      <w:b/>
                      <w:bCs/>
                      <w:sz w:val="21"/>
                      <w:szCs w:val="21"/>
                      <w:highlight w:val="none"/>
                      <w:vertAlign w:val="baseline"/>
                      <w:lang w:val="en-US" w:eastAsia="zh-CN"/>
                    </w:rPr>
                    <w:t>本项目情况</w:t>
                  </w:r>
                </w:p>
              </w:tc>
            </w:tr>
            <w:tr w14:paraId="073F35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70" w:type="pct"/>
                  <w:vAlign w:val="center"/>
                </w:tcPr>
                <w:p w14:paraId="41D782AE">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sz w:val="21"/>
                      <w:szCs w:val="21"/>
                      <w:highlight w:val="none"/>
                      <w:vertAlign w:val="baseline"/>
                      <w:lang w:val="en-US" w:eastAsia="zh-CN"/>
                    </w:rPr>
                  </w:pPr>
                  <w:r>
                    <w:rPr>
                      <w:rFonts w:hint="eastAsia"/>
                      <w:sz w:val="21"/>
                      <w:szCs w:val="21"/>
                      <w:highlight w:val="none"/>
                      <w:vertAlign w:val="baseline"/>
                      <w:lang w:val="en-US" w:eastAsia="zh-CN"/>
                    </w:rPr>
                    <w:t>总体要求</w:t>
                  </w:r>
                </w:p>
              </w:tc>
              <w:tc>
                <w:tcPr>
                  <w:tcW w:w="2674" w:type="pct"/>
                  <w:vAlign w:val="center"/>
                </w:tcPr>
                <w:p w14:paraId="2C9E733E">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r>
                    <w:rPr>
                      <w:rFonts w:hint="default" w:ascii="Times New Roman" w:hAnsi="Times New Roman" w:eastAsia="宋体" w:cs="Times New Roman"/>
                      <w:sz w:val="21"/>
                      <w:szCs w:val="21"/>
                      <w:highlight w:val="none"/>
                      <w:vertAlign w:val="baseline"/>
                      <w:lang w:val="en-US" w:eastAsia="zh-CN"/>
                    </w:rPr>
                    <w:t xml:space="preserve">HJ 1259 </w:t>
                  </w:r>
                  <w:r>
                    <w:rPr>
                      <w:rFonts w:hint="eastAsia" w:ascii="Times New Roman" w:hAnsi="Times New Roman" w:eastAsia="宋体" w:cs="Times New Roman"/>
                      <w:sz w:val="21"/>
                      <w:szCs w:val="21"/>
                      <w:highlight w:val="none"/>
                      <w:vertAlign w:val="baseline"/>
                      <w:lang w:val="en-US" w:eastAsia="zh-CN"/>
                    </w:rPr>
                    <w:t>规定的危险废物环境重点监管单位，应采用电子地磅、电子标签、电子管理台账等技术手段对危险废物贮存过程进行信息化管理，确保数据完整、真实、准确；采用视频监控的应确保监控画面清晰，视频记录保存时间至少为</w:t>
                  </w:r>
                  <w:r>
                    <w:rPr>
                      <w:rFonts w:hint="default" w:ascii="Times New Roman" w:hAnsi="Times New Roman" w:eastAsia="宋体" w:cs="Times New Roman"/>
                      <w:sz w:val="21"/>
                      <w:szCs w:val="21"/>
                      <w:highlight w:val="none"/>
                      <w:vertAlign w:val="baseline"/>
                      <w:lang w:val="en-US" w:eastAsia="zh-CN"/>
                    </w:rPr>
                    <w:t>3</w:t>
                  </w:r>
                  <w:r>
                    <w:rPr>
                      <w:rFonts w:hint="eastAsia" w:ascii="Times New Roman" w:hAnsi="Times New Roman" w:eastAsia="宋体" w:cs="Times New Roman"/>
                      <w:sz w:val="21"/>
                      <w:szCs w:val="21"/>
                      <w:highlight w:val="none"/>
                      <w:vertAlign w:val="baseline"/>
                      <w:lang w:val="en-US" w:eastAsia="zh-CN"/>
                    </w:rPr>
                    <w:t>个月</w:t>
                  </w:r>
                </w:p>
              </w:tc>
              <w:tc>
                <w:tcPr>
                  <w:tcW w:w="1955" w:type="pct"/>
                  <w:vAlign w:val="center"/>
                </w:tcPr>
                <w:p w14:paraId="4614B68E">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sz w:val="21"/>
                      <w:szCs w:val="21"/>
                      <w:highlight w:val="none"/>
                      <w:vertAlign w:val="baseline"/>
                      <w:lang w:val="en-US" w:eastAsia="zh-CN"/>
                    </w:rPr>
                  </w:pPr>
                  <w:r>
                    <w:rPr>
                      <w:rFonts w:hint="eastAsia"/>
                      <w:sz w:val="21"/>
                      <w:szCs w:val="21"/>
                      <w:highlight w:val="none"/>
                      <w:vertAlign w:val="baseline"/>
                      <w:lang w:val="en-US" w:eastAsia="zh-CN"/>
                    </w:rPr>
                    <w:t>本项目设置电子地磅、</w:t>
                  </w:r>
                  <w:r>
                    <w:rPr>
                      <w:rFonts w:hint="eastAsia" w:ascii="Times New Roman" w:hAnsi="Times New Roman" w:eastAsia="宋体" w:cs="Times New Roman"/>
                      <w:sz w:val="21"/>
                      <w:szCs w:val="21"/>
                      <w:highlight w:val="none"/>
                      <w:vertAlign w:val="baseline"/>
                      <w:lang w:val="en-US" w:eastAsia="zh-CN"/>
                    </w:rPr>
                    <w:t>电子标签、电子管理台账等技术手段对危险废物贮存过程进行信息化管理</w:t>
                  </w:r>
                </w:p>
              </w:tc>
            </w:tr>
            <w:tr w14:paraId="57F069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70" w:type="pct"/>
                  <w:vMerge w:val="restart"/>
                  <w:vAlign w:val="center"/>
                </w:tcPr>
                <w:p w14:paraId="240C5A8B">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lang w:val="en-US" w:eastAsia="zh-CN"/>
                    </w:rPr>
                  </w:pPr>
                  <w:r>
                    <w:rPr>
                      <w:rFonts w:hint="eastAsia"/>
                      <w:sz w:val="21"/>
                      <w:szCs w:val="21"/>
                      <w:highlight w:val="none"/>
                      <w:vertAlign w:val="baseline"/>
                      <w:lang w:val="en-US" w:eastAsia="zh-CN"/>
                    </w:rPr>
                    <w:t>选址要求</w:t>
                  </w:r>
                </w:p>
              </w:tc>
              <w:tc>
                <w:tcPr>
                  <w:tcW w:w="2674" w:type="pct"/>
                  <w:shd w:val="clear" w:color="auto" w:fill="auto"/>
                  <w:vAlign w:val="center"/>
                </w:tcPr>
                <w:p w14:paraId="1EBE7FB1">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sz w:val="21"/>
                      <w:szCs w:val="21"/>
                      <w:highlight w:val="none"/>
                      <w:vertAlign w:val="baseline"/>
                    </w:rPr>
                    <w:t>贮存设施选址应满足生态环境保护</w:t>
                  </w:r>
                  <w:r>
                    <w:rPr>
                      <w:rFonts w:hint="eastAsia"/>
                      <w:sz w:val="21"/>
                      <w:szCs w:val="21"/>
                      <w:highlight w:val="none"/>
                      <w:vertAlign w:val="baseline"/>
                      <w:lang w:eastAsia="zh-CN"/>
                    </w:rPr>
                    <w:t>法律</w:t>
                  </w:r>
                  <w:r>
                    <w:rPr>
                      <w:rFonts w:hint="eastAsia"/>
                      <w:sz w:val="21"/>
                      <w:szCs w:val="21"/>
                      <w:highlight w:val="none"/>
                      <w:vertAlign w:val="baseline"/>
                    </w:rPr>
                    <w:t>、规划和“三线一单”生态环境分区管控的要求，建设项目应依法进行环境影响评价</w:t>
                  </w:r>
                </w:p>
              </w:tc>
              <w:tc>
                <w:tcPr>
                  <w:tcW w:w="1955" w:type="pct"/>
                  <w:shd w:val="clear" w:color="auto" w:fill="auto"/>
                  <w:vAlign w:val="center"/>
                </w:tcPr>
                <w:p w14:paraId="1BCDDAD1">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sz w:val="21"/>
                      <w:szCs w:val="21"/>
                      <w:highlight w:val="none"/>
                      <w:vertAlign w:val="baseline"/>
                    </w:rPr>
                    <w:t>本项目选址满足</w:t>
                  </w:r>
                  <w:r>
                    <w:rPr>
                      <w:rFonts w:hint="eastAsia"/>
                      <w:sz w:val="21"/>
                      <w:szCs w:val="21"/>
                      <w:highlight w:val="none"/>
                      <w:vertAlign w:val="baseline"/>
                      <w:lang w:eastAsia="zh-CN"/>
                    </w:rPr>
                    <w:t>法律</w:t>
                  </w:r>
                  <w:r>
                    <w:rPr>
                      <w:rFonts w:hint="eastAsia"/>
                      <w:sz w:val="21"/>
                      <w:szCs w:val="21"/>
                      <w:highlight w:val="none"/>
                      <w:vertAlign w:val="baseline"/>
                    </w:rPr>
                    <w:t>、规划和“三线一单”生态环境分区管控的要求，且依法进行环境影响评价</w:t>
                  </w:r>
                </w:p>
              </w:tc>
            </w:tr>
            <w:tr w14:paraId="1B3E79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0" w:type="pct"/>
                  <w:vMerge w:val="continue"/>
                  <w:vAlign w:val="center"/>
                </w:tcPr>
                <w:p w14:paraId="7AAA551A">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p>
              </w:tc>
              <w:tc>
                <w:tcPr>
                  <w:tcW w:w="2674" w:type="pct"/>
                  <w:vAlign w:val="center"/>
                </w:tcPr>
                <w:p w14:paraId="4E5C6F42">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r>
                    <w:rPr>
                      <w:rFonts w:hint="eastAsia"/>
                      <w:sz w:val="21"/>
                      <w:szCs w:val="21"/>
                      <w:highlight w:val="none"/>
                      <w:vertAlign w:val="baseline"/>
                    </w:rPr>
                    <w:t>集中贮存设施不应选在生态保护红线区域、永久基本农田和其他需要特别保护的区域内，不应建在溶洞区或易遭受洪水、滑坡、泥石流、潮汐等严重自然灾害影响的地区</w:t>
                  </w:r>
                </w:p>
              </w:tc>
              <w:tc>
                <w:tcPr>
                  <w:tcW w:w="1955" w:type="pct"/>
                  <w:vAlign w:val="center"/>
                </w:tcPr>
                <w:p w14:paraId="67075ADA">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r>
                    <w:rPr>
                      <w:rFonts w:hint="eastAsia"/>
                      <w:sz w:val="21"/>
                      <w:szCs w:val="21"/>
                      <w:highlight w:val="none"/>
                      <w:vertAlign w:val="baseline"/>
                    </w:rPr>
                    <w:t>本项目贮存库选址不涉及生态保护红线区域、永久基本农田和其他需要特别保护的区域，不属于溶洞区或易遭受洪水、滑坡、泥石流、潮汐等严重自然灾害影响的地区。项目所在区域地质结构相对稳定</w:t>
                  </w:r>
                </w:p>
              </w:tc>
            </w:tr>
            <w:tr w14:paraId="215A7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0" w:type="pct"/>
                  <w:vMerge w:val="continue"/>
                  <w:vAlign w:val="center"/>
                </w:tcPr>
                <w:p w14:paraId="0D45411B">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p>
              </w:tc>
              <w:tc>
                <w:tcPr>
                  <w:tcW w:w="2674" w:type="pct"/>
                  <w:shd w:val="clear" w:color="auto" w:fill="auto"/>
                  <w:vAlign w:val="center"/>
                </w:tcPr>
                <w:p w14:paraId="4746ED34">
                  <w:pPr>
                    <w:keepNext w:val="0"/>
                    <w:keepLines w:val="0"/>
                    <w:pageBreakBefore w:val="0"/>
                    <w:widowControl w:val="0"/>
                    <w:kinsoku/>
                    <w:wordWrap/>
                    <w:overflowPunct/>
                    <w:topLinePunct w:val="0"/>
                    <w:autoSpaceDE w:val="0"/>
                    <w:autoSpaceDN w:val="0"/>
                    <w:bidi w:val="0"/>
                    <w:adjustRightInd/>
                    <w:snapToGrid/>
                    <w:spacing w:line="240" w:lineRule="auto"/>
                    <w:jc w:val="both"/>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sz w:val="21"/>
                      <w:szCs w:val="21"/>
                      <w:highlight w:val="none"/>
                      <w:vertAlign w:val="baseline"/>
                    </w:rPr>
                    <w:t>贮存设施不应选在江河、湖泊、运河、渠道、水库及其最高水位线以下的滩地和岸坡，以及法律法规规定禁止贮存危险废物的其他地点</w:t>
                  </w:r>
                </w:p>
              </w:tc>
              <w:tc>
                <w:tcPr>
                  <w:tcW w:w="1955" w:type="pct"/>
                  <w:shd w:val="clear" w:color="auto" w:fill="auto"/>
                  <w:vAlign w:val="center"/>
                </w:tcPr>
                <w:p w14:paraId="75F8AC38">
                  <w:pPr>
                    <w:keepNext w:val="0"/>
                    <w:keepLines w:val="0"/>
                    <w:pageBreakBefore w:val="0"/>
                    <w:widowControl w:val="0"/>
                    <w:kinsoku/>
                    <w:wordWrap/>
                    <w:overflowPunct/>
                    <w:topLinePunct w:val="0"/>
                    <w:autoSpaceDE w:val="0"/>
                    <w:autoSpaceDN w:val="0"/>
                    <w:bidi w:val="0"/>
                    <w:adjustRightInd/>
                    <w:snapToGrid/>
                    <w:spacing w:line="240" w:lineRule="auto"/>
                    <w:jc w:val="both"/>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sz w:val="21"/>
                      <w:szCs w:val="21"/>
                      <w:highlight w:val="none"/>
                      <w:vertAlign w:val="baseline"/>
                    </w:rPr>
                    <w:t>本项目选址不在江河、湖泊、运河、渠道、水库及其最高水位线以下的滩地和岸坡，以及法律法规规定禁止贮存危险废物的其他地点。本项目建筑物地基（设施底部）埋深约2m，高于地下水最高水位，能够满足设施底部高于地下水最高水位的要求</w:t>
                  </w:r>
                </w:p>
              </w:tc>
            </w:tr>
            <w:tr w14:paraId="7023E1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0" w:type="pct"/>
                  <w:vMerge w:val="continue"/>
                  <w:vAlign w:val="center"/>
                </w:tcPr>
                <w:p w14:paraId="3DDFB406">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p>
              </w:tc>
              <w:tc>
                <w:tcPr>
                  <w:tcW w:w="2674" w:type="pct"/>
                  <w:vAlign w:val="center"/>
                </w:tcPr>
                <w:p w14:paraId="35F98D85">
                  <w:pPr>
                    <w:keepNext w:val="0"/>
                    <w:keepLines w:val="0"/>
                    <w:pageBreakBefore w:val="0"/>
                    <w:widowControl w:val="0"/>
                    <w:kinsoku/>
                    <w:wordWrap/>
                    <w:overflowPunct/>
                    <w:topLinePunct w:val="0"/>
                    <w:autoSpaceDE w:val="0"/>
                    <w:autoSpaceDN w:val="0"/>
                    <w:bidi w:val="0"/>
                    <w:adjustRightInd/>
                    <w:snapToGrid/>
                    <w:spacing w:line="240" w:lineRule="auto"/>
                    <w:jc w:val="both"/>
                    <w:textAlignment w:val="auto"/>
                    <w:rPr>
                      <w:rFonts w:hint="default"/>
                      <w:sz w:val="21"/>
                      <w:szCs w:val="21"/>
                      <w:highlight w:val="none"/>
                      <w:vertAlign w:val="baseline"/>
                      <w:lang w:val="en-US"/>
                    </w:rPr>
                  </w:pPr>
                  <w:r>
                    <w:rPr>
                      <w:rFonts w:hint="eastAsia"/>
                      <w:sz w:val="21"/>
                      <w:szCs w:val="21"/>
                      <w:highlight w:val="none"/>
                      <w:vertAlign w:val="baseline"/>
                      <w:lang w:val="en-US" w:eastAsia="zh-CN"/>
                    </w:rPr>
                    <w:t>贮存设施场址的位置以及其与周围环境敏感目标的距离应依据环境影响评价文件确定</w:t>
                  </w:r>
                </w:p>
              </w:tc>
              <w:tc>
                <w:tcPr>
                  <w:tcW w:w="1955" w:type="pct"/>
                  <w:vAlign w:val="center"/>
                </w:tcPr>
                <w:p w14:paraId="06B8E798">
                  <w:pPr>
                    <w:keepNext w:val="0"/>
                    <w:keepLines w:val="0"/>
                    <w:pageBreakBefore w:val="0"/>
                    <w:widowControl w:val="0"/>
                    <w:kinsoku/>
                    <w:wordWrap/>
                    <w:overflowPunct/>
                    <w:topLinePunct w:val="0"/>
                    <w:autoSpaceDE w:val="0"/>
                    <w:autoSpaceDN w:val="0"/>
                    <w:bidi w:val="0"/>
                    <w:adjustRightInd/>
                    <w:snapToGrid/>
                    <w:spacing w:line="240" w:lineRule="auto"/>
                    <w:jc w:val="both"/>
                    <w:textAlignment w:val="auto"/>
                    <w:rPr>
                      <w:rFonts w:hint="default" w:eastAsia="宋体"/>
                      <w:sz w:val="21"/>
                      <w:szCs w:val="21"/>
                      <w:highlight w:val="none"/>
                      <w:vertAlign w:val="baseline"/>
                      <w:lang w:val="en-US" w:eastAsia="zh-CN"/>
                    </w:rPr>
                  </w:pPr>
                  <w:r>
                    <w:rPr>
                      <w:rFonts w:hint="eastAsia"/>
                      <w:sz w:val="21"/>
                      <w:szCs w:val="21"/>
                      <w:highlight w:val="none"/>
                      <w:vertAlign w:val="baseline"/>
                      <w:lang w:val="en-US" w:eastAsia="zh-CN"/>
                    </w:rPr>
                    <w:t>根据本项目环境风险专项可知，本项目火灾、爆炸产生的有毒有害气体对各关心点导致的急性致死概率极低，通过企业采取相应风险防范措施后，环境风险可接受</w:t>
                  </w:r>
                </w:p>
              </w:tc>
            </w:tr>
            <w:tr w14:paraId="487FD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0" w:type="pct"/>
                  <w:vMerge w:val="restart"/>
                  <w:vAlign w:val="center"/>
                </w:tcPr>
                <w:p w14:paraId="01404940">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sz w:val="21"/>
                      <w:szCs w:val="21"/>
                      <w:highlight w:val="none"/>
                      <w:vertAlign w:val="baseline"/>
                      <w:lang w:val="en-US" w:eastAsia="zh-CN"/>
                    </w:rPr>
                  </w:pPr>
                  <w:r>
                    <w:rPr>
                      <w:rFonts w:hint="eastAsia"/>
                      <w:sz w:val="21"/>
                      <w:szCs w:val="21"/>
                      <w:highlight w:val="none"/>
                      <w:vertAlign w:val="baseline"/>
                    </w:rPr>
                    <w:t>贮存设施污染控制要求</w:t>
                  </w:r>
                  <w:r>
                    <w:rPr>
                      <w:rFonts w:hint="eastAsia"/>
                      <w:sz w:val="21"/>
                      <w:szCs w:val="21"/>
                      <w:highlight w:val="none"/>
                      <w:vertAlign w:val="baseline"/>
                      <w:lang w:val="en-US" w:eastAsia="zh-CN"/>
                    </w:rPr>
                    <w:t>一般规定</w:t>
                  </w:r>
                </w:p>
              </w:tc>
              <w:tc>
                <w:tcPr>
                  <w:tcW w:w="2674" w:type="pct"/>
                  <w:vAlign w:val="center"/>
                </w:tcPr>
                <w:p w14:paraId="346E0CBA">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贮存设施应根据危险废物的形态、物理化学性质、包装形式和污染物迁移途径，采取必要的防</w:t>
                  </w:r>
                </w:p>
                <w:p w14:paraId="29C4F140">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风、防晒、防雨、防漏、防渗、防腐以及其他环境污染防治措施，不应露天堆放危险废物</w:t>
                  </w:r>
                </w:p>
              </w:tc>
              <w:tc>
                <w:tcPr>
                  <w:tcW w:w="1955" w:type="pct"/>
                  <w:vAlign w:val="center"/>
                </w:tcPr>
                <w:p w14:paraId="4E03709A">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eastAsia="宋体"/>
                      <w:sz w:val="21"/>
                      <w:szCs w:val="21"/>
                      <w:highlight w:val="none"/>
                      <w:vertAlign w:val="baseline"/>
                      <w:lang w:val="en-US" w:eastAsia="zh-CN"/>
                    </w:rPr>
                  </w:pPr>
                  <w:r>
                    <w:rPr>
                      <w:rFonts w:hint="eastAsia" w:eastAsia="宋体"/>
                      <w:sz w:val="21"/>
                      <w:szCs w:val="21"/>
                      <w:highlight w:val="none"/>
                      <w:vertAlign w:val="baseline"/>
                      <w:lang w:val="en-US" w:eastAsia="zh-CN"/>
                    </w:rPr>
                    <w:t>本项目贮存库为封闭式库房。满足防风、防晒、防雨、防漏、防渗、防腐以及其他环境污染防治要求。</w:t>
                  </w:r>
                </w:p>
              </w:tc>
            </w:tr>
            <w:tr w14:paraId="6FECFD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0" w:type="pct"/>
                  <w:vMerge w:val="continue"/>
                  <w:vAlign w:val="center"/>
                </w:tcPr>
                <w:p w14:paraId="3EFEE563">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p>
              </w:tc>
              <w:tc>
                <w:tcPr>
                  <w:tcW w:w="2674" w:type="pct"/>
                  <w:vAlign w:val="center"/>
                </w:tcPr>
                <w:p w14:paraId="1736F2F0">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贮存设施应根据危险废物的类别、数量、形态、物理化学性质和污染防治等要求设置必要的贮存分区，避免不相容的危险废物接触、混合</w:t>
                  </w:r>
                </w:p>
              </w:tc>
              <w:tc>
                <w:tcPr>
                  <w:tcW w:w="1955" w:type="pct"/>
                  <w:vAlign w:val="center"/>
                </w:tcPr>
                <w:p w14:paraId="3AF73C46">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eastAsia="宋体"/>
                      <w:sz w:val="21"/>
                      <w:szCs w:val="21"/>
                      <w:highlight w:val="none"/>
                      <w:vertAlign w:val="baseline"/>
                      <w:lang w:val="en-US" w:eastAsia="zh-CN"/>
                    </w:rPr>
                  </w:pPr>
                  <w:r>
                    <w:rPr>
                      <w:rFonts w:hint="eastAsia" w:eastAsia="宋体"/>
                      <w:sz w:val="21"/>
                      <w:szCs w:val="21"/>
                      <w:highlight w:val="none"/>
                      <w:vertAlign w:val="baseline"/>
                      <w:lang w:val="en-US" w:eastAsia="zh-CN"/>
                    </w:rPr>
                    <w:t>本项目贮存库根据危险废物</w:t>
                  </w:r>
                  <w:r>
                    <w:rPr>
                      <w:rFonts w:hint="eastAsia"/>
                      <w:sz w:val="21"/>
                      <w:szCs w:val="21"/>
                      <w:highlight w:val="none"/>
                      <w:vertAlign w:val="baseline"/>
                      <w:lang w:val="en-US" w:eastAsia="zh-CN"/>
                    </w:rPr>
                    <w:t>的类</w:t>
                  </w:r>
                  <w:r>
                    <w:rPr>
                      <w:rFonts w:hint="eastAsia" w:eastAsia="宋体"/>
                      <w:sz w:val="21"/>
                      <w:szCs w:val="21"/>
                      <w:highlight w:val="none"/>
                      <w:vertAlign w:val="baseline"/>
                      <w:lang w:val="en-US" w:eastAsia="zh-CN"/>
                    </w:rPr>
                    <w:t>别、数量、形态、物理化学性质和污染防治等要求设置必要的贮存分区，避免不相容的危险废物接触、混合</w:t>
                  </w:r>
                </w:p>
              </w:tc>
            </w:tr>
            <w:tr w14:paraId="0A8E95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0" w:type="pct"/>
                  <w:vMerge w:val="continue"/>
                  <w:vAlign w:val="center"/>
                </w:tcPr>
                <w:p w14:paraId="0362E120">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p>
              </w:tc>
              <w:tc>
                <w:tcPr>
                  <w:tcW w:w="2674" w:type="pct"/>
                  <w:vAlign w:val="center"/>
                </w:tcPr>
                <w:p w14:paraId="10E74A98">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eastAsia="宋体"/>
                      <w:sz w:val="21"/>
                      <w:szCs w:val="21"/>
                      <w:highlight w:val="none"/>
                      <w:vertAlign w:val="baseline"/>
                      <w:lang w:val="en-US" w:eastAsia="zh-CN"/>
                    </w:rPr>
                  </w:pPr>
                  <w:r>
                    <w:rPr>
                      <w:rFonts w:hint="eastAsia" w:eastAsia="宋体"/>
                      <w:sz w:val="21"/>
                      <w:szCs w:val="21"/>
                      <w:highlight w:val="none"/>
                      <w:vertAlign w:val="baseline"/>
                      <w:lang w:val="en-US" w:eastAsia="zh-CN"/>
                    </w:rPr>
                    <w:t>贮存设施或贮存分区内地面、墙面裙脚、堵截泄漏的围堰、接触危险废物的隔板和墙体等应采用坚固的材料建造，表面无裂缝</w:t>
                  </w:r>
                </w:p>
              </w:tc>
              <w:tc>
                <w:tcPr>
                  <w:tcW w:w="1955" w:type="pct"/>
                  <w:vAlign w:val="center"/>
                </w:tcPr>
                <w:p w14:paraId="23D6FAB8">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eastAsia="宋体"/>
                      <w:sz w:val="21"/>
                      <w:szCs w:val="21"/>
                      <w:highlight w:val="none"/>
                      <w:vertAlign w:val="baseline"/>
                      <w:lang w:val="en-US" w:eastAsia="zh-CN"/>
                    </w:rPr>
                  </w:pPr>
                  <w:r>
                    <w:rPr>
                      <w:rFonts w:hint="eastAsia" w:eastAsia="宋体"/>
                      <w:sz w:val="21"/>
                      <w:szCs w:val="21"/>
                      <w:highlight w:val="none"/>
                      <w:vertAlign w:val="baseline"/>
                      <w:lang w:val="en-US" w:eastAsia="zh-CN"/>
                    </w:rPr>
                    <w:t>本项目贮存库地面、墙面裙角、导流沟槽、应急池、隔墙等均采用坚固的材料，进行防腐防渗，表面无裂缝</w:t>
                  </w:r>
                </w:p>
              </w:tc>
            </w:tr>
            <w:tr w14:paraId="464561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0" w:type="pct"/>
                  <w:vMerge w:val="continue"/>
                  <w:vAlign w:val="center"/>
                </w:tcPr>
                <w:p w14:paraId="64355416">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eastAsia="宋体"/>
                      <w:sz w:val="21"/>
                      <w:szCs w:val="21"/>
                      <w:highlight w:val="none"/>
                      <w:vertAlign w:val="baseline"/>
                      <w:lang w:val="en-US" w:eastAsia="zh-CN"/>
                    </w:rPr>
                  </w:pPr>
                </w:p>
              </w:tc>
              <w:tc>
                <w:tcPr>
                  <w:tcW w:w="2674" w:type="pct"/>
                  <w:vAlign w:val="center"/>
                </w:tcPr>
                <w:p w14:paraId="79DD659B">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eastAsia="宋体"/>
                      <w:sz w:val="21"/>
                      <w:szCs w:val="21"/>
                      <w:highlight w:val="none"/>
                      <w:vertAlign w:val="baseline"/>
                      <w:lang w:val="en-US" w:eastAsia="zh-CN"/>
                    </w:rPr>
                  </w:pPr>
                  <w:r>
                    <w:rPr>
                      <w:rFonts w:hint="eastAsia" w:eastAsia="宋体"/>
                      <w:sz w:val="21"/>
                      <w:szCs w:val="21"/>
                      <w:highlight w:val="none"/>
                      <w:vertAlign w:val="baseline"/>
                      <w:lang w:val="en-US" w:eastAsia="zh-CN"/>
                    </w:rPr>
                    <w:t>贮存设施地面与裙脚应采取表面防渗措施；表面防渗材料应与所接触的物料或污染物相容，可</w:t>
                  </w:r>
                </w:p>
                <w:p w14:paraId="38B911DB">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eastAsia="宋体"/>
                      <w:sz w:val="21"/>
                      <w:szCs w:val="21"/>
                      <w:highlight w:val="none"/>
                      <w:vertAlign w:val="baseline"/>
                      <w:lang w:val="en-US" w:eastAsia="zh-CN"/>
                    </w:rPr>
                  </w:pPr>
                  <w:r>
                    <w:rPr>
                      <w:rFonts w:hint="eastAsia" w:eastAsia="宋体"/>
                      <w:sz w:val="21"/>
                      <w:szCs w:val="21"/>
                      <w:highlight w:val="none"/>
                      <w:vertAlign w:val="baseline"/>
                      <w:lang w:val="en-US" w:eastAsia="zh-CN"/>
                    </w:rPr>
                    <w:t>采用抗渗混凝土、高密度聚乙烯膜、钠基膨润土防水毯或其他防渗性能等效的材料。贮存的危险废物直接接触地面的，还应进行基础防渗，防渗层为至少1m厚黏土层（渗透系数不大10</w:t>
                  </w:r>
                  <w:r>
                    <w:rPr>
                      <w:rFonts w:hint="eastAsia" w:eastAsia="宋体"/>
                      <w:sz w:val="21"/>
                      <w:szCs w:val="21"/>
                      <w:highlight w:val="none"/>
                      <w:vertAlign w:val="superscript"/>
                      <w:lang w:val="en-US" w:eastAsia="zh-CN"/>
                    </w:rPr>
                    <w:t>-7</w:t>
                  </w:r>
                  <w:r>
                    <w:rPr>
                      <w:rFonts w:hint="eastAsia" w:eastAsia="宋体"/>
                      <w:sz w:val="21"/>
                      <w:szCs w:val="21"/>
                      <w:highlight w:val="none"/>
                      <w:vertAlign w:val="baseline"/>
                      <w:lang w:val="en-US" w:eastAsia="zh-CN"/>
                    </w:rPr>
                    <w:t>cm/s），或至少2mm厚高密度聚乙烯膜等人工防渗材料（渗透系数不大于10</w:t>
                  </w:r>
                  <w:r>
                    <w:rPr>
                      <w:rFonts w:hint="eastAsia" w:eastAsia="宋体"/>
                      <w:sz w:val="21"/>
                      <w:szCs w:val="21"/>
                      <w:highlight w:val="none"/>
                      <w:vertAlign w:val="superscript"/>
                      <w:lang w:val="en-US" w:eastAsia="zh-CN"/>
                    </w:rPr>
                    <w:t>-10</w:t>
                  </w:r>
                  <w:r>
                    <w:rPr>
                      <w:rFonts w:hint="eastAsia" w:eastAsia="宋体"/>
                      <w:sz w:val="21"/>
                      <w:szCs w:val="21"/>
                      <w:highlight w:val="none"/>
                      <w:vertAlign w:val="baseline"/>
                      <w:lang w:val="en-US" w:eastAsia="zh-CN"/>
                    </w:rPr>
                    <w:t>cm/s），或其他防渗性能等效的材料。</w:t>
                  </w:r>
                </w:p>
              </w:tc>
              <w:tc>
                <w:tcPr>
                  <w:tcW w:w="1955" w:type="pct"/>
                  <w:vAlign w:val="center"/>
                </w:tcPr>
                <w:p w14:paraId="4FD39928">
                  <w:pPr>
                    <w:keepNext w:val="0"/>
                    <w:keepLines w:val="0"/>
                    <w:pageBreakBefore w:val="0"/>
                    <w:widowControl w:val="0"/>
                    <w:shd w:val="clear"/>
                    <w:kinsoku/>
                    <w:wordWrap/>
                    <w:overflowPunct/>
                    <w:topLinePunct w:val="0"/>
                    <w:autoSpaceDE w:val="0"/>
                    <w:autoSpaceDN w:val="0"/>
                    <w:bidi w:val="0"/>
                    <w:adjustRightInd/>
                    <w:snapToGrid/>
                    <w:spacing w:line="240" w:lineRule="auto"/>
                    <w:jc w:val="center"/>
                    <w:textAlignment w:val="auto"/>
                    <w:rPr>
                      <w:rFonts w:hint="eastAsia" w:eastAsia="宋体"/>
                      <w:sz w:val="21"/>
                      <w:szCs w:val="21"/>
                      <w:highlight w:val="none"/>
                      <w:vertAlign w:val="baseline"/>
                      <w:lang w:val="en-US" w:eastAsia="zh-CN"/>
                    </w:rPr>
                  </w:pPr>
                  <w:r>
                    <w:rPr>
                      <w:rFonts w:hint="eastAsia" w:eastAsia="宋体"/>
                      <w:sz w:val="21"/>
                      <w:szCs w:val="21"/>
                      <w:highlight w:val="none"/>
                      <w:vertAlign w:val="baseline"/>
                      <w:lang w:val="en-US" w:eastAsia="zh-CN"/>
                    </w:rPr>
                    <w:t>本项目贮存库地面、墙面裙角均</w:t>
                  </w:r>
                </w:p>
                <w:p w14:paraId="7877AEB0">
                  <w:pPr>
                    <w:keepNext w:val="0"/>
                    <w:keepLines w:val="0"/>
                    <w:pageBreakBefore w:val="0"/>
                    <w:widowControl w:val="0"/>
                    <w:shd w:val="clear"/>
                    <w:kinsoku/>
                    <w:wordWrap/>
                    <w:overflowPunct/>
                    <w:topLinePunct w:val="0"/>
                    <w:autoSpaceDE w:val="0"/>
                    <w:autoSpaceDN w:val="0"/>
                    <w:bidi w:val="0"/>
                    <w:adjustRightInd/>
                    <w:snapToGrid/>
                    <w:spacing w:line="240" w:lineRule="auto"/>
                    <w:jc w:val="center"/>
                    <w:textAlignment w:val="auto"/>
                    <w:rPr>
                      <w:rFonts w:hint="eastAsia" w:eastAsia="宋体"/>
                      <w:sz w:val="21"/>
                      <w:szCs w:val="21"/>
                      <w:highlight w:val="none"/>
                      <w:vertAlign w:val="baseline"/>
                      <w:lang w:val="en-US" w:eastAsia="zh-CN"/>
                    </w:rPr>
                  </w:pPr>
                  <w:r>
                    <w:rPr>
                      <w:rFonts w:hint="eastAsia" w:eastAsia="宋体"/>
                      <w:sz w:val="21"/>
                      <w:szCs w:val="21"/>
                      <w:highlight w:val="none"/>
                      <w:vertAlign w:val="baseline"/>
                      <w:lang w:val="en-US" w:eastAsia="zh-CN"/>
                    </w:rPr>
                    <w:t>进行防渗，防渗层做法为：</w:t>
                  </w:r>
                  <w:r>
                    <w:rPr>
                      <w:rFonts w:hint="eastAsia"/>
                      <w:sz w:val="21"/>
                      <w:szCs w:val="21"/>
                      <w:highlight w:val="none"/>
                      <w:vertAlign w:val="baseline"/>
                      <w:lang w:val="en-US" w:eastAsia="zh-CN"/>
                    </w:rPr>
                    <w:t>0.2</w:t>
                  </w:r>
                  <w:r>
                    <w:rPr>
                      <w:rFonts w:hint="eastAsia" w:eastAsia="宋体"/>
                      <w:sz w:val="21"/>
                      <w:szCs w:val="21"/>
                      <w:highlight w:val="none"/>
                      <w:vertAlign w:val="baseline"/>
                      <w:lang w:val="en-US" w:eastAsia="zh-CN"/>
                    </w:rPr>
                    <w:t>m厚C30，P8混凝土层；1-2mm厚3层玻璃纤维布；2mm厚环氧树脂防渗、耐腐蚀涂层，渗透系数≤10</w:t>
                  </w:r>
                  <w:r>
                    <w:rPr>
                      <w:rFonts w:hint="eastAsia" w:eastAsia="宋体"/>
                      <w:sz w:val="21"/>
                      <w:szCs w:val="21"/>
                      <w:highlight w:val="none"/>
                      <w:vertAlign w:val="superscript"/>
                      <w:lang w:val="en-US" w:eastAsia="zh-CN"/>
                    </w:rPr>
                    <w:t>-10</w:t>
                  </w:r>
                  <w:r>
                    <w:rPr>
                      <w:rFonts w:hint="eastAsia" w:eastAsia="宋体"/>
                      <w:sz w:val="21"/>
                      <w:szCs w:val="21"/>
                      <w:highlight w:val="none"/>
                      <w:vertAlign w:val="baseline"/>
                      <w:lang w:val="en-US" w:eastAsia="zh-CN"/>
                    </w:rPr>
                    <w:t>cm/s</w:t>
                  </w:r>
                </w:p>
              </w:tc>
            </w:tr>
            <w:tr w14:paraId="281870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0" w:type="pct"/>
                  <w:vMerge w:val="continue"/>
                  <w:vAlign w:val="center"/>
                </w:tcPr>
                <w:p w14:paraId="381156AA">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p>
              </w:tc>
              <w:tc>
                <w:tcPr>
                  <w:tcW w:w="2674" w:type="pct"/>
                  <w:vAlign w:val="center"/>
                </w:tcPr>
                <w:p w14:paraId="18985DD6">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eastAsia="宋体"/>
                      <w:sz w:val="21"/>
                      <w:szCs w:val="21"/>
                      <w:highlight w:val="none"/>
                      <w:vertAlign w:val="baseline"/>
                      <w:lang w:val="en-US" w:eastAsia="zh-CN"/>
                    </w:rPr>
                  </w:pPr>
                  <w:r>
                    <w:rPr>
                      <w:rFonts w:hint="eastAsia" w:eastAsia="宋体"/>
                      <w:sz w:val="21"/>
                      <w:szCs w:val="21"/>
                      <w:highlight w:val="none"/>
                      <w:vertAlign w:val="baseline"/>
                      <w:lang w:val="en-US" w:eastAsia="zh-CN"/>
                    </w:rPr>
                    <w:t>同一贮存设施宜采用相同的防渗、防腐工艺（包括防渗、防腐结构或材料），防渗、防腐材料</w:t>
                  </w:r>
                </w:p>
                <w:p w14:paraId="1FA140E1">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eastAsia="宋体"/>
                      <w:sz w:val="21"/>
                      <w:szCs w:val="21"/>
                      <w:highlight w:val="none"/>
                      <w:vertAlign w:val="baseline"/>
                      <w:lang w:val="en-US" w:eastAsia="zh-CN"/>
                    </w:rPr>
                  </w:pPr>
                  <w:r>
                    <w:rPr>
                      <w:rFonts w:hint="eastAsia" w:eastAsia="宋体"/>
                      <w:sz w:val="21"/>
                      <w:szCs w:val="21"/>
                      <w:highlight w:val="none"/>
                      <w:vertAlign w:val="baseline"/>
                      <w:lang w:val="en-US" w:eastAsia="zh-CN"/>
                    </w:rPr>
                    <w:t>应覆盖所有可能与废物及其渗滤液、渗漏液等接触的构筑物表面；采用不同防渗、防腐工艺应分别建设贮存分区</w:t>
                  </w:r>
                </w:p>
              </w:tc>
              <w:tc>
                <w:tcPr>
                  <w:tcW w:w="1955" w:type="pct"/>
                  <w:vAlign w:val="center"/>
                </w:tcPr>
                <w:p w14:paraId="0C984672">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eastAsia="宋体"/>
                      <w:sz w:val="21"/>
                      <w:szCs w:val="21"/>
                      <w:highlight w:val="none"/>
                      <w:vertAlign w:val="baseline"/>
                      <w:lang w:val="en-US" w:eastAsia="zh-CN"/>
                    </w:rPr>
                  </w:pPr>
                  <w:r>
                    <w:rPr>
                      <w:rFonts w:hint="eastAsia" w:eastAsia="宋体"/>
                      <w:sz w:val="21"/>
                      <w:szCs w:val="21"/>
                      <w:highlight w:val="none"/>
                      <w:vertAlign w:val="baseline"/>
                      <w:lang w:val="en-US" w:eastAsia="zh-CN"/>
                    </w:rPr>
                    <w:t>本项目贮存库进行分区。不同贮存分区之间采取划分隔离通道或隔板</w:t>
                  </w:r>
                </w:p>
              </w:tc>
            </w:tr>
            <w:tr w14:paraId="35C3B5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0" w:type="pct"/>
                  <w:vMerge w:val="continue"/>
                  <w:vAlign w:val="center"/>
                </w:tcPr>
                <w:p w14:paraId="28E74D99">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eastAsia="宋体"/>
                      <w:sz w:val="21"/>
                      <w:szCs w:val="21"/>
                      <w:highlight w:val="none"/>
                      <w:vertAlign w:val="baseline"/>
                      <w:lang w:val="en-US" w:eastAsia="zh-CN"/>
                    </w:rPr>
                  </w:pPr>
                </w:p>
              </w:tc>
              <w:tc>
                <w:tcPr>
                  <w:tcW w:w="2674" w:type="pct"/>
                  <w:vAlign w:val="center"/>
                </w:tcPr>
                <w:p w14:paraId="42C28B9F">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eastAsia="宋体"/>
                      <w:sz w:val="21"/>
                      <w:szCs w:val="21"/>
                      <w:highlight w:val="none"/>
                      <w:vertAlign w:val="baseline"/>
                      <w:lang w:eastAsia="zh-CN"/>
                    </w:rPr>
                  </w:pPr>
                  <w:r>
                    <w:rPr>
                      <w:rFonts w:hint="eastAsia" w:eastAsia="宋体"/>
                      <w:sz w:val="21"/>
                      <w:szCs w:val="21"/>
                      <w:highlight w:val="none"/>
                      <w:vertAlign w:val="baseline"/>
                      <w:lang w:eastAsia="zh-CN"/>
                    </w:rPr>
                    <w:t>贮存设施应采取技术和管理措施防止无关人员进入</w:t>
                  </w:r>
                </w:p>
              </w:tc>
              <w:tc>
                <w:tcPr>
                  <w:tcW w:w="1955" w:type="pct"/>
                  <w:vAlign w:val="center"/>
                </w:tcPr>
                <w:p w14:paraId="0E2CEB5F">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本项目</w:t>
                  </w:r>
                  <w:r>
                    <w:rPr>
                      <w:rFonts w:hint="eastAsia" w:eastAsia="宋体"/>
                      <w:sz w:val="21"/>
                      <w:szCs w:val="21"/>
                      <w:highlight w:val="none"/>
                      <w:vertAlign w:val="baseline"/>
                      <w:lang w:eastAsia="zh-CN"/>
                    </w:rPr>
                    <w:t>采取技术和管理措施防止无关人员进入</w:t>
                  </w:r>
                </w:p>
              </w:tc>
            </w:tr>
            <w:tr w14:paraId="325A3B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70" w:type="pct"/>
                  <w:vMerge w:val="restart"/>
                  <w:vAlign w:val="center"/>
                </w:tcPr>
                <w:p w14:paraId="508F3B65">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sz w:val="21"/>
                      <w:szCs w:val="21"/>
                      <w:highlight w:val="none"/>
                      <w:vertAlign w:val="baseline"/>
                      <w:lang w:val="en-US" w:eastAsia="zh-CN"/>
                    </w:rPr>
                  </w:pPr>
                  <w:r>
                    <w:rPr>
                      <w:rFonts w:hint="eastAsia"/>
                      <w:sz w:val="21"/>
                      <w:szCs w:val="21"/>
                      <w:highlight w:val="none"/>
                      <w:vertAlign w:val="baseline"/>
                      <w:lang w:val="en-US" w:eastAsia="zh-CN"/>
                    </w:rPr>
                    <w:t>贮存库要求</w:t>
                  </w:r>
                </w:p>
              </w:tc>
              <w:tc>
                <w:tcPr>
                  <w:tcW w:w="2674" w:type="pct"/>
                  <w:vAlign w:val="center"/>
                </w:tcPr>
                <w:p w14:paraId="61D8EBD4">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eastAsia="宋体"/>
                      <w:sz w:val="21"/>
                      <w:szCs w:val="21"/>
                      <w:highlight w:val="none"/>
                      <w:vertAlign w:val="baseline"/>
                      <w:lang w:eastAsia="zh-CN"/>
                    </w:rPr>
                  </w:pPr>
                  <w:r>
                    <w:rPr>
                      <w:rFonts w:hint="eastAsia"/>
                      <w:sz w:val="21"/>
                      <w:szCs w:val="21"/>
                      <w:highlight w:val="none"/>
                      <w:vertAlign w:val="baseline"/>
                    </w:rPr>
                    <w:t>贮存库内不同贮存分区之间应采取隔离措施。隔离措施可根据危险废物特性采用过道、隔板或隔墙等方式</w:t>
                  </w:r>
                </w:p>
              </w:tc>
              <w:tc>
                <w:tcPr>
                  <w:tcW w:w="1955" w:type="pct"/>
                  <w:vAlign w:val="center"/>
                </w:tcPr>
                <w:p w14:paraId="1FAB95CF">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r>
                    <w:rPr>
                      <w:rFonts w:hint="eastAsia"/>
                      <w:sz w:val="21"/>
                      <w:szCs w:val="21"/>
                      <w:highlight w:val="none"/>
                      <w:vertAlign w:val="baseline"/>
                    </w:rPr>
                    <w:t>本项目贮存库进行分区。不同贮存分区之间采取划分隔离通道或隔板。</w:t>
                  </w:r>
                </w:p>
              </w:tc>
            </w:tr>
            <w:tr w14:paraId="13F0AA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370" w:type="pct"/>
                  <w:vMerge w:val="continue"/>
                  <w:vAlign w:val="center"/>
                </w:tcPr>
                <w:p w14:paraId="66E0A17D">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p>
              </w:tc>
              <w:tc>
                <w:tcPr>
                  <w:tcW w:w="2674" w:type="pct"/>
                  <w:vAlign w:val="center"/>
                </w:tcPr>
                <w:p w14:paraId="11453DC4">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r>
                    <w:rPr>
                      <w:rFonts w:hint="eastAsia"/>
                      <w:sz w:val="21"/>
                      <w:szCs w:val="21"/>
                      <w:highlight w:val="none"/>
                      <w:vertAlign w:val="baseline"/>
                    </w:rPr>
                    <w:t>在贮存库内或通过贮存分区方式贮存液态危险废物的，应具有液体泄漏堵截设施，堵截设施最</w:t>
                  </w:r>
                </w:p>
                <w:p w14:paraId="3E54956E">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eastAsia="宋体"/>
                      <w:sz w:val="21"/>
                      <w:szCs w:val="21"/>
                      <w:highlight w:val="none"/>
                      <w:vertAlign w:val="baseline"/>
                      <w:lang w:eastAsia="zh-CN"/>
                    </w:rPr>
                  </w:pPr>
                  <w:r>
                    <w:rPr>
                      <w:rFonts w:hint="eastAsia"/>
                      <w:sz w:val="21"/>
                      <w:szCs w:val="21"/>
                      <w:highlight w:val="none"/>
                      <w:vertAlign w:val="baseline"/>
                    </w:rPr>
                    <w:t>小容积不应低于对应贮存区域最大液态废物容器容积或液态废物总储量1/10（二者取较大者）；用于贮存可能产生渗滤液的危险废物的贮存库或贮存分区应设计渗滤液收集设施，收集设施容积应满足渗滤液的收集要求</w:t>
                  </w:r>
                </w:p>
              </w:tc>
              <w:tc>
                <w:tcPr>
                  <w:tcW w:w="1955" w:type="pct"/>
                  <w:vAlign w:val="center"/>
                </w:tcPr>
                <w:p w14:paraId="5289B638">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lang w:eastAsia="zh-CN"/>
                    </w:rPr>
                  </w:pPr>
                  <w:r>
                    <w:rPr>
                      <w:rFonts w:hint="eastAsia"/>
                      <w:sz w:val="21"/>
                      <w:szCs w:val="21"/>
                      <w:highlight w:val="none"/>
                      <w:vertAlign w:val="baseline"/>
                      <w:lang w:eastAsia="zh-CN"/>
                    </w:rPr>
                    <w:t>本项目贮存库设置事故池，容积能够满足收容要求。</w:t>
                  </w:r>
                </w:p>
              </w:tc>
            </w:tr>
            <w:tr w14:paraId="4FF89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0" w:type="pct"/>
                  <w:vMerge w:val="continue"/>
                  <w:vAlign w:val="center"/>
                </w:tcPr>
                <w:p w14:paraId="5008CB6E">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sz w:val="21"/>
                      <w:szCs w:val="21"/>
                      <w:highlight w:val="none"/>
                      <w:vertAlign w:val="baseline"/>
                      <w:lang w:val="en-US" w:eastAsia="zh-CN"/>
                    </w:rPr>
                  </w:pPr>
                </w:p>
              </w:tc>
              <w:tc>
                <w:tcPr>
                  <w:tcW w:w="2674" w:type="pct"/>
                  <w:vAlign w:val="center"/>
                </w:tcPr>
                <w:p w14:paraId="5C83426D">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r>
                    <w:rPr>
                      <w:rFonts w:hint="eastAsia"/>
                      <w:sz w:val="21"/>
                      <w:szCs w:val="21"/>
                      <w:highlight w:val="none"/>
                      <w:vertAlign w:val="baseline"/>
                    </w:rPr>
                    <w:t>贮存易产生粉尘、VOCs、酸雾、有毒有害大气污染物和刺激性气味气体的危险废物贮存库，应</w:t>
                  </w:r>
                </w:p>
                <w:p w14:paraId="61FA50BD">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r>
                    <w:rPr>
                      <w:rFonts w:hint="eastAsia"/>
                      <w:sz w:val="21"/>
                      <w:szCs w:val="21"/>
                      <w:highlight w:val="none"/>
                      <w:vertAlign w:val="baseline"/>
                    </w:rPr>
                    <w:t>设置气体收集装置和气体净化设施；气体净化设施的排气筒高度应符合GB16297要求</w:t>
                  </w:r>
                </w:p>
              </w:tc>
              <w:tc>
                <w:tcPr>
                  <w:tcW w:w="1955" w:type="pct"/>
                  <w:vAlign w:val="center"/>
                </w:tcPr>
                <w:p w14:paraId="07F081D0">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r>
                    <w:rPr>
                      <w:rFonts w:hint="eastAsia"/>
                      <w:sz w:val="21"/>
                      <w:szCs w:val="21"/>
                      <w:highlight w:val="none"/>
                      <w:vertAlign w:val="baseline"/>
                    </w:rPr>
                    <w:t>本项目有机废气</w:t>
                  </w:r>
                  <w:r>
                    <w:rPr>
                      <w:rFonts w:hint="eastAsia"/>
                      <w:sz w:val="21"/>
                      <w:szCs w:val="21"/>
                      <w:highlight w:val="none"/>
                      <w:vertAlign w:val="baseline"/>
                      <w:lang w:eastAsia="zh-CN"/>
                    </w:rPr>
                    <w:t>、</w:t>
                  </w:r>
                  <w:r>
                    <w:rPr>
                      <w:rFonts w:hint="eastAsia"/>
                      <w:sz w:val="21"/>
                      <w:szCs w:val="21"/>
                      <w:highlight w:val="none"/>
                      <w:vertAlign w:val="baseline"/>
                      <w:lang w:val="en-US" w:eastAsia="zh-CN"/>
                    </w:rPr>
                    <w:t>异味气体</w:t>
                  </w:r>
                  <w:r>
                    <w:rPr>
                      <w:rFonts w:hint="eastAsia"/>
                      <w:sz w:val="21"/>
                      <w:szCs w:val="21"/>
                      <w:highlight w:val="none"/>
                      <w:vertAlign w:val="baseline"/>
                    </w:rPr>
                    <w:t>经1套二级活性炭箱吸附处理后经1根15m排气筒排放；贮存库酸雾经1套</w:t>
                  </w:r>
                  <w:r>
                    <w:rPr>
                      <w:rFonts w:hint="eastAsia"/>
                      <w:sz w:val="21"/>
                      <w:szCs w:val="21"/>
                      <w:highlight w:val="none"/>
                      <w:vertAlign w:val="baseline"/>
                      <w:lang w:val="en-US" w:eastAsia="zh-CN"/>
                    </w:rPr>
                    <w:t>碱液喷淋</w:t>
                  </w:r>
                  <w:r>
                    <w:rPr>
                      <w:rFonts w:hint="eastAsia"/>
                      <w:sz w:val="21"/>
                      <w:szCs w:val="21"/>
                      <w:highlight w:val="none"/>
                      <w:vertAlign w:val="baseline"/>
                    </w:rPr>
                    <w:t>塔处理后经1根15m排气筒排放</w:t>
                  </w:r>
                </w:p>
              </w:tc>
            </w:tr>
            <w:tr w14:paraId="24A504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0" w:type="pct"/>
                  <w:vAlign w:val="center"/>
                </w:tcPr>
                <w:p w14:paraId="3A19CA8E">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容器和包装物污染控制要求</w:t>
                  </w:r>
                </w:p>
              </w:tc>
              <w:tc>
                <w:tcPr>
                  <w:tcW w:w="2674" w:type="pct"/>
                  <w:vAlign w:val="center"/>
                </w:tcPr>
                <w:p w14:paraId="6F212D32">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eastAsia="宋体" w:cs="Times New Roman"/>
                      <w:sz w:val="21"/>
                      <w:szCs w:val="21"/>
                      <w:highlight w:val="none"/>
                      <w:vertAlign w:val="baseline"/>
                      <w:lang w:eastAsia="zh-CN"/>
                    </w:rPr>
                  </w:pPr>
                  <w:r>
                    <w:rPr>
                      <w:rFonts w:hint="eastAsia" w:ascii="Times New Roman" w:hAnsi="Times New Roman" w:eastAsia="宋体" w:cs="Times New Roman"/>
                      <w:sz w:val="21"/>
                      <w:szCs w:val="21"/>
                      <w:highlight w:val="none"/>
                      <w:vertAlign w:val="baseline"/>
                      <w:lang w:val="en-US" w:eastAsia="zh-CN"/>
                    </w:rPr>
                    <w:t>1、</w:t>
                  </w:r>
                  <w:r>
                    <w:rPr>
                      <w:rFonts w:hint="eastAsia" w:ascii="Times New Roman" w:hAnsi="Times New Roman" w:eastAsia="宋体" w:cs="Times New Roman"/>
                      <w:sz w:val="21"/>
                      <w:szCs w:val="21"/>
                      <w:highlight w:val="none"/>
                      <w:vertAlign w:val="baseline"/>
                    </w:rPr>
                    <w:t>容器和包装物材质、内衬应与盛装的危险废物相容</w:t>
                  </w:r>
                  <w:r>
                    <w:rPr>
                      <w:rFonts w:hint="eastAsia" w:ascii="Times New Roman" w:hAnsi="Times New Roman" w:eastAsia="宋体" w:cs="Times New Roman"/>
                      <w:sz w:val="21"/>
                      <w:szCs w:val="21"/>
                      <w:highlight w:val="none"/>
                      <w:vertAlign w:val="baseline"/>
                      <w:lang w:eastAsia="zh-CN"/>
                    </w:rPr>
                    <w:t>；</w:t>
                  </w:r>
                </w:p>
                <w:p w14:paraId="0AE8ED7D">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eastAsia="宋体" w:cs="Times New Roman"/>
                      <w:sz w:val="21"/>
                      <w:szCs w:val="21"/>
                      <w:highlight w:val="none"/>
                      <w:vertAlign w:val="baseline"/>
                      <w:lang w:eastAsia="zh-CN"/>
                    </w:rPr>
                  </w:pPr>
                  <w:r>
                    <w:rPr>
                      <w:rFonts w:hint="eastAsia" w:ascii="Times New Roman" w:hAnsi="Times New Roman" w:eastAsia="宋体" w:cs="Times New Roman"/>
                      <w:sz w:val="21"/>
                      <w:szCs w:val="21"/>
                      <w:highlight w:val="none"/>
                      <w:vertAlign w:val="baseline"/>
                      <w:lang w:val="en-US" w:eastAsia="zh-CN"/>
                    </w:rPr>
                    <w:t>2、</w:t>
                  </w:r>
                  <w:r>
                    <w:rPr>
                      <w:rFonts w:hint="eastAsia" w:ascii="Times New Roman" w:hAnsi="Times New Roman" w:eastAsia="宋体" w:cs="Times New Roman"/>
                      <w:sz w:val="21"/>
                      <w:szCs w:val="21"/>
                      <w:highlight w:val="none"/>
                      <w:vertAlign w:val="baseline"/>
                      <w:lang w:eastAsia="zh-CN"/>
                    </w:rPr>
                    <w:t>针对不同类别、形态、物理化学性质的危险废物，其容器和包装物应满足相应的防渗、防漏、防腐和强度等要求；</w:t>
                  </w:r>
                </w:p>
                <w:p w14:paraId="6AA45C45">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3、硬质容器和包装物及其支护结构堆叠码放时不应有明显变形，无破损泄漏；</w:t>
                  </w:r>
                </w:p>
                <w:p w14:paraId="4DDF4BCA">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4、柔性容器和包装物堆叠码放时应封口严密，无破损泄漏；</w:t>
                  </w:r>
                </w:p>
                <w:p w14:paraId="5266AC05">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5、使用容器盛装液态、半固态危险废物时，容器内部应留有适当的空间，以适应因温度变化等可能引发的收缩和膨胀，防止其导致容器渗漏或永久变形；</w:t>
                  </w:r>
                </w:p>
                <w:p w14:paraId="381D429C">
                  <w:pPr>
                    <w:keepNext w:val="0"/>
                    <w:keepLines w:val="0"/>
                    <w:pageBreakBefore w:val="0"/>
                    <w:widowControl w:val="0"/>
                    <w:kinsoku/>
                    <w:wordWrap/>
                    <w:overflowPunct/>
                    <w:topLinePunct w:val="0"/>
                    <w:autoSpaceDE w:val="0"/>
                    <w:autoSpaceDN w:val="0"/>
                    <w:bidi w:val="0"/>
                    <w:adjustRightInd/>
                    <w:snapToGrid/>
                    <w:spacing w:line="240" w:lineRule="auto"/>
                    <w:jc w:val="both"/>
                    <w:textAlignment w:val="auto"/>
                    <w:rPr>
                      <w:rFonts w:hint="default"/>
                      <w:highlight w:val="none"/>
                      <w:lang w:val="en-US" w:eastAsia="zh-CN"/>
                    </w:rPr>
                  </w:pPr>
                  <w:r>
                    <w:rPr>
                      <w:rFonts w:hint="eastAsia" w:ascii="Times New Roman" w:hAnsi="Times New Roman" w:eastAsia="宋体" w:cs="Times New Roman"/>
                      <w:sz w:val="21"/>
                      <w:szCs w:val="21"/>
                      <w:highlight w:val="none"/>
                      <w:vertAlign w:val="baseline"/>
                      <w:lang w:val="en-US" w:eastAsia="zh-CN"/>
                    </w:rPr>
                    <w:t>6、容器和包装物外表面应保持清洁</w:t>
                  </w:r>
                </w:p>
              </w:tc>
              <w:tc>
                <w:tcPr>
                  <w:tcW w:w="1955" w:type="pct"/>
                  <w:vAlign w:val="center"/>
                </w:tcPr>
                <w:p w14:paraId="52836F74">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1、本项目危险废物容器和包装物材质、内衬与盛装的危险废物相容；</w:t>
                  </w:r>
                </w:p>
                <w:p w14:paraId="636B12FD">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2、本项目满足相应的防渗、防漏、防腐和强度等要求。</w:t>
                  </w:r>
                </w:p>
                <w:p w14:paraId="150BFC7C">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3、本项目硬质容器和包装物及其支护结构堆叠码放时严禁有明显变形，无破损泄漏。</w:t>
                  </w:r>
                </w:p>
                <w:p w14:paraId="2E6BAA00">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4、柔性容器和包装物堆叠码放时封口严密，无破损泄漏。</w:t>
                  </w:r>
                </w:p>
                <w:p w14:paraId="76A43E8C">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5、使用容器盛装液态、半固态危险废物时，容器内部留有适当的空间。</w:t>
                  </w:r>
                </w:p>
                <w:p w14:paraId="0F8C18B4">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6、容器和包装物外表面保持清</w:t>
                  </w:r>
                </w:p>
                <w:p w14:paraId="74E97ABA">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r>
                    <w:rPr>
                      <w:rFonts w:hint="eastAsia" w:ascii="Times New Roman" w:hAnsi="Times New Roman" w:eastAsia="宋体" w:cs="Times New Roman"/>
                      <w:sz w:val="21"/>
                      <w:szCs w:val="21"/>
                      <w:highlight w:val="none"/>
                      <w:vertAlign w:val="baseline"/>
                      <w:lang w:val="en-US" w:eastAsia="zh-CN"/>
                    </w:rPr>
                    <w:t>洁。</w:t>
                  </w:r>
                </w:p>
              </w:tc>
            </w:tr>
            <w:tr w14:paraId="7F27FD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0" w:type="pct"/>
                  <w:vMerge w:val="restart"/>
                  <w:vAlign w:val="center"/>
                </w:tcPr>
                <w:p w14:paraId="5E22C2B0">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sz w:val="21"/>
                      <w:szCs w:val="21"/>
                      <w:highlight w:val="none"/>
                      <w:vertAlign w:val="baseline"/>
                      <w:lang w:val="en-US" w:eastAsia="zh-CN"/>
                    </w:rPr>
                  </w:pPr>
                  <w:r>
                    <w:rPr>
                      <w:rFonts w:hint="default" w:eastAsia="宋体"/>
                      <w:sz w:val="21"/>
                      <w:szCs w:val="21"/>
                      <w:highlight w:val="none"/>
                      <w:vertAlign w:val="baseline"/>
                      <w:lang w:val="en-US" w:eastAsia="zh-CN"/>
                    </w:rPr>
                    <w:t>贮存设施运行环境管理要求</w:t>
                  </w:r>
                </w:p>
              </w:tc>
              <w:tc>
                <w:tcPr>
                  <w:tcW w:w="2674" w:type="pct"/>
                  <w:vAlign w:val="center"/>
                </w:tcPr>
                <w:p w14:paraId="6263D6B4">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r>
                    <w:rPr>
                      <w:rFonts w:hint="eastAsia"/>
                      <w:sz w:val="21"/>
                      <w:szCs w:val="21"/>
                      <w:highlight w:val="none"/>
                      <w:vertAlign w:val="baseline"/>
                    </w:rPr>
                    <w:t>危险废物存入贮存设施前应对危险废物类别和特性与危险废物标签等危险废物识别标志的一致性进行核验，不一致的或类别、特性不明的不应存入</w:t>
                  </w:r>
                </w:p>
              </w:tc>
              <w:tc>
                <w:tcPr>
                  <w:tcW w:w="1955" w:type="pct"/>
                  <w:vAlign w:val="center"/>
                </w:tcPr>
                <w:p w14:paraId="2262407A">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r>
                    <w:rPr>
                      <w:rFonts w:hint="eastAsia"/>
                      <w:sz w:val="21"/>
                      <w:szCs w:val="21"/>
                      <w:highlight w:val="none"/>
                      <w:vertAlign w:val="baseline"/>
                    </w:rPr>
                    <w:t>危险废物存入贮存设施前应对危险废物类别和特性与危险废物标签等危险废物识别标志的一致性进行核验，不一致或类别、特性不明的严禁入库</w:t>
                  </w:r>
                </w:p>
              </w:tc>
            </w:tr>
            <w:tr w14:paraId="649201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0" w:type="pct"/>
                  <w:vMerge w:val="continue"/>
                  <w:vAlign w:val="center"/>
                </w:tcPr>
                <w:p w14:paraId="3A23BB85">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sz w:val="21"/>
                      <w:szCs w:val="21"/>
                      <w:highlight w:val="none"/>
                      <w:vertAlign w:val="baseline"/>
                      <w:lang w:val="en-US" w:eastAsia="zh-CN"/>
                    </w:rPr>
                  </w:pPr>
                </w:p>
              </w:tc>
              <w:tc>
                <w:tcPr>
                  <w:tcW w:w="2674" w:type="pct"/>
                  <w:vAlign w:val="center"/>
                </w:tcPr>
                <w:p w14:paraId="205F624C">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r>
                    <w:rPr>
                      <w:rFonts w:hint="eastAsia"/>
                      <w:sz w:val="21"/>
                      <w:szCs w:val="21"/>
                      <w:highlight w:val="none"/>
                      <w:vertAlign w:val="baseline"/>
                    </w:rPr>
                    <w:t>应定期检查危险废物的贮存状况，及时清理贮存设施地面，更换破损泄漏的危险废物贮存容器</w:t>
                  </w:r>
                </w:p>
                <w:p w14:paraId="2FBF0030">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r>
                    <w:rPr>
                      <w:rFonts w:hint="eastAsia"/>
                      <w:sz w:val="21"/>
                      <w:szCs w:val="21"/>
                      <w:highlight w:val="none"/>
                      <w:vertAlign w:val="baseline"/>
                    </w:rPr>
                    <w:t>和包装物，保证堆存危险废物的防雨、防风、防扬尘等设施功能完好</w:t>
                  </w:r>
                </w:p>
              </w:tc>
              <w:tc>
                <w:tcPr>
                  <w:tcW w:w="1955" w:type="pct"/>
                  <w:vAlign w:val="center"/>
                </w:tcPr>
                <w:p w14:paraId="7AA63276">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r>
                    <w:rPr>
                      <w:rFonts w:hint="eastAsia"/>
                      <w:sz w:val="21"/>
                      <w:szCs w:val="21"/>
                      <w:highlight w:val="none"/>
                      <w:vertAlign w:val="baseline"/>
                    </w:rPr>
                    <w:t>定期检查危险废物的贮存状况，及时清理贮存设施地面，更换破损泄漏的危险废物贮存容器和包装物，保证堆存危险废物的防雨、防风、防扬尘等设施功能完好</w:t>
                  </w:r>
                </w:p>
              </w:tc>
            </w:tr>
            <w:tr w14:paraId="0B8E3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70" w:type="pct"/>
                  <w:vMerge w:val="continue"/>
                  <w:vAlign w:val="center"/>
                </w:tcPr>
                <w:p w14:paraId="23A1EA44">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sz w:val="21"/>
                      <w:szCs w:val="21"/>
                      <w:highlight w:val="none"/>
                      <w:vertAlign w:val="baseline"/>
                      <w:lang w:val="en-US" w:eastAsia="zh-CN"/>
                    </w:rPr>
                  </w:pPr>
                </w:p>
              </w:tc>
              <w:tc>
                <w:tcPr>
                  <w:tcW w:w="2674" w:type="pct"/>
                  <w:vAlign w:val="center"/>
                </w:tcPr>
                <w:p w14:paraId="561946F9">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r>
                    <w:rPr>
                      <w:rFonts w:hint="eastAsia"/>
                      <w:sz w:val="21"/>
                      <w:szCs w:val="21"/>
                      <w:highlight w:val="none"/>
                      <w:vertAlign w:val="baseline"/>
                    </w:rPr>
                    <w:t>作业设备及车辆等结束作业离开贮存设施时，应对其残留的危险废物进行清理，清理的废物或清洗废水应收集处理</w:t>
                  </w:r>
                </w:p>
              </w:tc>
              <w:tc>
                <w:tcPr>
                  <w:tcW w:w="1955" w:type="pct"/>
                  <w:vAlign w:val="center"/>
                </w:tcPr>
                <w:p w14:paraId="05AC4106">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r>
                    <w:rPr>
                      <w:rFonts w:hint="eastAsia"/>
                      <w:sz w:val="21"/>
                      <w:szCs w:val="21"/>
                      <w:highlight w:val="none"/>
                      <w:vertAlign w:val="baseline"/>
                    </w:rPr>
                    <w:t>本项目收集的危险废物在上车前</w:t>
                  </w:r>
                </w:p>
                <w:p w14:paraId="5EA0882F">
                  <w:pPr>
                    <w:keepNext w:val="0"/>
                    <w:keepLines w:val="0"/>
                    <w:pageBreakBefore w:val="0"/>
                    <w:widowControl w:val="0"/>
                    <w:kinsoku/>
                    <w:wordWrap/>
                    <w:overflowPunct/>
                    <w:topLinePunct w:val="0"/>
                    <w:autoSpaceDE w:val="0"/>
                    <w:autoSpaceDN w:val="0"/>
                    <w:bidi w:val="0"/>
                    <w:adjustRightInd/>
                    <w:snapToGrid/>
                    <w:spacing w:line="240" w:lineRule="auto"/>
                    <w:jc w:val="both"/>
                    <w:textAlignment w:val="auto"/>
                    <w:rPr>
                      <w:rFonts w:hint="eastAsia"/>
                      <w:sz w:val="21"/>
                      <w:szCs w:val="21"/>
                      <w:highlight w:val="none"/>
                      <w:vertAlign w:val="baseline"/>
                    </w:rPr>
                  </w:pPr>
                  <w:r>
                    <w:rPr>
                      <w:rFonts w:hint="eastAsia"/>
                      <w:sz w:val="21"/>
                      <w:szCs w:val="21"/>
                      <w:highlight w:val="none"/>
                      <w:vertAlign w:val="baseline"/>
                    </w:rPr>
                    <w:t>均已清洁干净，不会产生清洗废水</w:t>
                  </w:r>
                </w:p>
              </w:tc>
            </w:tr>
            <w:tr w14:paraId="7BF065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0" w:type="pct"/>
                  <w:vMerge w:val="continue"/>
                  <w:vAlign w:val="center"/>
                </w:tcPr>
                <w:p w14:paraId="4E14986D">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sz w:val="21"/>
                      <w:szCs w:val="21"/>
                      <w:highlight w:val="none"/>
                      <w:vertAlign w:val="baseline"/>
                      <w:lang w:val="en-US" w:eastAsia="zh-CN"/>
                    </w:rPr>
                  </w:pPr>
                </w:p>
              </w:tc>
              <w:tc>
                <w:tcPr>
                  <w:tcW w:w="2674" w:type="pct"/>
                  <w:vAlign w:val="center"/>
                </w:tcPr>
                <w:p w14:paraId="719A638A">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r>
                    <w:rPr>
                      <w:rFonts w:hint="eastAsia"/>
                      <w:sz w:val="21"/>
                      <w:szCs w:val="21"/>
                      <w:highlight w:val="none"/>
                      <w:vertAlign w:val="baseline"/>
                    </w:rPr>
                    <w:t>贮存设施运行期间，应按国家有关标准和规定建立危险废物管理台账并保存</w:t>
                  </w:r>
                </w:p>
              </w:tc>
              <w:tc>
                <w:tcPr>
                  <w:tcW w:w="1955" w:type="pct"/>
                  <w:vAlign w:val="center"/>
                </w:tcPr>
                <w:p w14:paraId="313AF9B8">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r>
                    <w:rPr>
                      <w:rFonts w:hint="eastAsia"/>
                      <w:sz w:val="21"/>
                      <w:szCs w:val="21"/>
                      <w:highlight w:val="none"/>
                      <w:vertAlign w:val="baseline"/>
                    </w:rPr>
                    <w:t>贮存设施运行期间，按国家有关标准和规定建立危险废物管理台账并保存</w:t>
                  </w:r>
                </w:p>
              </w:tc>
            </w:tr>
            <w:tr w14:paraId="4B4F60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0" w:type="pct"/>
                  <w:vMerge w:val="continue"/>
                  <w:vAlign w:val="center"/>
                </w:tcPr>
                <w:p w14:paraId="7CB283F9">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sz w:val="21"/>
                      <w:szCs w:val="21"/>
                      <w:highlight w:val="none"/>
                      <w:vertAlign w:val="baseline"/>
                      <w:lang w:val="en-US" w:eastAsia="zh-CN"/>
                    </w:rPr>
                  </w:pPr>
                </w:p>
              </w:tc>
              <w:tc>
                <w:tcPr>
                  <w:tcW w:w="2674" w:type="pct"/>
                  <w:vAlign w:val="center"/>
                </w:tcPr>
                <w:p w14:paraId="016D67FF">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r>
                    <w:rPr>
                      <w:rFonts w:hint="eastAsia"/>
                      <w:sz w:val="21"/>
                      <w:szCs w:val="21"/>
                      <w:highlight w:val="none"/>
                      <w:vertAlign w:val="baseline"/>
                    </w:rPr>
                    <w:t>贮存设施所有者或运营者应建立贮存设施环境管理制度、管理人员岗位职责制度、设施运行操作制度、人员岗位培训制度等</w:t>
                  </w:r>
                </w:p>
              </w:tc>
              <w:tc>
                <w:tcPr>
                  <w:tcW w:w="1955" w:type="pct"/>
                  <w:vAlign w:val="center"/>
                </w:tcPr>
                <w:p w14:paraId="6864801B">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r>
                    <w:rPr>
                      <w:rFonts w:hint="eastAsia"/>
                      <w:sz w:val="21"/>
                      <w:szCs w:val="21"/>
                      <w:highlight w:val="none"/>
                      <w:vertAlign w:val="baseline"/>
                    </w:rPr>
                    <w:t>建设单位建立贮存设施环境管理</w:t>
                  </w:r>
                </w:p>
                <w:p w14:paraId="362A8A65">
                  <w:pPr>
                    <w:keepNext w:val="0"/>
                    <w:keepLines w:val="0"/>
                    <w:pageBreakBefore w:val="0"/>
                    <w:widowControl w:val="0"/>
                    <w:kinsoku/>
                    <w:wordWrap/>
                    <w:overflowPunct/>
                    <w:topLinePunct w:val="0"/>
                    <w:autoSpaceDE w:val="0"/>
                    <w:autoSpaceDN w:val="0"/>
                    <w:bidi w:val="0"/>
                    <w:adjustRightInd/>
                    <w:snapToGrid/>
                    <w:spacing w:line="240" w:lineRule="auto"/>
                    <w:jc w:val="both"/>
                    <w:textAlignment w:val="auto"/>
                    <w:rPr>
                      <w:rFonts w:hint="eastAsia"/>
                      <w:sz w:val="21"/>
                      <w:szCs w:val="21"/>
                      <w:highlight w:val="none"/>
                      <w:vertAlign w:val="baseline"/>
                    </w:rPr>
                  </w:pPr>
                  <w:r>
                    <w:rPr>
                      <w:rFonts w:hint="eastAsia"/>
                      <w:sz w:val="21"/>
                      <w:szCs w:val="21"/>
                      <w:highlight w:val="none"/>
                      <w:vertAlign w:val="baseline"/>
                    </w:rPr>
                    <w:t>制度、管理人员岗位职责制度、设施运行操作制度、人员岗位培训制度等</w:t>
                  </w:r>
                </w:p>
              </w:tc>
            </w:tr>
            <w:tr w14:paraId="1FD1F5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0" w:type="pct"/>
                  <w:vMerge w:val="continue"/>
                  <w:vAlign w:val="center"/>
                </w:tcPr>
                <w:p w14:paraId="0A6367A0">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sz w:val="21"/>
                      <w:szCs w:val="21"/>
                      <w:highlight w:val="none"/>
                      <w:vertAlign w:val="baseline"/>
                      <w:lang w:val="en-US" w:eastAsia="zh-CN"/>
                    </w:rPr>
                  </w:pPr>
                </w:p>
              </w:tc>
              <w:tc>
                <w:tcPr>
                  <w:tcW w:w="2674" w:type="pct"/>
                  <w:vAlign w:val="center"/>
                </w:tcPr>
                <w:p w14:paraId="2DF15D77">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r>
                    <w:rPr>
                      <w:rFonts w:hint="eastAsia"/>
                      <w:sz w:val="21"/>
                      <w:szCs w:val="21"/>
                      <w:highlight w:val="none"/>
                      <w:vertAlign w:val="baseline"/>
                    </w:rPr>
                    <w:t>贮存设施所有者或运营者应依据国家土壤和地下水污染防治的有关规定，结合贮存设施特点建</w:t>
                  </w:r>
                </w:p>
                <w:p w14:paraId="3199F330">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r>
                    <w:rPr>
                      <w:rFonts w:hint="eastAsia"/>
                      <w:sz w:val="21"/>
                      <w:szCs w:val="21"/>
                      <w:highlight w:val="none"/>
                      <w:vertAlign w:val="baseline"/>
                    </w:rPr>
                    <w:t>立土壤和地下水污染隐患排查制度，并定期开展隐患排查；发现隐患应及时采取措施消除隐患，并建立档案</w:t>
                  </w:r>
                </w:p>
              </w:tc>
              <w:tc>
                <w:tcPr>
                  <w:tcW w:w="1955" w:type="pct"/>
                  <w:vAlign w:val="center"/>
                </w:tcPr>
                <w:p w14:paraId="79CC2C4F">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r>
                    <w:rPr>
                      <w:rFonts w:hint="eastAsia"/>
                      <w:sz w:val="21"/>
                      <w:szCs w:val="21"/>
                      <w:highlight w:val="none"/>
                      <w:vertAlign w:val="baseline"/>
                    </w:rPr>
                    <w:t>建设单位建立土壤和地下水污染隐患排查制度，并定期开展隐患</w:t>
                  </w:r>
                </w:p>
                <w:p w14:paraId="1C0F411F">
                  <w:pPr>
                    <w:keepNext w:val="0"/>
                    <w:keepLines w:val="0"/>
                    <w:pageBreakBefore w:val="0"/>
                    <w:widowControl w:val="0"/>
                    <w:kinsoku/>
                    <w:wordWrap/>
                    <w:overflowPunct/>
                    <w:topLinePunct w:val="0"/>
                    <w:autoSpaceDE w:val="0"/>
                    <w:autoSpaceDN w:val="0"/>
                    <w:bidi w:val="0"/>
                    <w:adjustRightInd/>
                    <w:snapToGrid/>
                    <w:spacing w:line="240" w:lineRule="auto"/>
                    <w:jc w:val="both"/>
                    <w:textAlignment w:val="auto"/>
                    <w:rPr>
                      <w:rFonts w:hint="eastAsia"/>
                      <w:sz w:val="21"/>
                      <w:szCs w:val="21"/>
                      <w:highlight w:val="none"/>
                      <w:vertAlign w:val="baseline"/>
                    </w:rPr>
                  </w:pPr>
                  <w:r>
                    <w:rPr>
                      <w:rFonts w:hint="eastAsia"/>
                      <w:sz w:val="21"/>
                      <w:szCs w:val="21"/>
                      <w:highlight w:val="none"/>
                      <w:vertAlign w:val="baseline"/>
                    </w:rPr>
                    <w:t>排查；建立贮存设施全部档案，包括设计、施工、验收、运行、监测和环境应急等，按国家有关档案管理的法律法规进行整理和归档</w:t>
                  </w:r>
                </w:p>
              </w:tc>
            </w:tr>
            <w:tr w14:paraId="4AEF77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0" w:type="pct"/>
                  <w:vMerge w:val="continue"/>
                  <w:vAlign w:val="center"/>
                </w:tcPr>
                <w:p w14:paraId="68029A4B">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sz w:val="21"/>
                      <w:szCs w:val="21"/>
                      <w:highlight w:val="none"/>
                      <w:vertAlign w:val="baseline"/>
                      <w:lang w:val="en-US" w:eastAsia="zh-CN"/>
                    </w:rPr>
                  </w:pPr>
                </w:p>
              </w:tc>
              <w:tc>
                <w:tcPr>
                  <w:tcW w:w="2674" w:type="pct"/>
                  <w:vAlign w:val="center"/>
                </w:tcPr>
                <w:p w14:paraId="32598B3C">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r>
                    <w:rPr>
                      <w:rFonts w:hint="eastAsia"/>
                      <w:sz w:val="21"/>
                      <w:szCs w:val="21"/>
                      <w:highlight w:val="none"/>
                      <w:vertAlign w:val="baseline"/>
                    </w:rPr>
                    <w:t>贮存设施所有者或运营者应建立贮存设施全部档案，包括设计、施工、验收、运行、监测和环</w:t>
                  </w:r>
                </w:p>
                <w:p w14:paraId="30C9CCDD">
                  <w:pPr>
                    <w:keepNext w:val="0"/>
                    <w:keepLines w:val="0"/>
                    <w:pageBreakBefore w:val="0"/>
                    <w:widowControl w:val="0"/>
                    <w:kinsoku/>
                    <w:wordWrap/>
                    <w:overflowPunct/>
                    <w:topLinePunct w:val="0"/>
                    <w:autoSpaceDE w:val="0"/>
                    <w:autoSpaceDN w:val="0"/>
                    <w:bidi w:val="0"/>
                    <w:adjustRightInd/>
                    <w:snapToGrid/>
                    <w:spacing w:line="240" w:lineRule="auto"/>
                    <w:jc w:val="both"/>
                    <w:textAlignment w:val="auto"/>
                    <w:rPr>
                      <w:rFonts w:hint="eastAsia"/>
                      <w:sz w:val="21"/>
                      <w:szCs w:val="21"/>
                      <w:highlight w:val="none"/>
                      <w:vertAlign w:val="baseline"/>
                    </w:rPr>
                  </w:pPr>
                  <w:r>
                    <w:rPr>
                      <w:rFonts w:hint="eastAsia"/>
                      <w:sz w:val="21"/>
                      <w:szCs w:val="21"/>
                      <w:highlight w:val="none"/>
                      <w:vertAlign w:val="baseline"/>
                    </w:rPr>
                    <w:t>境应急等，应按国家有关档案管理的法律法规进行整理和归档</w:t>
                  </w:r>
                </w:p>
              </w:tc>
              <w:tc>
                <w:tcPr>
                  <w:tcW w:w="1955" w:type="pct"/>
                  <w:vAlign w:val="center"/>
                </w:tcPr>
                <w:p w14:paraId="50748DE3">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sz w:val="21"/>
                      <w:szCs w:val="21"/>
                      <w:highlight w:val="none"/>
                      <w:vertAlign w:val="baseline"/>
                      <w:lang w:val="en-US" w:eastAsia="zh-CN"/>
                    </w:rPr>
                  </w:pPr>
                  <w:r>
                    <w:rPr>
                      <w:rFonts w:hint="eastAsia"/>
                      <w:sz w:val="21"/>
                      <w:szCs w:val="21"/>
                      <w:highlight w:val="none"/>
                      <w:vertAlign w:val="baseline"/>
                      <w:lang w:val="en-US" w:eastAsia="zh-CN"/>
                    </w:rPr>
                    <w:t>建设单位建立贮存设施全部档案，并按照国家有关规定进行整理和归档</w:t>
                  </w:r>
                </w:p>
              </w:tc>
            </w:tr>
          </w:tbl>
          <w:p w14:paraId="7C8EDE85">
            <w:pPr>
              <w:pStyle w:val="48"/>
              <w:numPr>
                <w:ilvl w:val="0"/>
                <w:numId w:val="9"/>
              </w:numPr>
              <w:spacing w:line="360" w:lineRule="auto"/>
              <w:ind w:left="0" w:firstLine="0" w:firstLineChars="0"/>
              <w:jc w:val="center"/>
              <w:rPr>
                <w:rFonts w:ascii="Times New Roman" w:hAnsi="Times New Roman" w:eastAsia="宋体"/>
                <w:b/>
                <w:sz w:val="21"/>
                <w:highlight w:val="none"/>
              </w:rPr>
            </w:pPr>
            <w:r>
              <w:rPr>
                <w:rFonts w:hint="eastAsia" w:ascii="Times New Roman" w:hAnsi="Times New Roman" w:eastAsia="宋体"/>
                <w:b/>
                <w:sz w:val="21"/>
                <w:highlight w:val="none"/>
              </w:rPr>
              <w:t>《危险废物收集、贮存、运输技术规范》</w:t>
            </w:r>
            <w:r>
              <w:rPr>
                <w:rFonts w:hint="eastAsia" w:ascii="Times New Roman" w:hAnsi="Times New Roman" w:eastAsia="宋体"/>
                <w:b/>
                <w:sz w:val="21"/>
                <w:highlight w:val="none"/>
                <w:lang w:val="en-US" w:eastAsia="zh-CN"/>
              </w:rPr>
              <w:t>相关</w:t>
            </w:r>
            <w:r>
              <w:rPr>
                <w:rFonts w:hint="eastAsia" w:ascii="Times New Roman" w:hAnsi="Times New Roman" w:eastAsia="宋体"/>
                <w:b/>
                <w:sz w:val="21"/>
                <w:highlight w:val="none"/>
              </w:rPr>
              <w:t>要求一览表</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9"/>
              <w:gridCol w:w="4763"/>
              <w:gridCol w:w="3066"/>
            </w:tblGrid>
            <w:tr w14:paraId="659CEC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2" w:type="pct"/>
                  <w:vAlign w:val="center"/>
                </w:tcPr>
                <w:p w14:paraId="78E085F1">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eastAsia="宋体"/>
                      <w:b/>
                      <w:bCs/>
                      <w:sz w:val="21"/>
                      <w:szCs w:val="21"/>
                      <w:highlight w:val="none"/>
                      <w:vertAlign w:val="baseline"/>
                      <w:lang w:val="en-US" w:eastAsia="zh-CN"/>
                    </w:rPr>
                  </w:pPr>
                  <w:r>
                    <w:rPr>
                      <w:rFonts w:hint="eastAsia"/>
                      <w:b/>
                      <w:bCs/>
                      <w:sz w:val="21"/>
                      <w:szCs w:val="21"/>
                      <w:highlight w:val="none"/>
                      <w:vertAlign w:val="baseline"/>
                      <w:lang w:val="en-US" w:eastAsia="zh-CN"/>
                    </w:rPr>
                    <w:t>项目</w:t>
                  </w:r>
                </w:p>
              </w:tc>
              <w:tc>
                <w:tcPr>
                  <w:tcW w:w="2815" w:type="pct"/>
                  <w:vAlign w:val="center"/>
                </w:tcPr>
                <w:p w14:paraId="2670EBD0">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b/>
                      <w:bCs/>
                      <w:sz w:val="21"/>
                      <w:szCs w:val="21"/>
                      <w:highlight w:val="none"/>
                      <w:vertAlign w:val="baseline"/>
                      <w:lang w:val="en-US" w:eastAsia="zh-CN"/>
                    </w:rPr>
                  </w:pPr>
                  <w:r>
                    <w:rPr>
                      <w:rFonts w:hint="eastAsia"/>
                      <w:b/>
                      <w:bCs/>
                      <w:sz w:val="21"/>
                      <w:szCs w:val="21"/>
                      <w:highlight w:val="none"/>
                      <w:vertAlign w:val="baseline"/>
                      <w:lang w:val="en-US" w:eastAsia="zh-CN"/>
                    </w:rPr>
                    <w:t>规范要求</w:t>
                  </w:r>
                </w:p>
              </w:tc>
              <w:tc>
                <w:tcPr>
                  <w:tcW w:w="1812" w:type="pct"/>
                  <w:vAlign w:val="center"/>
                </w:tcPr>
                <w:p w14:paraId="3FDCF180">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b/>
                      <w:bCs/>
                      <w:sz w:val="21"/>
                      <w:szCs w:val="21"/>
                      <w:highlight w:val="none"/>
                      <w:vertAlign w:val="baseline"/>
                      <w:lang w:val="en-US" w:eastAsia="zh-CN"/>
                    </w:rPr>
                  </w:pPr>
                  <w:r>
                    <w:rPr>
                      <w:rFonts w:hint="eastAsia"/>
                      <w:b/>
                      <w:bCs/>
                      <w:sz w:val="21"/>
                      <w:szCs w:val="21"/>
                      <w:highlight w:val="none"/>
                      <w:vertAlign w:val="baseline"/>
                      <w:lang w:val="en-US" w:eastAsia="zh-CN"/>
                    </w:rPr>
                    <w:t>本项目情况</w:t>
                  </w:r>
                </w:p>
              </w:tc>
            </w:tr>
            <w:tr w14:paraId="0E1C0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5" w:hRule="atLeast"/>
              </w:trPr>
              <w:tc>
                <w:tcPr>
                  <w:tcW w:w="372" w:type="pct"/>
                  <w:vMerge w:val="restart"/>
                  <w:vAlign w:val="center"/>
                </w:tcPr>
                <w:p w14:paraId="7C3EF5D0">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sz w:val="21"/>
                      <w:szCs w:val="21"/>
                      <w:highlight w:val="none"/>
                      <w:vertAlign w:val="baseline"/>
                      <w:lang w:val="en-US" w:eastAsia="zh-CN"/>
                    </w:rPr>
                  </w:pPr>
                  <w:r>
                    <w:rPr>
                      <w:rFonts w:hint="eastAsia"/>
                      <w:sz w:val="21"/>
                      <w:szCs w:val="21"/>
                      <w:highlight w:val="none"/>
                      <w:vertAlign w:val="baseline"/>
                      <w:lang w:val="en-US" w:eastAsia="zh-CN"/>
                    </w:rPr>
                    <w:t>一般要求</w:t>
                  </w:r>
                </w:p>
              </w:tc>
              <w:tc>
                <w:tcPr>
                  <w:tcW w:w="2815" w:type="pct"/>
                  <w:vAlign w:val="center"/>
                </w:tcPr>
                <w:p w14:paraId="14860A07">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r>
                    <w:rPr>
                      <w:rFonts w:hint="eastAsia"/>
                      <w:sz w:val="21"/>
                      <w:szCs w:val="21"/>
                      <w:highlight w:val="none"/>
                      <w:vertAlign w:val="baseline"/>
                    </w:rPr>
                    <w:t>从事危险废物收集、贮存、运输经营活动的单位应具有危险废物经营许可证。在收集、贮存、运输危险废物时，应根据危险废物收集、贮存、处置经营许可证核发的有关规定建立相应的规章制度和污染防治措施，包括危险废物分析管理制度、安全管理制度、污染防治措施等；危险废物产生单位内部自行从事的危险废物收集、贮存、运输活动应遵照国家相关管理规定，建立健全规章制度及操作流程，确保该过程的安全、可靠</w:t>
                  </w:r>
                </w:p>
              </w:tc>
              <w:tc>
                <w:tcPr>
                  <w:tcW w:w="1812" w:type="pct"/>
                  <w:shd w:val="clear" w:color="auto" w:fill="auto"/>
                  <w:vAlign w:val="center"/>
                </w:tcPr>
                <w:p w14:paraId="16310967">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sz w:val="21"/>
                      <w:szCs w:val="21"/>
                      <w:highlight w:val="none"/>
                      <w:vertAlign w:val="baseline"/>
                    </w:rPr>
                    <w:t>项目建设单位按照要求申领危险废物经营许可证，按照危险废物收集、贮存、处置经营许可证核发的有关规定建立相应的规章制度和污染防治措施，包括危险废物分析管理制度、安全管理制度、污染防治措施等</w:t>
                  </w:r>
                </w:p>
              </w:tc>
            </w:tr>
            <w:tr w14:paraId="067423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2" w:type="pct"/>
                  <w:vMerge w:val="continue"/>
                  <w:vAlign w:val="center"/>
                </w:tcPr>
                <w:p w14:paraId="170974DE">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p>
              </w:tc>
              <w:tc>
                <w:tcPr>
                  <w:tcW w:w="2815" w:type="pct"/>
                  <w:vAlign w:val="center"/>
                </w:tcPr>
                <w:p w14:paraId="63C59817">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r>
                    <w:rPr>
                      <w:rFonts w:hint="eastAsia"/>
                      <w:sz w:val="21"/>
                      <w:szCs w:val="21"/>
                      <w:highlight w:val="none"/>
                      <w:vertAlign w:val="baseline"/>
                    </w:rPr>
                    <w:t>危险废物转移过程应按《危险废物转移联单管理办法》执行</w:t>
                  </w:r>
                </w:p>
              </w:tc>
              <w:tc>
                <w:tcPr>
                  <w:tcW w:w="1812" w:type="pct"/>
                  <w:shd w:val="clear" w:color="auto" w:fill="auto"/>
                  <w:vAlign w:val="center"/>
                </w:tcPr>
                <w:p w14:paraId="6F01ADFF">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ascii="Times New Roman" w:hAnsi="Times New Roman" w:eastAsia="宋体" w:cs="Times New Roman"/>
                      <w:sz w:val="21"/>
                      <w:szCs w:val="21"/>
                      <w:highlight w:val="none"/>
                      <w:vertAlign w:val="baseline"/>
                      <w:lang w:val="en-US" w:eastAsia="zh-CN"/>
                    </w:rPr>
                    <w:t>本项目危险废物转移过程均遵循《危险废物转移管理办法》的要求。</w:t>
                  </w:r>
                </w:p>
              </w:tc>
            </w:tr>
            <w:tr w14:paraId="0188B0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2" w:type="pct"/>
                  <w:vMerge w:val="continue"/>
                  <w:vAlign w:val="center"/>
                </w:tcPr>
                <w:p w14:paraId="1507AB12">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p>
              </w:tc>
              <w:tc>
                <w:tcPr>
                  <w:tcW w:w="2815" w:type="pct"/>
                  <w:vAlign w:val="center"/>
                </w:tcPr>
                <w:p w14:paraId="7D130500">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r>
                    <w:rPr>
                      <w:rFonts w:hint="eastAsia"/>
                      <w:sz w:val="21"/>
                      <w:szCs w:val="21"/>
                      <w:highlight w:val="none"/>
                      <w:vertAlign w:val="baseline"/>
                    </w:rPr>
                    <w:t>危险废物收集、贮存、运输单位应建立规范的管理和技术人员培训制度，定期针对管理和技术人员进行培训。培训内容至少应包括危险废物鉴别要求、危险废物经营许可证管理、危险废物转移联单管理、危险废物包装和标识、危险废物运输要求、危险废物事故应急方法等</w:t>
                  </w:r>
                </w:p>
              </w:tc>
              <w:tc>
                <w:tcPr>
                  <w:tcW w:w="1812" w:type="pct"/>
                  <w:shd w:val="clear" w:color="auto" w:fill="auto"/>
                  <w:vAlign w:val="center"/>
                </w:tcPr>
                <w:p w14:paraId="3853A737">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sz w:val="21"/>
                      <w:szCs w:val="21"/>
                      <w:highlight w:val="none"/>
                      <w:vertAlign w:val="baseline"/>
                      <w:lang w:val="en-US" w:eastAsia="zh-CN"/>
                    </w:rPr>
                    <w:t>企业</w:t>
                  </w:r>
                  <w:r>
                    <w:rPr>
                      <w:rFonts w:hint="eastAsia"/>
                      <w:sz w:val="21"/>
                      <w:szCs w:val="21"/>
                      <w:highlight w:val="none"/>
                      <w:vertAlign w:val="baseline"/>
                    </w:rPr>
                    <w:t>建立规范的管理和技术人员培训制度，定期针对管理和技术人员进行培训</w:t>
                  </w:r>
                  <w:r>
                    <w:rPr>
                      <w:rFonts w:hint="eastAsia"/>
                      <w:sz w:val="21"/>
                      <w:szCs w:val="21"/>
                      <w:highlight w:val="none"/>
                      <w:vertAlign w:val="baseline"/>
                      <w:lang w:eastAsia="zh-CN"/>
                    </w:rPr>
                    <w:t>。</w:t>
                  </w:r>
                </w:p>
              </w:tc>
            </w:tr>
            <w:tr w14:paraId="0FD9C6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2" w:type="pct"/>
                  <w:vMerge w:val="continue"/>
                  <w:vAlign w:val="center"/>
                </w:tcPr>
                <w:p w14:paraId="44BFE01D">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p>
              </w:tc>
              <w:tc>
                <w:tcPr>
                  <w:tcW w:w="2815" w:type="pct"/>
                  <w:vAlign w:val="center"/>
                </w:tcPr>
                <w:p w14:paraId="237F20AB">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eastAsia="宋体"/>
                      <w:sz w:val="21"/>
                      <w:szCs w:val="21"/>
                      <w:highlight w:val="none"/>
                      <w:vertAlign w:val="baseline"/>
                      <w:lang w:val="en-US" w:eastAsia="zh-CN"/>
                    </w:rPr>
                  </w:pPr>
                  <w:r>
                    <w:rPr>
                      <w:rFonts w:hint="eastAsia" w:eastAsia="宋体"/>
                      <w:sz w:val="21"/>
                      <w:szCs w:val="21"/>
                      <w:highlight w:val="none"/>
                      <w:vertAlign w:val="baseline"/>
                      <w:lang w:val="en-US" w:eastAsia="zh-CN"/>
                    </w:rPr>
                    <w:t>危险废物收集、贮存、运输单位应编制应急预案。应急预案编制可参照《危险废物经营单位编制应急预案指南》，涉及运输的相关内容还应符合交通行政主管部门的有关规定。针对危险废物收集、贮存、运输过程中的事故易发环节应定期组织应急演练</w:t>
                  </w:r>
                </w:p>
              </w:tc>
              <w:tc>
                <w:tcPr>
                  <w:tcW w:w="1812" w:type="pct"/>
                  <w:shd w:val="clear" w:color="auto" w:fill="auto"/>
                  <w:vAlign w:val="center"/>
                </w:tcPr>
                <w:p w14:paraId="390887A0">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sz w:val="21"/>
                      <w:szCs w:val="21"/>
                      <w:highlight w:val="none"/>
                      <w:vertAlign w:val="baseline"/>
                      <w:lang w:val="en-US" w:eastAsia="zh-CN"/>
                    </w:rPr>
                  </w:pPr>
                  <w:r>
                    <w:rPr>
                      <w:rFonts w:hint="eastAsia" w:eastAsia="宋体"/>
                      <w:sz w:val="21"/>
                      <w:szCs w:val="21"/>
                      <w:highlight w:val="none"/>
                      <w:vertAlign w:val="baseline"/>
                      <w:lang w:val="en-US" w:eastAsia="zh-CN"/>
                    </w:rPr>
                    <w:t>企业建设单位编制应急预案，并定期组织应急演练，危废运输委托有资质的单位运输，并要求运输单位编制应急预案及组织演练</w:t>
                  </w:r>
                </w:p>
                <w:p w14:paraId="22102BE7">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eastAsia="宋体" w:cs="Times New Roman"/>
                      <w:kern w:val="2"/>
                      <w:sz w:val="21"/>
                      <w:szCs w:val="21"/>
                      <w:highlight w:val="none"/>
                      <w:vertAlign w:val="baseline"/>
                      <w:lang w:val="en-US" w:eastAsia="zh-CN" w:bidi="ar-SA"/>
                    </w:rPr>
                  </w:pPr>
                </w:p>
              </w:tc>
            </w:tr>
            <w:tr w14:paraId="20E34E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2" w:type="pct"/>
                  <w:vAlign w:val="center"/>
                </w:tcPr>
                <w:p w14:paraId="564FD13A">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p>
              </w:tc>
              <w:tc>
                <w:tcPr>
                  <w:tcW w:w="2815" w:type="pct"/>
                  <w:vAlign w:val="center"/>
                </w:tcPr>
                <w:p w14:paraId="4AFE0CD0">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eastAsia="宋体"/>
                      <w:sz w:val="21"/>
                      <w:szCs w:val="21"/>
                      <w:highlight w:val="none"/>
                      <w:vertAlign w:val="baseline"/>
                      <w:lang w:val="en-US" w:eastAsia="zh-CN"/>
                    </w:rPr>
                  </w:pPr>
                  <w:r>
                    <w:rPr>
                      <w:rFonts w:hint="eastAsia" w:eastAsia="宋体"/>
                      <w:sz w:val="21"/>
                      <w:szCs w:val="21"/>
                      <w:highlight w:val="none"/>
                      <w:vertAlign w:val="baseline"/>
                      <w:lang w:val="en-US" w:eastAsia="zh-CN"/>
                    </w:rPr>
                    <w:t>危险废物收集、贮存、运输过程中一旦发生意外事故，收集、贮存、运输单位及相关部门应根据风险程度采取如下措施：</w:t>
                  </w:r>
                  <w:r>
                    <w:rPr>
                      <w:rFonts w:hint="eastAsia"/>
                      <w:sz w:val="21"/>
                      <w:szCs w:val="21"/>
                      <w:highlight w:val="none"/>
                      <w:vertAlign w:val="baseline"/>
                      <w:lang w:val="en-US" w:eastAsia="zh-CN"/>
                    </w:rPr>
                    <w:t>（</w:t>
                  </w:r>
                  <w:r>
                    <w:rPr>
                      <w:rFonts w:hint="eastAsia" w:eastAsia="宋体"/>
                      <w:sz w:val="21"/>
                      <w:szCs w:val="21"/>
                      <w:highlight w:val="none"/>
                      <w:vertAlign w:val="baseline"/>
                      <w:lang w:val="en-US" w:eastAsia="zh-CN"/>
                    </w:rPr>
                    <w:t>1</w:t>
                  </w:r>
                  <w:r>
                    <w:rPr>
                      <w:rFonts w:hint="eastAsia"/>
                      <w:sz w:val="21"/>
                      <w:szCs w:val="21"/>
                      <w:highlight w:val="none"/>
                      <w:vertAlign w:val="baseline"/>
                      <w:lang w:val="en-US" w:eastAsia="zh-CN"/>
                    </w:rPr>
                    <w:t>）</w:t>
                  </w:r>
                  <w:r>
                    <w:rPr>
                      <w:rFonts w:hint="eastAsia" w:eastAsia="宋体"/>
                      <w:sz w:val="21"/>
                      <w:szCs w:val="21"/>
                      <w:highlight w:val="none"/>
                      <w:vertAlign w:val="baseline"/>
                      <w:lang w:val="en-US" w:eastAsia="zh-CN"/>
                    </w:rPr>
                    <w:t>设立事故警戒线，启动应急预案，并按《环境保护行政主管部门突发环境事件信息报告办法</w:t>
                  </w:r>
                  <w:r>
                    <w:rPr>
                      <w:rFonts w:hint="eastAsia"/>
                      <w:sz w:val="21"/>
                      <w:szCs w:val="21"/>
                      <w:highlight w:val="none"/>
                      <w:vertAlign w:val="baseline"/>
                      <w:lang w:val="en-US" w:eastAsia="zh-CN"/>
                    </w:rPr>
                    <w:t>（</w:t>
                  </w:r>
                  <w:r>
                    <w:rPr>
                      <w:rFonts w:hint="eastAsia" w:eastAsia="宋体"/>
                      <w:sz w:val="21"/>
                      <w:szCs w:val="21"/>
                      <w:highlight w:val="none"/>
                      <w:vertAlign w:val="baseline"/>
                      <w:lang w:val="en-US" w:eastAsia="zh-CN"/>
                    </w:rPr>
                    <w:t>试行</w:t>
                  </w:r>
                  <w:r>
                    <w:rPr>
                      <w:rFonts w:hint="eastAsia"/>
                      <w:sz w:val="21"/>
                      <w:szCs w:val="21"/>
                      <w:highlight w:val="none"/>
                      <w:vertAlign w:val="baseline"/>
                      <w:lang w:val="en-US" w:eastAsia="zh-CN"/>
                    </w:rPr>
                    <w:t>）</w:t>
                  </w:r>
                  <w:r>
                    <w:rPr>
                      <w:rFonts w:hint="eastAsia" w:eastAsia="宋体"/>
                      <w:sz w:val="21"/>
                      <w:szCs w:val="21"/>
                      <w:highlight w:val="none"/>
                      <w:vertAlign w:val="baseline"/>
                      <w:lang w:val="en-US" w:eastAsia="zh-CN"/>
                    </w:rPr>
                    <w:t>》（环发</w:t>
                  </w:r>
                  <w:r>
                    <w:rPr>
                      <w:rFonts w:hint="eastAsia"/>
                      <w:sz w:val="21"/>
                      <w:szCs w:val="21"/>
                      <w:highlight w:val="none"/>
                      <w:vertAlign w:val="baseline"/>
                      <w:lang w:val="en-US" w:eastAsia="zh-CN"/>
                    </w:rPr>
                    <w:t>〔2006〕50号</w:t>
                  </w:r>
                  <w:r>
                    <w:rPr>
                      <w:rFonts w:hint="eastAsia" w:eastAsia="宋体"/>
                      <w:sz w:val="21"/>
                      <w:szCs w:val="21"/>
                      <w:highlight w:val="none"/>
                      <w:vertAlign w:val="baseline"/>
                      <w:lang w:val="en-US" w:eastAsia="zh-CN"/>
                    </w:rPr>
                    <w:t>）要求进行报告。</w:t>
                  </w:r>
                  <w:r>
                    <w:rPr>
                      <w:rFonts w:hint="eastAsia"/>
                      <w:sz w:val="21"/>
                      <w:szCs w:val="21"/>
                      <w:highlight w:val="none"/>
                      <w:vertAlign w:val="baseline"/>
                      <w:lang w:val="en-US" w:eastAsia="zh-CN"/>
                    </w:rPr>
                    <w:t>（</w:t>
                  </w:r>
                  <w:r>
                    <w:rPr>
                      <w:rFonts w:hint="eastAsia" w:eastAsia="宋体"/>
                      <w:sz w:val="21"/>
                      <w:szCs w:val="21"/>
                      <w:highlight w:val="none"/>
                      <w:vertAlign w:val="baseline"/>
                      <w:lang w:val="en-US" w:eastAsia="zh-CN"/>
                    </w:rPr>
                    <w:t>2</w:t>
                  </w:r>
                  <w:r>
                    <w:rPr>
                      <w:rFonts w:hint="eastAsia"/>
                      <w:sz w:val="21"/>
                      <w:szCs w:val="21"/>
                      <w:highlight w:val="none"/>
                      <w:vertAlign w:val="baseline"/>
                      <w:lang w:val="en-US" w:eastAsia="zh-CN"/>
                    </w:rPr>
                    <w:t>）</w:t>
                  </w:r>
                  <w:r>
                    <w:rPr>
                      <w:rFonts w:hint="eastAsia" w:eastAsia="宋体"/>
                      <w:sz w:val="21"/>
                      <w:szCs w:val="21"/>
                      <w:highlight w:val="none"/>
                      <w:vertAlign w:val="baseline"/>
                      <w:lang w:val="en-US" w:eastAsia="zh-CN"/>
                    </w:rPr>
                    <w:t>若造成事故的危险废物具有剧毒性、易燃性、爆炸性或高传染性，应立即疏散人群，并请求环境保护、消防、医疗、公安等相关部门支援。</w:t>
                  </w:r>
                  <w:r>
                    <w:rPr>
                      <w:rFonts w:hint="eastAsia"/>
                      <w:sz w:val="21"/>
                      <w:szCs w:val="21"/>
                      <w:highlight w:val="none"/>
                      <w:vertAlign w:val="baseline"/>
                      <w:lang w:val="en-US" w:eastAsia="zh-CN"/>
                    </w:rPr>
                    <w:t>（</w:t>
                  </w:r>
                  <w:r>
                    <w:rPr>
                      <w:rFonts w:hint="eastAsia" w:eastAsia="宋体"/>
                      <w:sz w:val="21"/>
                      <w:szCs w:val="21"/>
                      <w:highlight w:val="none"/>
                      <w:vertAlign w:val="baseline"/>
                      <w:lang w:val="en-US" w:eastAsia="zh-CN"/>
                    </w:rPr>
                    <w:t>3</w:t>
                  </w:r>
                  <w:r>
                    <w:rPr>
                      <w:rFonts w:hint="eastAsia"/>
                      <w:sz w:val="21"/>
                      <w:szCs w:val="21"/>
                      <w:highlight w:val="none"/>
                      <w:vertAlign w:val="baseline"/>
                      <w:lang w:val="en-US" w:eastAsia="zh-CN"/>
                    </w:rPr>
                    <w:t>）</w:t>
                  </w:r>
                  <w:r>
                    <w:rPr>
                      <w:rFonts w:hint="eastAsia" w:eastAsia="宋体"/>
                      <w:sz w:val="21"/>
                      <w:szCs w:val="21"/>
                      <w:highlight w:val="none"/>
                      <w:vertAlign w:val="baseline"/>
                      <w:lang w:val="en-US" w:eastAsia="zh-CN"/>
                    </w:rPr>
                    <w:t>对事故现场受到污染的土壤和水体等环境介质应进行相应的清理和修复。</w:t>
                  </w:r>
                  <w:r>
                    <w:rPr>
                      <w:rFonts w:hint="eastAsia"/>
                      <w:sz w:val="21"/>
                      <w:szCs w:val="21"/>
                      <w:highlight w:val="none"/>
                      <w:vertAlign w:val="baseline"/>
                      <w:lang w:val="en-US" w:eastAsia="zh-CN"/>
                    </w:rPr>
                    <w:t>（</w:t>
                  </w:r>
                  <w:r>
                    <w:rPr>
                      <w:rFonts w:hint="eastAsia" w:eastAsia="宋体"/>
                      <w:sz w:val="21"/>
                      <w:szCs w:val="21"/>
                      <w:highlight w:val="none"/>
                      <w:vertAlign w:val="baseline"/>
                      <w:lang w:val="en-US" w:eastAsia="zh-CN"/>
                    </w:rPr>
                    <w:t>4</w:t>
                  </w:r>
                  <w:r>
                    <w:rPr>
                      <w:rFonts w:hint="eastAsia"/>
                      <w:sz w:val="21"/>
                      <w:szCs w:val="21"/>
                      <w:highlight w:val="none"/>
                      <w:vertAlign w:val="baseline"/>
                      <w:lang w:val="en-US" w:eastAsia="zh-CN"/>
                    </w:rPr>
                    <w:t>）</w:t>
                  </w:r>
                  <w:r>
                    <w:rPr>
                      <w:rFonts w:hint="eastAsia" w:eastAsia="宋体"/>
                      <w:sz w:val="21"/>
                      <w:szCs w:val="21"/>
                      <w:highlight w:val="none"/>
                      <w:vertAlign w:val="baseline"/>
                      <w:lang w:val="en-US" w:eastAsia="zh-CN"/>
                    </w:rPr>
                    <w:t>清理过程中产生的所有废物均应按危险废物进行管理和处置。</w:t>
                  </w:r>
                  <w:r>
                    <w:rPr>
                      <w:rFonts w:hint="eastAsia"/>
                      <w:sz w:val="21"/>
                      <w:szCs w:val="21"/>
                      <w:highlight w:val="none"/>
                      <w:vertAlign w:val="baseline"/>
                      <w:lang w:val="en-US" w:eastAsia="zh-CN"/>
                    </w:rPr>
                    <w:t>（</w:t>
                  </w:r>
                  <w:r>
                    <w:rPr>
                      <w:rFonts w:hint="eastAsia" w:eastAsia="宋体"/>
                      <w:sz w:val="21"/>
                      <w:szCs w:val="21"/>
                      <w:highlight w:val="none"/>
                      <w:vertAlign w:val="baseline"/>
                      <w:lang w:val="en-US" w:eastAsia="zh-CN"/>
                    </w:rPr>
                    <w:t>5</w:t>
                  </w:r>
                  <w:r>
                    <w:rPr>
                      <w:rFonts w:hint="eastAsia"/>
                      <w:sz w:val="21"/>
                      <w:szCs w:val="21"/>
                      <w:highlight w:val="none"/>
                      <w:vertAlign w:val="baseline"/>
                      <w:lang w:val="en-US" w:eastAsia="zh-CN"/>
                    </w:rPr>
                    <w:t>）</w:t>
                  </w:r>
                  <w:r>
                    <w:rPr>
                      <w:rFonts w:hint="eastAsia" w:eastAsia="宋体"/>
                      <w:sz w:val="21"/>
                      <w:szCs w:val="21"/>
                      <w:highlight w:val="none"/>
                      <w:vertAlign w:val="baseline"/>
                      <w:lang w:val="en-US" w:eastAsia="zh-CN"/>
                    </w:rPr>
                    <w:t>进入现场清理和包装危险废物的人员应受过专业培训，穿着防护服，并佩戴相应的防护用具</w:t>
                  </w:r>
                </w:p>
              </w:tc>
              <w:tc>
                <w:tcPr>
                  <w:tcW w:w="1812" w:type="pct"/>
                  <w:shd w:val="clear" w:color="auto" w:fill="auto"/>
                  <w:vAlign w:val="center"/>
                </w:tcPr>
                <w:p w14:paraId="383487C3">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default" w:eastAsia="宋体"/>
                      <w:sz w:val="21"/>
                      <w:szCs w:val="21"/>
                      <w:highlight w:val="none"/>
                      <w:vertAlign w:val="baseline"/>
                      <w:lang w:val="en-US" w:eastAsia="zh-CN"/>
                    </w:rPr>
                    <w:t>本项目危险废物在贮存过程中一旦发生意外事故</w:t>
                  </w:r>
                  <w:r>
                    <w:rPr>
                      <w:rFonts w:hint="eastAsia"/>
                      <w:sz w:val="21"/>
                      <w:szCs w:val="21"/>
                      <w:highlight w:val="none"/>
                      <w:vertAlign w:val="baseline"/>
                      <w:lang w:val="en-US" w:eastAsia="zh-CN"/>
                    </w:rPr>
                    <w:t>，</w:t>
                  </w:r>
                  <w:r>
                    <w:rPr>
                      <w:rFonts w:hint="default" w:eastAsia="宋体"/>
                      <w:sz w:val="21"/>
                      <w:szCs w:val="21"/>
                      <w:highlight w:val="none"/>
                      <w:vertAlign w:val="baseline"/>
                      <w:lang w:val="en-US" w:eastAsia="zh-CN"/>
                    </w:rPr>
                    <w:t>建设单位将严格按照相关规定进行处理</w:t>
                  </w:r>
                </w:p>
              </w:tc>
            </w:tr>
            <w:tr w14:paraId="1EF7A5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2" w:type="pct"/>
                  <w:vAlign w:val="center"/>
                </w:tcPr>
                <w:p w14:paraId="42801684">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p>
              </w:tc>
              <w:tc>
                <w:tcPr>
                  <w:tcW w:w="2815" w:type="pct"/>
                  <w:vAlign w:val="center"/>
                </w:tcPr>
                <w:p w14:paraId="47920318">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eastAsia="宋体"/>
                      <w:sz w:val="21"/>
                      <w:szCs w:val="21"/>
                      <w:highlight w:val="none"/>
                      <w:vertAlign w:val="baseline"/>
                      <w:lang w:val="en-US" w:eastAsia="zh-CN"/>
                    </w:rPr>
                  </w:pPr>
                  <w:r>
                    <w:rPr>
                      <w:rFonts w:hint="eastAsia" w:eastAsia="宋体"/>
                      <w:sz w:val="21"/>
                      <w:szCs w:val="21"/>
                      <w:highlight w:val="none"/>
                      <w:vertAlign w:val="baseline"/>
                      <w:lang w:val="en-US" w:eastAsia="zh-CN"/>
                    </w:rPr>
                    <w:t>危险废物收集、贮存、运输时应按腐蚀性、毒性、易燃性、反应性和感染性等危险特性对危险废物进行分类、包装并设置相应的标志及标签。危险废物特性应根据其产生源特性及GB5085.1-7、HJ/T298进行鉴别</w:t>
                  </w:r>
                </w:p>
              </w:tc>
              <w:tc>
                <w:tcPr>
                  <w:tcW w:w="1812" w:type="pct"/>
                  <w:shd w:val="clear" w:color="auto" w:fill="auto"/>
                  <w:vAlign w:val="center"/>
                </w:tcPr>
                <w:p w14:paraId="71F15ACA">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sz w:val="21"/>
                      <w:szCs w:val="21"/>
                      <w:highlight w:val="none"/>
                      <w:vertAlign w:val="baseline"/>
                      <w:lang w:val="en-US" w:eastAsia="zh-CN"/>
                    </w:rPr>
                  </w:pPr>
                  <w:r>
                    <w:rPr>
                      <w:rFonts w:hint="default" w:eastAsia="宋体"/>
                      <w:sz w:val="21"/>
                      <w:szCs w:val="21"/>
                      <w:highlight w:val="none"/>
                      <w:vertAlign w:val="baseline"/>
                      <w:lang w:val="en-US" w:eastAsia="zh-CN"/>
                    </w:rPr>
                    <w:t>本项目应按GB5085.1-7、</w:t>
                  </w:r>
                </w:p>
                <w:p w14:paraId="34D6482E">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default" w:eastAsia="宋体"/>
                      <w:sz w:val="21"/>
                      <w:szCs w:val="21"/>
                      <w:highlight w:val="none"/>
                      <w:vertAlign w:val="baseline"/>
                      <w:lang w:val="en-US" w:eastAsia="zh-CN"/>
                    </w:rPr>
                    <w:t>HJ/T298鉴别的危险特性对危险废物进行分类、包装并设置相应的标志及标签</w:t>
                  </w:r>
                </w:p>
              </w:tc>
            </w:tr>
            <w:tr w14:paraId="039E0E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2" w:type="pct"/>
                  <w:vAlign w:val="center"/>
                </w:tcPr>
                <w:p w14:paraId="147D5605">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p>
              </w:tc>
              <w:tc>
                <w:tcPr>
                  <w:tcW w:w="2815" w:type="pct"/>
                  <w:vAlign w:val="center"/>
                </w:tcPr>
                <w:p w14:paraId="26BB1A81">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eastAsia="宋体"/>
                      <w:sz w:val="21"/>
                      <w:szCs w:val="21"/>
                      <w:highlight w:val="none"/>
                      <w:vertAlign w:val="baseline"/>
                      <w:lang w:val="en-US" w:eastAsia="zh-CN"/>
                    </w:rPr>
                  </w:pPr>
                  <w:r>
                    <w:rPr>
                      <w:rFonts w:hint="eastAsia" w:eastAsia="宋体"/>
                      <w:sz w:val="21"/>
                      <w:szCs w:val="21"/>
                      <w:highlight w:val="none"/>
                      <w:vertAlign w:val="baseline"/>
                      <w:lang w:val="en-US" w:eastAsia="zh-CN"/>
                    </w:rPr>
                    <w:t>废铅酸蓄电池的收集、贮存和运输应按HJ519执行。</w:t>
                  </w:r>
                </w:p>
              </w:tc>
              <w:tc>
                <w:tcPr>
                  <w:tcW w:w="1812" w:type="pct"/>
                  <w:shd w:val="clear" w:color="auto" w:fill="auto"/>
                  <w:vAlign w:val="center"/>
                </w:tcPr>
                <w:p w14:paraId="133D1C90">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kern w:val="2"/>
                      <w:sz w:val="21"/>
                      <w:szCs w:val="21"/>
                      <w:highlight w:val="none"/>
                      <w:vertAlign w:val="baseline"/>
                      <w:lang w:val="en-US" w:eastAsia="zh-CN" w:bidi="ar-SA"/>
                    </w:rPr>
                  </w:pPr>
                  <w:r>
                    <w:rPr>
                      <w:rFonts w:hint="eastAsia" w:cs="Times New Roman"/>
                      <w:kern w:val="2"/>
                      <w:sz w:val="21"/>
                      <w:szCs w:val="21"/>
                      <w:highlight w:val="none"/>
                      <w:vertAlign w:val="baseline"/>
                      <w:lang w:val="en-US" w:eastAsia="zh-CN" w:bidi="ar-SA"/>
                    </w:rPr>
                    <w:t>本项目不涉及该项目的收集、贮存和运输</w:t>
                  </w:r>
                </w:p>
              </w:tc>
            </w:tr>
            <w:tr w14:paraId="196AF2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2" w:type="pct"/>
                  <w:vMerge w:val="restart"/>
                  <w:vAlign w:val="center"/>
                </w:tcPr>
                <w:p w14:paraId="550C49B9">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eastAsia="宋体"/>
                      <w:sz w:val="21"/>
                      <w:szCs w:val="21"/>
                      <w:highlight w:val="none"/>
                      <w:vertAlign w:val="baseline"/>
                      <w:lang w:val="en-US" w:eastAsia="zh-CN"/>
                    </w:rPr>
                  </w:pPr>
                  <w:r>
                    <w:rPr>
                      <w:rFonts w:hint="eastAsia"/>
                      <w:sz w:val="21"/>
                      <w:szCs w:val="21"/>
                      <w:highlight w:val="none"/>
                      <w:vertAlign w:val="baseline"/>
                      <w:lang w:val="en-US" w:eastAsia="zh-CN"/>
                    </w:rPr>
                    <w:t>危险废物的收集</w:t>
                  </w:r>
                </w:p>
              </w:tc>
              <w:tc>
                <w:tcPr>
                  <w:tcW w:w="2815" w:type="pct"/>
                  <w:vAlign w:val="center"/>
                </w:tcPr>
                <w:p w14:paraId="5EE9B322">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eastAsia="宋体"/>
                      <w:sz w:val="21"/>
                      <w:szCs w:val="21"/>
                      <w:highlight w:val="none"/>
                      <w:vertAlign w:val="baseline"/>
                      <w:lang w:val="en-US" w:eastAsia="zh-CN"/>
                    </w:rPr>
                  </w:pPr>
                  <w:r>
                    <w:rPr>
                      <w:rFonts w:hint="eastAsia" w:eastAsia="宋体"/>
                      <w:sz w:val="21"/>
                      <w:szCs w:val="21"/>
                      <w:highlight w:val="none"/>
                      <w:vertAlign w:val="baseline"/>
                      <w:lang w:val="en-US" w:eastAsia="zh-CN"/>
                    </w:rPr>
                    <w:t>危险废物的收集应根据危险废物产生的工艺特征、排放周期、危险废物特性、废物管理计划等因素制定收集计划。收集计划应包括收集任务概述、收集目标及原则、危险废物特性评估、危险废物收集量估算、收集作业范围和方法、收集设备与包装容器、安全生产与个人防护、工程防护与事故应急、进度安排与组织管理等。</w:t>
                  </w:r>
                </w:p>
              </w:tc>
              <w:tc>
                <w:tcPr>
                  <w:tcW w:w="1812" w:type="pct"/>
                  <w:shd w:val="clear" w:color="auto" w:fill="auto"/>
                  <w:vAlign w:val="center"/>
                </w:tcPr>
                <w:p w14:paraId="5FA2ADC2">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default" w:eastAsia="宋体"/>
                      <w:sz w:val="21"/>
                      <w:szCs w:val="21"/>
                      <w:highlight w:val="none"/>
                      <w:vertAlign w:val="baseline"/>
                      <w:lang w:val="en-US" w:eastAsia="zh-CN"/>
                    </w:rPr>
                    <w:t>本项目建成运营后，将对</w:t>
                  </w:r>
                  <w:r>
                    <w:rPr>
                      <w:rFonts w:hint="eastAsia"/>
                      <w:sz w:val="21"/>
                      <w:szCs w:val="21"/>
                      <w:highlight w:val="none"/>
                      <w:vertAlign w:val="baseline"/>
                      <w:lang w:val="en-US" w:eastAsia="zh-CN"/>
                    </w:rPr>
                    <w:t>承德市</w:t>
                  </w:r>
                  <w:r>
                    <w:rPr>
                      <w:rFonts w:hint="default" w:eastAsia="宋体"/>
                      <w:sz w:val="21"/>
                      <w:szCs w:val="21"/>
                      <w:highlight w:val="none"/>
                      <w:vertAlign w:val="baseline"/>
                      <w:lang w:val="en-US" w:eastAsia="zh-CN"/>
                    </w:rPr>
                    <w:t>区域内各工业企业产生的危险废物周期、特性、废物管理计划等因素制定收集计划。收集计划包括收集任务概述、收集目标及原则、收集作业范围和方法、收集设备与包装容器、安全储存与个人防护、工程防护与事故应急、进度安排与组织管理等</w:t>
                  </w:r>
                </w:p>
              </w:tc>
            </w:tr>
            <w:tr w14:paraId="729EF9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2" w:type="pct"/>
                  <w:vMerge w:val="continue"/>
                  <w:vAlign w:val="center"/>
                </w:tcPr>
                <w:p w14:paraId="4EEBE528">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p>
              </w:tc>
              <w:tc>
                <w:tcPr>
                  <w:tcW w:w="2815" w:type="pct"/>
                  <w:vAlign w:val="center"/>
                </w:tcPr>
                <w:p w14:paraId="35B5B5F7">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eastAsia="宋体"/>
                      <w:sz w:val="21"/>
                      <w:szCs w:val="21"/>
                      <w:highlight w:val="none"/>
                      <w:vertAlign w:val="baseline"/>
                      <w:lang w:val="en-US" w:eastAsia="zh-CN"/>
                    </w:rPr>
                  </w:pPr>
                  <w:r>
                    <w:rPr>
                      <w:rFonts w:hint="eastAsia" w:eastAsia="宋体"/>
                      <w:sz w:val="21"/>
                      <w:szCs w:val="21"/>
                      <w:highlight w:val="none"/>
                      <w:vertAlign w:val="baseline"/>
                      <w:lang w:val="en-US" w:eastAsia="zh-CN"/>
                    </w:rPr>
                    <w:t>危险废物收集和转运作业人员应根据工作需要配备必要的个人防护装备，如手套、防护镜、防护服、防毒面具或口罩等</w:t>
                  </w:r>
                </w:p>
              </w:tc>
              <w:tc>
                <w:tcPr>
                  <w:tcW w:w="1812" w:type="pct"/>
                  <w:shd w:val="clear" w:color="auto" w:fill="auto"/>
                  <w:vAlign w:val="center"/>
                </w:tcPr>
                <w:p w14:paraId="63DE194B">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default" w:eastAsia="宋体"/>
                      <w:sz w:val="21"/>
                      <w:szCs w:val="21"/>
                      <w:highlight w:val="none"/>
                      <w:vertAlign w:val="baseline"/>
                      <w:lang w:val="en-US" w:eastAsia="zh-CN"/>
                    </w:rPr>
                    <w:t>按照要求危险废物收集和转运作业人员根据工作需要将配备必要的个人防护装备，如手套、防护镜、防护服、防毒面具或口罩等</w:t>
                  </w:r>
                </w:p>
              </w:tc>
            </w:tr>
            <w:tr w14:paraId="46ADA0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2" w:type="pct"/>
                  <w:vMerge w:val="continue"/>
                  <w:vAlign w:val="center"/>
                </w:tcPr>
                <w:p w14:paraId="6FD1B395">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eastAsia="宋体"/>
                      <w:sz w:val="21"/>
                      <w:szCs w:val="21"/>
                      <w:highlight w:val="none"/>
                      <w:vertAlign w:val="baseline"/>
                      <w:lang w:val="en-US" w:eastAsia="zh-CN"/>
                    </w:rPr>
                  </w:pPr>
                </w:p>
              </w:tc>
              <w:tc>
                <w:tcPr>
                  <w:tcW w:w="2815" w:type="pct"/>
                  <w:vAlign w:val="center"/>
                </w:tcPr>
                <w:p w14:paraId="580EDB10">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eastAsia="宋体"/>
                      <w:sz w:val="21"/>
                      <w:szCs w:val="21"/>
                      <w:highlight w:val="none"/>
                      <w:vertAlign w:val="baseline"/>
                      <w:lang w:eastAsia="zh-CN"/>
                    </w:rPr>
                  </w:pPr>
                  <w:r>
                    <w:rPr>
                      <w:rFonts w:hint="eastAsia" w:eastAsia="宋体"/>
                      <w:sz w:val="21"/>
                      <w:szCs w:val="21"/>
                      <w:highlight w:val="none"/>
                      <w:vertAlign w:val="baseline"/>
                      <w:lang w:eastAsia="zh-CN"/>
                    </w:rPr>
                    <w:t>在危险废物的收集和转运过程中，应采取相应的安全防护和污染防治措施，包括防爆、防火、防中毒、防感染、防</w:t>
                  </w:r>
                  <w:r>
                    <w:rPr>
                      <w:rFonts w:hint="eastAsia"/>
                      <w:sz w:val="21"/>
                      <w:szCs w:val="21"/>
                      <w:highlight w:val="none"/>
                      <w:vertAlign w:val="baseline"/>
                      <w:lang w:eastAsia="zh-CN"/>
                    </w:rPr>
                    <w:t>泄漏</w:t>
                  </w:r>
                  <w:r>
                    <w:rPr>
                      <w:rFonts w:hint="eastAsia" w:eastAsia="宋体"/>
                      <w:sz w:val="21"/>
                      <w:szCs w:val="21"/>
                      <w:highlight w:val="none"/>
                      <w:vertAlign w:val="baseline"/>
                      <w:lang w:eastAsia="zh-CN"/>
                    </w:rPr>
                    <w:t>、防飞扬、防雨或其它防止污染环境的措施</w:t>
                  </w:r>
                </w:p>
              </w:tc>
              <w:tc>
                <w:tcPr>
                  <w:tcW w:w="1812" w:type="pct"/>
                  <w:shd w:val="clear" w:color="auto" w:fill="auto"/>
                  <w:vAlign w:val="center"/>
                </w:tcPr>
                <w:p w14:paraId="6B7FF7DB">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default" w:eastAsia="宋体"/>
                      <w:sz w:val="21"/>
                      <w:szCs w:val="21"/>
                      <w:highlight w:val="none"/>
                      <w:vertAlign w:val="baseline"/>
                      <w:lang w:val="en-US" w:eastAsia="zh-CN"/>
                    </w:rPr>
                    <w:t>本项目建成运营后，将要求运输单位在各类危险废物的收集和转运过程中，采取相应的安全防护和污染防治措施，包括防爆、防火、防中毒、防感染、防泄漏、防飞扬、防雨或其它防止污染环境的措施。</w:t>
                  </w:r>
                </w:p>
              </w:tc>
            </w:tr>
            <w:tr w14:paraId="52825B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2" w:type="pct"/>
                  <w:vMerge w:val="continue"/>
                  <w:vAlign w:val="center"/>
                </w:tcPr>
                <w:p w14:paraId="22D05808">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p>
              </w:tc>
              <w:tc>
                <w:tcPr>
                  <w:tcW w:w="2815" w:type="pct"/>
                  <w:vAlign w:val="center"/>
                </w:tcPr>
                <w:p w14:paraId="1B9FDC90">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r>
                    <w:rPr>
                      <w:rFonts w:hint="eastAsia"/>
                      <w:sz w:val="21"/>
                      <w:szCs w:val="21"/>
                      <w:highlight w:val="none"/>
                      <w:vertAlign w:val="baseline"/>
                    </w:rPr>
                    <w:t>危险废物收集时应根据危险废物的种类、数量、危险特性、物理形态、运输要求等因素</w:t>
                  </w:r>
                </w:p>
                <w:p w14:paraId="54F766BB">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eastAsia="宋体"/>
                      <w:sz w:val="21"/>
                      <w:szCs w:val="21"/>
                      <w:highlight w:val="none"/>
                      <w:vertAlign w:val="baseline"/>
                      <w:lang w:eastAsia="zh-CN"/>
                    </w:rPr>
                  </w:pPr>
                  <w:r>
                    <w:rPr>
                      <w:rFonts w:hint="eastAsia"/>
                      <w:sz w:val="21"/>
                      <w:szCs w:val="21"/>
                      <w:highlight w:val="none"/>
                      <w:vertAlign w:val="baseline"/>
                    </w:rPr>
                    <w:t>确定包装形式，具体包装应符合如下要求</w:t>
                  </w:r>
                  <w:r>
                    <w:rPr>
                      <w:rFonts w:hint="eastAsia"/>
                      <w:sz w:val="21"/>
                      <w:szCs w:val="21"/>
                      <w:highlight w:val="none"/>
                      <w:vertAlign w:val="baseline"/>
                      <w:lang w:eastAsia="zh-CN"/>
                    </w:rPr>
                    <w:t>：（1）包装材质要与危险废物相容，可根据废物特性选择钢、铝、塑料等材质。（2）性质类似的废物可收集到同一容器中，性质不相容的危险废物不应混合包装。（3）危险废物包装应能有效隔断危险废物迁移扩散途径，并达到防渗、防漏要求。（4）包装好的危险废物应设置相应的标签，标签信息应填写完整详实。（5）盛装过危险废物的包装袋或包装容器破损后应按危险废物进行管理和处置。（6）危险废物还应根据GB12463的有关要求进行运输包装</w:t>
                  </w:r>
                </w:p>
              </w:tc>
              <w:tc>
                <w:tcPr>
                  <w:tcW w:w="1812" w:type="pct"/>
                  <w:shd w:val="clear" w:color="auto" w:fill="auto"/>
                  <w:vAlign w:val="center"/>
                </w:tcPr>
                <w:p w14:paraId="0E4AF3A8">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sz w:val="21"/>
                      <w:szCs w:val="21"/>
                      <w:highlight w:val="none"/>
                      <w:vertAlign w:val="baseline"/>
                    </w:rPr>
                    <w:t>项目在收集危险废物过程中，会对产废单位的危险废物包装情况检查，发现不符合要求的包装，要求企业配合整改，否则不予清运，储运过程中破损的包装容器按照危废处置</w:t>
                  </w:r>
                </w:p>
              </w:tc>
            </w:tr>
            <w:tr w14:paraId="379DFB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2" w:type="pct"/>
                  <w:vMerge w:val="continue"/>
                  <w:vAlign w:val="center"/>
                </w:tcPr>
                <w:p w14:paraId="6C5AEF28">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p>
              </w:tc>
              <w:tc>
                <w:tcPr>
                  <w:tcW w:w="2815" w:type="pct"/>
                  <w:vAlign w:val="center"/>
                </w:tcPr>
                <w:p w14:paraId="62F6038A">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eastAsia="宋体"/>
                      <w:sz w:val="21"/>
                      <w:szCs w:val="21"/>
                      <w:highlight w:val="none"/>
                      <w:vertAlign w:val="baseline"/>
                      <w:lang w:eastAsia="zh-CN"/>
                    </w:rPr>
                  </w:pPr>
                  <w:r>
                    <w:rPr>
                      <w:rFonts w:hint="eastAsia"/>
                      <w:sz w:val="21"/>
                      <w:szCs w:val="21"/>
                      <w:highlight w:val="none"/>
                      <w:vertAlign w:val="baseline"/>
                    </w:rPr>
                    <w:t>危险废物的收集作业应满足如下要求</w:t>
                  </w:r>
                  <w:r>
                    <w:rPr>
                      <w:rFonts w:hint="eastAsia"/>
                      <w:sz w:val="21"/>
                      <w:szCs w:val="21"/>
                      <w:highlight w:val="none"/>
                      <w:vertAlign w:val="baseline"/>
                      <w:lang w:eastAsia="zh-CN"/>
                    </w:rPr>
                    <w:t>：（1）应根据收集设备、转运车辆以及现场人员等实际情况确定相应作业区域，同时要设置作业界限标志和警示牌。（2）作业区域内应设置危险废物收集专用通道和人员避险通道。（3）收集时应配备必要的收集工具和包装物，以及必要的应急监测设备及应急装备。（4）危险废物收集应参照本标准附录A填写记录表，并将记录表作为危险废物管理的重要档案妥善保存。（5）收集结束后应清理和恢复收集作业区域，确保作业区域环境整洁安全。（6）收集过危险废物的容器、设备、设施、场所及其他物品转作它用时，应消除污染，确保其使用安全</w:t>
                  </w:r>
                </w:p>
              </w:tc>
              <w:tc>
                <w:tcPr>
                  <w:tcW w:w="1812" w:type="pct"/>
                  <w:shd w:val="clear" w:color="auto" w:fill="auto"/>
                  <w:vAlign w:val="center"/>
                </w:tcPr>
                <w:p w14:paraId="114F2C62">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sz w:val="21"/>
                      <w:szCs w:val="21"/>
                      <w:highlight w:val="none"/>
                      <w:vertAlign w:val="baseline"/>
                    </w:rPr>
                    <w:t>收集作业均满足规范要求</w:t>
                  </w:r>
                </w:p>
              </w:tc>
            </w:tr>
            <w:tr w14:paraId="5FC0B3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2" w:type="pct"/>
                  <w:vMerge w:val="restart"/>
                  <w:vAlign w:val="center"/>
                </w:tcPr>
                <w:p w14:paraId="2EB053EA">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eastAsia="宋体"/>
                      <w:sz w:val="21"/>
                      <w:szCs w:val="21"/>
                      <w:highlight w:val="none"/>
                      <w:vertAlign w:val="baseline"/>
                      <w:lang w:val="en-US" w:eastAsia="zh-CN"/>
                    </w:rPr>
                  </w:pPr>
                  <w:r>
                    <w:rPr>
                      <w:rFonts w:hint="eastAsia"/>
                      <w:sz w:val="21"/>
                      <w:szCs w:val="21"/>
                      <w:highlight w:val="none"/>
                      <w:vertAlign w:val="baseline"/>
                      <w:lang w:val="en-US" w:eastAsia="zh-CN"/>
                    </w:rPr>
                    <w:t>危险废物的贮存</w:t>
                  </w:r>
                </w:p>
              </w:tc>
              <w:tc>
                <w:tcPr>
                  <w:tcW w:w="2815" w:type="pct"/>
                  <w:vAlign w:val="center"/>
                </w:tcPr>
                <w:p w14:paraId="7D3D3972">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r>
                    <w:rPr>
                      <w:rFonts w:hint="eastAsia"/>
                      <w:sz w:val="21"/>
                      <w:szCs w:val="21"/>
                      <w:highlight w:val="none"/>
                      <w:vertAlign w:val="baseline"/>
                    </w:rPr>
                    <w:t>危险废物贮存设施的选址、设计、建设、运行管理应满足GB18597、GBZ1和GBZ2的有关要求</w:t>
                  </w:r>
                </w:p>
              </w:tc>
              <w:tc>
                <w:tcPr>
                  <w:tcW w:w="1812" w:type="pct"/>
                  <w:shd w:val="clear" w:color="auto" w:fill="auto"/>
                  <w:vAlign w:val="center"/>
                </w:tcPr>
                <w:p w14:paraId="3147F2FA">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sz w:val="21"/>
                      <w:szCs w:val="21"/>
                      <w:highlight w:val="none"/>
                      <w:vertAlign w:val="baseline"/>
                    </w:rPr>
                    <w:t>本项目危险废物贮存设施选址、设计、建设、运行管理满足《危险废物贮存污染控制标准》GB18597、GBZ1和GBZ2的有关要求。</w:t>
                  </w:r>
                </w:p>
              </w:tc>
            </w:tr>
            <w:tr w14:paraId="733343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2" w:type="pct"/>
                  <w:vMerge w:val="continue"/>
                  <w:vAlign w:val="center"/>
                </w:tcPr>
                <w:p w14:paraId="6DF21E03">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p>
              </w:tc>
              <w:tc>
                <w:tcPr>
                  <w:tcW w:w="2815" w:type="pct"/>
                  <w:vAlign w:val="center"/>
                </w:tcPr>
                <w:p w14:paraId="7CD0E1B1">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r>
                    <w:rPr>
                      <w:rFonts w:hint="eastAsia"/>
                      <w:sz w:val="21"/>
                      <w:szCs w:val="21"/>
                      <w:highlight w:val="none"/>
                      <w:vertAlign w:val="baseline"/>
                    </w:rPr>
                    <w:t>危险废物贮存设施应配备通讯设备、照明设施和消防设施</w:t>
                  </w:r>
                </w:p>
              </w:tc>
              <w:tc>
                <w:tcPr>
                  <w:tcW w:w="1812" w:type="pct"/>
                  <w:shd w:val="clear" w:color="auto" w:fill="auto"/>
                  <w:vAlign w:val="center"/>
                </w:tcPr>
                <w:p w14:paraId="0A326DC2">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sz w:val="21"/>
                      <w:szCs w:val="21"/>
                      <w:highlight w:val="none"/>
                      <w:vertAlign w:val="baseline"/>
                    </w:rPr>
                    <w:t>本项目危废贮存设施配备通讯设备、照明设施和消防设施。</w:t>
                  </w:r>
                </w:p>
              </w:tc>
            </w:tr>
            <w:tr w14:paraId="531174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372" w:type="pct"/>
                  <w:vMerge w:val="continue"/>
                  <w:vAlign w:val="center"/>
                </w:tcPr>
                <w:p w14:paraId="4C6AEDC4">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p>
              </w:tc>
              <w:tc>
                <w:tcPr>
                  <w:tcW w:w="2815" w:type="pct"/>
                  <w:vAlign w:val="center"/>
                </w:tcPr>
                <w:p w14:paraId="3372CC80">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r>
                    <w:rPr>
                      <w:rFonts w:hint="eastAsia"/>
                      <w:sz w:val="21"/>
                      <w:szCs w:val="21"/>
                      <w:highlight w:val="none"/>
                      <w:vertAlign w:val="baseline"/>
                    </w:rPr>
                    <w:t>贮存危险废物时应按危险废物的种类和特性进行分区贮存，每个贮存区域之间宜设置挡墙间隔，并应设置防雨、防火、防雷、防扬尘装置</w:t>
                  </w:r>
                </w:p>
              </w:tc>
              <w:tc>
                <w:tcPr>
                  <w:tcW w:w="1812" w:type="pct"/>
                  <w:shd w:val="clear" w:color="auto" w:fill="auto"/>
                  <w:vAlign w:val="center"/>
                </w:tcPr>
                <w:p w14:paraId="765D42D5">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sz w:val="21"/>
                      <w:szCs w:val="21"/>
                      <w:highlight w:val="none"/>
                      <w:vertAlign w:val="baseline"/>
                    </w:rPr>
                    <w:t>贮存危险废物时应按危险废物的种类和特性进行分区贮存，每个贮存区域之间宜设置挡墙间隔，并应设置防雨、防火、防雷、防扬尘装置。</w:t>
                  </w:r>
                </w:p>
              </w:tc>
            </w:tr>
            <w:tr w14:paraId="46763F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2" w:type="pct"/>
                  <w:vMerge w:val="continue"/>
                  <w:vAlign w:val="center"/>
                </w:tcPr>
                <w:p w14:paraId="63220F41">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p>
              </w:tc>
              <w:tc>
                <w:tcPr>
                  <w:tcW w:w="2815" w:type="pct"/>
                  <w:vAlign w:val="center"/>
                </w:tcPr>
                <w:p w14:paraId="10BCFFF3">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r>
                    <w:rPr>
                      <w:rFonts w:hint="eastAsia"/>
                      <w:sz w:val="21"/>
                      <w:szCs w:val="21"/>
                      <w:highlight w:val="none"/>
                      <w:vertAlign w:val="baseline"/>
                    </w:rPr>
                    <w:t>危险废物贮存期限应符合《中华人民共和国固体废物污染环境防治法》的有关规定</w:t>
                  </w:r>
                </w:p>
              </w:tc>
              <w:tc>
                <w:tcPr>
                  <w:tcW w:w="1812" w:type="pct"/>
                  <w:shd w:val="clear" w:color="auto" w:fill="auto"/>
                  <w:vAlign w:val="center"/>
                </w:tcPr>
                <w:p w14:paraId="032301D5">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sz w:val="21"/>
                      <w:szCs w:val="21"/>
                      <w:highlight w:val="none"/>
                      <w:vertAlign w:val="baseline"/>
                    </w:rPr>
                    <w:t>本项目生产和储存的危险废物贮存周期不超过1年</w:t>
                  </w:r>
                </w:p>
              </w:tc>
            </w:tr>
            <w:tr w14:paraId="1EDB2F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2" w:type="pct"/>
                  <w:vMerge w:val="continue"/>
                  <w:vAlign w:val="center"/>
                </w:tcPr>
                <w:p w14:paraId="53BFD75B">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p>
              </w:tc>
              <w:tc>
                <w:tcPr>
                  <w:tcW w:w="2815" w:type="pct"/>
                  <w:vAlign w:val="center"/>
                </w:tcPr>
                <w:p w14:paraId="5A921709">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r>
                    <w:rPr>
                      <w:rFonts w:hint="eastAsia"/>
                      <w:sz w:val="21"/>
                      <w:szCs w:val="21"/>
                      <w:highlight w:val="none"/>
                      <w:vertAlign w:val="baseline"/>
                    </w:rPr>
                    <w:t>危险废物贮存单位应建立危险废物贮存的台帐制度，危险废物出入库交接记录内容应参照本标准附录C执行</w:t>
                  </w:r>
                </w:p>
              </w:tc>
              <w:tc>
                <w:tcPr>
                  <w:tcW w:w="1812" w:type="pct"/>
                  <w:shd w:val="clear" w:color="auto" w:fill="auto"/>
                  <w:vAlign w:val="center"/>
                </w:tcPr>
                <w:p w14:paraId="70B7DDE3">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sz w:val="21"/>
                      <w:szCs w:val="21"/>
                      <w:highlight w:val="none"/>
                      <w:vertAlign w:val="baseline"/>
                    </w:rPr>
                    <w:t>建设单位建立危险废物贮存的台账制度，废物出入库交接记录已按照本标准附录C执行。</w:t>
                  </w:r>
                </w:p>
              </w:tc>
            </w:tr>
            <w:tr w14:paraId="384301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2" w:type="pct"/>
                  <w:vMerge w:val="continue"/>
                  <w:vAlign w:val="center"/>
                </w:tcPr>
                <w:p w14:paraId="01BFA716">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p>
              </w:tc>
              <w:tc>
                <w:tcPr>
                  <w:tcW w:w="2815" w:type="pct"/>
                  <w:vAlign w:val="center"/>
                </w:tcPr>
                <w:p w14:paraId="7CA15C16">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r>
                    <w:rPr>
                      <w:rFonts w:hint="eastAsia"/>
                      <w:sz w:val="21"/>
                      <w:szCs w:val="21"/>
                      <w:highlight w:val="none"/>
                      <w:vertAlign w:val="baseline"/>
                    </w:rPr>
                    <w:t>危险废物贮存设施应根据贮存的废物种类和特性按照GB18597附录A设置标志</w:t>
                  </w:r>
                </w:p>
              </w:tc>
              <w:tc>
                <w:tcPr>
                  <w:tcW w:w="1812" w:type="pct"/>
                  <w:shd w:val="clear" w:color="auto" w:fill="auto"/>
                  <w:vAlign w:val="center"/>
                </w:tcPr>
                <w:p w14:paraId="0EF8D88D">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sz w:val="21"/>
                      <w:szCs w:val="21"/>
                      <w:highlight w:val="none"/>
                      <w:vertAlign w:val="baseline"/>
                    </w:rPr>
                    <w:t>本项目危险废物贮存设施按照贮存的废物种类和特性按GB18597附录A设置标志</w:t>
                  </w:r>
                </w:p>
              </w:tc>
            </w:tr>
            <w:tr w14:paraId="42DF70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2" w:type="pct"/>
                  <w:vMerge w:val="continue"/>
                  <w:vAlign w:val="center"/>
                </w:tcPr>
                <w:p w14:paraId="6F3615C1">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p>
              </w:tc>
              <w:tc>
                <w:tcPr>
                  <w:tcW w:w="2815" w:type="pct"/>
                  <w:vAlign w:val="center"/>
                </w:tcPr>
                <w:p w14:paraId="06895171">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sz w:val="21"/>
                      <w:szCs w:val="21"/>
                      <w:highlight w:val="none"/>
                      <w:vertAlign w:val="baseline"/>
                    </w:rPr>
                  </w:pPr>
                  <w:r>
                    <w:rPr>
                      <w:rFonts w:hint="eastAsia"/>
                      <w:sz w:val="21"/>
                      <w:szCs w:val="21"/>
                      <w:highlight w:val="none"/>
                      <w:vertAlign w:val="baseline"/>
                    </w:rPr>
                    <w:t>危险废物贮存设施的关闭应按照GB18597和《危险废物经营许可证管理办法》的</w:t>
                  </w:r>
                  <w:r>
                    <w:rPr>
                      <w:rFonts w:hint="eastAsia"/>
                      <w:sz w:val="21"/>
                      <w:szCs w:val="21"/>
                      <w:highlight w:val="none"/>
                      <w:vertAlign w:val="baseline"/>
                      <w:lang w:eastAsia="zh-CN"/>
                    </w:rPr>
                    <w:t>有关</w:t>
                  </w:r>
                  <w:r>
                    <w:rPr>
                      <w:rFonts w:hint="eastAsia"/>
                      <w:sz w:val="21"/>
                      <w:szCs w:val="21"/>
                      <w:highlight w:val="none"/>
                      <w:vertAlign w:val="baseline"/>
                    </w:rPr>
                    <w:t>规定执行关</w:t>
                  </w:r>
                </w:p>
              </w:tc>
              <w:tc>
                <w:tcPr>
                  <w:tcW w:w="1812" w:type="pct"/>
                  <w:shd w:val="clear" w:color="auto" w:fill="auto"/>
                  <w:vAlign w:val="center"/>
                </w:tcPr>
                <w:p w14:paraId="4DC00EFB">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eastAsia="宋体" w:cs="Times New Roman"/>
                      <w:kern w:val="2"/>
                      <w:sz w:val="21"/>
                      <w:szCs w:val="21"/>
                      <w:highlight w:val="none"/>
                      <w:vertAlign w:val="baseline"/>
                      <w:lang w:val="en-US" w:eastAsia="zh-CN" w:bidi="ar-SA"/>
                    </w:rPr>
                  </w:pPr>
                  <w:r>
                    <w:rPr>
                      <w:rFonts w:hint="eastAsia"/>
                      <w:sz w:val="21"/>
                      <w:szCs w:val="21"/>
                      <w:highlight w:val="none"/>
                      <w:vertAlign w:val="baseline"/>
                    </w:rPr>
                    <w:t>本项目危险废物贮存设施的关闭将严格按GB18597和《危险废物经营许可证管理办法》的有关规定执行</w:t>
                  </w:r>
                </w:p>
              </w:tc>
            </w:tr>
          </w:tbl>
          <w:p w14:paraId="6EEEBFCA">
            <w:pPr>
              <w:spacing w:line="360" w:lineRule="auto"/>
              <w:ind w:firstLine="480"/>
              <w:rPr>
                <w:sz w:val="24"/>
                <w:highlight w:val="none"/>
              </w:rPr>
            </w:pPr>
            <w:r>
              <w:rPr>
                <w:sz w:val="24"/>
                <w:highlight w:val="none"/>
              </w:rPr>
              <w:t>②</w:t>
            </w:r>
            <w:r>
              <w:rPr>
                <w:rFonts w:hint="eastAsia"/>
                <w:sz w:val="24"/>
                <w:highlight w:val="none"/>
              </w:rPr>
              <w:t>运输过程的环境影响分析</w:t>
            </w:r>
          </w:p>
          <w:p w14:paraId="58409614">
            <w:pPr>
              <w:spacing w:line="360" w:lineRule="auto"/>
              <w:ind w:firstLine="480"/>
              <w:rPr>
                <w:sz w:val="24"/>
                <w:highlight w:val="none"/>
              </w:rPr>
            </w:pPr>
            <w:r>
              <w:rPr>
                <w:sz w:val="24"/>
                <w:highlight w:val="none"/>
              </w:rPr>
              <w:t>项目危险废物运输由建设单位委托有资质的危险废物处置单位进行运输，建设单位应配合运输单位员工进行危险废物中转作业，中转装卸及运输过程应遵守如下技术要求：</w:t>
            </w:r>
          </w:p>
          <w:p w14:paraId="40CA541C">
            <w:pPr>
              <w:spacing w:line="360" w:lineRule="auto"/>
              <w:ind w:firstLine="480"/>
              <w:rPr>
                <w:sz w:val="24"/>
                <w:highlight w:val="none"/>
              </w:rPr>
            </w:pPr>
            <w:r>
              <w:rPr>
                <w:sz w:val="24"/>
                <w:highlight w:val="none"/>
              </w:rPr>
              <w:t>A</w:t>
            </w:r>
            <w:r>
              <w:rPr>
                <w:rFonts w:hint="eastAsia"/>
                <w:sz w:val="24"/>
                <w:highlight w:val="none"/>
              </w:rPr>
              <w:t>、</w:t>
            </w:r>
            <w:r>
              <w:rPr>
                <w:sz w:val="24"/>
                <w:highlight w:val="none"/>
              </w:rPr>
              <w:t>装卸危险废物的工作人员应熟悉危险废物的属性，并配备适当的个人防护装备，装卸剧毒废物应配备特殊的防护装备。</w:t>
            </w:r>
          </w:p>
          <w:p w14:paraId="2D097DA8">
            <w:pPr>
              <w:spacing w:line="360" w:lineRule="auto"/>
              <w:ind w:firstLine="480"/>
              <w:rPr>
                <w:sz w:val="24"/>
                <w:highlight w:val="none"/>
              </w:rPr>
            </w:pPr>
            <w:r>
              <w:rPr>
                <w:sz w:val="24"/>
                <w:highlight w:val="none"/>
              </w:rPr>
              <w:t>B</w:t>
            </w:r>
            <w:r>
              <w:rPr>
                <w:rFonts w:hint="eastAsia"/>
                <w:sz w:val="24"/>
                <w:highlight w:val="none"/>
              </w:rPr>
              <w:t>、</w:t>
            </w:r>
            <w:r>
              <w:rPr>
                <w:sz w:val="24"/>
                <w:highlight w:val="none"/>
              </w:rPr>
              <w:t>装卸区应配备必要的消防设备和设施，并设置明显的指示标志。</w:t>
            </w:r>
          </w:p>
          <w:p w14:paraId="60265472">
            <w:pPr>
              <w:spacing w:line="360" w:lineRule="auto"/>
              <w:ind w:firstLine="480"/>
              <w:rPr>
                <w:sz w:val="24"/>
                <w:highlight w:val="none"/>
              </w:rPr>
            </w:pPr>
            <w:r>
              <w:rPr>
                <w:sz w:val="24"/>
                <w:highlight w:val="none"/>
              </w:rPr>
              <w:t>C</w:t>
            </w:r>
            <w:r>
              <w:rPr>
                <w:rFonts w:hint="eastAsia"/>
                <w:sz w:val="24"/>
                <w:highlight w:val="none"/>
              </w:rPr>
              <w:t>、</w:t>
            </w:r>
            <w:r>
              <w:rPr>
                <w:sz w:val="24"/>
                <w:highlight w:val="none"/>
              </w:rPr>
              <w:t>危险废物装卸区应设置必要的隔离设施，液态废物卸载区应设置收集槽和缓冲罐等必要的应急设施。</w:t>
            </w:r>
          </w:p>
          <w:p w14:paraId="39827F04">
            <w:pPr>
              <w:spacing w:line="360" w:lineRule="auto"/>
              <w:ind w:firstLine="480"/>
              <w:rPr>
                <w:sz w:val="24"/>
                <w:highlight w:val="none"/>
              </w:rPr>
            </w:pPr>
            <w:r>
              <w:rPr>
                <w:sz w:val="24"/>
                <w:highlight w:val="none"/>
              </w:rPr>
              <w:t>③</w:t>
            </w:r>
            <w:r>
              <w:rPr>
                <w:rFonts w:hint="eastAsia"/>
                <w:sz w:val="24"/>
                <w:highlight w:val="none"/>
              </w:rPr>
              <w:t>委托利用或者处置的环境影响分析</w:t>
            </w:r>
          </w:p>
          <w:p w14:paraId="5E4FA1FB">
            <w:pPr>
              <w:spacing w:line="360" w:lineRule="auto"/>
              <w:ind w:firstLine="480"/>
              <w:rPr>
                <w:sz w:val="24"/>
                <w:highlight w:val="none"/>
              </w:rPr>
            </w:pPr>
            <w:r>
              <w:rPr>
                <w:rFonts w:hint="eastAsia"/>
                <w:sz w:val="24"/>
                <w:highlight w:val="none"/>
              </w:rPr>
              <w:t>根据《建设项目危险废物环境影响评价指南》（环境保护部公告</w:t>
            </w:r>
            <w:r>
              <w:rPr>
                <w:sz w:val="24"/>
                <w:highlight w:val="none"/>
              </w:rPr>
              <w:t>2017</w:t>
            </w:r>
            <w:r>
              <w:rPr>
                <w:rFonts w:hint="eastAsia"/>
                <w:sz w:val="24"/>
                <w:highlight w:val="none"/>
              </w:rPr>
              <w:t>年第4</w:t>
            </w:r>
            <w:r>
              <w:rPr>
                <w:sz w:val="24"/>
                <w:highlight w:val="none"/>
              </w:rPr>
              <w:t>3</w:t>
            </w:r>
            <w:r>
              <w:rPr>
                <w:rFonts w:hint="eastAsia"/>
                <w:sz w:val="24"/>
                <w:highlight w:val="none"/>
              </w:rPr>
              <w:t>号）的规定：“环评阶段已签订利用或者委托处置意向的，应分析危险废物利用或者处置途径的可行性。暂未委托利用或者处置单位的，应根据建设项目周边有资质的危险废物处置单位的分布情况、处置能力、资质类别等，给出建设项目产生危险废物的委托利用或处置途径建议”。环评阶段，项目建设单位尚未签订危废委托处置协议</w:t>
            </w:r>
            <w:r>
              <w:rPr>
                <w:rFonts w:hint="eastAsia"/>
                <w:sz w:val="24"/>
                <w:highlight w:val="none"/>
                <w:lang w:eastAsia="zh-CN"/>
              </w:rPr>
              <w:t>，</w:t>
            </w:r>
            <w:r>
              <w:rPr>
                <w:rFonts w:hint="eastAsia" w:eastAsia="宋体"/>
                <w:sz w:val="24"/>
                <w:highlight w:val="none"/>
              </w:rPr>
              <w:t>意向协议单位为</w:t>
            </w:r>
            <w:r>
              <w:rPr>
                <w:rFonts w:hint="eastAsia" w:ascii="Times New Roman" w:hAnsi="Times New Roman"/>
                <w:sz w:val="24"/>
                <w:highlight w:val="none"/>
              </w:rPr>
              <w:t>唐山浩昌杰环保科技发展有限公司、</w:t>
            </w:r>
            <w:r>
              <w:rPr>
                <w:rFonts w:ascii="Times New Roman" w:hAnsi="Times New Roman"/>
                <w:sz w:val="24"/>
                <w:highlight w:val="none"/>
              </w:rPr>
              <w:t>承德金隅水泥有限责任公司</w:t>
            </w:r>
            <w:r>
              <w:rPr>
                <w:rFonts w:hint="eastAsia" w:ascii="Times New Roman" w:hAnsi="Times New Roman"/>
                <w:sz w:val="24"/>
                <w:highlight w:val="none"/>
              </w:rPr>
              <w:t>、乐亭县海畅环保科技有限公司</w:t>
            </w:r>
            <w:r>
              <w:rPr>
                <w:rFonts w:hint="eastAsia"/>
                <w:sz w:val="24"/>
                <w:highlight w:val="none"/>
                <w:lang w:eastAsia="zh-CN"/>
              </w:rPr>
              <w:t>、沧州星河环境技术有限公司</w:t>
            </w:r>
            <w:r>
              <w:rPr>
                <w:rFonts w:hint="eastAsia"/>
                <w:sz w:val="24"/>
                <w:highlight w:val="none"/>
              </w:rPr>
              <w:t>。</w:t>
            </w:r>
          </w:p>
          <w:p w14:paraId="17A1211B">
            <w:pPr>
              <w:spacing w:line="360" w:lineRule="auto"/>
              <w:ind w:firstLine="480"/>
              <w:rPr>
                <w:rFonts w:hint="eastAsia" w:eastAsia="宋体"/>
                <w:bCs/>
                <w:color w:val="auto"/>
                <w:sz w:val="24"/>
                <w:highlight w:val="none"/>
                <w:lang w:eastAsia="zh-CN"/>
              </w:rPr>
            </w:pPr>
            <w:r>
              <w:rPr>
                <w:rFonts w:hint="eastAsia" w:ascii="Times New Roman" w:hAnsi="Times New Roman"/>
                <w:color w:val="auto"/>
                <w:sz w:val="24"/>
                <w:highlight w:val="none"/>
              </w:rPr>
              <w:t>唐山浩昌杰环保科技发展有限公司</w:t>
            </w:r>
            <w:r>
              <w:rPr>
                <w:rFonts w:ascii="Times New Roman" w:hAnsi="Times New Roman"/>
                <w:color w:val="auto"/>
                <w:sz w:val="24"/>
                <w:highlight w:val="none"/>
              </w:rPr>
              <w:t>年度核准经营规模为：</w:t>
            </w:r>
            <w:r>
              <w:rPr>
                <w:rFonts w:hint="eastAsia" w:ascii="Times New Roman" w:hAnsi="Times New Roman"/>
                <w:color w:val="auto"/>
                <w:sz w:val="24"/>
                <w:highlight w:val="none"/>
              </w:rPr>
              <w:t>焚烧6592t/年；综合利用140100t/年（可处理本项目</w:t>
            </w:r>
            <w:r>
              <w:rPr>
                <w:rFonts w:ascii="Times New Roman" w:hAnsi="Times New Roman"/>
                <w:color w:val="auto"/>
                <w:sz w:val="24"/>
                <w:highlight w:val="none"/>
              </w:rPr>
              <w:t>HW03、</w:t>
            </w:r>
            <w:r>
              <w:rPr>
                <w:rFonts w:hint="eastAsia" w:ascii="Times New Roman" w:hAnsi="Times New Roman"/>
                <w:color w:val="auto"/>
                <w:sz w:val="24"/>
                <w:highlight w:val="none"/>
              </w:rPr>
              <w:t>HW04、HW05、HW06、</w:t>
            </w:r>
            <w:r>
              <w:rPr>
                <w:rFonts w:ascii="Times New Roman" w:hAnsi="Times New Roman"/>
                <w:color w:val="auto"/>
                <w:sz w:val="24"/>
                <w:highlight w:val="none"/>
              </w:rPr>
              <w:t>HW08、HW09、HW12、HW13、HW16、HW49</w:t>
            </w:r>
            <w:r>
              <w:rPr>
                <w:rFonts w:hint="eastAsia" w:ascii="Times New Roman" w:hAnsi="Times New Roman"/>
                <w:color w:val="auto"/>
                <w:sz w:val="24"/>
                <w:highlight w:val="none"/>
              </w:rPr>
              <w:t>），唐山浩昌杰环保科技发展有限公司</w:t>
            </w:r>
            <w:r>
              <w:rPr>
                <w:rFonts w:ascii="Times New Roman" w:hAnsi="Times New Roman"/>
                <w:color w:val="auto"/>
                <w:sz w:val="24"/>
                <w:highlight w:val="none"/>
              </w:rPr>
              <w:t>年度核准经营规模包含本项目贮存的部分危险废物，且本项目贮存的危险废物量远小于该资质单位的处置量</w:t>
            </w:r>
            <w:r>
              <w:rPr>
                <w:rFonts w:hint="eastAsia" w:ascii="Times New Roman" w:hAnsi="Times New Roman"/>
                <w:color w:val="auto"/>
                <w:sz w:val="24"/>
                <w:highlight w:val="none"/>
              </w:rPr>
              <w:t>。</w:t>
            </w:r>
            <w:r>
              <w:rPr>
                <w:rFonts w:ascii="Times New Roman" w:hAnsi="Times New Roman"/>
                <w:color w:val="auto"/>
                <w:sz w:val="24"/>
                <w:highlight w:val="none"/>
              </w:rPr>
              <w:t>承德金隅水泥有限责任公司年度核准经营规模为：30000t/年（可处理本项目HW03、</w:t>
            </w:r>
            <w:r>
              <w:rPr>
                <w:rFonts w:hint="eastAsia" w:ascii="Times New Roman" w:hAnsi="Times New Roman"/>
                <w:color w:val="auto"/>
                <w:sz w:val="24"/>
                <w:highlight w:val="none"/>
              </w:rPr>
              <w:t>HW04、HW05、HW06、</w:t>
            </w:r>
            <w:r>
              <w:rPr>
                <w:rFonts w:ascii="Times New Roman" w:hAnsi="Times New Roman"/>
                <w:color w:val="auto"/>
                <w:sz w:val="24"/>
                <w:highlight w:val="none"/>
              </w:rPr>
              <w:t>HW08、HW09、HW11、HW12、HW13、HW16、HW17、HW34、HW35</w:t>
            </w:r>
            <w:r>
              <w:rPr>
                <w:rFonts w:hint="eastAsia" w:ascii="Times New Roman" w:hAnsi="Times New Roman"/>
                <w:color w:val="auto"/>
                <w:sz w:val="24"/>
                <w:highlight w:val="none"/>
              </w:rPr>
              <w:t>、</w:t>
            </w:r>
            <w:r>
              <w:rPr>
                <w:rFonts w:ascii="Times New Roman" w:hAnsi="Times New Roman"/>
                <w:color w:val="auto"/>
                <w:sz w:val="24"/>
                <w:highlight w:val="none"/>
              </w:rPr>
              <w:t>HW37、HW49、HW50），承德金隅水泥有限责任公司年度核准经营规模包含本项目贮存的部分危险废物，且本项目贮存的危险废物量远小于该资质单位的处置量。</w:t>
            </w:r>
            <w:r>
              <w:rPr>
                <w:rFonts w:hint="eastAsia" w:ascii="Times New Roman" w:hAnsi="Times New Roman"/>
                <w:color w:val="auto"/>
                <w:sz w:val="24"/>
                <w:highlight w:val="none"/>
              </w:rPr>
              <w:t>乐亭县海畅环保科技有限公司</w:t>
            </w:r>
            <w:r>
              <w:rPr>
                <w:rFonts w:ascii="Times New Roman" w:hAnsi="Times New Roman"/>
                <w:color w:val="auto"/>
                <w:sz w:val="24"/>
                <w:highlight w:val="none"/>
              </w:rPr>
              <w:t>年度核准经营规模为：</w:t>
            </w:r>
            <w:r>
              <w:rPr>
                <w:rFonts w:hint="eastAsia" w:ascii="Times New Roman" w:hAnsi="Times New Roman"/>
                <w:color w:val="auto"/>
                <w:sz w:val="24"/>
                <w:highlight w:val="none"/>
              </w:rPr>
              <w:t>焚烧处置规模9000t（可处理本项目HW08、HW09、HW49）</w:t>
            </w:r>
            <w:r>
              <w:rPr>
                <w:rFonts w:hint="eastAsia"/>
                <w:bCs/>
                <w:color w:val="auto"/>
                <w:sz w:val="24"/>
                <w:highlight w:val="none"/>
              </w:rPr>
              <w:t>。沧州星河环境技术有限公司</w:t>
            </w:r>
            <w:r>
              <w:rPr>
                <w:rFonts w:ascii="Times New Roman" w:hAnsi="Times New Roman"/>
                <w:color w:val="auto"/>
                <w:sz w:val="24"/>
                <w:highlight w:val="none"/>
              </w:rPr>
              <w:t>年度核准经营规模为：</w:t>
            </w:r>
            <w:r>
              <w:rPr>
                <w:rFonts w:hint="eastAsia" w:ascii="Times New Roman" w:hAnsi="Times New Roman"/>
                <w:color w:val="auto"/>
                <w:sz w:val="24"/>
                <w:highlight w:val="none"/>
              </w:rPr>
              <w:t>焚烧</w:t>
            </w:r>
            <w:r>
              <w:rPr>
                <w:rFonts w:hint="eastAsia" w:ascii="Times New Roman" w:hAnsi="Times New Roman"/>
                <w:color w:val="auto"/>
                <w:sz w:val="24"/>
                <w:highlight w:val="none"/>
                <w:lang w:val="en-US" w:eastAsia="zh-CN"/>
              </w:rPr>
              <w:t>57000</w:t>
            </w:r>
            <w:r>
              <w:rPr>
                <w:rFonts w:hint="eastAsia" w:ascii="Times New Roman" w:hAnsi="Times New Roman"/>
                <w:color w:val="auto"/>
                <w:sz w:val="24"/>
                <w:highlight w:val="none"/>
              </w:rPr>
              <w:t>t/年；综合利用</w:t>
            </w:r>
            <w:r>
              <w:rPr>
                <w:rFonts w:hint="eastAsia" w:ascii="Times New Roman" w:hAnsi="Times New Roman"/>
                <w:color w:val="auto"/>
                <w:sz w:val="24"/>
                <w:highlight w:val="none"/>
                <w:lang w:val="en-US" w:eastAsia="zh-CN"/>
              </w:rPr>
              <w:t>70</w:t>
            </w:r>
            <w:r>
              <w:rPr>
                <w:rFonts w:hint="eastAsia" w:ascii="Times New Roman" w:hAnsi="Times New Roman"/>
                <w:color w:val="auto"/>
                <w:sz w:val="24"/>
                <w:highlight w:val="none"/>
              </w:rPr>
              <w:t>00t/年（可处理本项目</w:t>
            </w:r>
            <w:r>
              <w:rPr>
                <w:rFonts w:hint="eastAsia" w:ascii="Times New Roman" w:hAnsi="Times New Roman" w:cs="Times New Roman"/>
                <w:color w:val="auto"/>
                <w:sz w:val="24"/>
                <w:highlight w:val="none"/>
              </w:rPr>
              <w:t>HW21、HW22、HW23、HW29、</w:t>
            </w:r>
            <w:r>
              <w:rPr>
                <w:rFonts w:hint="eastAsia" w:ascii="Times New Roman" w:hAnsi="Times New Roman" w:cs="Times New Roman"/>
                <w:color w:val="auto"/>
                <w:sz w:val="24"/>
                <w:highlight w:val="none"/>
                <w:lang w:val="en-US" w:eastAsia="zh-CN"/>
              </w:rPr>
              <w:t>HW36、</w:t>
            </w:r>
            <w:r>
              <w:rPr>
                <w:rFonts w:hint="eastAsia" w:ascii="Times New Roman" w:hAnsi="Times New Roman" w:cs="Times New Roman"/>
                <w:color w:val="auto"/>
                <w:sz w:val="24"/>
                <w:highlight w:val="none"/>
              </w:rPr>
              <w:t>HW46、HW48）</w:t>
            </w:r>
            <w:r>
              <w:rPr>
                <w:rFonts w:hint="eastAsia" w:cs="Times New Roman"/>
                <w:color w:val="auto"/>
                <w:sz w:val="24"/>
                <w:highlight w:val="none"/>
                <w:lang w:eastAsia="zh-CN"/>
              </w:rPr>
              <w:t>。</w:t>
            </w:r>
          </w:p>
          <w:p w14:paraId="702473B4">
            <w:pPr>
              <w:spacing w:line="360" w:lineRule="auto"/>
              <w:ind w:firstLine="480"/>
              <w:rPr>
                <w:sz w:val="24"/>
                <w:highlight w:val="none"/>
              </w:rPr>
            </w:pPr>
            <w:r>
              <w:rPr>
                <w:sz w:val="24"/>
                <w:highlight w:val="none"/>
              </w:rPr>
              <w:t>④</w:t>
            </w:r>
            <w:r>
              <w:rPr>
                <w:rFonts w:hint="eastAsia"/>
                <w:sz w:val="24"/>
                <w:highlight w:val="none"/>
              </w:rPr>
              <w:t>危险废物收集、储存、转运过程应急预案</w:t>
            </w:r>
          </w:p>
          <w:p w14:paraId="4177A2B2">
            <w:pPr>
              <w:spacing w:line="360" w:lineRule="auto"/>
              <w:ind w:firstLine="480"/>
              <w:rPr>
                <w:sz w:val="24"/>
                <w:highlight w:val="none"/>
              </w:rPr>
            </w:pPr>
            <w:r>
              <w:rPr>
                <w:sz w:val="24"/>
                <w:highlight w:val="none"/>
              </w:rPr>
              <w:t>危险废物收集、储存、转运过程应编制相应的应急预案，应急预案的编制可参照《危险废物经营单位编制应急预案指南》，针对危险废物收集、储运、中转过程产生的事故易发环节应定期组织应急演练。</w:t>
            </w:r>
          </w:p>
          <w:p w14:paraId="25A96C7E">
            <w:pPr>
              <w:spacing w:line="360" w:lineRule="auto"/>
              <w:ind w:firstLine="480"/>
              <w:rPr>
                <w:sz w:val="24"/>
                <w:highlight w:val="none"/>
              </w:rPr>
            </w:pPr>
            <w:r>
              <w:rPr>
                <w:sz w:val="24"/>
                <w:highlight w:val="none"/>
              </w:rPr>
              <w:t>危险废物收集、储运、中转过程一旦发生意外事故，建设单位应根据风险应急预案立即采取如下措施：</w:t>
            </w:r>
          </w:p>
          <w:p w14:paraId="6FB3F1D7">
            <w:pPr>
              <w:spacing w:line="360" w:lineRule="auto"/>
              <w:ind w:firstLine="480"/>
              <w:rPr>
                <w:sz w:val="24"/>
                <w:highlight w:val="none"/>
              </w:rPr>
            </w:pPr>
            <w:r>
              <w:rPr>
                <w:sz w:val="24"/>
                <w:highlight w:val="none"/>
              </w:rPr>
              <w:t>A</w:t>
            </w:r>
            <w:r>
              <w:rPr>
                <w:rFonts w:hint="eastAsia"/>
                <w:sz w:val="24"/>
                <w:highlight w:val="none"/>
              </w:rPr>
              <w:t>、</w:t>
            </w:r>
            <w:r>
              <w:rPr>
                <w:sz w:val="24"/>
                <w:highlight w:val="none"/>
              </w:rPr>
              <w:t>设立事故警戒线，启动应急预案，并按要求向</w:t>
            </w:r>
            <w:r>
              <w:rPr>
                <w:rFonts w:hint="eastAsia"/>
                <w:sz w:val="24"/>
                <w:highlight w:val="none"/>
              </w:rPr>
              <w:t>生态环境</w:t>
            </w:r>
            <w:r>
              <w:rPr>
                <w:sz w:val="24"/>
                <w:highlight w:val="none"/>
              </w:rPr>
              <w:t>主管部门进行报告。</w:t>
            </w:r>
          </w:p>
          <w:p w14:paraId="6551BDAA">
            <w:pPr>
              <w:spacing w:line="360" w:lineRule="auto"/>
              <w:ind w:firstLine="480"/>
              <w:rPr>
                <w:sz w:val="24"/>
                <w:highlight w:val="none"/>
              </w:rPr>
            </w:pPr>
            <w:r>
              <w:rPr>
                <w:sz w:val="24"/>
                <w:highlight w:val="none"/>
              </w:rPr>
              <w:t>B</w:t>
            </w:r>
            <w:r>
              <w:rPr>
                <w:rFonts w:hint="eastAsia"/>
                <w:sz w:val="24"/>
                <w:highlight w:val="none"/>
              </w:rPr>
              <w:t>、</w:t>
            </w:r>
            <w:r>
              <w:rPr>
                <w:sz w:val="24"/>
                <w:highlight w:val="none"/>
              </w:rPr>
              <w:t>对事故受到污染的土壤和水体等进行相应的清理和修复。</w:t>
            </w:r>
          </w:p>
          <w:p w14:paraId="0BE606A4">
            <w:pPr>
              <w:spacing w:line="360" w:lineRule="auto"/>
              <w:ind w:firstLine="480"/>
              <w:rPr>
                <w:sz w:val="24"/>
                <w:highlight w:val="none"/>
              </w:rPr>
            </w:pPr>
            <w:r>
              <w:rPr>
                <w:sz w:val="24"/>
                <w:highlight w:val="none"/>
              </w:rPr>
              <w:t>C</w:t>
            </w:r>
            <w:r>
              <w:rPr>
                <w:rFonts w:hint="eastAsia"/>
                <w:sz w:val="24"/>
                <w:highlight w:val="none"/>
              </w:rPr>
              <w:t>、</w:t>
            </w:r>
            <w:r>
              <w:rPr>
                <w:sz w:val="24"/>
                <w:highlight w:val="none"/>
              </w:rPr>
              <w:t>清理过程产生的所有废物均应按危险废物进行管理和处置。</w:t>
            </w:r>
          </w:p>
          <w:p w14:paraId="129979ED">
            <w:pPr>
              <w:spacing w:line="360" w:lineRule="auto"/>
              <w:ind w:firstLine="480"/>
              <w:rPr>
                <w:sz w:val="24"/>
                <w:highlight w:val="none"/>
              </w:rPr>
            </w:pPr>
            <w:r>
              <w:rPr>
                <w:sz w:val="24"/>
                <w:highlight w:val="none"/>
              </w:rPr>
              <w:t>D</w:t>
            </w:r>
            <w:r>
              <w:rPr>
                <w:rFonts w:hint="eastAsia"/>
                <w:sz w:val="24"/>
                <w:highlight w:val="none"/>
              </w:rPr>
              <w:t>、</w:t>
            </w:r>
            <w:r>
              <w:rPr>
                <w:sz w:val="24"/>
                <w:highlight w:val="none"/>
              </w:rPr>
              <w:t>进入现场清理和包装危险废物的人员应受过专业培训，穿着防护服，佩戴防护用具。</w:t>
            </w:r>
          </w:p>
          <w:p w14:paraId="24E7435B">
            <w:pPr>
              <w:spacing w:line="360" w:lineRule="auto"/>
              <w:ind w:firstLine="480"/>
              <w:rPr>
                <w:b/>
                <w:sz w:val="24"/>
                <w:highlight w:val="none"/>
              </w:rPr>
            </w:pPr>
            <w:r>
              <w:rPr>
                <w:rFonts w:hint="eastAsia"/>
                <w:b/>
                <w:sz w:val="24"/>
                <w:highlight w:val="none"/>
              </w:rPr>
              <w:t>（4）固体废物环境管理要求</w:t>
            </w:r>
          </w:p>
          <w:p w14:paraId="301CE66D">
            <w:pPr>
              <w:spacing w:line="360" w:lineRule="auto"/>
              <w:ind w:firstLine="480"/>
              <w:rPr>
                <w:sz w:val="24"/>
                <w:highlight w:val="none"/>
              </w:rPr>
            </w:pPr>
            <w:r>
              <w:rPr>
                <w:sz w:val="24"/>
                <w:highlight w:val="none"/>
              </w:rPr>
              <w:t>①一般工业固废</w:t>
            </w:r>
            <w:r>
              <w:rPr>
                <w:rFonts w:hint="eastAsia"/>
                <w:sz w:val="24"/>
                <w:highlight w:val="none"/>
              </w:rPr>
              <w:t>的贮存过程应满足相应防渗漏、防雨淋、防扬尘等环境保护要求。</w:t>
            </w:r>
          </w:p>
          <w:p w14:paraId="0F89D20F">
            <w:pPr>
              <w:spacing w:line="360" w:lineRule="auto"/>
              <w:ind w:firstLine="480"/>
              <w:rPr>
                <w:b/>
                <w:bCs/>
                <w:sz w:val="24"/>
                <w:highlight w:val="none"/>
              </w:rPr>
            </w:pPr>
            <w:r>
              <w:rPr>
                <w:sz w:val="24"/>
                <w:highlight w:val="none"/>
              </w:rPr>
              <w:t>②</w:t>
            </w:r>
            <w:r>
              <w:rPr>
                <w:rFonts w:hint="eastAsia"/>
                <w:sz w:val="24"/>
                <w:highlight w:val="none"/>
              </w:rPr>
              <w:t>危险废物储存满足《危险废物贮存污染控制标准》（GB</w:t>
            </w:r>
            <w:r>
              <w:rPr>
                <w:sz w:val="24"/>
                <w:highlight w:val="none"/>
              </w:rPr>
              <w:t>18597-2023</w:t>
            </w:r>
            <w:r>
              <w:rPr>
                <w:rFonts w:hint="eastAsia"/>
                <w:sz w:val="24"/>
                <w:highlight w:val="none"/>
              </w:rPr>
              <w:t>）的</w:t>
            </w:r>
            <w:r>
              <w:rPr>
                <w:sz w:val="24"/>
                <w:highlight w:val="none"/>
              </w:rPr>
              <w:t>要求</w:t>
            </w:r>
            <w:r>
              <w:rPr>
                <w:rFonts w:hint="eastAsia"/>
                <w:sz w:val="24"/>
                <w:highlight w:val="none"/>
              </w:rPr>
              <w:t>。</w:t>
            </w:r>
          </w:p>
          <w:p w14:paraId="354C301D">
            <w:pPr>
              <w:spacing w:line="360" w:lineRule="auto"/>
              <w:ind w:firstLine="480"/>
              <w:rPr>
                <w:sz w:val="24"/>
                <w:highlight w:val="none"/>
              </w:rPr>
            </w:pPr>
            <w:r>
              <w:rPr>
                <w:sz w:val="24"/>
                <w:highlight w:val="none"/>
              </w:rPr>
              <w:t>③项目</w:t>
            </w:r>
            <w:r>
              <w:rPr>
                <w:rFonts w:hint="eastAsia"/>
                <w:sz w:val="24"/>
                <w:highlight w:val="none"/>
              </w:rPr>
              <w:t>运营期</w:t>
            </w:r>
            <w:r>
              <w:rPr>
                <w:sz w:val="24"/>
                <w:highlight w:val="none"/>
              </w:rPr>
              <w:t>固体废物的产生、贮存、利用和处置全过程应严格遵守国家有关建设项目环境保护管理的规定。</w:t>
            </w:r>
          </w:p>
          <w:p w14:paraId="46DE97E2">
            <w:pPr>
              <w:spacing w:line="360" w:lineRule="auto"/>
              <w:ind w:firstLine="480"/>
              <w:rPr>
                <w:sz w:val="24"/>
                <w:highlight w:val="none"/>
              </w:rPr>
            </w:pPr>
            <w:r>
              <w:rPr>
                <w:sz w:val="24"/>
                <w:highlight w:val="none"/>
              </w:rPr>
              <w:t>④项目</w:t>
            </w:r>
            <w:r>
              <w:rPr>
                <w:rFonts w:hint="eastAsia"/>
                <w:sz w:val="24"/>
                <w:highlight w:val="none"/>
              </w:rPr>
              <w:t>运营期</w:t>
            </w:r>
            <w:r>
              <w:rPr>
                <w:sz w:val="24"/>
                <w:highlight w:val="none"/>
              </w:rPr>
              <w:t>产生、收集、贮存、运输、利用、处置固体废物时，应当采取防扬散、防流失、防渗漏或者其他</w:t>
            </w:r>
            <w:r>
              <w:rPr>
                <w:rFonts w:hint="eastAsia"/>
                <w:sz w:val="24"/>
                <w:highlight w:val="none"/>
                <w:lang w:eastAsia="zh-CN"/>
              </w:rPr>
              <w:t>方式</w:t>
            </w:r>
            <w:r>
              <w:rPr>
                <w:sz w:val="24"/>
                <w:highlight w:val="none"/>
              </w:rPr>
              <w:t>污染环境的措施，不擅自倾倒、堆放、丢弃、遗撒固体废物</w:t>
            </w:r>
            <w:r>
              <w:rPr>
                <w:rFonts w:hint="eastAsia"/>
                <w:sz w:val="24"/>
                <w:highlight w:val="none"/>
              </w:rPr>
              <w:t>。</w:t>
            </w:r>
          </w:p>
          <w:p w14:paraId="6475A0A7">
            <w:pPr>
              <w:spacing w:line="360" w:lineRule="auto"/>
              <w:ind w:firstLine="480"/>
              <w:rPr>
                <w:sz w:val="24"/>
                <w:highlight w:val="none"/>
              </w:rPr>
            </w:pPr>
            <w:r>
              <w:rPr>
                <w:sz w:val="24"/>
                <w:highlight w:val="none"/>
              </w:rPr>
              <w:t>⑤建设单位应当建立健全工业固体废物</w:t>
            </w:r>
            <w:r>
              <w:rPr>
                <w:rFonts w:hint="eastAsia"/>
                <w:sz w:val="24"/>
                <w:highlight w:val="none"/>
              </w:rPr>
              <w:t>和危险废物</w:t>
            </w:r>
            <w:r>
              <w:rPr>
                <w:sz w:val="24"/>
                <w:highlight w:val="none"/>
              </w:rPr>
              <w:t>产生、收集、贮存、运输、利用、处置全过程的污染环境</w:t>
            </w:r>
            <w:r>
              <w:rPr>
                <w:rFonts w:hint="eastAsia"/>
                <w:sz w:val="24"/>
                <w:highlight w:val="none"/>
              </w:rPr>
              <w:t>防治</w:t>
            </w:r>
            <w:r>
              <w:rPr>
                <w:sz w:val="24"/>
                <w:highlight w:val="none"/>
              </w:rPr>
              <w:t>责任制度，建立工业固体废物</w:t>
            </w:r>
            <w:r>
              <w:rPr>
                <w:rFonts w:hint="eastAsia"/>
                <w:sz w:val="24"/>
                <w:highlight w:val="none"/>
              </w:rPr>
              <w:t>和危险废物</w:t>
            </w:r>
            <w:r>
              <w:rPr>
                <w:sz w:val="24"/>
                <w:highlight w:val="none"/>
              </w:rPr>
              <w:t>管理台账，如实记录产生工业固体废物的种类、数量、流向、贮存、利用、处置等信息，实现工业固体废物</w:t>
            </w:r>
            <w:r>
              <w:rPr>
                <w:rFonts w:hint="eastAsia"/>
                <w:sz w:val="24"/>
                <w:highlight w:val="none"/>
              </w:rPr>
              <w:t>和危险废物</w:t>
            </w:r>
            <w:r>
              <w:rPr>
                <w:sz w:val="24"/>
                <w:highlight w:val="none"/>
              </w:rPr>
              <w:t>可追溯，可查询，并采取防治工业固体废物</w:t>
            </w:r>
            <w:r>
              <w:rPr>
                <w:rFonts w:hint="eastAsia"/>
                <w:sz w:val="24"/>
                <w:highlight w:val="none"/>
              </w:rPr>
              <w:t>和危险废物</w:t>
            </w:r>
            <w:r>
              <w:rPr>
                <w:sz w:val="24"/>
                <w:highlight w:val="none"/>
              </w:rPr>
              <w:t>污染环境的措施</w:t>
            </w:r>
            <w:r>
              <w:rPr>
                <w:rFonts w:hint="eastAsia"/>
                <w:sz w:val="24"/>
                <w:highlight w:val="none"/>
              </w:rPr>
              <w:t>。</w:t>
            </w:r>
          </w:p>
          <w:p w14:paraId="0FA1018F">
            <w:pPr>
              <w:spacing w:line="360" w:lineRule="auto"/>
              <w:ind w:firstLine="480"/>
              <w:rPr>
                <w:sz w:val="24"/>
                <w:highlight w:val="none"/>
              </w:rPr>
            </w:pPr>
            <w:r>
              <w:rPr>
                <w:sz w:val="24"/>
                <w:highlight w:val="none"/>
              </w:rPr>
              <w:t>⑥建设单位</w:t>
            </w:r>
            <w:r>
              <w:rPr>
                <w:rFonts w:hint="eastAsia"/>
                <w:sz w:val="24"/>
                <w:highlight w:val="none"/>
              </w:rPr>
              <w:t>应当</w:t>
            </w:r>
            <w:r>
              <w:rPr>
                <w:sz w:val="24"/>
                <w:highlight w:val="none"/>
              </w:rPr>
              <w:t>对收集、贮存、运输、处置一般工业固体废物</w:t>
            </w:r>
            <w:r>
              <w:rPr>
                <w:rFonts w:hint="eastAsia"/>
                <w:sz w:val="24"/>
                <w:highlight w:val="none"/>
              </w:rPr>
              <w:t>和危险废物</w:t>
            </w:r>
            <w:r>
              <w:rPr>
                <w:sz w:val="24"/>
                <w:highlight w:val="none"/>
              </w:rPr>
              <w:t>的设施、设备和场所，加强管理和维护，保证其正常运行和使用。</w:t>
            </w:r>
          </w:p>
          <w:p w14:paraId="2EC58B17">
            <w:pPr>
              <w:spacing w:line="360" w:lineRule="auto"/>
              <w:ind w:firstLine="480"/>
              <w:rPr>
                <w:sz w:val="24"/>
                <w:highlight w:val="none"/>
              </w:rPr>
            </w:pPr>
            <w:r>
              <w:rPr>
                <w:sz w:val="24"/>
                <w:highlight w:val="none"/>
              </w:rPr>
              <w:t>⑦</w:t>
            </w:r>
            <w:r>
              <w:rPr>
                <w:rFonts w:hint="eastAsia"/>
                <w:sz w:val="24"/>
                <w:highlight w:val="none"/>
              </w:rPr>
              <w:t>不</w:t>
            </w:r>
            <w:r>
              <w:rPr>
                <w:sz w:val="24"/>
                <w:highlight w:val="none"/>
              </w:rPr>
              <w:t>将生活垃圾与一般工业固体废物</w:t>
            </w:r>
            <w:r>
              <w:rPr>
                <w:rFonts w:hint="eastAsia"/>
                <w:sz w:val="24"/>
                <w:highlight w:val="none"/>
              </w:rPr>
              <w:t>、危险废物</w:t>
            </w:r>
            <w:r>
              <w:rPr>
                <w:sz w:val="24"/>
                <w:highlight w:val="none"/>
              </w:rPr>
              <w:t>混合处置。</w:t>
            </w:r>
          </w:p>
          <w:p w14:paraId="6B75B769">
            <w:pPr>
              <w:spacing w:line="360" w:lineRule="auto"/>
              <w:ind w:firstLine="480"/>
              <w:rPr>
                <w:sz w:val="24"/>
                <w:highlight w:val="none"/>
              </w:rPr>
            </w:pPr>
            <w:r>
              <w:rPr>
                <w:sz w:val="24"/>
                <w:highlight w:val="none"/>
              </w:rPr>
              <w:t>⑧项目</w:t>
            </w:r>
            <w:r>
              <w:rPr>
                <w:rFonts w:hint="eastAsia"/>
                <w:sz w:val="24"/>
                <w:highlight w:val="none"/>
              </w:rPr>
              <w:t>运营期</w:t>
            </w:r>
            <w:r>
              <w:rPr>
                <w:sz w:val="24"/>
                <w:highlight w:val="none"/>
              </w:rPr>
              <w:t>需要终止生产的，应当事先对工业固体废物</w:t>
            </w:r>
            <w:r>
              <w:rPr>
                <w:rFonts w:hint="eastAsia"/>
                <w:sz w:val="24"/>
                <w:highlight w:val="none"/>
              </w:rPr>
              <w:t>和危险废物</w:t>
            </w:r>
            <w:r>
              <w:rPr>
                <w:sz w:val="24"/>
                <w:highlight w:val="none"/>
              </w:rPr>
              <w:t>的贮存、处置设施、场所采取污染防治措施，并对未处置的工业固体废物</w:t>
            </w:r>
            <w:r>
              <w:rPr>
                <w:rFonts w:hint="eastAsia"/>
                <w:sz w:val="24"/>
                <w:highlight w:val="none"/>
              </w:rPr>
              <w:t>和危险废物</w:t>
            </w:r>
            <w:r>
              <w:rPr>
                <w:sz w:val="24"/>
                <w:highlight w:val="none"/>
              </w:rPr>
              <w:t>作出妥善处置，防止污染环境。</w:t>
            </w:r>
          </w:p>
          <w:p w14:paraId="3E26ADEE">
            <w:pPr>
              <w:numPr>
                <w:ilvl w:val="0"/>
                <w:numId w:val="11"/>
              </w:numPr>
              <w:spacing w:line="360" w:lineRule="auto"/>
              <w:ind w:firstLine="482"/>
              <w:rPr>
                <w:rFonts w:hint="eastAsia"/>
                <w:b/>
                <w:sz w:val="24"/>
                <w:highlight w:val="none"/>
              </w:rPr>
            </w:pPr>
            <w:r>
              <w:rPr>
                <w:rFonts w:hint="eastAsia"/>
                <w:b/>
                <w:sz w:val="24"/>
                <w:highlight w:val="none"/>
              </w:rPr>
              <w:t>地下水</w:t>
            </w:r>
          </w:p>
          <w:p w14:paraId="2B36C990">
            <w:pPr>
              <w:autoSpaceDE w:val="0"/>
              <w:autoSpaceDN w:val="0"/>
              <w:adjustRightInd w:val="0"/>
              <w:snapToGrid w:val="0"/>
              <w:spacing w:line="360" w:lineRule="auto"/>
              <w:ind w:firstLine="480"/>
              <w:rPr>
                <w:rFonts w:ascii="Times New Roman" w:hAnsi="Times New Roman"/>
                <w:b/>
                <w:bCs/>
                <w:sz w:val="24"/>
                <w:highlight w:val="none"/>
              </w:rPr>
            </w:pPr>
            <w:r>
              <w:rPr>
                <w:rFonts w:hint="eastAsia" w:ascii="Times New Roman" w:hAnsi="Times New Roman"/>
                <w:b/>
                <w:bCs/>
                <w:sz w:val="24"/>
                <w:highlight w:val="none"/>
              </w:rPr>
              <w:t>（1）污染物类型及污染途径</w:t>
            </w:r>
          </w:p>
          <w:p w14:paraId="21D437BF">
            <w:pPr>
              <w:autoSpaceDE w:val="0"/>
              <w:autoSpaceDN w:val="0"/>
              <w:adjustRightInd w:val="0"/>
              <w:snapToGrid w:val="0"/>
              <w:spacing w:line="360" w:lineRule="auto"/>
              <w:ind w:firstLine="480"/>
              <w:rPr>
                <w:rFonts w:hint="eastAsia" w:ascii="Times New Roman" w:hAnsi="Times New Roman"/>
                <w:sz w:val="24"/>
                <w:highlight w:val="none"/>
              </w:rPr>
            </w:pPr>
            <w:r>
              <w:rPr>
                <w:rFonts w:hint="eastAsia"/>
                <w:sz w:val="24"/>
                <w:highlight w:val="none"/>
                <w:lang w:eastAsia="zh-CN"/>
              </w:rPr>
              <w:t>危险废物收集贮存库</w:t>
            </w:r>
            <w:r>
              <w:rPr>
                <w:rFonts w:ascii="Times New Roman" w:hAnsi="Times New Roman"/>
                <w:sz w:val="24"/>
                <w:highlight w:val="none"/>
              </w:rPr>
              <w:t>按照相关设计规范采取了严格的防渗措施，在正常工况下不会发生污染物渗入地下水在地下水扩散的情况。非正常状况下，拟建项目</w:t>
            </w:r>
            <w:r>
              <w:rPr>
                <w:rFonts w:hint="eastAsia"/>
                <w:sz w:val="24"/>
                <w:highlight w:val="none"/>
                <w:lang w:eastAsia="zh-CN"/>
              </w:rPr>
              <w:t>危险废物收集贮存库</w:t>
            </w:r>
            <w:r>
              <w:rPr>
                <w:rFonts w:ascii="Times New Roman" w:hAnsi="Times New Roman"/>
                <w:sz w:val="24"/>
                <w:highlight w:val="none"/>
              </w:rPr>
              <w:t>防渗层破损，造成污染物下渗到地下水环境，对地下水环境造成影响</w:t>
            </w:r>
            <w:r>
              <w:rPr>
                <w:rFonts w:hint="eastAsia" w:ascii="Times New Roman" w:hAnsi="Times New Roman"/>
                <w:sz w:val="24"/>
                <w:highlight w:val="none"/>
              </w:rPr>
              <w:t>。</w:t>
            </w:r>
          </w:p>
          <w:p w14:paraId="026E5F54">
            <w:pPr>
              <w:autoSpaceDE w:val="0"/>
              <w:autoSpaceDN w:val="0"/>
              <w:adjustRightInd w:val="0"/>
              <w:snapToGrid w:val="0"/>
              <w:spacing w:line="360" w:lineRule="auto"/>
              <w:ind w:firstLine="480"/>
              <w:rPr>
                <w:rFonts w:ascii="Times New Roman" w:hAnsi="Times New Roman"/>
                <w:sz w:val="24"/>
                <w:highlight w:val="none"/>
              </w:rPr>
            </w:pPr>
            <w:r>
              <w:rPr>
                <w:rFonts w:ascii="Times New Roman" w:hAnsi="Times New Roman"/>
                <w:sz w:val="24"/>
                <w:highlight w:val="none"/>
              </w:rPr>
              <w:t>根据</w:t>
            </w:r>
            <w:r>
              <w:rPr>
                <w:rFonts w:hint="eastAsia" w:ascii="Times New Roman" w:hAnsi="Times New Roman"/>
                <w:sz w:val="24"/>
                <w:highlight w:val="none"/>
              </w:rPr>
              <w:t>项目</w:t>
            </w:r>
            <w:r>
              <w:rPr>
                <w:rFonts w:ascii="Times New Roman" w:hAnsi="Times New Roman"/>
                <w:sz w:val="24"/>
                <w:highlight w:val="none"/>
              </w:rPr>
              <w:t>工程分析可知，对地下水可能产生的潜在污染主要为项目运行阶段防渗层破裂废矿物油</w:t>
            </w:r>
            <w:r>
              <w:rPr>
                <w:rFonts w:hint="eastAsia" w:ascii="Times New Roman" w:hAnsi="Times New Roman"/>
                <w:sz w:val="24"/>
                <w:highlight w:val="none"/>
              </w:rPr>
              <w:t>、含汞废液、含铬废液</w:t>
            </w:r>
            <w:r>
              <w:rPr>
                <w:rFonts w:ascii="Times New Roman" w:hAnsi="Times New Roman"/>
                <w:sz w:val="24"/>
                <w:highlight w:val="none"/>
              </w:rPr>
              <w:t>进入地下水，对地下水产生污染</w:t>
            </w:r>
            <w:r>
              <w:rPr>
                <w:rFonts w:hint="eastAsia" w:ascii="Times New Roman" w:hAnsi="Times New Roman"/>
                <w:sz w:val="24"/>
                <w:highlight w:val="none"/>
              </w:rPr>
              <w:t>，</w:t>
            </w:r>
            <w:r>
              <w:rPr>
                <w:rFonts w:ascii="Times New Roman" w:hAnsi="Times New Roman"/>
                <w:sz w:val="24"/>
                <w:highlight w:val="none"/>
              </w:rPr>
              <w:t>主要污染物为石油类</w:t>
            </w:r>
            <w:r>
              <w:rPr>
                <w:rFonts w:hint="eastAsia" w:ascii="Times New Roman" w:hAnsi="Times New Roman"/>
                <w:sz w:val="24"/>
                <w:highlight w:val="none"/>
              </w:rPr>
              <w:t>、汞、六价铬</w:t>
            </w:r>
            <w:r>
              <w:rPr>
                <w:rFonts w:ascii="Times New Roman" w:hAnsi="Times New Roman"/>
                <w:sz w:val="24"/>
                <w:highlight w:val="none"/>
              </w:rPr>
              <w:t>等。</w:t>
            </w:r>
          </w:p>
          <w:p w14:paraId="493CBAC1">
            <w:pPr>
              <w:adjustRightInd w:val="0"/>
              <w:snapToGrid w:val="0"/>
              <w:spacing w:line="360" w:lineRule="auto"/>
              <w:ind w:firstLine="482" w:firstLineChars="200"/>
              <w:rPr>
                <w:rFonts w:ascii="Times New Roman" w:hAnsi="Times New Roman"/>
                <w:b/>
                <w:bCs/>
                <w:sz w:val="24"/>
                <w:highlight w:val="none"/>
              </w:rPr>
            </w:pPr>
            <w:r>
              <w:rPr>
                <w:rFonts w:ascii="Times New Roman" w:hAnsi="Times New Roman"/>
                <w:b/>
                <w:bCs/>
                <w:sz w:val="24"/>
                <w:highlight w:val="none"/>
              </w:rPr>
              <w:t>（</w:t>
            </w:r>
            <w:r>
              <w:rPr>
                <w:rFonts w:hint="eastAsia" w:ascii="Times New Roman" w:hAnsi="Times New Roman"/>
                <w:b/>
                <w:bCs/>
                <w:sz w:val="24"/>
                <w:highlight w:val="none"/>
              </w:rPr>
              <w:t>2</w:t>
            </w:r>
            <w:r>
              <w:rPr>
                <w:rFonts w:ascii="Times New Roman" w:hAnsi="Times New Roman"/>
                <w:b/>
                <w:bCs/>
                <w:sz w:val="24"/>
                <w:highlight w:val="none"/>
              </w:rPr>
              <w:t>）地下水污染防治措施</w:t>
            </w:r>
          </w:p>
          <w:p w14:paraId="4F14DCB8">
            <w:pPr>
              <w:adjustRightInd w:val="0"/>
              <w:snapToGrid w:val="0"/>
              <w:spacing w:line="360" w:lineRule="auto"/>
              <w:ind w:firstLine="480" w:firstLineChars="200"/>
              <w:rPr>
                <w:rFonts w:ascii="Times New Roman" w:hAnsi="Times New Roman"/>
                <w:sz w:val="24"/>
                <w:highlight w:val="none"/>
              </w:rPr>
            </w:pPr>
            <w:r>
              <w:rPr>
                <w:rFonts w:ascii="Times New Roman" w:hAnsi="Times New Roman"/>
                <w:sz w:val="24"/>
                <w:highlight w:val="none"/>
              </w:rPr>
              <w:t>考虑到污染物泄漏后如不采取截污治污措施，可能会在一定范围内造成地下水环境超标，地下水污染防治措施坚持“源头控制、分区防治、污染监控、应急响应”相结合的原则。为防范污水由于非正常状况对地下水产生明显影响，本项目采取以下防范措施：</w:t>
            </w:r>
          </w:p>
          <w:p w14:paraId="1B6EE5AF">
            <w:pPr>
              <w:pStyle w:val="2"/>
              <w:ind w:left="0" w:leftChars="0" w:firstLine="480" w:firstLineChars="200"/>
              <w:jc w:val="both"/>
              <w:rPr>
                <w:rFonts w:hint="eastAsia" w:ascii="Times New Roman" w:hAnsi="Times New Roman" w:eastAsia="宋体" w:cs="Times New Roman"/>
                <w:w w:val="100"/>
                <w:sz w:val="24"/>
                <w:szCs w:val="24"/>
                <w:highlight w:val="none"/>
              </w:rPr>
            </w:pPr>
            <w:r>
              <w:rPr>
                <w:rFonts w:hint="eastAsia" w:ascii="Times New Roman" w:hAnsi="Times New Roman" w:eastAsia="宋体" w:cs="Times New Roman"/>
                <w:w w:val="100"/>
                <w:sz w:val="24"/>
                <w:szCs w:val="24"/>
                <w:highlight w:val="none"/>
              </w:rPr>
              <w:t>①根据地下水导则要求，对</w:t>
            </w:r>
            <w:r>
              <w:rPr>
                <w:rFonts w:hint="eastAsia" w:cs="Times New Roman"/>
                <w:w w:val="100"/>
                <w:sz w:val="24"/>
                <w:szCs w:val="24"/>
                <w:highlight w:val="none"/>
                <w:lang w:eastAsia="zh-CN"/>
              </w:rPr>
              <w:t>危险废物收集贮存库</w:t>
            </w:r>
            <w:r>
              <w:rPr>
                <w:rFonts w:hint="eastAsia" w:ascii="Times New Roman" w:hAnsi="Times New Roman" w:eastAsia="宋体" w:cs="Times New Roman"/>
                <w:w w:val="100"/>
                <w:sz w:val="24"/>
                <w:szCs w:val="24"/>
                <w:highlight w:val="none"/>
              </w:rPr>
              <w:t>、</w:t>
            </w:r>
            <w:r>
              <w:rPr>
                <w:rFonts w:hint="eastAsia" w:ascii="Times New Roman" w:hAnsi="Times New Roman" w:eastAsia="宋体" w:cs="Times New Roman"/>
                <w:w w:val="100"/>
                <w:sz w:val="24"/>
                <w:szCs w:val="24"/>
                <w:highlight w:val="none"/>
                <w:lang w:val="en-US" w:eastAsia="zh-CN"/>
              </w:rPr>
              <w:t>事故池</w:t>
            </w:r>
            <w:r>
              <w:rPr>
                <w:rFonts w:hint="eastAsia" w:ascii="Times New Roman" w:hAnsi="Times New Roman" w:eastAsia="宋体" w:cs="Times New Roman"/>
                <w:w w:val="100"/>
                <w:sz w:val="24"/>
                <w:szCs w:val="24"/>
                <w:highlight w:val="none"/>
              </w:rPr>
              <w:t>和办公区处进行分区防渗，</w:t>
            </w:r>
            <w:r>
              <w:rPr>
                <w:rFonts w:hint="eastAsia" w:cs="Times New Roman"/>
                <w:w w:val="100"/>
                <w:sz w:val="24"/>
                <w:szCs w:val="24"/>
                <w:highlight w:val="none"/>
                <w:lang w:eastAsia="zh-CN"/>
              </w:rPr>
              <w:t>危险废物收集贮存库</w:t>
            </w:r>
            <w:r>
              <w:rPr>
                <w:rFonts w:hint="eastAsia" w:ascii="Times New Roman" w:hAnsi="Times New Roman" w:eastAsia="宋体" w:cs="Times New Roman"/>
                <w:w w:val="100"/>
                <w:sz w:val="24"/>
                <w:szCs w:val="24"/>
                <w:highlight w:val="none"/>
                <w:lang w:eastAsia="zh-CN"/>
              </w:rPr>
              <w:t>、</w:t>
            </w:r>
            <w:r>
              <w:rPr>
                <w:rFonts w:hint="eastAsia" w:ascii="Times New Roman" w:hAnsi="Times New Roman" w:eastAsia="宋体" w:cs="Times New Roman"/>
                <w:w w:val="100"/>
                <w:sz w:val="24"/>
                <w:szCs w:val="24"/>
                <w:highlight w:val="none"/>
                <w:lang w:val="en-US" w:eastAsia="zh-CN"/>
              </w:rPr>
              <w:t>事故池</w:t>
            </w:r>
            <w:r>
              <w:rPr>
                <w:rFonts w:hint="eastAsia" w:ascii="Times New Roman" w:hAnsi="Times New Roman" w:eastAsia="宋体" w:cs="Times New Roman"/>
                <w:w w:val="100"/>
                <w:sz w:val="24"/>
                <w:szCs w:val="24"/>
                <w:highlight w:val="none"/>
              </w:rPr>
              <w:t>进行重点防渗，渗透系数K≤1×10</w:t>
            </w:r>
            <w:r>
              <w:rPr>
                <w:rFonts w:hint="eastAsia" w:ascii="Times New Roman" w:hAnsi="Times New Roman" w:eastAsia="宋体" w:cs="Times New Roman"/>
                <w:w w:val="100"/>
                <w:sz w:val="24"/>
                <w:szCs w:val="24"/>
                <w:highlight w:val="none"/>
                <w:vertAlign w:val="superscript"/>
              </w:rPr>
              <w:t>-10</w:t>
            </w:r>
            <w:r>
              <w:rPr>
                <w:rFonts w:hint="eastAsia" w:ascii="Times New Roman" w:hAnsi="Times New Roman" w:eastAsia="宋体" w:cs="Times New Roman"/>
                <w:w w:val="100"/>
                <w:sz w:val="24"/>
                <w:szCs w:val="24"/>
                <w:highlight w:val="none"/>
              </w:rPr>
              <w:t>cm/s；办公区处采用简单防渗，采取一般地面硬化。</w:t>
            </w:r>
          </w:p>
          <w:p w14:paraId="38283734">
            <w:pPr>
              <w:jc w:val="center"/>
              <w:rPr>
                <w:rFonts w:hint="eastAsia" w:ascii="Times New Roman" w:hAnsi="Times New Roman" w:eastAsia="宋体" w:cs="Times New Roman"/>
                <w:w w:val="100"/>
                <w:sz w:val="24"/>
                <w:szCs w:val="24"/>
                <w:highlight w:val="none"/>
                <w:lang w:eastAsia="zh-CN"/>
              </w:rPr>
            </w:pPr>
            <w:r>
              <w:rPr>
                <w:highlight w:val="none"/>
              </w:rPr>
              <w:drawing>
                <wp:inline distT="0" distB="0" distL="114300" distR="114300">
                  <wp:extent cx="4269105" cy="4000500"/>
                  <wp:effectExtent l="0" t="0" r="17145" b="0"/>
                  <wp:docPr id="7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
                          <pic:cNvPicPr>
                            <a:picLocks noChangeAspect="1"/>
                          </pic:cNvPicPr>
                        </pic:nvPicPr>
                        <pic:blipFill>
                          <a:blip r:embed="rId26"/>
                          <a:stretch>
                            <a:fillRect/>
                          </a:stretch>
                        </pic:blipFill>
                        <pic:spPr>
                          <a:xfrm>
                            <a:off x="0" y="0"/>
                            <a:ext cx="4269105" cy="4000500"/>
                          </a:xfrm>
                          <a:prstGeom prst="rect">
                            <a:avLst/>
                          </a:prstGeom>
                          <a:noFill/>
                          <a:ln>
                            <a:noFill/>
                          </a:ln>
                        </pic:spPr>
                      </pic:pic>
                    </a:graphicData>
                  </a:graphic>
                </wp:inline>
              </w:drawing>
            </w:r>
          </w:p>
          <w:p w14:paraId="2F7C1B69">
            <w:pPr>
              <w:pStyle w:val="48"/>
              <w:numPr>
                <w:ilvl w:val="0"/>
                <w:numId w:val="10"/>
              </w:numPr>
              <w:spacing w:line="360" w:lineRule="auto"/>
              <w:ind w:firstLineChars="0"/>
              <w:jc w:val="center"/>
              <w:rPr>
                <w:highlight w:val="none"/>
              </w:rPr>
            </w:pPr>
            <w:r>
              <w:rPr>
                <w:rFonts w:hint="eastAsia" w:eastAsia="宋体"/>
                <w:b/>
                <w:bCs/>
                <w:color w:val="000000"/>
                <w:sz w:val="21"/>
                <w:highlight w:val="none"/>
                <w:lang w:val="en-US" w:eastAsia="zh-CN"/>
              </w:rPr>
              <w:t>分区防渗</w:t>
            </w:r>
            <w:r>
              <w:rPr>
                <w:rFonts w:eastAsia="宋体"/>
                <w:b/>
                <w:bCs/>
                <w:color w:val="000000"/>
                <w:sz w:val="21"/>
                <w:highlight w:val="none"/>
              </w:rPr>
              <w:t>图</w:t>
            </w:r>
          </w:p>
          <w:p w14:paraId="622EC22E">
            <w:pPr>
              <w:adjustRightInd w:val="0"/>
              <w:snapToGrid w:val="0"/>
              <w:spacing w:before="156" w:beforeLines="50" w:line="360" w:lineRule="auto"/>
              <w:ind w:firstLine="480" w:firstLineChars="200"/>
              <w:rPr>
                <w:rFonts w:ascii="Times New Roman" w:hAnsi="Times New Roman"/>
                <w:highlight w:val="none"/>
              </w:rPr>
            </w:pPr>
            <w:r>
              <w:rPr>
                <w:rFonts w:ascii="Times New Roman" w:hAnsi="Times New Roman"/>
                <w:sz w:val="24"/>
                <w:highlight w:val="none"/>
              </w:rPr>
              <w:t>②对</w:t>
            </w:r>
            <w:r>
              <w:rPr>
                <w:rFonts w:hint="eastAsia"/>
                <w:sz w:val="24"/>
                <w:highlight w:val="none"/>
                <w:lang w:eastAsia="zh-CN"/>
              </w:rPr>
              <w:t>危险废物收集贮存库</w:t>
            </w:r>
            <w:r>
              <w:rPr>
                <w:rFonts w:ascii="Times New Roman" w:hAnsi="Times New Roman"/>
                <w:sz w:val="24"/>
                <w:highlight w:val="none"/>
              </w:rPr>
              <w:t>等定期检查，根据不同部位污染物的特点采取相应的防渗措施，有质量问题的及时更换，阀门采用优质产品，防止和降低跑、冒、滴、漏。</w:t>
            </w:r>
          </w:p>
          <w:p w14:paraId="6F99B18B">
            <w:pPr>
              <w:adjustRightInd w:val="0"/>
              <w:snapToGrid w:val="0"/>
              <w:spacing w:line="360" w:lineRule="auto"/>
              <w:ind w:firstLine="480" w:firstLineChars="200"/>
              <w:rPr>
                <w:rFonts w:ascii="Times New Roman" w:hAnsi="Times New Roman"/>
                <w:sz w:val="24"/>
                <w:highlight w:val="none"/>
              </w:rPr>
            </w:pPr>
            <w:r>
              <w:rPr>
                <w:rFonts w:ascii="Times New Roman" w:hAnsi="Times New Roman" w:eastAsia="仿宋"/>
                <w:sz w:val="24"/>
                <w:highlight w:val="none"/>
              </w:rPr>
              <w:t>③</w:t>
            </w:r>
            <w:r>
              <w:rPr>
                <w:rFonts w:ascii="Times New Roman" w:hAnsi="Times New Roman"/>
                <w:sz w:val="24"/>
                <w:highlight w:val="none"/>
              </w:rPr>
              <w:t>按照导则要求设置地下水监测井</w:t>
            </w:r>
            <w:r>
              <w:rPr>
                <w:rFonts w:hint="eastAsia" w:ascii="Times New Roman" w:hAnsi="Times New Roman"/>
                <w:sz w:val="24"/>
                <w:highlight w:val="none"/>
              </w:rPr>
              <w:t>，</w:t>
            </w:r>
            <w:r>
              <w:rPr>
                <w:rFonts w:ascii="Times New Roman" w:hAnsi="Times New Roman"/>
                <w:sz w:val="24"/>
                <w:highlight w:val="none"/>
              </w:rPr>
              <w:t>定期监测地下水水质情况，动态掌握本工程对地下水的污染情况。及时发现地下水的污染情况，及时采取有效补救措施。</w:t>
            </w:r>
          </w:p>
          <w:p w14:paraId="629DE688">
            <w:pPr>
              <w:adjustRightInd w:val="0"/>
              <w:snapToGrid w:val="0"/>
              <w:spacing w:line="360" w:lineRule="auto"/>
              <w:ind w:firstLine="480" w:firstLineChars="200"/>
              <w:rPr>
                <w:rFonts w:ascii="Times New Roman" w:hAnsi="Times New Roman"/>
                <w:sz w:val="24"/>
                <w:highlight w:val="none"/>
              </w:rPr>
            </w:pPr>
            <w:r>
              <w:rPr>
                <w:rFonts w:ascii="Times New Roman" w:hAnsi="Times New Roman"/>
                <w:sz w:val="24"/>
                <w:highlight w:val="none"/>
              </w:rPr>
              <w:t>④应急响应</w:t>
            </w:r>
          </w:p>
          <w:p w14:paraId="047BB2C1">
            <w:pPr>
              <w:adjustRightInd w:val="0"/>
              <w:snapToGrid w:val="0"/>
              <w:spacing w:line="360" w:lineRule="auto"/>
              <w:ind w:firstLine="480" w:firstLineChars="200"/>
              <w:rPr>
                <w:rFonts w:ascii="Times New Roman" w:hAnsi="Times New Roman"/>
                <w:sz w:val="24"/>
                <w:highlight w:val="none"/>
              </w:rPr>
            </w:pPr>
            <w:r>
              <w:rPr>
                <w:rFonts w:ascii="Times New Roman" w:hAnsi="Times New Roman"/>
                <w:sz w:val="24"/>
                <w:highlight w:val="none"/>
              </w:rPr>
              <w:t>一旦发现地下水发生异常情况，必须按照应急预案马上采取紧急措施：</w:t>
            </w:r>
          </w:p>
          <w:p w14:paraId="72BCD281">
            <w:pPr>
              <w:adjustRightInd w:val="0"/>
              <w:snapToGrid w:val="0"/>
              <w:spacing w:line="360" w:lineRule="auto"/>
              <w:ind w:firstLine="480" w:firstLineChars="200"/>
              <w:rPr>
                <w:rFonts w:ascii="Times New Roman" w:hAnsi="Times New Roman"/>
                <w:sz w:val="24"/>
                <w:highlight w:val="none"/>
              </w:rPr>
            </w:pPr>
            <w:r>
              <w:rPr>
                <w:rFonts w:ascii="Times New Roman" w:hAnsi="Times New Roman"/>
                <w:sz w:val="24"/>
                <w:highlight w:val="none"/>
              </w:rPr>
              <w:t>当确定发生地下水异常情况时，按照制订的地下水应急预案，在第一时间内尽快上报主管领导，通知当地生态环境局、周边用户等地下水用户，密切关注地下水水质变化情况。</w:t>
            </w:r>
          </w:p>
          <w:p w14:paraId="6D4AC546">
            <w:pPr>
              <w:adjustRightInd w:val="0"/>
              <w:snapToGrid w:val="0"/>
              <w:spacing w:line="360" w:lineRule="auto"/>
              <w:ind w:firstLine="480" w:firstLineChars="200"/>
              <w:rPr>
                <w:rFonts w:ascii="Times New Roman" w:hAnsi="Times New Roman"/>
                <w:sz w:val="24"/>
                <w:highlight w:val="none"/>
              </w:rPr>
            </w:pPr>
            <w:r>
              <w:rPr>
                <w:rFonts w:ascii="Times New Roman" w:hAnsi="Times New Roman"/>
                <w:sz w:val="24"/>
                <w:highlight w:val="none"/>
              </w:rPr>
              <w:t>组织专业队伍对事故现场进行调</w:t>
            </w:r>
            <w:r>
              <w:rPr>
                <w:rFonts w:hint="eastAsia"/>
                <w:sz w:val="24"/>
                <w:highlight w:val="none"/>
                <w:lang w:eastAsia="zh-CN"/>
              </w:rPr>
              <w:t>查</w:t>
            </w:r>
            <w:r>
              <w:rPr>
                <w:rFonts w:ascii="Times New Roman" w:hAnsi="Times New Roman"/>
                <w:sz w:val="24"/>
                <w:highlight w:val="none"/>
              </w:rPr>
              <w:t>、监测，</w:t>
            </w:r>
            <w:r>
              <w:rPr>
                <w:rFonts w:hint="eastAsia"/>
                <w:sz w:val="24"/>
                <w:highlight w:val="none"/>
                <w:lang w:eastAsia="zh-CN"/>
              </w:rPr>
              <w:t>查</w:t>
            </w:r>
            <w:r>
              <w:rPr>
                <w:rFonts w:ascii="Times New Roman" w:hAnsi="Times New Roman"/>
                <w:sz w:val="24"/>
                <w:highlight w:val="none"/>
              </w:rPr>
              <w:t>找环境事故发生地点、分析事故原因，尽量将紧急事件局部化，如可能应予以消除，采取包括切断生产装置或设施等措施，对污水进行封闭、截流，防止事故的扩散、蔓延及连锁反应，尽量缩小地下水污染事故的影响。</w:t>
            </w:r>
          </w:p>
          <w:p w14:paraId="1E6121C0">
            <w:pPr>
              <w:adjustRightInd w:val="0"/>
              <w:snapToGrid w:val="0"/>
              <w:spacing w:line="360" w:lineRule="auto"/>
              <w:ind w:firstLine="480" w:firstLineChars="200"/>
              <w:rPr>
                <w:rFonts w:ascii="Times New Roman" w:hAnsi="Times New Roman"/>
                <w:sz w:val="24"/>
                <w:highlight w:val="none"/>
              </w:rPr>
            </w:pPr>
            <w:r>
              <w:rPr>
                <w:rFonts w:ascii="Times New Roman" w:hAnsi="Times New Roman"/>
                <w:sz w:val="24"/>
                <w:highlight w:val="none"/>
              </w:rPr>
              <w:t>当通过监测发现对周围地下水造成污染时，根据观测井的反馈信息，控制污染区地下水流场，防止污染物扩散。</w:t>
            </w:r>
          </w:p>
          <w:p w14:paraId="567B7C5D">
            <w:pPr>
              <w:adjustRightInd w:val="0"/>
              <w:snapToGrid w:val="0"/>
              <w:spacing w:line="360" w:lineRule="auto"/>
              <w:ind w:firstLine="480" w:firstLineChars="200"/>
              <w:rPr>
                <w:rFonts w:ascii="Times New Roman" w:hAnsi="Times New Roman" w:eastAsia="宋体" w:cs="Times New Roman"/>
                <w:sz w:val="24"/>
                <w:highlight w:val="none"/>
              </w:rPr>
            </w:pPr>
            <w:r>
              <w:rPr>
                <w:rFonts w:ascii="Times New Roman" w:hAnsi="Times New Roman" w:eastAsia="宋体" w:cs="Times New Roman"/>
                <w:sz w:val="24"/>
                <w:highlight w:val="none"/>
              </w:rPr>
              <w:t>对事故后果进行评估，并制定防止类似事件发生的措施。</w:t>
            </w:r>
          </w:p>
          <w:p w14:paraId="0BA582EE">
            <w:pPr>
              <w:adjustRightInd w:val="0"/>
              <w:snapToGrid w:val="0"/>
              <w:spacing w:line="360" w:lineRule="auto"/>
              <w:ind w:firstLine="480" w:firstLineChars="200"/>
              <w:rPr>
                <w:rFonts w:hint="eastAsia" w:ascii="Times New Roman" w:hAnsi="Times New Roman" w:eastAsia="宋体" w:cs="Times New Roman"/>
                <w:sz w:val="24"/>
                <w:highlight w:val="none"/>
                <w:lang w:eastAsia="zh-CN"/>
              </w:rPr>
            </w:pPr>
            <w:r>
              <w:rPr>
                <w:rFonts w:ascii="Times New Roman" w:hAnsi="Times New Roman" w:eastAsia="宋体" w:cs="Times New Roman"/>
                <w:sz w:val="24"/>
                <w:highlight w:val="none"/>
              </w:rPr>
              <w:t>如果自身力量无法应对污染事故，应立即请求社会应急力量协助处理</w:t>
            </w:r>
            <w:r>
              <w:rPr>
                <w:rFonts w:hint="eastAsia" w:ascii="Times New Roman" w:hAnsi="Times New Roman" w:eastAsia="宋体" w:cs="Times New Roman"/>
                <w:sz w:val="24"/>
                <w:highlight w:val="none"/>
                <w:lang w:eastAsia="zh-CN"/>
              </w:rPr>
              <w:t>。</w:t>
            </w:r>
          </w:p>
          <w:p w14:paraId="7D91F6F3">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2" w:firstLineChars="200"/>
              <w:textAlignment w:val="auto"/>
              <w:rPr>
                <w:rFonts w:hint="eastAsia" w:ascii="Times New Roman" w:hAnsi="Times New Roman" w:eastAsia="宋体" w:cs="Times New Roman"/>
                <w:b/>
                <w:bCs/>
                <w:sz w:val="24"/>
                <w:highlight w:val="none"/>
              </w:rPr>
            </w:pPr>
            <w:r>
              <w:rPr>
                <w:rFonts w:hint="eastAsia" w:ascii="Times New Roman" w:hAnsi="Times New Roman" w:eastAsia="宋体" w:cs="Times New Roman"/>
                <w:b/>
                <w:bCs/>
                <w:sz w:val="24"/>
                <w:highlight w:val="none"/>
                <w:lang w:eastAsia="zh-CN"/>
              </w:rPr>
              <w:t>（</w:t>
            </w:r>
            <w:r>
              <w:rPr>
                <w:rFonts w:hint="eastAsia" w:ascii="Times New Roman" w:hAnsi="Times New Roman" w:eastAsia="宋体" w:cs="Times New Roman"/>
                <w:b/>
                <w:bCs/>
                <w:sz w:val="24"/>
                <w:highlight w:val="none"/>
                <w:lang w:val="en-US" w:eastAsia="zh-CN"/>
              </w:rPr>
              <w:t>3</w:t>
            </w:r>
            <w:r>
              <w:rPr>
                <w:rFonts w:hint="eastAsia" w:ascii="Times New Roman" w:hAnsi="Times New Roman" w:eastAsia="宋体" w:cs="Times New Roman"/>
                <w:b/>
                <w:bCs/>
                <w:sz w:val="24"/>
                <w:highlight w:val="none"/>
                <w:lang w:eastAsia="zh-CN"/>
              </w:rPr>
              <w:t>）</w:t>
            </w:r>
            <w:r>
              <w:rPr>
                <w:rFonts w:hint="eastAsia" w:ascii="Times New Roman" w:hAnsi="Times New Roman" w:eastAsia="宋体" w:cs="Times New Roman"/>
                <w:b/>
                <w:bCs/>
                <w:sz w:val="24"/>
                <w:highlight w:val="none"/>
              </w:rPr>
              <w:t>跟踪监测要求</w:t>
            </w:r>
          </w:p>
          <w:p w14:paraId="4CC5D1A1">
            <w:pPr>
              <w:adjustRightInd w:val="0"/>
              <w:snapToGrid w:val="0"/>
              <w:spacing w:line="360" w:lineRule="auto"/>
              <w:ind w:firstLine="480" w:firstLineChars="200"/>
              <w:rPr>
                <w:rFonts w:hint="default" w:ascii="Times New Roman" w:hAnsi="Times New Roman" w:eastAsia="宋体" w:cs="Times New Roman"/>
                <w:sz w:val="24"/>
                <w:highlight w:val="none"/>
                <w:lang w:val="en-US" w:eastAsia="zh-CN"/>
              </w:rPr>
            </w:pPr>
            <w:r>
              <w:rPr>
                <w:rFonts w:hint="eastAsia" w:ascii="Times New Roman" w:hAnsi="Times New Roman" w:eastAsia="宋体" w:cs="Times New Roman"/>
                <w:sz w:val="24"/>
                <w:highlight w:val="none"/>
                <w:lang w:val="en-US" w:eastAsia="zh-CN"/>
              </w:rPr>
              <w:t>根据《工业企业土壤和地下水自行监测技术指南（试行）》（HJ1209-2021），本项目监测计划详见下表；</w:t>
            </w:r>
          </w:p>
          <w:p w14:paraId="3084134F">
            <w:pPr>
              <w:pStyle w:val="48"/>
              <w:numPr>
                <w:ilvl w:val="0"/>
                <w:numId w:val="9"/>
              </w:numPr>
              <w:spacing w:line="360" w:lineRule="auto"/>
              <w:ind w:left="0" w:firstLine="0" w:firstLineChars="0"/>
              <w:jc w:val="center"/>
              <w:rPr>
                <w:rFonts w:ascii="Times New Roman" w:hAnsi="Times New Roman" w:eastAsia="宋体"/>
                <w:b/>
                <w:sz w:val="21"/>
                <w:highlight w:val="none"/>
              </w:rPr>
            </w:pPr>
            <w:r>
              <w:rPr>
                <w:rFonts w:hint="eastAsia" w:ascii="Times New Roman" w:hAnsi="Times New Roman" w:eastAsia="宋体"/>
                <w:b/>
                <w:sz w:val="21"/>
                <w:highlight w:val="none"/>
                <w:lang w:val="en-US" w:eastAsia="zh-CN"/>
              </w:rPr>
              <w:t>检测计划</w:t>
            </w:r>
            <w:r>
              <w:rPr>
                <w:rFonts w:hint="eastAsia" w:ascii="Times New Roman" w:hAnsi="Times New Roman" w:eastAsia="宋体"/>
                <w:b/>
                <w:sz w:val="21"/>
                <w:highlight w:val="none"/>
              </w:rPr>
              <w:t>一览表</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6"/>
              <w:gridCol w:w="1942"/>
              <w:gridCol w:w="3918"/>
              <w:gridCol w:w="1485"/>
            </w:tblGrid>
            <w:tr w14:paraId="0BB416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pct"/>
                  <w:noWrap w:val="0"/>
                  <w:vAlign w:val="center"/>
                </w:tcPr>
                <w:p w14:paraId="3CDFF190">
                  <w:pPr>
                    <w:jc w:val="center"/>
                    <w:rPr>
                      <w:rFonts w:ascii="Times New Roman" w:hAnsi="Times New Roman"/>
                      <w:b/>
                      <w:szCs w:val="21"/>
                      <w:highlight w:val="none"/>
                    </w:rPr>
                  </w:pPr>
                  <w:r>
                    <w:rPr>
                      <w:rFonts w:ascii="Times New Roman" w:hAnsi="Times New Roman"/>
                      <w:b/>
                      <w:szCs w:val="21"/>
                      <w:highlight w:val="none"/>
                    </w:rPr>
                    <w:t>环境要素</w:t>
                  </w:r>
                </w:p>
              </w:tc>
              <w:tc>
                <w:tcPr>
                  <w:tcW w:w="1147" w:type="pct"/>
                  <w:noWrap w:val="0"/>
                  <w:vAlign w:val="center"/>
                </w:tcPr>
                <w:p w14:paraId="7237B40D">
                  <w:pPr>
                    <w:jc w:val="center"/>
                    <w:rPr>
                      <w:rFonts w:ascii="Times New Roman" w:hAnsi="Times New Roman"/>
                      <w:b/>
                      <w:szCs w:val="21"/>
                      <w:highlight w:val="none"/>
                    </w:rPr>
                  </w:pPr>
                  <w:r>
                    <w:rPr>
                      <w:rFonts w:ascii="Times New Roman" w:hAnsi="Times New Roman"/>
                      <w:b/>
                      <w:szCs w:val="21"/>
                      <w:highlight w:val="none"/>
                    </w:rPr>
                    <w:t>监测位置</w:t>
                  </w:r>
                </w:p>
              </w:tc>
              <w:tc>
                <w:tcPr>
                  <w:tcW w:w="2314" w:type="pct"/>
                  <w:noWrap w:val="0"/>
                  <w:vAlign w:val="center"/>
                </w:tcPr>
                <w:p w14:paraId="7C19D894">
                  <w:pPr>
                    <w:jc w:val="center"/>
                    <w:rPr>
                      <w:rFonts w:ascii="Times New Roman" w:hAnsi="Times New Roman"/>
                      <w:b/>
                      <w:szCs w:val="21"/>
                      <w:highlight w:val="none"/>
                    </w:rPr>
                  </w:pPr>
                  <w:r>
                    <w:rPr>
                      <w:rFonts w:ascii="Times New Roman" w:hAnsi="Times New Roman"/>
                      <w:b/>
                      <w:szCs w:val="21"/>
                      <w:highlight w:val="none"/>
                    </w:rPr>
                    <w:t>监测项目</w:t>
                  </w:r>
                </w:p>
              </w:tc>
              <w:tc>
                <w:tcPr>
                  <w:tcW w:w="877" w:type="pct"/>
                  <w:noWrap w:val="0"/>
                  <w:vAlign w:val="center"/>
                </w:tcPr>
                <w:p w14:paraId="3042B9DE">
                  <w:pPr>
                    <w:jc w:val="center"/>
                    <w:rPr>
                      <w:rFonts w:ascii="Times New Roman" w:hAnsi="Times New Roman"/>
                      <w:b/>
                      <w:szCs w:val="21"/>
                      <w:highlight w:val="none"/>
                    </w:rPr>
                  </w:pPr>
                  <w:r>
                    <w:rPr>
                      <w:rFonts w:ascii="Times New Roman" w:hAnsi="Times New Roman"/>
                      <w:b/>
                      <w:szCs w:val="21"/>
                      <w:highlight w:val="none"/>
                    </w:rPr>
                    <w:t>频次</w:t>
                  </w:r>
                </w:p>
              </w:tc>
            </w:tr>
            <w:tr w14:paraId="35999D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659" w:type="pct"/>
                  <w:noWrap w:val="0"/>
                  <w:vAlign w:val="center"/>
                </w:tcPr>
                <w:p w14:paraId="07FFC264">
                  <w:pPr>
                    <w:jc w:val="center"/>
                    <w:rPr>
                      <w:rFonts w:ascii="Times New Roman" w:hAnsi="Times New Roman"/>
                      <w:szCs w:val="21"/>
                      <w:highlight w:val="none"/>
                    </w:rPr>
                  </w:pPr>
                  <w:r>
                    <w:rPr>
                      <w:rFonts w:ascii="Times New Roman" w:hAnsi="Times New Roman"/>
                      <w:szCs w:val="21"/>
                      <w:highlight w:val="none"/>
                    </w:rPr>
                    <w:t>地下水</w:t>
                  </w:r>
                </w:p>
              </w:tc>
              <w:tc>
                <w:tcPr>
                  <w:tcW w:w="1147" w:type="pct"/>
                  <w:noWrap w:val="0"/>
                  <w:vAlign w:val="center"/>
                </w:tcPr>
                <w:p w14:paraId="30C4FB3E">
                  <w:pPr>
                    <w:jc w:val="center"/>
                    <w:rPr>
                      <w:rFonts w:hint="default" w:ascii="Times New Roman" w:hAnsi="Times New Roman" w:eastAsia="宋体"/>
                      <w:szCs w:val="21"/>
                      <w:highlight w:val="none"/>
                      <w:lang w:val="en-US" w:eastAsia="zh-CN"/>
                    </w:rPr>
                  </w:pPr>
                  <w:r>
                    <w:rPr>
                      <w:rFonts w:hint="eastAsia" w:ascii="Times New Roman" w:hAnsi="Times New Roman"/>
                      <w:szCs w:val="21"/>
                      <w:highlight w:val="none"/>
                      <w:lang w:val="en-US" w:eastAsia="zh-CN"/>
                    </w:rPr>
                    <w:t>厂区上游对照井1座，</w:t>
                  </w:r>
                  <w:r>
                    <w:rPr>
                      <w:rFonts w:hint="eastAsia" w:ascii="Times New Roman" w:hAnsi="Times New Roman"/>
                      <w:szCs w:val="21"/>
                      <w:highlight w:val="none"/>
                    </w:rPr>
                    <w:t>厂区</w:t>
                  </w:r>
                  <w:r>
                    <w:rPr>
                      <w:rFonts w:hint="eastAsia" w:ascii="Times New Roman" w:hAnsi="Times New Roman"/>
                      <w:szCs w:val="21"/>
                      <w:highlight w:val="none"/>
                      <w:lang w:val="en-US" w:eastAsia="zh-CN"/>
                    </w:rPr>
                    <w:t>及厂区下游监控井各1座</w:t>
                  </w:r>
                </w:p>
              </w:tc>
              <w:tc>
                <w:tcPr>
                  <w:tcW w:w="2314" w:type="pct"/>
                  <w:noWrap w:val="0"/>
                  <w:vAlign w:val="center"/>
                </w:tcPr>
                <w:p w14:paraId="3C41A27A">
                  <w:pPr>
                    <w:ind w:firstLine="420" w:firstLineChars="200"/>
                    <w:jc w:val="left"/>
                    <w:rPr>
                      <w:rFonts w:ascii="Times New Roman" w:hAnsi="Times New Roman"/>
                      <w:szCs w:val="21"/>
                      <w:highlight w:val="none"/>
                    </w:rPr>
                  </w:pPr>
                  <w:r>
                    <w:rPr>
                      <w:rFonts w:ascii="Times New Roman" w:hAnsi="Times New Roman"/>
                      <w:szCs w:val="21"/>
                      <w:highlight w:val="none"/>
                    </w:rPr>
                    <w:t>K</w:t>
                  </w:r>
                  <w:r>
                    <w:rPr>
                      <w:rFonts w:ascii="Times New Roman" w:hAnsi="Times New Roman"/>
                      <w:szCs w:val="21"/>
                      <w:highlight w:val="none"/>
                      <w:vertAlign w:val="superscript"/>
                    </w:rPr>
                    <w:t>+</w:t>
                  </w:r>
                  <w:r>
                    <w:rPr>
                      <w:rFonts w:ascii="Times New Roman" w:hAnsi="Times New Roman"/>
                      <w:szCs w:val="21"/>
                      <w:highlight w:val="none"/>
                    </w:rPr>
                    <w:t>、Na</w:t>
                  </w:r>
                  <w:r>
                    <w:rPr>
                      <w:rFonts w:ascii="Times New Roman" w:hAnsi="Times New Roman"/>
                      <w:szCs w:val="21"/>
                      <w:highlight w:val="none"/>
                      <w:vertAlign w:val="superscript"/>
                    </w:rPr>
                    <w:t>+</w:t>
                  </w:r>
                  <w:r>
                    <w:rPr>
                      <w:rFonts w:ascii="Times New Roman" w:hAnsi="Times New Roman"/>
                      <w:szCs w:val="21"/>
                      <w:highlight w:val="none"/>
                    </w:rPr>
                    <w:t>、Ca</w:t>
                  </w:r>
                  <w:r>
                    <w:rPr>
                      <w:rFonts w:ascii="Times New Roman" w:hAnsi="Times New Roman"/>
                      <w:szCs w:val="21"/>
                      <w:highlight w:val="none"/>
                      <w:vertAlign w:val="superscript"/>
                    </w:rPr>
                    <w:t>2+</w:t>
                  </w:r>
                  <w:r>
                    <w:rPr>
                      <w:rFonts w:ascii="Times New Roman" w:hAnsi="Times New Roman"/>
                      <w:szCs w:val="21"/>
                      <w:highlight w:val="none"/>
                    </w:rPr>
                    <w:t>、Mg</w:t>
                  </w:r>
                  <w:r>
                    <w:rPr>
                      <w:rFonts w:ascii="Times New Roman" w:hAnsi="Times New Roman"/>
                      <w:szCs w:val="21"/>
                      <w:highlight w:val="none"/>
                      <w:vertAlign w:val="superscript"/>
                    </w:rPr>
                    <w:t>2+</w:t>
                  </w:r>
                  <w:r>
                    <w:rPr>
                      <w:rFonts w:ascii="Times New Roman" w:hAnsi="Times New Roman"/>
                      <w:szCs w:val="21"/>
                      <w:highlight w:val="none"/>
                    </w:rPr>
                    <w:t>、CO</w:t>
                  </w:r>
                  <w:r>
                    <w:rPr>
                      <w:rFonts w:ascii="Times New Roman" w:hAnsi="Times New Roman"/>
                      <w:szCs w:val="21"/>
                      <w:highlight w:val="none"/>
                      <w:vertAlign w:val="subscript"/>
                    </w:rPr>
                    <w:t>3</w:t>
                  </w:r>
                  <w:r>
                    <w:rPr>
                      <w:rFonts w:ascii="Times New Roman" w:hAnsi="Times New Roman"/>
                      <w:szCs w:val="21"/>
                      <w:highlight w:val="none"/>
                      <w:vertAlign w:val="superscript"/>
                    </w:rPr>
                    <w:t>2-</w:t>
                  </w:r>
                  <w:r>
                    <w:rPr>
                      <w:rFonts w:ascii="Times New Roman" w:hAnsi="Times New Roman"/>
                      <w:szCs w:val="21"/>
                      <w:highlight w:val="none"/>
                    </w:rPr>
                    <w:t>、HCO</w:t>
                  </w:r>
                  <w:r>
                    <w:rPr>
                      <w:rFonts w:ascii="Times New Roman" w:hAnsi="Times New Roman"/>
                      <w:szCs w:val="21"/>
                      <w:highlight w:val="none"/>
                      <w:vertAlign w:val="subscript"/>
                    </w:rPr>
                    <w:t>3</w:t>
                  </w:r>
                  <w:r>
                    <w:rPr>
                      <w:rFonts w:ascii="Times New Roman" w:hAnsi="Times New Roman"/>
                      <w:szCs w:val="21"/>
                      <w:highlight w:val="none"/>
                      <w:vertAlign w:val="superscript"/>
                    </w:rPr>
                    <w:t>-</w:t>
                  </w:r>
                  <w:r>
                    <w:rPr>
                      <w:rFonts w:ascii="Times New Roman" w:hAnsi="Times New Roman"/>
                      <w:szCs w:val="21"/>
                      <w:highlight w:val="none"/>
                    </w:rPr>
                    <w:t>、Cl</w:t>
                  </w:r>
                  <w:r>
                    <w:rPr>
                      <w:rFonts w:ascii="Times New Roman" w:hAnsi="Times New Roman"/>
                      <w:szCs w:val="21"/>
                      <w:highlight w:val="none"/>
                      <w:vertAlign w:val="superscript"/>
                    </w:rPr>
                    <w:t>-</w:t>
                  </w:r>
                  <w:r>
                    <w:rPr>
                      <w:rFonts w:ascii="Times New Roman" w:hAnsi="Times New Roman"/>
                      <w:szCs w:val="21"/>
                      <w:highlight w:val="none"/>
                    </w:rPr>
                    <w:t>、SO</w:t>
                  </w:r>
                  <w:r>
                    <w:rPr>
                      <w:rFonts w:ascii="Times New Roman" w:hAnsi="Times New Roman"/>
                      <w:szCs w:val="21"/>
                      <w:highlight w:val="none"/>
                      <w:vertAlign w:val="subscript"/>
                    </w:rPr>
                    <w:t>4</w:t>
                  </w:r>
                  <w:r>
                    <w:rPr>
                      <w:rFonts w:ascii="Times New Roman" w:hAnsi="Times New Roman"/>
                      <w:szCs w:val="21"/>
                      <w:highlight w:val="none"/>
                      <w:vertAlign w:val="superscript"/>
                    </w:rPr>
                    <w:t>2-</w:t>
                  </w:r>
                  <w:r>
                    <w:rPr>
                      <w:rFonts w:ascii="Times New Roman" w:hAnsi="Times New Roman"/>
                      <w:szCs w:val="21"/>
                      <w:highlight w:val="none"/>
                    </w:rPr>
                    <w:t>的浓度。</w:t>
                  </w:r>
                  <w:r>
                    <w:rPr>
                      <w:rFonts w:ascii="Times New Roman" w:hAnsi="Times New Roman"/>
                      <w:bCs/>
                      <w:szCs w:val="21"/>
                      <w:highlight w:val="none"/>
                    </w:rPr>
                    <w:t>色（铂钴色度单位）、嗅和味、浑浊度/NTU</w:t>
                  </w:r>
                  <w:r>
                    <w:rPr>
                      <w:rFonts w:ascii="Times New Roman" w:hAnsi="Times New Roman"/>
                      <w:bCs/>
                      <w:szCs w:val="21"/>
                      <w:highlight w:val="none"/>
                      <w:vertAlign w:val="superscript"/>
                    </w:rPr>
                    <w:t>a</w:t>
                  </w:r>
                  <w:r>
                    <w:rPr>
                      <w:rFonts w:ascii="Times New Roman" w:hAnsi="Times New Roman"/>
                      <w:bCs/>
                      <w:szCs w:val="21"/>
                      <w:highlight w:val="none"/>
                    </w:rPr>
                    <w:t>、肉眼可见物、pH、总硬度（以CaCO</w:t>
                  </w:r>
                  <w:r>
                    <w:rPr>
                      <w:rFonts w:ascii="Times New Roman" w:hAnsi="Times New Roman"/>
                      <w:bCs/>
                      <w:szCs w:val="21"/>
                      <w:highlight w:val="none"/>
                      <w:vertAlign w:val="subscript"/>
                    </w:rPr>
                    <w:t>3</w:t>
                  </w:r>
                  <w:r>
                    <w:rPr>
                      <w:rFonts w:ascii="Times New Roman" w:hAnsi="Times New Roman"/>
                      <w:bCs/>
                      <w:szCs w:val="21"/>
                      <w:highlight w:val="none"/>
                    </w:rPr>
                    <w:t>计）、溶解性总固体、</w:t>
                  </w:r>
                  <w:r>
                    <w:rPr>
                      <w:rFonts w:ascii="Times New Roman" w:hAnsi="Times New Roman"/>
                      <w:bCs/>
                      <w:snapToGrid w:val="0"/>
                      <w:kern w:val="0"/>
                      <w:szCs w:val="21"/>
                      <w:highlight w:val="none"/>
                    </w:rPr>
                    <w:t>硫酸盐、</w:t>
                  </w:r>
                  <w:r>
                    <w:rPr>
                      <w:rFonts w:ascii="Times New Roman" w:hAnsi="Times New Roman"/>
                      <w:bCs/>
                      <w:szCs w:val="21"/>
                      <w:highlight w:val="none"/>
                    </w:rPr>
                    <w:t>氯化物、</w:t>
                  </w:r>
                  <w:r>
                    <w:rPr>
                      <w:rFonts w:ascii="Times New Roman" w:hAnsi="Times New Roman"/>
                      <w:bCs/>
                      <w:spacing w:val="-8"/>
                      <w:szCs w:val="21"/>
                      <w:highlight w:val="none"/>
                    </w:rPr>
                    <w:t>铁、锰、</w:t>
                  </w:r>
                  <w:r>
                    <w:rPr>
                      <w:rFonts w:ascii="Times New Roman" w:hAnsi="Times New Roman"/>
                      <w:bCs/>
                      <w:szCs w:val="21"/>
                      <w:highlight w:val="none"/>
                    </w:rPr>
                    <w:t>铜、锌、铝、</w:t>
                  </w:r>
                  <w:r>
                    <w:rPr>
                      <w:rFonts w:ascii="Times New Roman" w:hAnsi="Times New Roman"/>
                      <w:bCs/>
                      <w:spacing w:val="-8"/>
                      <w:szCs w:val="21"/>
                      <w:highlight w:val="none"/>
                    </w:rPr>
                    <w:t>挥发性酚类（以苯酚计）、</w:t>
                  </w:r>
                  <w:r>
                    <w:rPr>
                      <w:rFonts w:ascii="Times New Roman" w:hAnsi="Times New Roman"/>
                      <w:bCs/>
                      <w:szCs w:val="21"/>
                      <w:highlight w:val="none"/>
                    </w:rPr>
                    <w:t>阴离子表面活性剂、耗氧量（COD</w:t>
                  </w:r>
                  <w:r>
                    <w:rPr>
                      <w:rFonts w:ascii="Times New Roman" w:hAnsi="Times New Roman"/>
                      <w:bCs/>
                      <w:szCs w:val="21"/>
                      <w:highlight w:val="none"/>
                      <w:vertAlign w:val="subscript"/>
                    </w:rPr>
                    <w:t>Mn</w:t>
                  </w:r>
                  <w:r>
                    <w:rPr>
                      <w:rFonts w:ascii="Times New Roman" w:hAnsi="Times New Roman"/>
                      <w:bCs/>
                      <w:szCs w:val="21"/>
                      <w:highlight w:val="none"/>
                    </w:rPr>
                    <w:t>法，以O</w:t>
                  </w:r>
                  <w:r>
                    <w:rPr>
                      <w:rFonts w:ascii="Times New Roman" w:hAnsi="Times New Roman"/>
                      <w:bCs/>
                      <w:szCs w:val="21"/>
                      <w:highlight w:val="none"/>
                      <w:vertAlign w:val="subscript"/>
                    </w:rPr>
                    <w:t>2</w:t>
                  </w:r>
                  <w:r>
                    <w:rPr>
                      <w:rFonts w:ascii="Times New Roman" w:hAnsi="Times New Roman"/>
                      <w:bCs/>
                      <w:szCs w:val="21"/>
                      <w:highlight w:val="none"/>
                    </w:rPr>
                    <w:t>计）、氨氮、硫化物、钠、</w:t>
                  </w:r>
                  <w:r>
                    <w:rPr>
                      <w:rFonts w:ascii="Times New Roman" w:hAnsi="Times New Roman"/>
                      <w:bCs/>
                      <w:snapToGrid w:val="0"/>
                      <w:kern w:val="0"/>
                      <w:szCs w:val="21"/>
                      <w:highlight w:val="none"/>
                    </w:rPr>
                    <w:t>总大肠菌群</w:t>
                  </w:r>
                  <w:r>
                    <w:rPr>
                      <w:rFonts w:ascii="Times New Roman" w:hAnsi="Times New Roman"/>
                      <w:bCs/>
                      <w:spacing w:val="-8"/>
                      <w:szCs w:val="21"/>
                      <w:highlight w:val="none"/>
                    </w:rPr>
                    <w:t>数</w:t>
                  </w:r>
                  <w:r>
                    <w:rPr>
                      <w:rFonts w:ascii="Times New Roman" w:hAnsi="Times New Roman"/>
                      <w:bCs/>
                      <w:szCs w:val="21"/>
                      <w:highlight w:val="none"/>
                    </w:rPr>
                    <w:t>、菌落总数</w:t>
                  </w:r>
                  <w:r>
                    <w:rPr>
                      <w:rFonts w:ascii="Times New Roman" w:hAnsi="Times New Roman"/>
                      <w:bCs/>
                      <w:snapToGrid w:val="0"/>
                      <w:kern w:val="0"/>
                      <w:szCs w:val="21"/>
                      <w:highlight w:val="none"/>
                    </w:rPr>
                    <w:t>、</w:t>
                  </w:r>
                  <w:r>
                    <w:rPr>
                      <w:rFonts w:ascii="Times New Roman" w:hAnsi="Times New Roman"/>
                      <w:bCs/>
                      <w:szCs w:val="21"/>
                      <w:highlight w:val="none"/>
                    </w:rPr>
                    <w:t>亚硝酸盐</w:t>
                  </w:r>
                  <w:r>
                    <w:rPr>
                      <w:rFonts w:hint="eastAsia"/>
                      <w:bCs/>
                      <w:szCs w:val="21"/>
                      <w:highlight w:val="none"/>
                      <w:lang w:eastAsia="zh-CN"/>
                    </w:rPr>
                    <w:t>（</w:t>
                  </w:r>
                  <w:r>
                    <w:rPr>
                      <w:rFonts w:ascii="Times New Roman" w:hAnsi="Times New Roman"/>
                      <w:bCs/>
                      <w:szCs w:val="21"/>
                      <w:highlight w:val="none"/>
                    </w:rPr>
                    <w:t>以N计</w:t>
                  </w:r>
                  <w:r>
                    <w:rPr>
                      <w:rFonts w:hint="eastAsia"/>
                      <w:bCs/>
                      <w:szCs w:val="21"/>
                      <w:highlight w:val="none"/>
                      <w:lang w:eastAsia="zh-CN"/>
                    </w:rPr>
                    <w:t>）</w:t>
                  </w:r>
                  <w:r>
                    <w:rPr>
                      <w:rFonts w:ascii="Times New Roman" w:hAnsi="Times New Roman"/>
                      <w:bCs/>
                      <w:snapToGrid w:val="0"/>
                      <w:kern w:val="0"/>
                      <w:szCs w:val="21"/>
                      <w:highlight w:val="none"/>
                    </w:rPr>
                    <w:t>、</w:t>
                  </w:r>
                  <w:r>
                    <w:rPr>
                      <w:rFonts w:ascii="Times New Roman" w:hAnsi="Times New Roman"/>
                      <w:bCs/>
                      <w:szCs w:val="21"/>
                      <w:highlight w:val="none"/>
                    </w:rPr>
                    <w:t>硝酸盐</w:t>
                  </w:r>
                  <w:r>
                    <w:rPr>
                      <w:rFonts w:hint="eastAsia"/>
                      <w:bCs/>
                      <w:szCs w:val="21"/>
                      <w:highlight w:val="none"/>
                      <w:lang w:eastAsia="zh-CN"/>
                    </w:rPr>
                    <w:t>（</w:t>
                  </w:r>
                  <w:r>
                    <w:rPr>
                      <w:rFonts w:ascii="Times New Roman" w:hAnsi="Times New Roman"/>
                      <w:bCs/>
                      <w:szCs w:val="21"/>
                      <w:highlight w:val="none"/>
                    </w:rPr>
                    <w:t>以N计</w:t>
                  </w:r>
                  <w:r>
                    <w:rPr>
                      <w:rFonts w:hint="eastAsia"/>
                      <w:bCs/>
                      <w:szCs w:val="21"/>
                      <w:highlight w:val="none"/>
                      <w:lang w:eastAsia="zh-CN"/>
                    </w:rPr>
                    <w:t>）</w:t>
                  </w:r>
                  <w:r>
                    <w:rPr>
                      <w:rFonts w:ascii="Times New Roman" w:hAnsi="Times New Roman"/>
                      <w:bCs/>
                      <w:szCs w:val="21"/>
                      <w:highlight w:val="none"/>
                    </w:rPr>
                    <w:t>、</w:t>
                  </w:r>
                  <w:r>
                    <w:rPr>
                      <w:rFonts w:ascii="Times New Roman" w:hAnsi="Times New Roman"/>
                      <w:bCs/>
                      <w:spacing w:val="-8"/>
                      <w:szCs w:val="21"/>
                      <w:highlight w:val="none"/>
                    </w:rPr>
                    <w:t>氰化物、</w:t>
                  </w:r>
                  <w:r>
                    <w:rPr>
                      <w:rFonts w:ascii="Times New Roman" w:hAnsi="Times New Roman"/>
                      <w:bCs/>
                      <w:szCs w:val="21"/>
                      <w:highlight w:val="none"/>
                    </w:rPr>
                    <w:t>氟化物</w:t>
                  </w:r>
                  <w:r>
                    <w:rPr>
                      <w:rFonts w:ascii="Times New Roman" w:hAnsi="Times New Roman"/>
                      <w:bCs/>
                      <w:spacing w:val="-8"/>
                      <w:szCs w:val="21"/>
                      <w:highlight w:val="none"/>
                    </w:rPr>
                    <w:t>、</w:t>
                  </w:r>
                  <w:r>
                    <w:rPr>
                      <w:rFonts w:ascii="Times New Roman" w:hAnsi="Times New Roman"/>
                      <w:bCs/>
                      <w:szCs w:val="21"/>
                      <w:highlight w:val="none"/>
                    </w:rPr>
                    <w:t>碘化物、</w:t>
                  </w:r>
                  <w:r>
                    <w:rPr>
                      <w:rFonts w:ascii="Times New Roman" w:hAnsi="Times New Roman"/>
                      <w:bCs/>
                      <w:snapToGrid w:val="0"/>
                      <w:kern w:val="0"/>
                      <w:szCs w:val="21"/>
                      <w:highlight w:val="none"/>
                    </w:rPr>
                    <w:t>汞、砷、</w:t>
                  </w:r>
                  <w:r>
                    <w:rPr>
                      <w:rFonts w:ascii="Times New Roman" w:hAnsi="Times New Roman"/>
                      <w:bCs/>
                      <w:szCs w:val="21"/>
                      <w:highlight w:val="none"/>
                    </w:rPr>
                    <w:t>硒、</w:t>
                  </w:r>
                  <w:r>
                    <w:rPr>
                      <w:rFonts w:ascii="Times New Roman" w:hAnsi="Times New Roman"/>
                      <w:bCs/>
                      <w:snapToGrid w:val="0"/>
                      <w:kern w:val="0"/>
                      <w:szCs w:val="21"/>
                      <w:highlight w:val="none"/>
                    </w:rPr>
                    <w:t>镉、六价铬、铅、石油类</w:t>
                  </w:r>
                  <w:r>
                    <w:rPr>
                      <w:rFonts w:ascii="Times New Roman" w:hAnsi="Times New Roman"/>
                      <w:szCs w:val="21"/>
                      <w:highlight w:val="none"/>
                    </w:rPr>
                    <w:t>。</w:t>
                  </w:r>
                </w:p>
              </w:tc>
              <w:tc>
                <w:tcPr>
                  <w:tcW w:w="877" w:type="pct"/>
                  <w:noWrap w:val="0"/>
                  <w:vAlign w:val="center"/>
                </w:tcPr>
                <w:p w14:paraId="22793D77">
                  <w:pPr>
                    <w:jc w:val="center"/>
                    <w:rPr>
                      <w:rFonts w:hint="default" w:ascii="Times New Roman" w:hAnsi="Times New Roman" w:eastAsia="宋体"/>
                      <w:szCs w:val="21"/>
                      <w:highlight w:val="none"/>
                      <w:lang w:val="en-US" w:eastAsia="zh-CN"/>
                    </w:rPr>
                  </w:pPr>
                  <w:r>
                    <w:rPr>
                      <w:rFonts w:hint="eastAsia" w:ascii="Times New Roman" w:hAnsi="Times New Roman"/>
                      <w:szCs w:val="21"/>
                      <w:highlight w:val="none"/>
                      <w:lang w:val="en-US" w:eastAsia="zh-CN"/>
                    </w:rPr>
                    <w:t>每半年一次</w:t>
                  </w:r>
                </w:p>
              </w:tc>
            </w:tr>
          </w:tbl>
          <w:p w14:paraId="1E0A30FB">
            <w:pPr>
              <w:numPr>
                <w:ilvl w:val="0"/>
                <w:numId w:val="11"/>
              </w:numPr>
              <w:spacing w:line="360" w:lineRule="auto"/>
              <w:ind w:firstLine="482"/>
              <w:rPr>
                <w:b/>
                <w:sz w:val="24"/>
                <w:highlight w:val="none"/>
              </w:rPr>
            </w:pPr>
            <w:r>
              <w:rPr>
                <w:rFonts w:hint="eastAsia"/>
                <w:b/>
                <w:sz w:val="24"/>
                <w:highlight w:val="none"/>
              </w:rPr>
              <w:t>土壤</w:t>
            </w:r>
          </w:p>
          <w:p w14:paraId="602ED971">
            <w:pPr>
              <w:autoSpaceDE w:val="0"/>
              <w:autoSpaceDN w:val="0"/>
              <w:adjustRightInd w:val="0"/>
              <w:snapToGrid w:val="0"/>
              <w:spacing w:line="360" w:lineRule="auto"/>
              <w:ind w:firstLine="480"/>
              <w:rPr>
                <w:rFonts w:ascii="Times New Roman" w:hAnsi="Times New Roman"/>
                <w:b/>
                <w:bCs/>
                <w:sz w:val="24"/>
                <w:highlight w:val="none"/>
              </w:rPr>
            </w:pPr>
            <w:r>
              <w:rPr>
                <w:rFonts w:hint="eastAsia" w:ascii="Times New Roman" w:hAnsi="Times New Roman"/>
                <w:b/>
                <w:bCs/>
                <w:sz w:val="24"/>
                <w:highlight w:val="none"/>
              </w:rPr>
              <w:t>（1）污染物类型及污染途径</w:t>
            </w:r>
          </w:p>
          <w:p w14:paraId="54471893">
            <w:pPr>
              <w:pStyle w:val="48"/>
              <w:numPr>
                <w:ilvl w:val="0"/>
                <w:numId w:val="9"/>
              </w:numPr>
              <w:spacing w:line="360" w:lineRule="auto"/>
              <w:ind w:left="0" w:firstLine="0" w:firstLineChars="0"/>
              <w:jc w:val="center"/>
              <w:rPr>
                <w:rFonts w:ascii="Times New Roman" w:hAnsi="Times New Roman" w:eastAsia="宋体"/>
                <w:b/>
                <w:sz w:val="21"/>
                <w:highlight w:val="none"/>
              </w:rPr>
            </w:pPr>
            <w:r>
              <w:rPr>
                <w:rFonts w:hint="eastAsia" w:ascii="Times New Roman" w:hAnsi="Times New Roman" w:eastAsia="宋体"/>
                <w:b/>
                <w:sz w:val="21"/>
                <w:highlight w:val="none"/>
                <w:lang w:val="en-US" w:eastAsia="zh-CN"/>
              </w:rPr>
              <w:t>本项目土壤环境影响源及影响因子识别表</w:t>
            </w:r>
          </w:p>
          <w:tbl>
            <w:tblPr>
              <w:tblStyle w:val="21"/>
              <w:tblW w:w="5000" w:type="pct"/>
              <w:tblInd w:w="0" w:type="dxa"/>
              <w:tblLayout w:type="autofit"/>
              <w:tblCellMar>
                <w:top w:w="0" w:type="dxa"/>
                <w:left w:w="108" w:type="dxa"/>
                <w:bottom w:w="0" w:type="dxa"/>
                <w:right w:w="108" w:type="dxa"/>
              </w:tblCellMar>
            </w:tblPr>
            <w:tblGrid>
              <w:gridCol w:w="943"/>
              <w:gridCol w:w="2134"/>
              <w:gridCol w:w="1358"/>
              <w:gridCol w:w="1863"/>
              <w:gridCol w:w="1215"/>
              <w:gridCol w:w="958"/>
            </w:tblGrid>
            <w:tr w14:paraId="56250F46">
              <w:tblPrEx>
                <w:tblCellMar>
                  <w:top w:w="0" w:type="dxa"/>
                  <w:left w:w="108" w:type="dxa"/>
                  <w:bottom w:w="0" w:type="dxa"/>
                  <w:right w:w="108" w:type="dxa"/>
                </w:tblCellMar>
              </w:tblPrEx>
              <w:trPr>
                <w:trHeight w:val="397" w:hRule="atLeast"/>
              </w:trPr>
              <w:tc>
                <w:tcPr>
                  <w:tcW w:w="556" w:type="pct"/>
                  <w:tcBorders>
                    <w:top w:val="single" w:color="000000" w:sz="4" w:space="0"/>
                    <w:left w:val="single" w:color="000000" w:sz="4" w:space="0"/>
                    <w:bottom w:val="single" w:color="000000" w:sz="4" w:space="0"/>
                    <w:right w:val="single" w:color="000000" w:sz="4" w:space="0"/>
                  </w:tcBorders>
                  <w:noWrap w:val="0"/>
                  <w:vAlign w:val="center"/>
                </w:tcPr>
                <w:p w14:paraId="3660C56A">
                  <w:pPr>
                    <w:pStyle w:val="56"/>
                    <w:rPr>
                      <w:b/>
                      <w:bCs/>
                      <w:highlight w:val="none"/>
                    </w:rPr>
                  </w:pPr>
                  <w:r>
                    <w:rPr>
                      <w:b/>
                      <w:bCs/>
                      <w:highlight w:val="none"/>
                    </w:rPr>
                    <w:t>污染源</w:t>
                  </w:r>
                </w:p>
              </w:tc>
              <w:tc>
                <w:tcPr>
                  <w:tcW w:w="1259" w:type="pct"/>
                  <w:tcBorders>
                    <w:top w:val="single" w:color="000000" w:sz="4" w:space="0"/>
                    <w:left w:val="single" w:color="000000" w:sz="4" w:space="0"/>
                    <w:bottom w:val="single" w:color="000000" w:sz="4" w:space="0"/>
                    <w:right w:val="single" w:color="000000" w:sz="4" w:space="0"/>
                  </w:tcBorders>
                  <w:noWrap w:val="0"/>
                  <w:vAlign w:val="center"/>
                </w:tcPr>
                <w:p w14:paraId="1EC6883C">
                  <w:pPr>
                    <w:pStyle w:val="56"/>
                    <w:rPr>
                      <w:b/>
                      <w:bCs/>
                      <w:highlight w:val="none"/>
                    </w:rPr>
                  </w:pPr>
                  <w:r>
                    <w:rPr>
                      <w:b/>
                      <w:bCs/>
                      <w:highlight w:val="none"/>
                    </w:rPr>
                    <w:t>工艺流程/节点</w:t>
                  </w:r>
                </w:p>
              </w:tc>
              <w:tc>
                <w:tcPr>
                  <w:tcW w:w="801" w:type="pct"/>
                  <w:tcBorders>
                    <w:top w:val="single" w:color="000000" w:sz="4" w:space="0"/>
                    <w:left w:val="single" w:color="000000" w:sz="4" w:space="0"/>
                    <w:bottom w:val="single" w:color="000000" w:sz="4" w:space="0"/>
                    <w:right w:val="single" w:color="000000" w:sz="4" w:space="0"/>
                  </w:tcBorders>
                  <w:noWrap w:val="0"/>
                  <w:vAlign w:val="center"/>
                </w:tcPr>
                <w:p w14:paraId="0C0E1D9D">
                  <w:pPr>
                    <w:pStyle w:val="56"/>
                    <w:rPr>
                      <w:b/>
                      <w:bCs/>
                      <w:highlight w:val="none"/>
                    </w:rPr>
                  </w:pPr>
                  <w:r>
                    <w:rPr>
                      <w:b/>
                      <w:bCs/>
                      <w:highlight w:val="none"/>
                    </w:rPr>
                    <w:t>污染途径</w:t>
                  </w:r>
                </w:p>
              </w:tc>
              <w:tc>
                <w:tcPr>
                  <w:tcW w:w="1099" w:type="pct"/>
                  <w:tcBorders>
                    <w:top w:val="single" w:color="000000" w:sz="4" w:space="0"/>
                    <w:left w:val="single" w:color="000000" w:sz="4" w:space="0"/>
                    <w:bottom w:val="single" w:color="000000" w:sz="4" w:space="0"/>
                    <w:right w:val="single" w:color="000000" w:sz="4" w:space="0"/>
                  </w:tcBorders>
                  <w:noWrap w:val="0"/>
                  <w:vAlign w:val="center"/>
                </w:tcPr>
                <w:p w14:paraId="3B15D109">
                  <w:pPr>
                    <w:pStyle w:val="56"/>
                    <w:rPr>
                      <w:b/>
                      <w:bCs/>
                      <w:highlight w:val="none"/>
                    </w:rPr>
                  </w:pPr>
                  <w:r>
                    <w:rPr>
                      <w:b/>
                      <w:bCs/>
                      <w:highlight w:val="none"/>
                    </w:rPr>
                    <w:t>污染物指标</w:t>
                  </w:r>
                </w:p>
              </w:tc>
              <w:tc>
                <w:tcPr>
                  <w:tcW w:w="717" w:type="pct"/>
                  <w:tcBorders>
                    <w:top w:val="single" w:color="000000" w:sz="4" w:space="0"/>
                    <w:left w:val="single" w:color="000000" w:sz="4" w:space="0"/>
                    <w:bottom w:val="single" w:color="000000" w:sz="4" w:space="0"/>
                    <w:right w:val="single" w:color="000000" w:sz="4" w:space="0"/>
                  </w:tcBorders>
                  <w:noWrap w:val="0"/>
                  <w:vAlign w:val="center"/>
                </w:tcPr>
                <w:p w14:paraId="218B4FCF">
                  <w:pPr>
                    <w:pStyle w:val="56"/>
                    <w:rPr>
                      <w:b/>
                      <w:bCs/>
                      <w:highlight w:val="none"/>
                    </w:rPr>
                  </w:pPr>
                  <w:r>
                    <w:rPr>
                      <w:b/>
                      <w:bCs/>
                      <w:highlight w:val="none"/>
                    </w:rPr>
                    <w:t>特征因子</w:t>
                  </w:r>
                </w:p>
              </w:tc>
              <w:tc>
                <w:tcPr>
                  <w:tcW w:w="565" w:type="pct"/>
                  <w:tcBorders>
                    <w:top w:val="single" w:color="000000" w:sz="4" w:space="0"/>
                    <w:left w:val="single" w:color="000000" w:sz="4" w:space="0"/>
                    <w:bottom w:val="single" w:color="000000" w:sz="4" w:space="0"/>
                    <w:right w:val="single" w:color="000000" w:sz="4" w:space="0"/>
                  </w:tcBorders>
                  <w:noWrap w:val="0"/>
                  <w:vAlign w:val="center"/>
                </w:tcPr>
                <w:p w14:paraId="66A22E37">
                  <w:pPr>
                    <w:pStyle w:val="56"/>
                    <w:rPr>
                      <w:rFonts w:hint="eastAsia"/>
                      <w:b/>
                      <w:bCs/>
                      <w:highlight w:val="none"/>
                    </w:rPr>
                  </w:pPr>
                  <w:r>
                    <w:rPr>
                      <w:rFonts w:hint="eastAsia"/>
                      <w:b/>
                      <w:bCs/>
                      <w:highlight w:val="none"/>
                    </w:rPr>
                    <w:t>影响途径</w:t>
                  </w:r>
                </w:p>
              </w:tc>
            </w:tr>
            <w:tr w14:paraId="7DF8E05D">
              <w:tblPrEx>
                <w:tblCellMar>
                  <w:top w:w="0" w:type="dxa"/>
                  <w:left w:w="108" w:type="dxa"/>
                  <w:bottom w:w="0" w:type="dxa"/>
                  <w:right w:w="108" w:type="dxa"/>
                </w:tblCellMar>
              </w:tblPrEx>
              <w:trPr>
                <w:trHeight w:val="397" w:hRule="atLeast"/>
              </w:trPr>
              <w:tc>
                <w:tcPr>
                  <w:tcW w:w="556" w:type="pct"/>
                  <w:tcBorders>
                    <w:top w:val="single" w:color="000000" w:sz="4" w:space="0"/>
                    <w:left w:val="single" w:color="000000" w:sz="4" w:space="0"/>
                    <w:bottom w:val="single" w:color="000000" w:sz="4" w:space="0"/>
                    <w:right w:val="single" w:color="000000" w:sz="4" w:space="0"/>
                  </w:tcBorders>
                  <w:noWrap w:val="0"/>
                  <w:vAlign w:val="center"/>
                </w:tcPr>
                <w:p w14:paraId="20BC96F2">
                  <w:pPr>
                    <w:pStyle w:val="56"/>
                    <w:rPr>
                      <w:rFonts w:hint="eastAsia" w:eastAsia="宋体"/>
                      <w:highlight w:val="none"/>
                      <w:lang w:eastAsia="zh-CN"/>
                    </w:rPr>
                  </w:pPr>
                  <w:r>
                    <w:rPr>
                      <w:rFonts w:hint="eastAsia"/>
                      <w:highlight w:val="none"/>
                      <w:lang w:eastAsia="zh-CN"/>
                    </w:rPr>
                    <w:t>危险废物收集贮存库</w:t>
                  </w:r>
                </w:p>
              </w:tc>
              <w:tc>
                <w:tcPr>
                  <w:tcW w:w="1259" w:type="pct"/>
                  <w:tcBorders>
                    <w:top w:val="single" w:color="000000" w:sz="4" w:space="0"/>
                    <w:left w:val="single" w:color="000000" w:sz="4" w:space="0"/>
                    <w:bottom w:val="single" w:color="000000" w:sz="4" w:space="0"/>
                    <w:right w:val="single" w:color="000000" w:sz="4" w:space="0"/>
                  </w:tcBorders>
                  <w:noWrap w:val="0"/>
                  <w:vAlign w:val="center"/>
                </w:tcPr>
                <w:p w14:paraId="59ECE5A6">
                  <w:pPr>
                    <w:pStyle w:val="56"/>
                    <w:rPr>
                      <w:highlight w:val="none"/>
                    </w:rPr>
                  </w:pPr>
                  <w:r>
                    <w:rPr>
                      <w:highlight w:val="none"/>
                    </w:rPr>
                    <w:t>废</w:t>
                  </w:r>
                  <w:r>
                    <w:rPr>
                      <w:rFonts w:hint="eastAsia"/>
                      <w:highlight w:val="none"/>
                      <w:lang w:val="en-US" w:eastAsia="zh-CN"/>
                    </w:rPr>
                    <w:t>矿物</w:t>
                  </w:r>
                  <w:r>
                    <w:rPr>
                      <w:highlight w:val="none"/>
                    </w:rPr>
                    <w:t>油储存</w:t>
                  </w:r>
                </w:p>
                <w:p w14:paraId="6DFA62A4">
                  <w:pPr>
                    <w:pStyle w:val="56"/>
                    <w:rPr>
                      <w:highlight w:val="none"/>
                    </w:rPr>
                  </w:pPr>
                  <w:r>
                    <w:rPr>
                      <w:rFonts w:hint="eastAsia"/>
                      <w:highlight w:val="none"/>
                    </w:rPr>
                    <w:t>含汞废液储存</w:t>
                  </w:r>
                </w:p>
              </w:tc>
              <w:tc>
                <w:tcPr>
                  <w:tcW w:w="801" w:type="pct"/>
                  <w:tcBorders>
                    <w:top w:val="single" w:color="000000" w:sz="4" w:space="0"/>
                    <w:left w:val="single" w:color="000000" w:sz="4" w:space="0"/>
                    <w:bottom w:val="single" w:color="000000" w:sz="4" w:space="0"/>
                    <w:right w:val="single" w:color="000000" w:sz="4" w:space="0"/>
                  </w:tcBorders>
                  <w:noWrap w:val="0"/>
                  <w:vAlign w:val="center"/>
                </w:tcPr>
                <w:p w14:paraId="5194F99C">
                  <w:pPr>
                    <w:pStyle w:val="56"/>
                    <w:rPr>
                      <w:highlight w:val="none"/>
                    </w:rPr>
                  </w:pPr>
                  <w:r>
                    <w:rPr>
                      <w:highlight w:val="none"/>
                    </w:rPr>
                    <w:t>垂直入渗</w:t>
                  </w:r>
                </w:p>
              </w:tc>
              <w:tc>
                <w:tcPr>
                  <w:tcW w:w="1099" w:type="pct"/>
                  <w:tcBorders>
                    <w:top w:val="single" w:color="000000" w:sz="4" w:space="0"/>
                    <w:left w:val="single" w:color="000000" w:sz="4" w:space="0"/>
                    <w:bottom w:val="single" w:color="000000" w:sz="4" w:space="0"/>
                    <w:right w:val="single" w:color="000000" w:sz="4" w:space="0"/>
                  </w:tcBorders>
                  <w:noWrap w:val="0"/>
                  <w:vAlign w:val="center"/>
                </w:tcPr>
                <w:p w14:paraId="5526864C">
                  <w:pPr>
                    <w:pStyle w:val="56"/>
                    <w:rPr>
                      <w:highlight w:val="none"/>
                    </w:rPr>
                  </w:pPr>
                  <w:r>
                    <w:rPr>
                      <w:highlight w:val="none"/>
                    </w:rPr>
                    <w:t>渗滤液、废</w:t>
                  </w:r>
                  <w:r>
                    <w:rPr>
                      <w:rFonts w:hint="eastAsia"/>
                      <w:highlight w:val="none"/>
                      <w:lang w:val="en-US" w:eastAsia="zh-CN"/>
                    </w:rPr>
                    <w:t>矿物</w:t>
                  </w:r>
                  <w:r>
                    <w:rPr>
                      <w:highlight w:val="none"/>
                    </w:rPr>
                    <w:t>油</w:t>
                  </w:r>
                  <w:r>
                    <w:rPr>
                      <w:rFonts w:hint="eastAsia"/>
                      <w:highlight w:val="none"/>
                    </w:rPr>
                    <w:t>、含汞废液</w:t>
                  </w:r>
                </w:p>
              </w:tc>
              <w:tc>
                <w:tcPr>
                  <w:tcW w:w="717" w:type="pct"/>
                  <w:tcBorders>
                    <w:top w:val="single" w:color="000000" w:sz="4" w:space="0"/>
                    <w:left w:val="single" w:color="000000" w:sz="4" w:space="0"/>
                    <w:bottom w:val="single" w:color="000000" w:sz="4" w:space="0"/>
                    <w:right w:val="single" w:color="000000" w:sz="4" w:space="0"/>
                  </w:tcBorders>
                  <w:noWrap w:val="0"/>
                  <w:vAlign w:val="center"/>
                </w:tcPr>
                <w:p w14:paraId="535106C9">
                  <w:pPr>
                    <w:pStyle w:val="56"/>
                    <w:rPr>
                      <w:highlight w:val="none"/>
                    </w:rPr>
                  </w:pPr>
                  <w:r>
                    <w:rPr>
                      <w:highlight w:val="none"/>
                    </w:rPr>
                    <w:t>石油烃、</w:t>
                  </w:r>
                  <w:r>
                    <w:rPr>
                      <w:rFonts w:hint="eastAsia"/>
                      <w:highlight w:val="none"/>
                    </w:rPr>
                    <w:t>汞</w:t>
                  </w:r>
                </w:p>
              </w:tc>
              <w:tc>
                <w:tcPr>
                  <w:tcW w:w="565" w:type="pct"/>
                  <w:tcBorders>
                    <w:top w:val="single" w:color="000000" w:sz="4" w:space="0"/>
                    <w:left w:val="single" w:color="000000" w:sz="4" w:space="0"/>
                    <w:bottom w:val="single" w:color="000000" w:sz="4" w:space="0"/>
                    <w:right w:val="single" w:color="000000" w:sz="4" w:space="0"/>
                  </w:tcBorders>
                  <w:noWrap w:val="0"/>
                  <w:vAlign w:val="center"/>
                </w:tcPr>
                <w:p w14:paraId="677F0503">
                  <w:pPr>
                    <w:pStyle w:val="56"/>
                    <w:rPr>
                      <w:rFonts w:hint="eastAsia"/>
                      <w:highlight w:val="none"/>
                    </w:rPr>
                  </w:pPr>
                  <w:r>
                    <w:rPr>
                      <w:rFonts w:hint="eastAsia"/>
                      <w:highlight w:val="none"/>
                    </w:rPr>
                    <w:t>垂直入渗</w:t>
                  </w:r>
                </w:p>
              </w:tc>
            </w:tr>
          </w:tbl>
          <w:p w14:paraId="26DC4AA3">
            <w:pPr>
              <w:pStyle w:val="77"/>
              <w:spacing w:line="360" w:lineRule="auto"/>
              <w:ind w:firstLine="480"/>
              <w:rPr>
                <w:rFonts w:ascii="Times New Roman" w:hAnsi="Times New Roman" w:cs="Times New Roman"/>
                <w:sz w:val="24"/>
                <w:szCs w:val="24"/>
                <w:highlight w:val="none"/>
              </w:rPr>
            </w:pPr>
            <w:r>
              <w:rPr>
                <w:rFonts w:ascii="Times New Roman" w:hAnsi="Times New Roman" w:cs="Times New Roman"/>
                <w:sz w:val="24"/>
                <w:szCs w:val="24"/>
                <w:highlight w:val="none"/>
                <w:lang w:val="en-US" w:eastAsia="zh-CN" w:bidi="ar-SA"/>
              </w:rPr>
              <w:t>项目</w:t>
            </w:r>
            <w:r>
              <w:rPr>
                <w:rFonts w:hint="eastAsia" w:ascii="Times New Roman" w:hAnsi="Times New Roman" w:cs="Times New Roman"/>
                <w:sz w:val="24"/>
                <w:szCs w:val="24"/>
                <w:highlight w:val="none"/>
                <w:lang w:val="en-US" w:eastAsia="zh-CN" w:bidi="ar-SA"/>
              </w:rPr>
              <w:t>危险废物收集贮存库</w:t>
            </w:r>
            <w:r>
              <w:rPr>
                <w:rFonts w:ascii="Times New Roman" w:hAnsi="Times New Roman" w:cs="Times New Roman"/>
                <w:sz w:val="24"/>
                <w:szCs w:val="24"/>
                <w:highlight w:val="none"/>
                <w:lang w:val="en-US" w:eastAsia="zh-CN" w:bidi="ar-SA"/>
              </w:rPr>
              <w:t>采用重点防渗，</w:t>
            </w:r>
            <w:r>
              <w:rPr>
                <w:rFonts w:ascii="Times New Roman" w:hAnsi="Times New Roman" w:cs="Times New Roman"/>
                <w:sz w:val="24"/>
                <w:szCs w:val="24"/>
                <w:highlight w:val="none"/>
              </w:rPr>
              <w:t>建设单位应加强监管，加强对防渗层和贮存容器的检查，发现问题及时处理</w:t>
            </w:r>
            <w:r>
              <w:rPr>
                <w:rFonts w:hint="eastAsia" w:ascii="Times New Roman" w:hAnsi="Times New Roman" w:cs="Times New Roman"/>
                <w:sz w:val="24"/>
                <w:szCs w:val="24"/>
                <w:highlight w:val="none"/>
                <w:lang w:eastAsia="zh-CN"/>
              </w:rPr>
              <w:t>，</w:t>
            </w:r>
            <w:r>
              <w:rPr>
                <w:rFonts w:ascii="Times New Roman" w:hAnsi="Times New Roman" w:cs="Times New Roman"/>
                <w:sz w:val="24"/>
                <w:szCs w:val="24"/>
                <w:highlight w:val="none"/>
              </w:rPr>
              <w:t>采取以上措施后，项目运行对周围土壤环境影响较小。同时，在运输过程中，应加强风险防控措施，杜绝因发生事故造成</w:t>
            </w:r>
            <w:r>
              <w:rPr>
                <w:rFonts w:hint="eastAsia" w:ascii="Times New Roman" w:hAnsi="Times New Roman" w:cs="Times New Roman"/>
                <w:sz w:val="24"/>
                <w:szCs w:val="24"/>
                <w:highlight w:val="none"/>
              </w:rPr>
              <w:t>渗滤液</w:t>
            </w:r>
            <w:r>
              <w:rPr>
                <w:rFonts w:ascii="Times New Roman" w:hAnsi="Times New Roman" w:cs="Times New Roman"/>
                <w:sz w:val="24"/>
                <w:szCs w:val="24"/>
                <w:highlight w:val="none"/>
                <w:lang w:eastAsia="zh-CN"/>
              </w:rPr>
              <w:t>、</w:t>
            </w:r>
            <w:r>
              <w:rPr>
                <w:rFonts w:ascii="Times New Roman" w:hAnsi="Times New Roman" w:cs="Times New Roman"/>
                <w:sz w:val="24"/>
                <w:szCs w:val="24"/>
                <w:highlight w:val="none"/>
                <w:lang w:val="en-US" w:eastAsia="zh-CN"/>
              </w:rPr>
              <w:t>废矿物油等</w:t>
            </w:r>
            <w:r>
              <w:rPr>
                <w:rFonts w:ascii="Times New Roman" w:hAnsi="Times New Roman" w:cs="Times New Roman"/>
                <w:sz w:val="24"/>
                <w:szCs w:val="24"/>
                <w:highlight w:val="none"/>
              </w:rPr>
              <w:t>泄漏进入土壤，造成土壤污染。</w:t>
            </w:r>
          </w:p>
          <w:p w14:paraId="1AFC02BC">
            <w:pPr>
              <w:pStyle w:val="77"/>
              <w:spacing w:line="360" w:lineRule="auto"/>
              <w:ind w:firstLine="480"/>
              <w:rPr>
                <w:rFonts w:ascii="Times New Roman" w:hAnsi="Times New Roman"/>
                <w:sz w:val="24"/>
                <w:highlight w:val="none"/>
              </w:rPr>
            </w:pPr>
            <w:r>
              <w:rPr>
                <w:rFonts w:ascii="Times New Roman" w:hAnsi="Times New Roman"/>
                <w:sz w:val="24"/>
                <w:highlight w:val="none"/>
              </w:rPr>
              <w:t>通过以上措施，本项目对周围土壤影响较小</w:t>
            </w:r>
            <w:r>
              <w:rPr>
                <w:rFonts w:hint="eastAsia" w:ascii="Times New Roman" w:hAnsi="Times New Roman"/>
                <w:sz w:val="24"/>
                <w:highlight w:val="none"/>
                <w:lang w:eastAsia="zh-CN"/>
              </w:rPr>
              <w:t>。</w:t>
            </w:r>
          </w:p>
          <w:p w14:paraId="7BABB5AB">
            <w:pPr>
              <w:autoSpaceDE w:val="0"/>
              <w:autoSpaceDN w:val="0"/>
              <w:adjustRightInd w:val="0"/>
              <w:snapToGrid w:val="0"/>
              <w:spacing w:line="360" w:lineRule="auto"/>
              <w:ind w:firstLine="480"/>
              <w:rPr>
                <w:rFonts w:hint="default"/>
                <w:highlight w:val="none"/>
                <w:lang w:val="en-US"/>
              </w:rPr>
            </w:pPr>
            <w:r>
              <w:rPr>
                <w:rFonts w:hint="eastAsia" w:ascii="Times New Roman" w:hAnsi="Times New Roman" w:eastAsia="宋体" w:cs="Times New Roman"/>
                <w:b/>
                <w:bCs/>
                <w:sz w:val="24"/>
                <w:highlight w:val="none"/>
                <w:lang w:val="en-US" w:eastAsia="zh-CN"/>
              </w:rPr>
              <w:t>（2）跟踪检测要求</w:t>
            </w:r>
          </w:p>
          <w:p w14:paraId="7C36B3EC">
            <w:pPr>
              <w:spacing w:line="360" w:lineRule="auto"/>
              <w:ind w:firstLine="482"/>
              <w:rPr>
                <w:rFonts w:hint="eastAsia"/>
                <w:b/>
                <w:sz w:val="24"/>
                <w:highlight w:val="none"/>
                <w:lang w:val="en-US" w:eastAsia="zh-CN"/>
              </w:rPr>
            </w:pPr>
            <w:r>
              <w:rPr>
                <w:rFonts w:hint="eastAsia" w:ascii="Times New Roman" w:hAnsi="Times New Roman" w:eastAsia="宋体" w:cs="Times New Roman"/>
                <w:sz w:val="24"/>
                <w:highlight w:val="none"/>
                <w:lang w:val="en-US" w:eastAsia="zh-CN"/>
              </w:rPr>
              <w:t>根据《工业企业土壤和地下水自行监测技术指南（试行）》（HJ1209-2021），本项目监测计划详见下表；</w:t>
            </w:r>
          </w:p>
          <w:p w14:paraId="6D49E366">
            <w:pPr>
              <w:pStyle w:val="48"/>
              <w:numPr>
                <w:ilvl w:val="0"/>
                <w:numId w:val="9"/>
              </w:numPr>
              <w:spacing w:line="360" w:lineRule="auto"/>
              <w:ind w:left="0" w:firstLine="0" w:firstLineChars="0"/>
              <w:jc w:val="center"/>
              <w:rPr>
                <w:rFonts w:ascii="Times New Roman" w:hAnsi="Times New Roman" w:eastAsia="宋体"/>
                <w:b/>
                <w:sz w:val="21"/>
                <w:highlight w:val="none"/>
              </w:rPr>
            </w:pPr>
            <w:r>
              <w:rPr>
                <w:rFonts w:hint="eastAsia" w:ascii="Times New Roman" w:hAnsi="Times New Roman" w:eastAsia="宋体"/>
                <w:b/>
                <w:sz w:val="21"/>
                <w:highlight w:val="none"/>
                <w:lang w:val="en-US" w:eastAsia="zh-CN"/>
              </w:rPr>
              <w:t>检测计划</w:t>
            </w:r>
            <w:r>
              <w:rPr>
                <w:rFonts w:hint="eastAsia" w:ascii="Times New Roman" w:hAnsi="Times New Roman" w:eastAsia="宋体"/>
                <w:b/>
                <w:sz w:val="21"/>
                <w:highlight w:val="none"/>
              </w:rPr>
              <w:t>一览表</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4"/>
              <w:gridCol w:w="1942"/>
              <w:gridCol w:w="3919"/>
              <w:gridCol w:w="1486"/>
            </w:tblGrid>
            <w:tr w14:paraId="5626E1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8" w:type="pct"/>
                  <w:noWrap w:val="0"/>
                  <w:vAlign w:val="center"/>
                </w:tcPr>
                <w:p w14:paraId="3C94B253">
                  <w:pPr>
                    <w:jc w:val="center"/>
                    <w:rPr>
                      <w:rFonts w:ascii="Times New Roman" w:hAnsi="Times New Roman"/>
                      <w:b/>
                      <w:szCs w:val="21"/>
                      <w:highlight w:val="none"/>
                    </w:rPr>
                  </w:pPr>
                  <w:r>
                    <w:rPr>
                      <w:rFonts w:ascii="Times New Roman" w:hAnsi="Times New Roman"/>
                      <w:b/>
                      <w:szCs w:val="21"/>
                      <w:highlight w:val="none"/>
                    </w:rPr>
                    <w:t>环境要素</w:t>
                  </w:r>
                </w:p>
              </w:tc>
              <w:tc>
                <w:tcPr>
                  <w:tcW w:w="1147" w:type="pct"/>
                  <w:noWrap w:val="0"/>
                  <w:vAlign w:val="center"/>
                </w:tcPr>
                <w:p w14:paraId="349F0359">
                  <w:pPr>
                    <w:jc w:val="center"/>
                    <w:rPr>
                      <w:rFonts w:ascii="Times New Roman" w:hAnsi="Times New Roman"/>
                      <w:b/>
                      <w:szCs w:val="21"/>
                      <w:highlight w:val="none"/>
                    </w:rPr>
                  </w:pPr>
                  <w:r>
                    <w:rPr>
                      <w:rFonts w:ascii="Times New Roman" w:hAnsi="Times New Roman"/>
                      <w:b/>
                      <w:szCs w:val="21"/>
                      <w:highlight w:val="none"/>
                    </w:rPr>
                    <w:t>监测位置</w:t>
                  </w:r>
                </w:p>
              </w:tc>
              <w:tc>
                <w:tcPr>
                  <w:tcW w:w="2315" w:type="pct"/>
                  <w:noWrap w:val="0"/>
                  <w:vAlign w:val="center"/>
                </w:tcPr>
                <w:p w14:paraId="70473DD5">
                  <w:pPr>
                    <w:jc w:val="center"/>
                    <w:rPr>
                      <w:rFonts w:ascii="Times New Roman" w:hAnsi="Times New Roman"/>
                      <w:b/>
                      <w:szCs w:val="21"/>
                      <w:highlight w:val="none"/>
                    </w:rPr>
                  </w:pPr>
                  <w:r>
                    <w:rPr>
                      <w:rFonts w:ascii="Times New Roman" w:hAnsi="Times New Roman"/>
                      <w:b/>
                      <w:szCs w:val="21"/>
                      <w:highlight w:val="none"/>
                    </w:rPr>
                    <w:t>监测项目</w:t>
                  </w:r>
                </w:p>
              </w:tc>
              <w:tc>
                <w:tcPr>
                  <w:tcW w:w="878" w:type="pct"/>
                  <w:noWrap w:val="0"/>
                  <w:vAlign w:val="center"/>
                </w:tcPr>
                <w:p w14:paraId="6B33D26E">
                  <w:pPr>
                    <w:jc w:val="center"/>
                    <w:rPr>
                      <w:rFonts w:ascii="Times New Roman" w:hAnsi="Times New Roman"/>
                      <w:b/>
                      <w:szCs w:val="21"/>
                      <w:highlight w:val="none"/>
                    </w:rPr>
                  </w:pPr>
                  <w:r>
                    <w:rPr>
                      <w:rFonts w:ascii="Times New Roman" w:hAnsi="Times New Roman"/>
                      <w:b/>
                      <w:szCs w:val="21"/>
                      <w:highlight w:val="none"/>
                    </w:rPr>
                    <w:t>频次</w:t>
                  </w:r>
                </w:p>
              </w:tc>
            </w:tr>
            <w:tr w14:paraId="735534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8" w:type="pct"/>
                  <w:vMerge w:val="restart"/>
                  <w:noWrap w:val="0"/>
                  <w:vAlign w:val="center"/>
                </w:tcPr>
                <w:p w14:paraId="7A34C188">
                  <w:pPr>
                    <w:jc w:val="center"/>
                    <w:rPr>
                      <w:rFonts w:ascii="Times New Roman" w:hAnsi="Times New Roman"/>
                      <w:szCs w:val="21"/>
                      <w:highlight w:val="none"/>
                    </w:rPr>
                  </w:pPr>
                  <w:r>
                    <w:rPr>
                      <w:rFonts w:ascii="Times New Roman" w:hAnsi="Times New Roman"/>
                      <w:szCs w:val="21"/>
                      <w:highlight w:val="none"/>
                    </w:rPr>
                    <w:t>土壤</w:t>
                  </w:r>
                </w:p>
              </w:tc>
              <w:tc>
                <w:tcPr>
                  <w:tcW w:w="1147" w:type="pct"/>
                  <w:noWrap w:val="0"/>
                  <w:vAlign w:val="center"/>
                </w:tcPr>
                <w:p w14:paraId="09ACD929">
                  <w:pPr>
                    <w:jc w:val="center"/>
                    <w:rPr>
                      <w:rFonts w:hint="default" w:ascii="Times New Roman" w:hAnsi="Times New Roman" w:eastAsia="宋体"/>
                      <w:szCs w:val="21"/>
                      <w:highlight w:val="none"/>
                      <w:lang w:val="en-US" w:eastAsia="zh-CN"/>
                    </w:rPr>
                  </w:pPr>
                  <w:r>
                    <w:rPr>
                      <w:rFonts w:ascii="Times New Roman" w:hAnsi="Times New Roman"/>
                      <w:szCs w:val="21"/>
                      <w:highlight w:val="none"/>
                    </w:rPr>
                    <w:t>厂区内</w:t>
                  </w:r>
                  <w:r>
                    <w:rPr>
                      <w:rFonts w:hint="eastAsia" w:ascii="Times New Roman" w:hAnsi="Times New Roman"/>
                      <w:szCs w:val="21"/>
                      <w:highlight w:val="none"/>
                      <w:lang w:val="en-US" w:eastAsia="zh-CN"/>
                    </w:rPr>
                    <w:t>柱状样一个</w:t>
                  </w:r>
                </w:p>
              </w:tc>
              <w:tc>
                <w:tcPr>
                  <w:tcW w:w="2315" w:type="pct"/>
                  <w:vMerge w:val="restart"/>
                  <w:noWrap w:val="0"/>
                  <w:vAlign w:val="center"/>
                </w:tcPr>
                <w:p w14:paraId="52EE0453">
                  <w:pPr>
                    <w:jc w:val="center"/>
                    <w:rPr>
                      <w:rFonts w:hint="default" w:ascii="Times New Roman" w:hAnsi="Times New Roman" w:eastAsia="宋体"/>
                      <w:szCs w:val="21"/>
                      <w:highlight w:val="none"/>
                      <w:lang w:val="en-US" w:eastAsia="zh-CN"/>
                    </w:rPr>
                  </w:pPr>
                  <w:r>
                    <w:rPr>
                      <w:rFonts w:ascii="Times New Roman" w:hAnsi="Times New Roman"/>
                      <w:szCs w:val="21"/>
                      <w:highlight w:val="none"/>
                    </w:rPr>
                    <w:t>pH、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荧[k]蒽、䓛、二苯并[a,h]蒽、茚并[1,2,3-cd]芘、萘、石油烃</w:t>
                  </w:r>
                  <w:r>
                    <w:rPr>
                      <w:rFonts w:hint="eastAsia" w:ascii="Times New Roman" w:hAnsi="Times New Roman"/>
                      <w:szCs w:val="21"/>
                      <w:highlight w:val="none"/>
                      <w:lang w:eastAsia="zh-CN"/>
                    </w:rPr>
                    <w:t>、</w:t>
                  </w:r>
                  <w:r>
                    <w:rPr>
                      <w:rFonts w:hint="eastAsia" w:ascii="Times New Roman" w:hAnsi="Times New Roman"/>
                      <w:szCs w:val="21"/>
                      <w:highlight w:val="none"/>
                      <w:lang w:val="en-US" w:eastAsia="zh-CN"/>
                    </w:rPr>
                    <w:t>氨氮</w:t>
                  </w:r>
                </w:p>
              </w:tc>
              <w:tc>
                <w:tcPr>
                  <w:tcW w:w="878" w:type="pct"/>
                  <w:noWrap w:val="0"/>
                  <w:vAlign w:val="center"/>
                </w:tcPr>
                <w:p w14:paraId="3BEE3BFD">
                  <w:pPr>
                    <w:jc w:val="center"/>
                    <w:rPr>
                      <w:rFonts w:ascii="Times New Roman" w:hAnsi="Times New Roman"/>
                      <w:szCs w:val="21"/>
                      <w:highlight w:val="none"/>
                    </w:rPr>
                  </w:pPr>
                  <w:r>
                    <w:rPr>
                      <w:rFonts w:ascii="Times New Roman" w:hAnsi="Times New Roman"/>
                      <w:bCs/>
                      <w:szCs w:val="21"/>
                      <w:highlight w:val="none"/>
                    </w:rPr>
                    <w:t>每</w:t>
                  </w:r>
                  <w:r>
                    <w:rPr>
                      <w:rFonts w:hint="eastAsia" w:ascii="Times New Roman" w:hAnsi="Times New Roman"/>
                      <w:bCs/>
                      <w:szCs w:val="21"/>
                      <w:highlight w:val="none"/>
                      <w:lang w:val="en-US" w:eastAsia="zh-CN"/>
                    </w:rPr>
                    <w:t>三</w:t>
                  </w:r>
                  <w:r>
                    <w:rPr>
                      <w:rFonts w:ascii="Times New Roman" w:hAnsi="Times New Roman"/>
                      <w:bCs/>
                      <w:szCs w:val="21"/>
                      <w:highlight w:val="none"/>
                    </w:rPr>
                    <w:t>年一次</w:t>
                  </w:r>
                </w:p>
              </w:tc>
            </w:tr>
            <w:tr w14:paraId="2634E0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8" w:type="pct"/>
                  <w:vMerge w:val="continue"/>
                  <w:noWrap w:val="0"/>
                  <w:vAlign w:val="center"/>
                </w:tcPr>
                <w:p w14:paraId="3B6AA4AA">
                  <w:pPr>
                    <w:jc w:val="center"/>
                    <w:rPr>
                      <w:rFonts w:ascii="Times New Roman" w:hAnsi="Times New Roman"/>
                      <w:szCs w:val="21"/>
                      <w:highlight w:val="none"/>
                    </w:rPr>
                  </w:pPr>
                </w:p>
              </w:tc>
              <w:tc>
                <w:tcPr>
                  <w:tcW w:w="1147" w:type="pct"/>
                  <w:noWrap w:val="0"/>
                  <w:vAlign w:val="center"/>
                </w:tcPr>
                <w:p w14:paraId="393C8A07">
                  <w:pPr>
                    <w:jc w:val="center"/>
                    <w:rPr>
                      <w:rFonts w:ascii="Times New Roman" w:hAnsi="Times New Roman"/>
                      <w:szCs w:val="21"/>
                      <w:highlight w:val="none"/>
                    </w:rPr>
                  </w:pPr>
                  <w:r>
                    <w:rPr>
                      <w:rFonts w:ascii="Times New Roman" w:hAnsi="Times New Roman"/>
                      <w:szCs w:val="21"/>
                      <w:highlight w:val="none"/>
                    </w:rPr>
                    <w:t>厂区内</w:t>
                  </w:r>
                  <w:r>
                    <w:rPr>
                      <w:rFonts w:hint="eastAsia" w:ascii="Times New Roman" w:hAnsi="Times New Roman"/>
                      <w:szCs w:val="21"/>
                      <w:highlight w:val="none"/>
                      <w:lang w:val="en-US" w:eastAsia="zh-CN"/>
                    </w:rPr>
                    <w:t>表层样一个</w:t>
                  </w:r>
                </w:p>
              </w:tc>
              <w:tc>
                <w:tcPr>
                  <w:tcW w:w="2315" w:type="pct"/>
                  <w:vMerge w:val="continue"/>
                  <w:noWrap w:val="0"/>
                  <w:vAlign w:val="center"/>
                </w:tcPr>
                <w:p w14:paraId="6C23FAEC">
                  <w:pPr>
                    <w:jc w:val="center"/>
                    <w:rPr>
                      <w:rFonts w:ascii="Times New Roman" w:hAnsi="Times New Roman"/>
                      <w:szCs w:val="21"/>
                      <w:highlight w:val="none"/>
                    </w:rPr>
                  </w:pPr>
                </w:p>
              </w:tc>
              <w:tc>
                <w:tcPr>
                  <w:tcW w:w="878" w:type="pct"/>
                  <w:noWrap w:val="0"/>
                  <w:vAlign w:val="center"/>
                </w:tcPr>
                <w:p w14:paraId="6750764B">
                  <w:pPr>
                    <w:jc w:val="center"/>
                    <w:rPr>
                      <w:rFonts w:hint="default" w:ascii="Times New Roman" w:hAnsi="Times New Roman" w:eastAsia="宋体"/>
                      <w:bCs/>
                      <w:szCs w:val="21"/>
                      <w:highlight w:val="none"/>
                      <w:lang w:val="en-US" w:eastAsia="zh-CN"/>
                    </w:rPr>
                  </w:pPr>
                  <w:r>
                    <w:rPr>
                      <w:rFonts w:hint="eastAsia" w:ascii="Times New Roman" w:hAnsi="Times New Roman"/>
                      <w:bCs/>
                      <w:szCs w:val="21"/>
                      <w:highlight w:val="none"/>
                      <w:lang w:val="en-US" w:eastAsia="zh-CN"/>
                    </w:rPr>
                    <w:t>每年一次</w:t>
                  </w:r>
                </w:p>
              </w:tc>
            </w:tr>
          </w:tbl>
          <w:p w14:paraId="61C24DC9">
            <w:pPr>
              <w:spacing w:line="360" w:lineRule="auto"/>
              <w:ind w:firstLine="482"/>
              <w:rPr>
                <w:b/>
                <w:color w:val="000000" w:themeColor="text1"/>
                <w:sz w:val="24"/>
                <w:highlight w:val="none"/>
                <w14:textFill>
                  <w14:solidFill>
                    <w14:schemeClr w14:val="tx1"/>
                  </w14:solidFill>
                </w14:textFill>
              </w:rPr>
            </w:pPr>
            <w:r>
              <w:rPr>
                <w:rFonts w:hint="eastAsia"/>
                <w:b/>
                <w:sz w:val="24"/>
                <w:highlight w:val="none"/>
                <w:lang w:val="en-US" w:eastAsia="zh-CN"/>
              </w:rPr>
              <w:t>8</w:t>
            </w:r>
            <w:r>
              <w:rPr>
                <w:b/>
                <w:sz w:val="24"/>
                <w:highlight w:val="none"/>
              </w:rPr>
              <w:t>．</w:t>
            </w:r>
            <w:r>
              <w:rPr>
                <w:rFonts w:hint="eastAsia"/>
                <w:b/>
                <w:sz w:val="24"/>
                <w:highlight w:val="none"/>
              </w:rPr>
              <w:t>生态环境</w:t>
            </w:r>
          </w:p>
          <w:p w14:paraId="4AC2264A">
            <w:pPr>
              <w:spacing w:line="360" w:lineRule="auto"/>
              <w:ind w:firstLine="48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项目选址位于承德市</w:t>
            </w:r>
            <w:r>
              <w:rPr>
                <w:rFonts w:hint="eastAsia"/>
                <w:sz w:val="24"/>
                <w:highlight w:val="none"/>
                <w:lang w:val="en-US" w:eastAsia="zh-CN"/>
              </w:rPr>
              <w:t>宽城满族自治县经济开发区</w:t>
            </w:r>
            <w:r>
              <w:rPr>
                <w:rFonts w:hint="eastAsia"/>
                <w:color w:val="000000" w:themeColor="text1"/>
                <w:sz w:val="24"/>
                <w:highlight w:val="none"/>
                <w14:textFill>
                  <w14:solidFill>
                    <w14:schemeClr w14:val="tx1"/>
                  </w14:solidFill>
                </w14:textFill>
              </w:rPr>
              <w:t>，项目位置用地性质为工业用地。项目为产业园区内建设项目，占地范围内无生态环境保护目标。因此，本次不进行生态环境影响评价。</w:t>
            </w:r>
          </w:p>
          <w:p w14:paraId="05C16B67">
            <w:pPr>
              <w:spacing w:line="360" w:lineRule="auto"/>
              <w:ind w:firstLine="482"/>
              <w:rPr>
                <w:b/>
                <w:sz w:val="24"/>
                <w:highlight w:val="none"/>
              </w:rPr>
            </w:pPr>
            <w:r>
              <w:rPr>
                <w:rFonts w:hint="eastAsia"/>
                <w:b/>
                <w:sz w:val="24"/>
                <w:highlight w:val="none"/>
                <w:lang w:val="en-US" w:eastAsia="zh-CN"/>
              </w:rPr>
              <w:t>9</w:t>
            </w:r>
            <w:r>
              <w:rPr>
                <w:b/>
                <w:sz w:val="24"/>
                <w:highlight w:val="none"/>
              </w:rPr>
              <w:t>．</w:t>
            </w:r>
            <w:r>
              <w:rPr>
                <w:rFonts w:hint="eastAsia"/>
                <w:b/>
                <w:sz w:val="24"/>
                <w:highlight w:val="none"/>
              </w:rPr>
              <w:t>环境风险</w:t>
            </w:r>
          </w:p>
          <w:p w14:paraId="7A9D4DF5">
            <w:pPr>
              <w:snapToGrid w:val="0"/>
              <w:spacing w:line="360" w:lineRule="auto"/>
              <w:ind w:firstLine="480" w:firstLineChars="200"/>
              <w:rPr>
                <w:rFonts w:hint="eastAsia" w:ascii="Times New Roman" w:hAnsi="Times New Roman"/>
                <w:bCs/>
                <w:snapToGrid w:val="0"/>
                <w:kern w:val="0"/>
                <w:sz w:val="24"/>
                <w:szCs w:val="22"/>
                <w:highlight w:val="none"/>
              </w:rPr>
            </w:pPr>
            <w:r>
              <w:rPr>
                <w:rFonts w:hint="eastAsia" w:ascii="Times New Roman" w:hAnsi="Times New Roman"/>
                <w:bCs/>
                <w:snapToGrid w:val="0"/>
                <w:kern w:val="0"/>
                <w:sz w:val="24"/>
                <w:szCs w:val="22"/>
                <w:highlight w:val="none"/>
              </w:rPr>
              <w:t>本项目有毒有害和易燃易爆危险物质存储量超过临界量，因此，设置环境风险专项评价。</w:t>
            </w:r>
          </w:p>
          <w:p w14:paraId="30C6B774">
            <w:pPr>
              <w:spacing w:line="360" w:lineRule="auto"/>
              <w:ind w:firstLine="480"/>
              <w:rPr>
                <w:highlight w:val="none"/>
              </w:rPr>
            </w:pPr>
            <w:r>
              <w:rPr>
                <w:rFonts w:ascii="Times New Roman" w:hAnsi="Times New Roman"/>
                <w:snapToGrid w:val="0"/>
                <w:kern w:val="0"/>
                <w:sz w:val="24"/>
                <w:highlight w:val="none"/>
              </w:rPr>
              <w:t>该项目存在一定潜在风险，但通过采用风险防范措施，可有效避免和减少项目环境风险对周边大气环境、水环境、土壤环境的影响。在落实各项风险管理和环境风险防范措施之后，项目环境风险是可防控的，项目可行</w:t>
            </w:r>
            <w:r>
              <w:rPr>
                <w:sz w:val="24"/>
                <w:highlight w:val="none"/>
              </w:rPr>
              <w:t>。</w:t>
            </w:r>
          </w:p>
        </w:tc>
      </w:tr>
    </w:tbl>
    <w:p w14:paraId="464D3E98">
      <w:pPr>
        <w:adjustRightInd w:val="0"/>
        <w:snapToGrid w:val="0"/>
        <w:spacing w:line="360" w:lineRule="auto"/>
        <w:rPr>
          <w:rFonts w:ascii="宋体" w:cs="宋体"/>
          <w:b/>
          <w:kern w:val="0"/>
          <w:sz w:val="28"/>
          <w:szCs w:val="28"/>
          <w:highlight w:val="green"/>
        </w:rPr>
        <w:sectPr>
          <w:pgSz w:w="11907" w:h="16840"/>
          <w:pgMar w:top="1701" w:right="1531" w:bottom="1701" w:left="1531" w:header="851" w:footer="851" w:gutter="0"/>
          <w:cols w:space="720" w:num="1"/>
          <w:docGrid w:linePitch="312" w:charSpace="0"/>
        </w:sectPr>
      </w:pPr>
    </w:p>
    <w:p w14:paraId="340F7461">
      <w:pPr>
        <w:pStyle w:val="19"/>
        <w:spacing w:before="120" w:beforeLines="50" w:beforeAutospacing="0" w:after="240" w:afterLines="100" w:afterAutospacing="0"/>
        <w:jc w:val="center"/>
        <w:outlineLvl w:val="0"/>
        <w:rPr>
          <w:rFonts w:ascii="黑体" w:hAnsi="黑体" w:eastAsia="黑体"/>
          <w:snapToGrid w:val="0"/>
          <w:sz w:val="30"/>
          <w:szCs w:val="30"/>
        </w:rPr>
      </w:pPr>
      <w:r>
        <w:rPr>
          <w:rFonts w:hint="eastAsia" w:ascii="黑体" w:hAnsi="黑体" w:eastAsia="黑体"/>
          <w:snapToGrid w:val="0"/>
          <w:sz w:val="30"/>
          <w:szCs w:val="30"/>
        </w:rPr>
        <w:t>五、</w:t>
      </w:r>
      <w:bookmarkStart w:id="4" w:name="_Hlk54167917"/>
      <w:r>
        <w:rPr>
          <w:rFonts w:hint="eastAsia" w:ascii="黑体" w:hAnsi="黑体" w:eastAsia="黑体"/>
          <w:snapToGrid w:val="0"/>
          <w:sz w:val="30"/>
          <w:szCs w:val="30"/>
        </w:rPr>
        <w:t>环境保护措施监督检查清单</w:t>
      </w:r>
      <w:bookmarkEnd w:id="4"/>
    </w:p>
    <w:tbl>
      <w:tblPr>
        <w:tblStyle w:val="21"/>
        <w:tblW w:w="920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74"/>
        <w:gridCol w:w="1380"/>
        <w:gridCol w:w="1222"/>
        <w:gridCol w:w="2327"/>
        <w:gridCol w:w="3201"/>
      </w:tblGrid>
      <w:tr w14:paraId="7FA074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4" w:type="dxa"/>
            <w:tcBorders>
              <w:top w:val="single" w:color="auto" w:sz="8" w:space="0"/>
              <w:left w:val="single" w:color="auto" w:sz="8" w:space="0"/>
              <w:bottom w:val="single" w:color="auto" w:sz="4" w:space="0"/>
              <w:right w:val="single" w:color="auto" w:sz="4" w:space="0"/>
              <w:tl2br w:val="single" w:color="auto" w:sz="4" w:space="0"/>
            </w:tcBorders>
            <w:shd w:val="clear" w:color="auto" w:fill="auto"/>
            <w:vAlign w:val="center"/>
          </w:tcPr>
          <w:p w14:paraId="4E521E8C">
            <w:pPr>
              <w:adjustRightInd w:val="0"/>
              <w:snapToGrid w:val="0"/>
              <w:jc w:val="right"/>
              <w:rPr>
                <w:b/>
                <w:sz w:val="24"/>
              </w:rPr>
            </w:pPr>
            <w:r>
              <w:rPr>
                <w:b/>
                <w:sz w:val="24"/>
                <w:lang w:bidi="ar"/>
              </w:rPr>
              <w:t>内容</w:t>
            </w:r>
          </w:p>
          <w:p w14:paraId="3F6ACBB5">
            <w:pPr>
              <w:adjustRightInd w:val="0"/>
              <w:snapToGrid w:val="0"/>
              <w:jc w:val="left"/>
              <w:rPr>
                <w:b/>
                <w:sz w:val="24"/>
              </w:rPr>
            </w:pPr>
            <w:r>
              <w:rPr>
                <w:b/>
                <w:sz w:val="24"/>
                <w:lang w:bidi="ar"/>
              </w:rPr>
              <w:t>要素</w:t>
            </w:r>
          </w:p>
        </w:tc>
        <w:tc>
          <w:tcPr>
            <w:tcW w:w="1380" w:type="dxa"/>
            <w:tcBorders>
              <w:top w:val="single" w:color="auto" w:sz="8" w:space="0"/>
              <w:left w:val="single" w:color="auto" w:sz="4" w:space="0"/>
              <w:bottom w:val="single" w:color="auto" w:sz="4" w:space="0"/>
              <w:right w:val="single" w:color="auto" w:sz="4" w:space="0"/>
            </w:tcBorders>
            <w:shd w:val="clear" w:color="auto" w:fill="auto"/>
            <w:vAlign w:val="center"/>
          </w:tcPr>
          <w:p w14:paraId="7F15B957">
            <w:pPr>
              <w:adjustRightInd w:val="0"/>
              <w:snapToGrid w:val="0"/>
              <w:jc w:val="center"/>
              <w:rPr>
                <w:b/>
                <w:sz w:val="24"/>
              </w:rPr>
            </w:pPr>
            <w:r>
              <w:rPr>
                <w:b/>
                <w:sz w:val="24"/>
                <w:lang w:bidi="ar"/>
              </w:rPr>
              <w:t>排放口</w:t>
            </w:r>
            <w:r>
              <w:rPr>
                <w:rFonts w:hint="eastAsia"/>
                <w:b/>
                <w:sz w:val="24"/>
                <w:lang w:eastAsia="zh-CN" w:bidi="ar"/>
              </w:rPr>
              <w:t>（</w:t>
            </w:r>
            <w:r>
              <w:rPr>
                <w:b/>
                <w:sz w:val="24"/>
                <w:lang w:bidi="ar"/>
              </w:rPr>
              <w:t>编号、名称</w:t>
            </w:r>
            <w:r>
              <w:rPr>
                <w:rFonts w:hint="eastAsia"/>
                <w:b/>
                <w:sz w:val="24"/>
                <w:lang w:eastAsia="zh-CN" w:bidi="ar"/>
              </w:rPr>
              <w:t>）</w:t>
            </w:r>
            <w:r>
              <w:rPr>
                <w:b/>
                <w:sz w:val="24"/>
                <w:lang w:bidi="ar"/>
              </w:rPr>
              <w:t>/污染源</w:t>
            </w:r>
          </w:p>
        </w:tc>
        <w:tc>
          <w:tcPr>
            <w:tcW w:w="1222" w:type="dxa"/>
            <w:tcBorders>
              <w:top w:val="single" w:color="auto" w:sz="8" w:space="0"/>
              <w:left w:val="single" w:color="auto" w:sz="4" w:space="0"/>
              <w:bottom w:val="single" w:color="auto" w:sz="4" w:space="0"/>
              <w:right w:val="single" w:color="auto" w:sz="4" w:space="0"/>
            </w:tcBorders>
            <w:shd w:val="clear" w:color="auto" w:fill="auto"/>
            <w:vAlign w:val="center"/>
          </w:tcPr>
          <w:p w14:paraId="7F742F98">
            <w:pPr>
              <w:adjustRightInd w:val="0"/>
              <w:snapToGrid w:val="0"/>
              <w:jc w:val="center"/>
              <w:rPr>
                <w:b/>
                <w:sz w:val="24"/>
              </w:rPr>
            </w:pPr>
            <w:r>
              <w:rPr>
                <w:b/>
                <w:sz w:val="24"/>
                <w:lang w:bidi="ar"/>
              </w:rPr>
              <w:t>污染物项目</w:t>
            </w:r>
          </w:p>
        </w:tc>
        <w:tc>
          <w:tcPr>
            <w:tcW w:w="2327" w:type="dxa"/>
            <w:tcBorders>
              <w:top w:val="single" w:color="auto" w:sz="8" w:space="0"/>
              <w:left w:val="single" w:color="auto" w:sz="4" w:space="0"/>
              <w:bottom w:val="single" w:color="auto" w:sz="4" w:space="0"/>
              <w:right w:val="single" w:color="auto" w:sz="4" w:space="0"/>
            </w:tcBorders>
            <w:shd w:val="clear" w:color="auto" w:fill="auto"/>
            <w:vAlign w:val="center"/>
          </w:tcPr>
          <w:p w14:paraId="2752D720">
            <w:pPr>
              <w:adjustRightInd w:val="0"/>
              <w:snapToGrid w:val="0"/>
              <w:jc w:val="center"/>
              <w:rPr>
                <w:b/>
                <w:sz w:val="24"/>
              </w:rPr>
            </w:pPr>
            <w:r>
              <w:rPr>
                <w:b/>
                <w:sz w:val="24"/>
                <w:lang w:bidi="ar"/>
              </w:rPr>
              <w:t>环境保护措施</w:t>
            </w:r>
          </w:p>
        </w:tc>
        <w:tc>
          <w:tcPr>
            <w:tcW w:w="3201" w:type="dxa"/>
            <w:tcBorders>
              <w:top w:val="single" w:color="auto" w:sz="8" w:space="0"/>
              <w:left w:val="single" w:color="auto" w:sz="4" w:space="0"/>
              <w:bottom w:val="single" w:color="auto" w:sz="4" w:space="0"/>
              <w:right w:val="single" w:color="auto" w:sz="8" w:space="0"/>
            </w:tcBorders>
            <w:shd w:val="clear" w:color="auto" w:fill="auto"/>
            <w:vAlign w:val="center"/>
          </w:tcPr>
          <w:p w14:paraId="3013B8AC">
            <w:pPr>
              <w:adjustRightInd w:val="0"/>
              <w:snapToGrid w:val="0"/>
              <w:jc w:val="center"/>
              <w:rPr>
                <w:b/>
                <w:sz w:val="24"/>
              </w:rPr>
            </w:pPr>
            <w:r>
              <w:rPr>
                <w:b/>
                <w:sz w:val="24"/>
                <w:lang w:bidi="ar"/>
              </w:rPr>
              <w:t>执行标准</w:t>
            </w:r>
          </w:p>
        </w:tc>
      </w:tr>
      <w:tr w14:paraId="09E8DE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97" w:hRule="atLeast"/>
          <w:jc w:val="center"/>
        </w:trPr>
        <w:tc>
          <w:tcPr>
            <w:tcW w:w="1074" w:type="dxa"/>
            <w:vMerge w:val="restart"/>
            <w:tcBorders>
              <w:top w:val="single" w:color="auto" w:sz="4" w:space="0"/>
              <w:left w:val="single" w:color="auto" w:sz="8" w:space="0"/>
              <w:right w:val="single" w:color="auto" w:sz="4" w:space="0"/>
            </w:tcBorders>
            <w:shd w:val="clear" w:color="auto" w:fill="auto"/>
            <w:vAlign w:val="center"/>
          </w:tcPr>
          <w:p w14:paraId="499C80AE">
            <w:pPr>
              <w:adjustRightInd w:val="0"/>
              <w:snapToGrid w:val="0"/>
              <w:jc w:val="center"/>
              <w:rPr>
                <w:sz w:val="24"/>
              </w:rPr>
            </w:pPr>
            <w:r>
              <w:rPr>
                <w:sz w:val="24"/>
                <w:lang w:bidi="ar"/>
              </w:rPr>
              <w:t>大气环境</w:t>
            </w:r>
          </w:p>
        </w:tc>
        <w:tc>
          <w:tcPr>
            <w:tcW w:w="1380" w:type="dxa"/>
            <w:vMerge w:val="restart"/>
            <w:tcBorders>
              <w:top w:val="single" w:color="auto" w:sz="4" w:space="0"/>
              <w:left w:val="single" w:color="auto" w:sz="4" w:space="0"/>
              <w:right w:val="single" w:color="auto" w:sz="4" w:space="0"/>
            </w:tcBorders>
            <w:shd w:val="clear" w:color="auto" w:fill="auto"/>
            <w:vAlign w:val="center"/>
          </w:tcPr>
          <w:p w14:paraId="140160EA">
            <w:pPr>
              <w:adjustRightInd w:val="0"/>
              <w:snapToGrid w:val="0"/>
              <w:jc w:val="center"/>
              <w:rPr>
                <w:rFonts w:hint="eastAsia" w:ascii="Times New Roman" w:hAnsi="Times New Roman" w:eastAsia="宋体" w:cs="Times New Roman"/>
                <w:kern w:val="2"/>
                <w:sz w:val="21"/>
                <w:szCs w:val="21"/>
                <w:lang w:val="en-US" w:eastAsia="zh-CN" w:bidi="ar-SA"/>
              </w:rPr>
            </w:pPr>
            <w:r>
              <w:rPr>
                <w:rFonts w:ascii="Times New Roman" w:hAnsi="Times New Roman"/>
                <w:szCs w:val="21"/>
              </w:rPr>
              <w:t>DA001</w:t>
            </w:r>
            <w:r>
              <w:rPr>
                <w:rFonts w:hint="eastAsia" w:ascii="Times New Roman" w:hAnsi="Times New Roman"/>
                <w:szCs w:val="21"/>
              </w:rPr>
              <w:t>排气筒</w:t>
            </w:r>
          </w:p>
        </w:tc>
        <w:tc>
          <w:tcPr>
            <w:tcW w:w="1222" w:type="dxa"/>
            <w:tcBorders>
              <w:top w:val="single" w:color="auto" w:sz="4" w:space="0"/>
              <w:left w:val="single" w:color="auto" w:sz="4" w:space="0"/>
              <w:bottom w:val="single" w:color="auto" w:sz="4" w:space="0"/>
              <w:right w:val="single" w:color="auto" w:sz="4" w:space="0"/>
            </w:tcBorders>
            <w:shd w:val="clear" w:color="auto" w:fill="auto"/>
            <w:vAlign w:val="center"/>
          </w:tcPr>
          <w:p w14:paraId="6D99C2CA">
            <w:pPr>
              <w:adjustRightInd w:val="0"/>
              <w:snapToGrid w:val="0"/>
              <w:jc w:val="center"/>
              <w:rPr>
                <w:rFonts w:ascii="Times New Roman" w:hAnsi="Times New Roman" w:eastAsia="宋体" w:cs="Times New Roman"/>
                <w:kern w:val="2"/>
                <w:sz w:val="21"/>
                <w:szCs w:val="21"/>
                <w:lang w:val="en-US" w:eastAsia="zh-CN" w:bidi="ar-SA"/>
              </w:rPr>
            </w:pPr>
            <w:r>
              <w:rPr>
                <w:rFonts w:ascii="Times New Roman" w:hAnsi="Times New Roman"/>
              </w:rPr>
              <w:t>非甲烷总烃</w:t>
            </w:r>
          </w:p>
        </w:tc>
        <w:tc>
          <w:tcPr>
            <w:tcW w:w="2327" w:type="dxa"/>
            <w:vMerge w:val="restart"/>
            <w:tcBorders>
              <w:top w:val="single" w:color="auto" w:sz="4" w:space="0"/>
              <w:left w:val="single" w:color="auto" w:sz="4" w:space="0"/>
              <w:right w:val="single" w:color="auto" w:sz="4" w:space="0"/>
            </w:tcBorders>
            <w:shd w:val="clear" w:color="auto" w:fill="auto"/>
            <w:vAlign w:val="center"/>
          </w:tcPr>
          <w:p w14:paraId="3ED2C402">
            <w:pPr>
              <w:adjustRightInd w:val="0"/>
              <w:snapToGrid w:val="0"/>
              <w:jc w:val="center"/>
              <w:rPr>
                <w:rFonts w:ascii="Times New Roman" w:hAnsi="Times New Roman" w:eastAsia="宋体" w:cs="Times New Roman"/>
                <w:kern w:val="2"/>
                <w:sz w:val="21"/>
                <w:szCs w:val="21"/>
                <w:lang w:val="en-US" w:eastAsia="zh-CN" w:bidi="ar-SA"/>
              </w:rPr>
            </w:pPr>
            <w:r>
              <w:rPr>
                <w:rFonts w:ascii="Times New Roman" w:hAnsi="Times New Roman"/>
                <w:color w:val="auto"/>
              </w:rPr>
              <w:t>设集气罩及收集管道，收集后的废气经</w:t>
            </w:r>
            <w:r>
              <w:rPr>
                <w:rFonts w:hint="eastAsia" w:ascii="Times New Roman" w:hAnsi="Times New Roman"/>
                <w:color w:val="auto"/>
              </w:rPr>
              <w:t>两级活性炭吸附</w:t>
            </w:r>
            <w:r>
              <w:rPr>
                <w:rFonts w:ascii="Times New Roman" w:hAnsi="Times New Roman"/>
              </w:rPr>
              <w:t>装置处理后经1根15m高排气筒（DA001）排放</w:t>
            </w:r>
          </w:p>
        </w:tc>
        <w:tc>
          <w:tcPr>
            <w:tcW w:w="3201" w:type="dxa"/>
            <w:tcBorders>
              <w:top w:val="single" w:color="auto" w:sz="4" w:space="0"/>
              <w:left w:val="single" w:color="auto" w:sz="4" w:space="0"/>
              <w:right w:val="single" w:color="auto" w:sz="8" w:space="0"/>
            </w:tcBorders>
            <w:shd w:val="clear" w:color="auto" w:fill="auto"/>
            <w:vAlign w:val="center"/>
          </w:tcPr>
          <w:p w14:paraId="36B647AF">
            <w:pPr>
              <w:adjustRightInd w:val="0"/>
              <w:snapToGrid w:val="0"/>
              <w:jc w:val="center"/>
              <w:rPr>
                <w:rFonts w:ascii="Times New Roman" w:hAnsi="Times New Roman" w:eastAsia="宋体" w:cs="Times New Roman"/>
              </w:rPr>
            </w:pPr>
            <w:r>
              <w:rPr>
                <w:rFonts w:hint="eastAsia" w:ascii="Times New Roman" w:hAnsi="Times New Roman" w:eastAsia="宋体" w:cs="Times New Roman"/>
              </w:rPr>
              <w:t>《工业企业挥发性有机物排放控制标准》（DB13/2322-2016）表1中“其他行业”相关排放限值</w:t>
            </w:r>
          </w:p>
        </w:tc>
      </w:tr>
      <w:tr w14:paraId="469859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4" w:type="dxa"/>
            <w:vMerge w:val="continue"/>
            <w:tcBorders>
              <w:left w:val="single" w:color="auto" w:sz="8" w:space="0"/>
              <w:right w:val="single" w:color="auto" w:sz="4" w:space="0"/>
            </w:tcBorders>
            <w:shd w:val="clear" w:color="auto" w:fill="auto"/>
            <w:vAlign w:val="center"/>
          </w:tcPr>
          <w:p w14:paraId="5EAB8794">
            <w:pPr>
              <w:adjustRightInd w:val="0"/>
              <w:snapToGrid w:val="0"/>
              <w:jc w:val="center"/>
              <w:rPr>
                <w:sz w:val="24"/>
                <w:lang w:bidi="ar"/>
              </w:rPr>
            </w:pPr>
          </w:p>
        </w:tc>
        <w:tc>
          <w:tcPr>
            <w:tcW w:w="1380" w:type="dxa"/>
            <w:vMerge w:val="continue"/>
            <w:tcBorders>
              <w:left w:val="single" w:color="auto" w:sz="4" w:space="0"/>
              <w:bottom w:val="single" w:color="auto" w:sz="4" w:space="0"/>
              <w:right w:val="single" w:color="auto" w:sz="4" w:space="0"/>
            </w:tcBorders>
            <w:shd w:val="clear" w:color="auto" w:fill="auto"/>
            <w:vAlign w:val="center"/>
          </w:tcPr>
          <w:p w14:paraId="23F00C94">
            <w:pPr>
              <w:adjustRightInd w:val="0"/>
              <w:snapToGrid w:val="0"/>
              <w:jc w:val="center"/>
              <w:rPr>
                <w:rFonts w:ascii="Times New Roman" w:hAnsi="Times New Roman"/>
                <w:szCs w:val="21"/>
              </w:rPr>
            </w:pPr>
          </w:p>
        </w:tc>
        <w:tc>
          <w:tcPr>
            <w:tcW w:w="1222" w:type="dxa"/>
            <w:tcBorders>
              <w:top w:val="single" w:color="auto" w:sz="4" w:space="0"/>
              <w:left w:val="single" w:color="auto" w:sz="4" w:space="0"/>
              <w:bottom w:val="single" w:color="auto" w:sz="4" w:space="0"/>
              <w:right w:val="single" w:color="auto" w:sz="4" w:space="0"/>
            </w:tcBorders>
            <w:shd w:val="clear" w:color="auto" w:fill="auto"/>
            <w:vAlign w:val="center"/>
          </w:tcPr>
          <w:p w14:paraId="70AA74A5">
            <w:pPr>
              <w:adjustRightInd w:val="0"/>
              <w:snapToGrid w:val="0"/>
              <w:jc w:val="center"/>
              <w:rPr>
                <w:rFonts w:ascii="Times New Roman" w:hAnsi="Times New Roman"/>
              </w:rPr>
            </w:pPr>
            <w:r>
              <w:rPr>
                <w:rFonts w:ascii="Times New Roman" w:hAnsi="Times New Roman"/>
              </w:rPr>
              <w:t>氨、硫化氢、臭气浓度</w:t>
            </w:r>
          </w:p>
        </w:tc>
        <w:tc>
          <w:tcPr>
            <w:tcW w:w="2327" w:type="dxa"/>
            <w:vMerge w:val="continue"/>
            <w:tcBorders>
              <w:left w:val="single" w:color="auto" w:sz="4" w:space="0"/>
              <w:bottom w:val="single" w:color="auto" w:sz="4" w:space="0"/>
              <w:right w:val="single" w:color="auto" w:sz="4" w:space="0"/>
            </w:tcBorders>
            <w:shd w:val="clear" w:color="auto" w:fill="auto"/>
            <w:vAlign w:val="center"/>
          </w:tcPr>
          <w:p w14:paraId="090B2C96">
            <w:pPr>
              <w:adjustRightInd w:val="0"/>
              <w:snapToGrid w:val="0"/>
              <w:jc w:val="center"/>
              <w:rPr>
                <w:rFonts w:ascii="Times New Roman" w:hAnsi="Times New Roman"/>
                <w:color w:val="auto"/>
              </w:rPr>
            </w:pPr>
          </w:p>
        </w:tc>
        <w:tc>
          <w:tcPr>
            <w:tcW w:w="3201" w:type="dxa"/>
            <w:tcBorders>
              <w:top w:val="single" w:color="auto" w:sz="4" w:space="0"/>
              <w:left w:val="single" w:color="auto" w:sz="4" w:space="0"/>
              <w:right w:val="single" w:color="auto" w:sz="8" w:space="0"/>
            </w:tcBorders>
            <w:shd w:val="clear" w:color="auto" w:fill="auto"/>
            <w:vAlign w:val="center"/>
          </w:tcPr>
          <w:p w14:paraId="58E38817">
            <w:pPr>
              <w:adjustRightInd w:val="0"/>
              <w:snapToGrid w:val="0"/>
              <w:jc w:val="center"/>
              <w:rPr>
                <w:rFonts w:hint="eastAsia" w:ascii="Times New Roman" w:hAnsi="Times New Roman" w:eastAsia="宋体" w:cs="Times New Roman"/>
              </w:rPr>
            </w:pPr>
            <w:r>
              <w:rPr>
                <w:rFonts w:hint="eastAsia" w:ascii="Times New Roman" w:hAnsi="Times New Roman" w:eastAsia="宋体" w:cs="Times New Roman"/>
              </w:rPr>
              <w:t>《恶臭污染物排放标准》（GB14554-93）表2中标准</w:t>
            </w:r>
          </w:p>
        </w:tc>
      </w:tr>
      <w:tr w14:paraId="3AEA21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1074" w:type="dxa"/>
            <w:vMerge w:val="continue"/>
            <w:tcBorders>
              <w:left w:val="single" w:color="auto" w:sz="8" w:space="0"/>
              <w:right w:val="single" w:color="auto" w:sz="4" w:space="0"/>
            </w:tcBorders>
            <w:shd w:val="clear" w:color="auto" w:fill="auto"/>
            <w:vAlign w:val="center"/>
          </w:tcPr>
          <w:p w14:paraId="3BB3C1E7">
            <w:pPr>
              <w:adjustRightInd w:val="0"/>
              <w:snapToGrid w:val="0"/>
              <w:jc w:val="center"/>
              <w:rPr>
                <w:sz w:val="24"/>
                <w:lang w:bidi="ar"/>
              </w:rPr>
            </w:pPr>
          </w:p>
        </w:tc>
        <w:tc>
          <w:tcPr>
            <w:tcW w:w="1380" w:type="dxa"/>
            <w:tcBorders>
              <w:top w:val="single" w:color="auto" w:sz="4" w:space="0"/>
              <w:left w:val="single" w:color="auto" w:sz="4" w:space="0"/>
              <w:right w:val="single" w:color="auto" w:sz="4" w:space="0"/>
            </w:tcBorders>
            <w:shd w:val="clear" w:color="auto" w:fill="auto"/>
            <w:vAlign w:val="center"/>
          </w:tcPr>
          <w:p w14:paraId="10E25557">
            <w:pPr>
              <w:adjustRightInd w:val="0"/>
              <w:snapToGrid w:val="0"/>
              <w:jc w:val="center"/>
              <w:rPr>
                <w:rFonts w:hint="eastAsia" w:ascii="Times New Roman" w:hAnsi="Times New Roman" w:eastAsia="宋体" w:cs="Times New Roman"/>
                <w:kern w:val="2"/>
                <w:sz w:val="21"/>
                <w:szCs w:val="21"/>
                <w:lang w:val="en-US" w:eastAsia="zh-CN" w:bidi="ar-SA"/>
              </w:rPr>
            </w:pPr>
            <w:r>
              <w:rPr>
                <w:rFonts w:ascii="Times New Roman" w:hAnsi="Times New Roman"/>
                <w:szCs w:val="21"/>
              </w:rPr>
              <w:t>DA002</w:t>
            </w:r>
            <w:r>
              <w:rPr>
                <w:rFonts w:hint="eastAsia" w:ascii="Times New Roman" w:hAnsi="Times New Roman"/>
                <w:szCs w:val="21"/>
              </w:rPr>
              <w:t>排气筒</w:t>
            </w:r>
          </w:p>
        </w:tc>
        <w:tc>
          <w:tcPr>
            <w:tcW w:w="1222" w:type="dxa"/>
            <w:tcBorders>
              <w:top w:val="single" w:color="auto" w:sz="4" w:space="0"/>
              <w:left w:val="single" w:color="auto" w:sz="4" w:space="0"/>
              <w:right w:val="single" w:color="auto" w:sz="4" w:space="0"/>
            </w:tcBorders>
            <w:shd w:val="clear" w:color="auto" w:fill="auto"/>
            <w:vAlign w:val="center"/>
          </w:tcPr>
          <w:p w14:paraId="55F09517">
            <w:pPr>
              <w:adjustRightInd w:val="0"/>
              <w:snapToGrid w:val="0"/>
              <w:jc w:val="center"/>
              <w:rPr>
                <w:rFonts w:ascii="Times New Roman" w:hAnsi="Times New Roman" w:eastAsia="宋体" w:cs="Times New Roman"/>
                <w:kern w:val="2"/>
                <w:sz w:val="21"/>
                <w:szCs w:val="21"/>
                <w:lang w:val="en-US" w:eastAsia="zh-CN" w:bidi="ar-SA"/>
              </w:rPr>
            </w:pPr>
            <w:r>
              <w:rPr>
                <w:rFonts w:hint="eastAsia" w:ascii="Times New Roman" w:hAnsi="Times New Roman"/>
              </w:rPr>
              <w:t>氯化氢</w:t>
            </w:r>
          </w:p>
        </w:tc>
        <w:tc>
          <w:tcPr>
            <w:tcW w:w="2327" w:type="dxa"/>
            <w:tcBorders>
              <w:top w:val="single" w:color="auto" w:sz="4" w:space="0"/>
              <w:left w:val="single" w:color="auto" w:sz="4" w:space="0"/>
              <w:bottom w:val="single" w:color="auto" w:sz="4" w:space="0"/>
              <w:right w:val="single" w:color="auto" w:sz="4" w:space="0"/>
            </w:tcBorders>
            <w:shd w:val="clear" w:color="auto" w:fill="auto"/>
            <w:vAlign w:val="center"/>
          </w:tcPr>
          <w:p w14:paraId="09946CD3">
            <w:pPr>
              <w:adjustRightInd w:val="0"/>
              <w:snapToGrid w:val="0"/>
              <w:jc w:val="center"/>
              <w:rPr>
                <w:rFonts w:hint="eastAsia" w:ascii="Times New Roman" w:hAnsi="Times New Roman" w:eastAsia="宋体" w:cs="Times New Roman"/>
                <w:kern w:val="2"/>
                <w:sz w:val="21"/>
                <w:szCs w:val="21"/>
                <w:lang w:val="en-US" w:eastAsia="zh-CN" w:bidi="ar-SA"/>
              </w:rPr>
            </w:pPr>
            <w:r>
              <w:rPr>
                <w:rFonts w:ascii="Times New Roman" w:hAnsi="Times New Roman"/>
              </w:rPr>
              <w:t>对贮存HW34的区域进行封闭设置，内设集气装置对挥发的酸性气体（以HCl计）进行收集，送至废气处理系统“碱液喷淋装置”处理后经1根15m高排气筒（DA002）排放</w:t>
            </w:r>
          </w:p>
        </w:tc>
        <w:tc>
          <w:tcPr>
            <w:tcW w:w="3201" w:type="dxa"/>
            <w:tcBorders>
              <w:top w:val="single" w:color="auto" w:sz="4" w:space="0"/>
              <w:left w:val="single" w:color="auto" w:sz="4" w:space="0"/>
              <w:right w:val="single" w:color="auto" w:sz="8" w:space="0"/>
            </w:tcBorders>
            <w:shd w:val="clear" w:color="auto" w:fill="auto"/>
            <w:vAlign w:val="center"/>
          </w:tcPr>
          <w:p w14:paraId="1E1F897C">
            <w:pPr>
              <w:jc w:val="center"/>
              <w:rPr>
                <w:sz w:val="24"/>
                <w:highlight w:val="green"/>
              </w:rPr>
            </w:pPr>
            <w:r>
              <w:rPr>
                <w:rFonts w:ascii="Times New Roman" w:hAnsi="Times New Roman"/>
                <w:szCs w:val="21"/>
              </w:rPr>
              <w:t>《大气污染物综合排放标准》（GB16297-1996）表2二级标准限值</w:t>
            </w:r>
          </w:p>
        </w:tc>
      </w:tr>
      <w:tr w14:paraId="295D8D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074" w:type="dxa"/>
            <w:vMerge w:val="continue"/>
            <w:tcBorders>
              <w:left w:val="single" w:color="auto" w:sz="8" w:space="0"/>
              <w:right w:val="single" w:color="auto" w:sz="4" w:space="0"/>
            </w:tcBorders>
            <w:shd w:val="clear" w:color="auto" w:fill="auto"/>
            <w:vAlign w:val="center"/>
          </w:tcPr>
          <w:p w14:paraId="431ADC90">
            <w:pPr>
              <w:adjustRightInd w:val="0"/>
              <w:snapToGrid w:val="0"/>
              <w:jc w:val="center"/>
              <w:rPr>
                <w:sz w:val="24"/>
                <w:lang w:bidi="ar"/>
              </w:rPr>
            </w:pPr>
          </w:p>
        </w:tc>
        <w:tc>
          <w:tcPr>
            <w:tcW w:w="1380" w:type="dxa"/>
            <w:vMerge w:val="restart"/>
            <w:tcBorders>
              <w:top w:val="single" w:color="auto" w:sz="4" w:space="0"/>
              <w:left w:val="single" w:color="auto" w:sz="4" w:space="0"/>
              <w:right w:val="single" w:color="auto" w:sz="4" w:space="0"/>
            </w:tcBorders>
            <w:shd w:val="clear" w:color="auto" w:fill="auto"/>
            <w:vAlign w:val="center"/>
          </w:tcPr>
          <w:p w14:paraId="788C5DAC">
            <w:pPr>
              <w:jc w:val="center"/>
              <w:rPr>
                <w:rFonts w:hint="eastAsia" w:eastAsia="宋体"/>
                <w:sz w:val="24"/>
                <w:lang w:eastAsia="zh-CN"/>
              </w:rPr>
            </w:pPr>
            <w:r>
              <w:rPr>
                <w:rFonts w:hint="eastAsia"/>
                <w:szCs w:val="21"/>
                <w:lang w:eastAsia="zh-CN"/>
              </w:rPr>
              <w:t>危险废物收集贮存库</w:t>
            </w:r>
          </w:p>
        </w:tc>
        <w:tc>
          <w:tcPr>
            <w:tcW w:w="1222" w:type="dxa"/>
            <w:tcBorders>
              <w:top w:val="single" w:color="auto" w:sz="4" w:space="0"/>
              <w:left w:val="single" w:color="auto" w:sz="4" w:space="0"/>
              <w:bottom w:val="single" w:color="auto" w:sz="4" w:space="0"/>
              <w:right w:val="single" w:color="auto" w:sz="4" w:space="0"/>
            </w:tcBorders>
            <w:shd w:val="clear" w:color="auto" w:fill="auto"/>
            <w:vAlign w:val="center"/>
          </w:tcPr>
          <w:p w14:paraId="3BF275C3">
            <w:pPr>
              <w:jc w:val="center"/>
              <w:rPr>
                <w:rFonts w:hint="eastAsia" w:eastAsia="宋体"/>
                <w:sz w:val="24"/>
                <w:lang w:eastAsia="zh-CN"/>
              </w:rPr>
            </w:pPr>
            <w:r>
              <w:rPr>
                <w:rFonts w:hint="eastAsia" w:ascii="Times New Roman" w:hAnsi="Times New Roman" w:eastAsia="宋体" w:cs="Times New Roman"/>
                <w:lang w:val="en-US" w:eastAsia="zh-CN"/>
              </w:rPr>
              <w:t>非甲烷总烃</w:t>
            </w:r>
          </w:p>
        </w:tc>
        <w:tc>
          <w:tcPr>
            <w:tcW w:w="2327" w:type="dxa"/>
            <w:vMerge w:val="restart"/>
            <w:tcBorders>
              <w:top w:val="single" w:color="auto" w:sz="4" w:space="0"/>
              <w:left w:val="single" w:color="auto" w:sz="4" w:space="0"/>
              <w:right w:val="single" w:color="auto" w:sz="4" w:space="0"/>
            </w:tcBorders>
            <w:shd w:val="clear" w:color="auto" w:fill="auto"/>
            <w:vAlign w:val="center"/>
          </w:tcPr>
          <w:p w14:paraId="5F9C916E">
            <w:pPr>
              <w:widowControl/>
              <w:snapToGrid w:val="0"/>
              <w:rPr>
                <w:rFonts w:hint="default" w:eastAsia="宋体"/>
                <w:sz w:val="24"/>
                <w:highlight w:val="green"/>
                <w:lang w:val="en-US" w:eastAsia="zh-CN"/>
              </w:rPr>
            </w:pPr>
            <w:r>
              <w:rPr>
                <w:rFonts w:hint="eastAsia" w:cs="Times New Roman"/>
                <w:lang w:val="en-US" w:eastAsia="zh-CN"/>
              </w:rPr>
              <w:t>危险废物收集贮存库</w:t>
            </w:r>
            <w:r>
              <w:rPr>
                <w:rFonts w:hint="eastAsia" w:ascii="Times New Roman" w:hAnsi="Times New Roman" w:eastAsia="宋体" w:cs="Times New Roman"/>
                <w:lang w:val="en-US" w:eastAsia="zh-CN"/>
              </w:rPr>
              <w:t>封闭</w:t>
            </w:r>
          </w:p>
        </w:tc>
        <w:tc>
          <w:tcPr>
            <w:tcW w:w="3201" w:type="dxa"/>
            <w:tcBorders>
              <w:left w:val="single" w:color="auto" w:sz="4" w:space="0"/>
              <w:right w:val="single" w:color="auto" w:sz="8" w:space="0"/>
            </w:tcBorders>
            <w:shd w:val="clear" w:color="auto" w:fill="auto"/>
            <w:vAlign w:val="center"/>
          </w:tcPr>
          <w:p w14:paraId="14840FC4">
            <w:pPr>
              <w:jc w:val="center"/>
              <w:rPr>
                <w:rFonts w:hint="eastAsia" w:eastAsia="宋体"/>
                <w:sz w:val="24"/>
                <w:highlight w:val="green"/>
                <w:lang w:val="en-US" w:eastAsia="zh-CN"/>
              </w:rPr>
            </w:pPr>
            <w:r>
              <w:rPr>
                <w:rFonts w:ascii="Times New Roman" w:hAnsi="Times New Roman"/>
                <w:szCs w:val="21"/>
              </w:rPr>
              <w:t>《工业企业挥发性有机物排放控制标准》（DB13/2322-2016）</w:t>
            </w:r>
            <w:r>
              <w:rPr>
                <w:rFonts w:hint="eastAsia" w:ascii="Times New Roman" w:hAnsi="Times New Roman"/>
                <w:szCs w:val="21"/>
              </w:rPr>
              <w:t>表2标准</w:t>
            </w:r>
            <w:r>
              <w:rPr>
                <w:rFonts w:hint="eastAsia"/>
                <w:szCs w:val="21"/>
                <w:lang w:val="en-US" w:eastAsia="zh-CN"/>
              </w:rPr>
              <w:t>和《挥发性有机物无组织排放控制标准》（GB37822-2019）表A.1厂区内VOCs无组织排放限值</w:t>
            </w:r>
          </w:p>
        </w:tc>
      </w:tr>
      <w:tr w14:paraId="7687C3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4" w:type="dxa"/>
            <w:vMerge w:val="continue"/>
            <w:tcBorders>
              <w:left w:val="single" w:color="auto" w:sz="8" w:space="0"/>
              <w:right w:val="single" w:color="auto" w:sz="4" w:space="0"/>
            </w:tcBorders>
            <w:shd w:val="clear" w:color="auto" w:fill="auto"/>
            <w:vAlign w:val="center"/>
          </w:tcPr>
          <w:p w14:paraId="6BA291E6">
            <w:pPr>
              <w:adjustRightInd w:val="0"/>
              <w:snapToGrid w:val="0"/>
              <w:jc w:val="center"/>
              <w:rPr>
                <w:sz w:val="24"/>
                <w:lang w:bidi="ar"/>
              </w:rPr>
            </w:pPr>
          </w:p>
        </w:tc>
        <w:tc>
          <w:tcPr>
            <w:tcW w:w="1380" w:type="dxa"/>
            <w:vMerge w:val="continue"/>
            <w:tcBorders>
              <w:left w:val="single" w:color="auto" w:sz="4" w:space="0"/>
              <w:right w:val="single" w:color="auto" w:sz="4" w:space="0"/>
            </w:tcBorders>
            <w:shd w:val="clear" w:color="auto" w:fill="auto"/>
            <w:vAlign w:val="center"/>
          </w:tcPr>
          <w:p w14:paraId="56C418EB">
            <w:pPr>
              <w:jc w:val="center"/>
              <w:rPr>
                <w:rFonts w:hint="eastAsia"/>
                <w:sz w:val="24"/>
              </w:rPr>
            </w:pPr>
          </w:p>
        </w:tc>
        <w:tc>
          <w:tcPr>
            <w:tcW w:w="1222" w:type="dxa"/>
            <w:tcBorders>
              <w:top w:val="single" w:color="auto" w:sz="4" w:space="0"/>
              <w:left w:val="single" w:color="auto" w:sz="4" w:space="0"/>
              <w:bottom w:val="single" w:color="auto" w:sz="4" w:space="0"/>
              <w:right w:val="single" w:color="auto" w:sz="4" w:space="0"/>
            </w:tcBorders>
            <w:shd w:val="clear" w:color="auto" w:fill="auto"/>
            <w:vAlign w:val="center"/>
          </w:tcPr>
          <w:p w14:paraId="3BFCCCA8">
            <w:pPr>
              <w:jc w:val="center"/>
              <w:rPr>
                <w:sz w:val="24"/>
              </w:rPr>
            </w:pPr>
            <w:r>
              <w:rPr>
                <w:rFonts w:ascii="Times New Roman" w:hAnsi="Times New Roman"/>
              </w:rPr>
              <w:t>氨、硫化氢、臭气浓度</w:t>
            </w:r>
          </w:p>
        </w:tc>
        <w:tc>
          <w:tcPr>
            <w:tcW w:w="2327" w:type="dxa"/>
            <w:vMerge w:val="continue"/>
            <w:tcBorders>
              <w:left w:val="single" w:color="auto" w:sz="4" w:space="0"/>
              <w:right w:val="single" w:color="auto" w:sz="4" w:space="0"/>
            </w:tcBorders>
            <w:shd w:val="clear" w:color="auto" w:fill="auto"/>
            <w:vAlign w:val="center"/>
          </w:tcPr>
          <w:p w14:paraId="6C442856">
            <w:pPr>
              <w:widowControl/>
              <w:snapToGrid w:val="0"/>
              <w:jc w:val="center"/>
              <w:rPr>
                <w:sz w:val="24"/>
              </w:rPr>
            </w:pPr>
          </w:p>
        </w:tc>
        <w:tc>
          <w:tcPr>
            <w:tcW w:w="3201" w:type="dxa"/>
            <w:tcBorders>
              <w:left w:val="single" w:color="auto" w:sz="4" w:space="0"/>
              <w:right w:val="single" w:color="auto" w:sz="8" w:space="0"/>
            </w:tcBorders>
            <w:shd w:val="clear" w:color="auto" w:fill="auto"/>
            <w:vAlign w:val="center"/>
          </w:tcPr>
          <w:p w14:paraId="0DCC6D3F">
            <w:pPr>
              <w:jc w:val="center"/>
              <w:rPr>
                <w:sz w:val="24"/>
              </w:rPr>
            </w:pPr>
            <w:r>
              <w:t>《</w:t>
            </w:r>
            <w:r>
              <w:rPr>
                <w:rFonts w:ascii="Times New Roman" w:hAnsi="Times New Roman"/>
              </w:rPr>
              <w:t>恶臭污染物排放标准》（GB14554-93）表1二级标准</w:t>
            </w:r>
          </w:p>
        </w:tc>
      </w:tr>
      <w:tr w14:paraId="3ABC66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4" w:type="dxa"/>
            <w:vMerge w:val="continue"/>
            <w:tcBorders>
              <w:left w:val="single" w:color="auto" w:sz="8" w:space="0"/>
              <w:right w:val="single" w:color="auto" w:sz="4" w:space="0"/>
            </w:tcBorders>
            <w:shd w:val="clear" w:color="auto" w:fill="auto"/>
            <w:vAlign w:val="center"/>
          </w:tcPr>
          <w:p w14:paraId="0514A7EB">
            <w:pPr>
              <w:adjustRightInd w:val="0"/>
              <w:snapToGrid w:val="0"/>
              <w:jc w:val="center"/>
              <w:rPr>
                <w:sz w:val="24"/>
                <w:lang w:bidi="ar"/>
              </w:rPr>
            </w:pPr>
          </w:p>
        </w:tc>
        <w:tc>
          <w:tcPr>
            <w:tcW w:w="1380" w:type="dxa"/>
            <w:vMerge w:val="continue"/>
            <w:tcBorders>
              <w:left w:val="single" w:color="auto" w:sz="4" w:space="0"/>
              <w:right w:val="single" w:color="auto" w:sz="4" w:space="0"/>
            </w:tcBorders>
            <w:shd w:val="clear" w:color="auto" w:fill="auto"/>
            <w:vAlign w:val="center"/>
          </w:tcPr>
          <w:p w14:paraId="047AA4B0">
            <w:pPr>
              <w:jc w:val="center"/>
              <w:rPr>
                <w:rFonts w:hint="eastAsia"/>
                <w:sz w:val="24"/>
              </w:rPr>
            </w:pPr>
          </w:p>
        </w:tc>
        <w:tc>
          <w:tcPr>
            <w:tcW w:w="1222" w:type="dxa"/>
            <w:tcBorders>
              <w:top w:val="single" w:color="auto" w:sz="4" w:space="0"/>
              <w:left w:val="single" w:color="auto" w:sz="4" w:space="0"/>
              <w:right w:val="single" w:color="auto" w:sz="4" w:space="0"/>
            </w:tcBorders>
            <w:shd w:val="clear" w:color="auto" w:fill="auto"/>
            <w:vAlign w:val="center"/>
          </w:tcPr>
          <w:p w14:paraId="700C9DE5">
            <w:pPr>
              <w:jc w:val="center"/>
              <w:rPr>
                <w:sz w:val="24"/>
              </w:rPr>
            </w:pPr>
            <w:r>
              <w:rPr>
                <w:rFonts w:hint="eastAsia" w:ascii="Times New Roman" w:hAnsi="Times New Roman"/>
              </w:rPr>
              <w:t>氯化氢</w:t>
            </w:r>
          </w:p>
        </w:tc>
        <w:tc>
          <w:tcPr>
            <w:tcW w:w="2327" w:type="dxa"/>
            <w:vMerge w:val="continue"/>
            <w:tcBorders>
              <w:left w:val="single" w:color="auto" w:sz="4" w:space="0"/>
              <w:bottom w:val="single" w:color="auto" w:sz="4" w:space="0"/>
              <w:right w:val="single" w:color="auto" w:sz="4" w:space="0"/>
            </w:tcBorders>
            <w:shd w:val="clear" w:color="auto" w:fill="auto"/>
            <w:vAlign w:val="center"/>
          </w:tcPr>
          <w:p w14:paraId="2F124F9B">
            <w:pPr>
              <w:widowControl/>
              <w:snapToGrid w:val="0"/>
              <w:jc w:val="center"/>
              <w:rPr>
                <w:sz w:val="24"/>
                <w:highlight w:val="green"/>
              </w:rPr>
            </w:pPr>
          </w:p>
        </w:tc>
        <w:tc>
          <w:tcPr>
            <w:tcW w:w="3201" w:type="dxa"/>
            <w:tcBorders>
              <w:left w:val="single" w:color="auto" w:sz="4" w:space="0"/>
              <w:right w:val="single" w:color="auto" w:sz="8" w:space="0"/>
            </w:tcBorders>
            <w:shd w:val="clear" w:color="auto" w:fill="auto"/>
            <w:vAlign w:val="center"/>
          </w:tcPr>
          <w:p w14:paraId="6C84B90F">
            <w:pPr>
              <w:jc w:val="center"/>
              <w:rPr>
                <w:sz w:val="24"/>
                <w:highlight w:val="green"/>
              </w:rPr>
            </w:pPr>
            <w:r>
              <w:rPr>
                <w:rFonts w:ascii="Times New Roman" w:hAnsi="Times New Roman"/>
                <w:szCs w:val="21"/>
              </w:rPr>
              <w:t>《大气污染物综合排放标准》（GB16297-1996）表2</w:t>
            </w:r>
            <w:r>
              <w:rPr>
                <w:rFonts w:hint="eastAsia" w:ascii="Times New Roman" w:hAnsi="Times New Roman"/>
                <w:szCs w:val="21"/>
              </w:rPr>
              <w:t>无组织排放监控浓度限值</w:t>
            </w:r>
          </w:p>
        </w:tc>
      </w:tr>
      <w:tr w14:paraId="7E40E2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39" w:hRule="atLeast"/>
          <w:jc w:val="center"/>
        </w:trPr>
        <w:tc>
          <w:tcPr>
            <w:tcW w:w="1074" w:type="dxa"/>
            <w:tcBorders>
              <w:top w:val="single" w:color="auto" w:sz="4" w:space="0"/>
              <w:left w:val="single" w:color="auto" w:sz="8" w:space="0"/>
              <w:right w:val="single" w:color="auto" w:sz="4" w:space="0"/>
            </w:tcBorders>
            <w:shd w:val="clear" w:color="auto" w:fill="auto"/>
            <w:vAlign w:val="center"/>
          </w:tcPr>
          <w:p w14:paraId="2A033292">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地表水环境</w:t>
            </w:r>
          </w:p>
        </w:tc>
        <w:tc>
          <w:tcPr>
            <w:tcW w:w="1380" w:type="dxa"/>
            <w:tcBorders>
              <w:top w:val="single" w:color="auto" w:sz="4" w:space="0"/>
              <w:left w:val="single" w:color="auto" w:sz="4" w:space="0"/>
              <w:bottom w:val="single" w:color="auto" w:sz="4" w:space="0"/>
              <w:right w:val="single" w:color="auto" w:sz="4" w:space="0"/>
            </w:tcBorders>
            <w:shd w:val="clear" w:color="auto" w:fill="auto"/>
            <w:vAlign w:val="center"/>
          </w:tcPr>
          <w:p w14:paraId="57B7E6AD">
            <w:pPr>
              <w:adjustRightInd w:val="0"/>
              <w:snapToGrid w:val="0"/>
              <w:jc w:val="center"/>
              <w:rPr>
                <w:rFonts w:ascii="Times New Roman" w:hAnsi="Times New Roman" w:eastAsia="宋体" w:cs="Times New Roman"/>
                <w:szCs w:val="21"/>
                <w:lang w:val="en-US" w:eastAsia="zh-CN"/>
              </w:rPr>
            </w:pPr>
            <w:r>
              <w:rPr>
                <w:rFonts w:hint="eastAsia" w:ascii="Times New Roman" w:hAnsi="Times New Roman" w:eastAsia="宋体" w:cs="Times New Roman"/>
                <w:szCs w:val="21"/>
              </w:rPr>
              <w:t>办公生活</w:t>
            </w:r>
          </w:p>
        </w:tc>
        <w:tc>
          <w:tcPr>
            <w:tcW w:w="1222" w:type="dxa"/>
            <w:tcBorders>
              <w:top w:val="single" w:color="auto" w:sz="4" w:space="0"/>
              <w:left w:val="single" w:color="auto" w:sz="4" w:space="0"/>
              <w:bottom w:val="single" w:color="auto" w:sz="4" w:space="0"/>
              <w:right w:val="single" w:color="auto" w:sz="4" w:space="0"/>
            </w:tcBorders>
            <w:shd w:val="clear" w:color="auto" w:fill="auto"/>
            <w:vAlign w:val="center"/>
          </w:tcPr>
          <w:p w14:paraId="45195A4E">
            <w:pPr>
              <w:adjustRightInd w:val="0"/>
              <w:snapToGrid w:val="0"/>
              <w:jc w:val="center"/>
              <w:rPr>
                <w:rFonts w:ascii="Times New Roman" w:hAnsi="Times New Roman" w:eastAsia="宋体" w:cs="Times New Roman"/>
                <w:szCs w:val="21"/>
                <w:lang w:val="en-US" w:eastAsia="zh-CN"/>
              </w:rPr>
            </w:pPr>
            <w:r>
              <w:rPr>
                <w:rFonts w:hint="eastAsia" w:ascii="Times New Roman" w:hAnsi="Times New Roman" w:eastAsia="宋体" w:cs="Times New Roman"/>
                <w:szCs w:val="21"/>
              </w:rPr>
              <w:t>生活污水</w:t>
            </w:r>
          </w:p>
        </w:tc>
        <w:tc>
          <w:tcPr>
            <w:tcW w:w="2327" w:type="dxa"/>
            <w:tcBorders>
              <w:top w:val="single" w:color="auto" w:sz="4" w:space="0"/>
              <w:left w:val="single" w:color="auto" w:sz="4" w:space="0"/>
              <w:right w:val="single" w:color="auto" w:sz="4" w:space="0"/>
            </w:tcBorders>
            <w:shd w:val="clear" w:color="auto" w:fill="auto"/>
            <w:vAlign w:val="center"/>
          </w:tcPr>
          <w:p w14:paraId="78AA4BE8">
            <w:pPr>
              <w:adjustRightInd w:val="0"/>
              <w:snapToGrid w:val="0"/>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生活污水依托承德坤元环保科技有限公司化粪池处理后最终进入宽城碧水源环保有限公司</w:t>
            </w:r>
          </w:p>
        </w:tc>
        <w:tc>
          <w:tcPr>
            <w:tcW w:w="3201" w:type="dxa"/>
            <w:tcBorders>
              <w:top w:val="single" w:color="auto" w:sz="4" w:space="0"/>
              <w:left w:val="single" w:color="auto" w:sz="4" w:space="0"/>
              <w:right w:val="single" w:color="auto" w:sz="8" w:space="0"/>
            </w:tcBorders>
            <w:shd w:val="clear" w:color="auto" w:fill="auto"/>
            <w:vAlign w:val="center"/>
          </w:tcPr>
          <w:p w14:paraId="14FED21F">
            <w:pPr>
              <w:adjustRightInd w:val="0"/>
              <w:snapToGrid w:val="0"/>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w:t>
            </w:r>
          </w:p>
        </w:tc>
      </w:tr>
      <w:tr w14:paraId="53A64B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4" w:type="dxa"/>
            <w:vMerge w:val="restart"/>
            <w:tcBorders>
              <w:top w:val="single" w:color="auto" w:sz="4" w:space="0"/>
              <w:left w:val="single" w:color="auto" w:sz="8" w:space="0"/>
              <w:right w:val="single" w:color="auto" w:sz="4" w:space="0"/>
            </w:tcBorders>
            <w:shd w:val="clear" w:color="auto" w:fill="auto"/>
            <w:vAlign w:val="center"/>
          </w:tcPr>
          <w:p w14:paraId="1DA54030">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声环境</w:t>
            </w:r>
          </w:p>
        </w:tc>
        <w:tc>
          <w:tcPr>
            <w:tcW w:w="1380" w:type="dxa"/>
            <w:tcBorders>
              <w:top w:val="single" w:color="auto" w:sz="4" w:space="0"/>
              <w:left w:val="single" w:color="auto" w:sz="4" w:space="0"/>
              <w:bottom w:val="single" w:color="auto" w:sz="4" w:space="0"/>
              <w:right w:val="single" w:color="auto" w:sz="4" w:space="0"/>
            </w:tcBorders>
            <w:shd w:val="clear" w:color="auto" w:fill="auto"/>
            <w:vAlign w:val="center"/>
          </w:tcPr>
          <w:p w14:paraId="679C2FDA">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生产设备</w:t>
            </w:r>
          </w:p>
        </w:tc>
        <w:tc>
          <w:tcPr>
            <w:tcW w:w="1222" w:type="dxa"/>
            <w:tcBorders>
              <w:top w:val="single" w:color="auto" w:sz="4" w:space="0"/>
              <w:left w:val="single" w:color="auto" w:sz="4" w:space="0"/>
              <w:bottom w:val="single" w:color="auto" w:sz="4" w:space="0"/>
              <w:right w:val="single" w:color="auto" w:sz="4" w:space="0"/>
            </w:tcBorders>
            <w:shd w:val="clear" w:color="auto" w:fill="auto"/>
            <w:vAlign w:val="center"/>
          </w:tcPr>
          <w:p w14:paraId="6DE4A3CC">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A声级</w:t>
            </w:r>
          </w:p>
        </w:tc>
        <w:tc>
          <w:tcPr>
            <w:tcW w:w="2327" w:type="dxa"/>
            <w:tcBorders>
              <w:top w:val="single" w:color="auto" w:sz="4" w:space="0"/>
              <w:left w:val="single" w:color="auto" w:sz="4" w:space="0"/>
              <w:bottom w:val="single" w:color="auto" w:sz="4" w:space="0"/>
              <w:right w:val="single" w:color="auto" w:sz="4" w:space="0"/>
            </w:tcBorders>
            <w:shd w:val="clear" w:color="auto" w:fill="auto"/>
            <w:vAlign w:val="center"/>
          </w:tcPr>
          <w:p w14:paraId="776CAEA2">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使用低噪声设备，</w:t>
            </w:r>
            <w:r>
              <w:rPr>
                <w:rFonts w:hint="eastAsia" w:ascii="Times New Roman" w:hAnsi="Times New Roman" w:eastAsia="宋体" w:cs="Times New Roman"/>
                <w:szCs w:val="21"/>
                <w:lang w:val="en-US" w:eastAsia="zh-CN"/>
              </w:rPr>
              <w:t>厂房隔音，</w:t>
            </w:r>
            <w:r>
              <w:rPr>
                <w:rFonts w:ascii="Times New Roman" w:hAnsi="Times New Roman" w:eastAsia="宋体" w:cs="Times New Roman"/>
                <w:szCs w:val="21"/>
              </w:rPr>
              <w:t>车间封闭</w:t>
            </w:r>
          </w:p>
        </w:tc>
        <w:tc>
          <w:tcPr>
            <w:tcW w:w="3201" w:type="dxa"/>
            <w:vMerge w:val="restart"/>
            <w:tcBorders>
              <w:top w:val="single" w:color="auto" w:sz="4" w:space="0"/>
              <w:left w:val="single" w:color="auto" w:sz="4" w:space="0"/>
              <w:right w:val="single" w:color="auto" w:sz="8" w:space="0"/>
            </w:tcBorders>
            <w:shd w:val="clear" w:color="auto" w:fill="auto"/>
            <w:vAlign w:val="center"/>
          </w:tcPr>
          <w:p w14:paraId="1F7481DA">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《工业企业厂界环境噪声排放标准》（GB12348-2008）中2类标准要求</w:t>
            </w:r>
          </w:p>
        </w:tc>
      </w:tr>
      <w:tr w14:paraId="6515BC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4" w:type="dxa"/>
            <w:vMerge w:val="continue"/>
            <w:tcBorders>
              <w:left w:val="single" w:color="auto" w:sz="8" w:space="0"/>
              <w:bottom w:val="single" w:color="auto" w:sz="4" w:space="0"/>
              <w:right w:val="single" w:color="auto" w:sz="4" w:space="0"/>
            </w:tcBorders>
            <w:shd w:val="clear" w:color="auto" w:fill="auto"/>
            <w:vAlign w:val="center"/>
          </w:tcPr>
          <w:p w14:paraId="2DAD6BBE">
            <w:pPr>
              <w:adjustRightInd w:val="0"/>
              <w:snapToGrid w:val="0"/>
              <w:jc w:val="center"/>
              <w:rPr>
                <w:rFonts w:ascii="Times New Roman" w:hAnsi="Times New Roman" w:eastAsia="宋体" w:cs="Times New Roman"/>
                <w:szCs w:val="21"/>
              </w:rPr>
            </w:pPr>
          </w:p>
        </w:tc>
        <w:tc>
          <w:tcPr>
            <w:tcW w:w="1380" w:type="dxa"/>
            <w:tcBorders>
              <w:top w:val="single" w:color="auto" w:sz="4" w:space="0"/>
              <w:left w:val="single" w:color="auto" w:sz="4" w:space="0"/>
              <w:bottom w:val="single" w:color="auto" w:sz="4" w:space="0"/>
              <w:right w:val="single" w:color="auto" w:sz="4" w:space="0"/>
            </w:tcBorders>
            <w:shd w:val="clear" w:color="auto" w:fill="auto"/>
            <w:vAlign w:val="center"/>
          </w:tcPr>
          <w:p w14:paraId="710B13BD">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运输车辆</w:t>
            </w:r>
          </w:p>
        </w:tc>
        <w:tc>
          <w:tcPr>
            <w:tcW w:w="1222" w:type="dxa"/>
            <w:tcBorders>
              <w:top w:val="single" w:color="auto" w:sz="4" w:space="0"/>
              <w:left w:val="single" w:color="auto" w:sz="4" w:space="0"/>
              <w:bottom w:val="single" w:color="auto" w:sz="4" w:space="0"/>
              <w:right w:val="single" w:color="auto" w:sz="4" w:space="0"/>
            </w:tcBorders>
            <w:shd w:val="clear" w:color="auto" w:fill="auto"/>
            <w:vAlign w:val="center"/>
          </w:tcPr>
          <w:p w14:paraId="510130F2">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A声级</w:t>
            </w:r>
          </w:p>
        </w:tc>
        <w:tc>
          <w:tcPr>
            <w:tcW w:w="2327" w:type="dxa"/>
            <w:tcBorders>
              <w:top w:val="single" w:color="auto" w:sz="4" w:space="0"/>
              <w:left w:val="single" w:color="auto" w:sz="4" w:space="0"/>
              <w:bottom w:val="single" w:color="auto" w:sz="4" w:space="0"/>
              <w:right w:val="single" w:color="auto" w:sz="4" w:space="0"/>
            </w:tcBorders>
            <w:shd w:val="clear" w:color="auto" w:fill="auto"/>
            <w:vAlign w:val="center"/>
          </w:tcPr>
          <w:p w14:paraId="35BF9459">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车辆减速慢行，禁止鸣笛</w:t>
            </w:r>
          </w:p>
        </w:tc>
        <w:tc>
          <w:tcPr>
            <w:tcW w:w="3201" w:type="dxa"/>
            <w:vMerge w:val="continue"/>
            <w:tcBorders>
              <w:left w:val="single" w:color="auto" w:sz="4" w:space="0"/>
              <w:right w:val="single" w:color="auto" w:sz="8" w:space="0"/>
            </w:tcBorders>
            <w:shd w:val="clear" w:color="auto" w:fill="auto"/>
            <w:vAlign w:val="center"/>
          </w:tcPr>
          <w:p w14:paraId="11AAEB68">
            <w:pPr>
              <w:adjustRightInd w:val="0"/>
              <w:snapToGrid w:val="0"/>
              <w:jc w:val="center"/>
              <w:rPr>
                <w:rFonts w:ascii="Times New Roman" w:hAnsi="Times New Roman" w:eastAsia="宋体" w:cs="Times New Roman"/>
                <w:szCs w:val="21"/>
              </w:rPr>
            </w:pPr>
          </w:p>
        </w:tc>
      </w:tr>
      <w:tr w14:paraId="0920EC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4" w:type="dxa"/>
            <w:tcBorders>
              <w:top w:val="single" w:color="auto" w:sz="4" w:space="0"/>
              <w:left w:val="single" w:color="auto" w:sz="8" w:space="0"/>
              <w:bottom w:val="single" w:color="auto" w:sz="4" w:space="0"/>
              <w:right w:val="single" w:color="auto" w:sz="4" w:space="0"/>
            </w:tcBorders>
            <w:shd w:val="clear" w:color="auto" w:fill="auto"/>
            <w:vAlign w:val="center"/>
          </w:tcPr>
          <w:p w14:paraId="0DF85A37">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固体废物</w:t>
            </w:r>
          </w:p>
        </w:tc>
        <w:tc>
          <w:tcPr>
            <w:tcW w:w="8130" w:type="dxa"/>
            <w:gridSpan w:val="4"/>
            <w:tcBorders>
              <w:top w:val="single" w:color="auto" w:sz="4" w:space="0"/>
              <w:left w:val="single" w:color="auto" w:sz="4" w:space="0"/>
              <w:bottom w:val="single" w:color="auto" w:sz="4" w:space="0"/>
              <w:right w:val="single" w:color="auto" w:sz="8" w:space="0"/>
            </w:tcBorders>
            <w:shd w:val="clear" w:color="auto" w:fill="auto"/>
            <w:vAlign w:val="center"/>
          </w:tcPr>
          <w:p w14:paraId="0BA9B8BD">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生活垃圾收集后由环卫部门定期清运。危险废物贮存过程中产生的废包装桶/袋、废活性炭、废碱液、废</w:t>
            </w:r>
            <w:r>
              <w:rPr>
                <w:rFonts w:hint="eastAsia" w:cs="Times New Roman"/>
                <w:szCs w:val="21"/>
                <w:lang w:val="en-US" w:eastAsia="zh-CN"/>
              </w:rPr>
              <w:t>矿物</w:t>
            </w:r>
            <w:r>
              <w:rPr>
                <w:rFonts w:hint="eastAsia" w:ascii="Times New Roman" w:hAnsi="Times New Roman" w:eastAsia="宋体" w:cs="Times New Roman"/>
                <w:szCs w:val="21"/>
              </w:rPr>
              <w:t>油、废</w:t>
            </w:r>
            <w:r>
              <w:rPr>
                <w:rFonts w:hint="eastAsia" w:cs="Times New Roman"/>
                <w:szCs w:val="21"/>
                <w:lang w:val="en-US" w:eastAsia="zh-CN"/>
              </w:rPr>
              <w:t>矿物</w:t>
            </w:r>
            <w:r>
              <w:rPr>
                <w:rFonts w:hint="eastAsia" w:ascii="Times New Roman" w:hAnsi="Times New Roman" w:eastAsia="宋体" w:cs="Times New Roman"/>
                <w:szCs w:val="21"/>
              </w:rPr>
              <w:t>油桶和废弃的含油抹布、劳保用品等危险废物贮存于库房内</w:t>
            </w:r>
            <w:r>
              <w:rPr>
                <w:rFonts w:hint="eastAsia" w:ascii="Times New Roman" w:hAnsi="Times New Roman" w:eastAsia="宋体" w:cs="Times New Roman"/>
                <w:szCs w:val="21"/>
                <w:lang w:val="en-US" w:eastAsia="zh-CN"/>
              </w:rPr>
              <w:t>分区贮存</w:t>
            </w:r>
            <w:r>
              <w:rPr>
                <w:rFonts w:hint="eastAsia" w:ascii="Times New Roman" w:hAnsi="Times New Roman" w:eastAsia="宋体" w:cs="Times New Roman"/>
                <w:szCs w:val="21"/>
              </w:rPr>
              <w:t>定期委托有资质的单位进行处理</w:t>
            </w:r>
            <w:r>
              <w:rPr>
                <w:rFonts w:ascii="Times New Roman" w:hAnsi="Times New Roman" w:eastAsia="宋体" w:cs="Times New Roman"/>
                <w:szCs w:val="21"/>
              </w:rPr>
              <w:t>。</w:t>
            </w:r>
          </w:p>
        </w:tc>
      </w:tr>
      <w:tr w14:paraId="6225C1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4" w:type="dxa"/>
            <w:tcBorders>
              <w:top w:val="single" w:color="auto" w:sz="4" w:space="0"/>
              <w:left w:val="single" w:color="auto" w:sz="8" w:space="0"/>
              <w:bottom w:val="single" w:color="auto" w:sz="4" w:space="0"/>
              <w:right w:val="single" w:color="auto" w:sz="4" w:space="0"/>
            </w:tcBorders>
            <w:shd w:val="clear" w:color="auto" w:fill="auto"/>
            <w:vAlign w:val="center"/>
          </w:tcPr>
          <w:p w14:paraId="4F1BBDAF">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土壤及地下水污染防治措施</w:t>
            </w:r>
          </w:p>
        </w:tc>
        <w:tc>
          <w:tcPr>
            <w:tcW w:w="8130" w:type="dxa"/>
            <w:gridSpan w:val="4"/>
            <w:tcBorders>
              <w:top w:val="single" w:color="auto" w:sz="4" w:space="0"/>
              <w:left w:val="single" w:color="auto" w:sz="4" w:space="0"/>
              <w:bottom w:val="single" w:color="auto" w:sz="4" w:space="0"/>
              <w:right w:val="single" w:color="auto" w:sz="8" w:space="0"/>
            </w:tcBorders>
            <w:shd w:val="clear" w:color="auto" w:fill="auto"/>
            <w:vAlign w:val="center"/>
          </w:tcPr>
          <w:p w14:paraId="7648CE78">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对</w:t>
            </w:r>
            <w:r>
              <w:rPr>
                <w:rFonts w:hint="eastAsia" w:cs="Times New Roman"/>
                <w:szCs w:val="21"/>
                <w:lang w:eastAsia="zh-CN"/>
              </w:rPr>
              <w:t>危险废物收集贮存库</w:t>
            </w:r>
            <w:r>
              <w:rPr>
                <w:rFonts w:hint="eastAsia" w:ascii="Times New Roman" w:hAnsi="Times New Roman" w:eastAsia="宋体" w:cs="Times New Roman"/>
                <w:szCs w:val="21"/>
              </w:rPr>
              <w:t>、</w:t>
            </w:r>
            <w:r>
              <w:rPr>
                <w:rFonts w:hint="eastAsia" w:ascii="Times New Roman" w:hAnsi="Times New Roman" w:eastAsia="宋体" w:cs="Times New Roman"/>
                <w:szCs w:val="21"/>
                <w:lang w:val="en-US" w:eastAsia="zh-CN"/>
              </w:rPr>
              <w:t>事故池</w:t>
            </w:r>
            <w:r>
              <w:rPr>
                <w:rFonts w:hint="eastAsia" w:ascii="Times New Roman" w:hAnsi="Times New Roman" w:eastAsia="宋体" w:cs="Times New Roman"/>
                <w:szCs w:val="21"/>
              </w:rPr>
              <w:t>和办公区处进行分区防渗，</w:t>
            </w:r>
            <w:r>
              <w:rPr>
                <w:rFonts w:hint="eastAsia" w:cs="Times New Roman"/>
                <w:szCs w:val="21"/>
                <w:lang w:eastAsia="zh-CN"/>
              </w:rPr>
              <w:t>危险废物收集贮存库</w:t>
            </w:r>
            <w:r>
              <w:rPr>
                <w:rFonts w:hint="eastAsia" w:ascii="Times New Roman" w:hAnsi="Times New Roman" w:eastAsia="宋体" w:cs="Times New Roman"/>
                <w:szCs w:val="21"/>
              </w:rPr>
              <w:t>、</w:t>
            </w:r>
            <w:r>
              <w:rPr>
                <w:rFonts w:hint="eastAsia" w:ascii="Times New Roman" w:hAnsi="Times New Roman" w:eastAsia="宋体" w:cs="Times New Roman"/>
                <w:szCs w:val="21"/>
                <w:lang w:val="en-US" w:eastAsia="zh-CN"/>
              </w:rPr>
              <w:t>事故池</w:t>
            </w:r>
            <w:r>
              <w:rPr>
                <w:rFonts w:hint="eastAsia" w:ascii="Times New Roman" w:hAnsi="Times New Roman" w:eastAsia="宋体" w:cs="Times New Roman"/>
                <w:szCs w:val="21"/>
              </w:rPr>
              <w:t>渗透系数K≤1×10</w:t>
            </w:r>
            <w:r>
              <w:rPr>
                <w:rFonts w:hint="eastAsia" w:ascii="Times New Roman" w:hAnsi="Times New Roman" w:eastAsia="宋体" w:cs="Times New Roman"/>
                <w:szCs w:val="21"/>
                <w:vertAlign w:val="superscript"/>
              </w:rPr>
              <w:t>-10</w:t>
            </w:r>
            <w:r>
              <w:rPr>
                <w:rFonts w:hint="eastAsia" w:ascii="Times New Roman" w:hAnsi="Times New Roman" w:eastAsia="宋体" w:cs="Times New Roman"/>
                <w:szCs w:val="21"/>
              </w:rPr>
              <w:t>cm/s，办公区处采用简单防渗，采取一般地面硬化</w:t>
            </w:r>
          </w:p>
        </w:tc>
      </w:tr>
      <w:tr w14:paraId="5375F1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4" w:type="dxa"/>
            <w:tcBorders>
              <w:top w:val="single" w:color="auto" w:sz="4" w:space="0"/>
              <w:left w:val="single" w:color="auto" w:sz="8" w:space="0"/>
              <w:bottom w:val="single" w:color="auto" w:sz="4" w:space="0"/>
              <w:right w:val="single" w:color="auto" w:sz="4" w:space="0"/>
            </w:tcBorders>
            <w:shd w:val="clear" w:color="auto" w:fill="auto"/>
            <w:vAlign w:val="center"/>
          </w:tcPr>
          <w:p w14:paraId="5D6A6DD3">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生态保护措施</w:t>
            </w:r>
          </w:p>
        </w:tc>
        <w:tc>
          <w:tcPr>
            <w:tcW w:w="8130" w:type="dxa"/>
            <w:gridSpan w:val="4"/>
            <w:tcBorders>
              <w:top w:val="single" w:color="auto" w:sz="4" w:space="0"/>
              <w:left w:val="single" w:color="auto" w:sz="4" w:space="0"/>
              <w:bottom w:val="single" w:color="auto" w:sz="4" w:space="0"/>
              <w:right w:val="single" w:color="auto" w:sz="8" w:space="0"/>
            </w:tcBorders>
            <w:shd w:val="clear" w:color="auto" w:fill="auto"/>
            <w:vAlign w:val="center"/>
          </w:tcPr>
          <w:p w14:paraId="57041A68">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w:t>
            </w:r>
          </w:p>
        </w:tc>
      </w:tr>
      <w:tr w14:paraId="213465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4" w:type="dxa"/>
            <w:tcBorders>
              <w:top w:val="single" w:color="auto" w:sz="4" w:space="0"/>
              <w:left w:val="single" w:color="auto" w:sz="8" w:space="0"/>
              <w:bottom w:val="single" w:color="auto" w:sz="4" w:space="0"/>
              <w:right w:val="single" w:color="auto" w:sz="4" w:space="0"/>
            </w:tcBorders>
            <w:shd w:val="clear" w:color="auto" w:fill="auto"/>
            <w:vAlign w:val="center"/>
          </w:tcPr>
          <w:p w14:paraId="6EAD87CA">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环境风险防范措施</w:t>
            </w:r>
          </w:p>
        </w:tc>
        <w:tc>
          <w:tcPr>
            <w:tcW w:w="8130" w:type="dxa"/>
            <w:gridSpan w:val="4"/>
            <w:tcBorders>
              <w:top w:val="single" w:color="auto" w:sz="4" w:space="0"/>
              <w:left w:val="single" w:color="auto" w:sz="4" w:space="0"/>
              <w:bottom w:val="single" w:color="auto" w:sz="4" w:space="0"/>
              <w:right w:val="single" w:color="auto" w:sz="8" w:space="0"/>
            </w:tcBorders>
            <w:shd w:val="clear" w:color="auto" w:fill="auto"/>
            <w:vAlign w:val="center"/>
          </w:tcPr>
          <w:p w14:paraId="123F4B32">
            <w:pPr>
              <w:adjustRightInd w:val="0"/>
              <w:snapToGrid w:val="0"/>
              <w:jc w:val="center"/>
              <w:rPr>
                <w:rFonts w:ascii="Times New Roman" w:hAnsi="Times New Roman" w:eastAsia="宋体" w:cs="Times New Roman"/>
                <w:szCs w:val="21"/>
              </w:rPr>
            </w:pPr>
            <w:r>
              <w:rPr>
                <w:rFonts w:hint="default" w:ascii="Times New Roman" w:hAnsi="Times New Roman" w:eastAsia="宋体" w:cs="Times New Roman"/>
                <w:sz w:val="21"/>
                <w:szCs w:val="21"/>
              </w:rPr>
              <w:t>项目主体单位应成立本厂的突发环境事件应急小组指挥部，责任到人，确保应急小组分工明确，以有效应对突发事件的发生，同时，项目应依据《中华人民共和国突发事件应对法》、《企业事业单位突发环境事件应急预案备案管理办法》（试行）的相关要求，进行《突发环境事件应急预案》的编制及备案工作。对于本项目可能造成环境风险的突发性事故制定应急预案纲要，供项目决策人参考</w:t>
            </w:r>
            <w:r>
              <w:rPr>
                <w:rFonts w:ascii="Times New Roman" w:hAnsi="Times New Roman" w:eastAsia="宋体" w:cs="Times New Roman"/>
                <w:szCs w:val="21"/>
              </w:rPr>
              <w:t>。</w:t>
            </w:r>
          </w:p>
        </w:tc>
      </w:tr>
      <w:tr w14:paraId="134130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74" w:type="dxa"/>
            <w:tcBorders>
              <w:top w:val="single" w:color="auto" w:sz="4" w:space="0"/>
              <w:left w:val="single" w:color="auto" w:sz="8" w:space="0"/>
              <w:bottom w:val="single" w:color="auto" w:sz="4" w:space="0"/>
              <w:right w:val="single" w:color="auto" w:sz="4" w:space="0"/>
            </w:tcBorders>
            <w:shd w:val="clear" w:color="auto" w:fill="auto"/>
            <w:vAlign w:val="center"/>
          </w:tcPr>
          <w:p w14:paraId="7228A863">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其他环境管理要求</w:t>
            </w:r>
          </w:p>
        </w:tc>
        <w:tc>
          <w:tcPr>
            <w:tcW w:w="8130" w:type="dxa"/>
            <w:gridSpan w:val="4"/>
            <w:tcBorders>
              <w:top w:val="single" w:color="auto" w:sz="4" w:space="0"/>
              <w:left w:val="single" w:color="auto" w:sz="4" w:space="0"/>
              <w:bottom w:val="single" w:color="auto" w:sz="4" w:space="0"/>
              <w:right w:val="single" w:color="auto" w:sz="8" w:space="0"/>
            </w:tcBorders>
            <w:shd w:val="clear" w:color="auto" w:fill="auto"/>
            <w:vAlign w:val="center"/>
          </w:tcPr>
          <w:p w14:paraId="1CD0D9D3">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按照《固定污染源排污许可分类管理名录》</w:t>
            </w:r>
            <w:r>
              <w:rPr>
                <w:rFonts w:hint="eastAsia" w:cs="Times New Roman"/>
                <w:szCs w:val="21"/>
                <w:lang w:val="en-US" w:eastAsia="zh-CN"/>
              </w:rPr>
              <w:t>本项目所属行业为四十五、生态保护和环境治理业77-103环境治理业772，属于重点管理，根据</w:t>
            </w:r>
            <w:r>
              <w:rPr>
                <w:rFonts w:hint="eastAsia" w:ascii="Times New Roman" w:hAnsi="Times New Roman" w:eastAsia="宋体" w:cs="Times New Roman"/>
                <w:szCs w:val="21"/>
              </w:rPr>
              <w:t>相关要求申请排污许可；项目需依法落实建设项目竣工环境保护验收工作。</w:t>
            </w:r>
          </w:p>
        </w:tc>
      </w:tr>
    </w:tbl>
    <w:p w14:paraId="5B63815C">
      <w:pPr>
        <w:pStyle w:val="19"/>
        <w:spacing w:before="120" w:beforeLines="50" w:beforeAutospacing="0" w:after="240" w:afterLines="100" w:afterAutospacing="0"/>
        <w:jc w:val="center"/>
        <w:rPr>
          <w:rFonts w:ascii="黑体" w:hAnsi="黑体" w:eastAsia="黑体"/>
          <w:snapToGrid w:val="0"/>
          <w:sz w:val="30"/>
          <w:szCs w:val="30"/>
          <w:highlight w:val="green"/>
        </w:rPr>
      </w:pPr>
    </w:p>
    <w:p w14:paraId="32D93641">
      <w:pPr>
        <w:pStyle w:val="19"/>
        <w:spacing w:before="120" w:beforeLines="50" w:beforeAutospacing="0" w:after="240" w:afterLines="100" w:afterAutospacing="0"/>
        <w:jc w:val="center"/>
        <w:rPr>
          <w:rFonts w:ascii="黑体" w:hAnsi="黑体" w:eastAsia="黑体"/>
          <w:snapToGrid w:val="0"/>
          <w:sz w:val="30"/>
          <w:szCs w:val="30"/>
          <w:highlight w:val="green"/>
        </w:rPr>
        <w:sectPr>
          <w:pgSz w:w="11906" w:h="16838"/>
          <w:pgMar w:top="1701" w:right="1531" w:bottom="1701" w:left="1531" w:header="851" w:footer="851" w:gutter="0"/>
          <w:cols w:space="720" w:num="1"/>
          <w:docGrid w:linePitch="312" w:charSpace="0"/>
        </w:sectPr>
      </w:pPr>
    </w:p>
    <w:p w14:paraId="772D0C38">
      <w:pPr>
        <w:pStyle w:val="19"/>
        <w:spacing w:before="120" w:beforeLines="50" w:beforeAutospacing="0" w:after="240" w:afterLines="100" w:afterAutospacing="0"/>
        <w:jc w:val="center"/>
        <w:outlineLvl w:val="0"/>
        <w:rPr>
          <w:rFonts w:ascii="黑体" w:hAnsi="黑体" w:eastAsia="黑体"/>
          <w:snapToGrid w:val="0"/>
          <w:sz w:val="30"/>
          <w:szCs w:val="30"/>
        </w:rPr>
      </w:pPr>
      <w:r>
        <w:rPr>
          <w:rFonts w:hint="eastAsia" w:ascii="黑体" w:hAnsi="黑体" w:eastAsia="黑体"/>
          <w:snapToGrid w:val="0"/>
          <w:sz w:val="30"/>
          <w:szCs w:val="30"/>
        </w:rPr>
        <w:t>六、结论</w:t>
      </w:r>
    </w:p>
    <w:tbl>
      <w:tblPr>
        <w:tblStyle w:val="2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1251C4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Pr>
          <w:p w14:paraId="163ABE61">
            <w:pPr>
              <w:spacing w:before="120" w:beforeLines="50" w:line="360" w:lineRule="auto"/>
              <w:ind w:firstLine="482"/>
              <w:rPr>
                <w:b/>
                <w:sz w:val="24"/>
              </w:rPr>
            </w:pPr>
            <w:r>
              <w:rPr>
                <w:rFonts w:hint="eastAsia"/>
                <w:b/>
                <w:sz w:val="24"/>
              </w:rPr>
              <w:t>结论：</w:t>
            </w:r>
          </w:p>
          <w:p w14:paraId="66A63BD2">
            <w:pPr>
              <w:spacing w:line="360" w:lineRule="auto"/>
              <w:ind w:firstLine="480" w:firstLineChars="200"/>
              <w:rPr>
                <w:rFonts w:ascii="宋体" w:cs="宋体"/>
                <w:sz w:val="24"/>
              </w:rPr>
            </w:pPr>
            <w:r>
              <w:rPr>
                <w:rFonts w:ascii="宋体" w:cs="宋体"/>
                <w:sz w:val="24"/>
              </w:rPr>
              <w:t>从环境保护的角度，</w:t>
            </w:r>
            <w:r>
              <w:rPr>
                <w:rFonts w:hint="eastAsia" w:ascii="宋体" w:cs="宋体"/>
                <w:sz w:val="24"/>
              </w:rPr>
              <w:t>建设</w:t>
            </w:r>
            <w:r>
              <w:rPr>
                <w:rFonts w:ascii="宋体" w:cs="宋体"/>
                <w:sz w:val="24"/>
              </w:rPr>
              <w:t>项目</w:t>
            </w:r>
            <w:r>
              <w:rPr>
                <w:rFonts w:hint="eastAsia" w:ascii="宋体" w:cs="宋体"/>
                <w:sz w:val="24"/>
              </w:rPr>
              <w:t>环境影响</w:t>
            </w:r>
            <w:r>
              <w:rPr>
                <w:rFonts w:ascii="宋体" w:cs="宋体"/>
                <w:sz w:val="24"/>
              </w:rPr>
              <w:t>可行。</w:t>
            </w:r>
          </w:p>
        </w:tc>
      </w:tr>
    </w:tbl>
    <w:p w14:paraId="65DAFB9D">
      <w:pPr>
        <w:rPr>
          <w:rFonts w:ascii="宋体"/>
          <w:highlight w:val="green"/>
        </w:rPr>
      </w:pPr>
    </w:p>
    <w:p w14:paraId="7F448566">
      <w:pPr>
        <w:pStyle w:val="2"/>
        <w:ind w:left="420"/>
        <w:rPr>
          <w:highlight w:val="green"/>
        </w:rPr>
      </w:pPr>
    </w:p>
    <w:p w14:paraId="26E347F1">
      <w:pPr>
        <w:pStyle w:val="2"/>
        <w:ind w:left="420"/>
        <w:rPr>
          <w:highlight w:val="green"/>
        </w:rPr>
        <w:sectPr>
          <w:pgSz w:w="11906" w:h="16838"/>
          <w:pgMar w:top="1701" w:right="1531" w:bottom="1701" w:left="1531" w:header="851" w:footer="851" w:gutter="0"/>
          <w:cols w:space="720" w:num="1"/>
          <w:docGrid w:linePitch="312" w:charSpace="0"/>
        </w:sectPr>
      </w:pPr>
    </w:p>
    <w:p w14:paraId="1CF3AE86">
      <w:pPr>
        <w:pStyle w:val="19"/>
        <w:adjustRightInd w:val="0"/>
        <w:snapToGrid w:val="0"/>
        <w:spacing w:before="0" w:beforeAutospacing="0" w:after="0" w:afterAutospacing="0" w:line="360" w:lineRule="auto"/>
        <w:outlineLvl w:val="0"/>
        <w:rPr>
          <w:rFonts w:ascii="黑体" w:hAnsi="黑体" w:eastAsia="黑体"/>
          <w:snapToGrid w:val="0"/>
          <w:sz w:val="32"/>
          <w:szCs w:val="32"/>
        </w:rPr>
      </w:pPr>
      <w:r>
        <w:rPr>
          <w:rFonts w:hint="eastAsia" w:ascii="黑体" w:hAnsi="黑体" w:eastAsia="黑体"/>
          <w:snapToGrid w:val="0"/>
          <w:sz w:val="32"/>
          <w:szCs w:val="32"/>
        </w:rPr>
        <w:t>附表</w:t>
      </w:r>
    </w:p>
    <w:p w14:paraId="4B7B0127">
      <w:pPr>
        <w:pStyle w:val="19"/>
        <w:adjustRightInd w:val="0"/>
        <w:snapToGrid w:val="0"/>
        <w:spacing w:before="0" w:beforeAutospacing="0" w:after="0" w:afterAutospacing="0" w:line="360" w:lineRule="auto"/>
        <w:jc w:val="center"/>
        <w:rPr>
          <w:rFonts w:ascii="黑体" w:hAnsi="黑体" w:eastAsia="黑体"/>
          <w:b/>
          <w:snapToGrid w:val="0"/>
          <w:sz w:val="38"/>
          <w:szCs w:val="38"/>
        </w:rPr>
      </w:pPr>
      <w:r>
        <w:rPr>
          <w:rFonts w:hint="eastAsia" w:ascii="黑体" w:hAnsi="黑体" w:eastAsia="黑体"/>
          <w:b/>
          <w:snapToGrid w:val="0"/>
          <w:sz w:val="38"/>
          <w:szCs w:val="38"/>
        </w:rPr>
        <w:t>建设项目污染物排放量汇总表</w:t>
      </w:r>
    </w:p>
    <w:tbl>
      <w:tblPr>
        <w:tblStyle w:val="21"/>
        <w:tblW w:w="13790"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418"/>
        <w:gridCol w:w="1587"/>
        <w:gridCol w:w="1702"/>
        <w:gridCol w:w="1276"/>
        <w:gridCol w:w="1702"/>
        <w:gridCol w:w="1559"/>
        <w:gridCol w:w="1382"/>
        <w:gridCol w:w="1689"/>
        <w:gridCol w:w="1475"/>
      </w:tblGrid>
      <w:tr w14:paraId="0EECBF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418" w:type="dxa"/>
            <w:tcBorders>
              <w:top w:val="single" w:color="auto" w:sz="8" w:space="0"/>
              <w:left w:val="single" w:color="auto" w:sz="8" w:space="0"/>
              <w:bottom w:val="single" w:color="auto" w:sz="4" w:space="0"/>
              <w:right w:val="single" w:color="auto" w:sz="4" w:space="0"/>
              <w:tl2br w:val="single" w:color="auto" w:sz="4" w:space="0"/>
            </w:tcBorders>
            <w:shd w:val="clear" w:color="auto" w:fill="auto"/>
            <w:tcMar>
              <w:left w:w="28" w:type="dxa"/>
              <w:right w:w="28" w:type="dxa"/>
            </w:tcMar>
            <w:vAlign w:val="center"/>
          </w:tcPr>
          <w:p w14:paraId="7D03B24F">
            <w:pPr>
              <w:pStyle w:val="36"/>
              <w:widowControl/>
              <w:spacing w:beforeLines="0" w:afterLines="0" w:line="240" w:lineRule="auto"/>
              <w:jc w:val="right"/>
              <w:rPr>
                <w:rFonts w:ascii="Times New Roman" w:eastAsia="黑体"/>
                <w:spacing w:val="-6"/>
                <w:kern w:val="21"/>
                <w:szCs w:val="21"/>
              </w:rPr>
            </w:pPr>
            <w:r>
              <w:rPr>
                <w:rFonts w:ascii="Times New Roman" w:eastAsia="黑体"/>
                <w:snapToGrid w:val="0"/>
                <w:spacing w:val="-6"/>
                <w:kern w:val="21"/>
                <w:szCs w:val="21"/>
              </w:rPr>
              <w:t>项目</w:t>
            </w:r>
          </w:p>
          <w:p w14:paraId="11DC6A80">
            <w:pPr>
              <w:pStyle w:val="36"/>
              <w:widowControl/>
              <w:spacing w:beforeLines="0" w:afterLines="0" w:line="240" w:lineRule="auto"/>
              <w:jc w:val="left"/>
              <w:rPr>
                <w:rFonts w:ascii="Times New Roman" w:eastAsia="黑体"/>
                <w:spacing w:val="-6"/>
                <w:kern w:val="21"/>
                <w:szCs w:val="21"/>
              </w:rPr>
            </w:pPr>
            <w:r>
              <w:rPr>
                <w:rFonts w:ascii="Times New Roman" w:eastAsia="黑体"/>
                <w:snapToGrid w:val="0"/>
                <w:spacing w:val="-6"/>
                <w:kern w:val="21"/>
                <w:szCs w:val="21"/>
              </w:rPr>
              <w:t>分类</w:t>
            </w:r>
          </w:p>
        </w:tc>
        <w:tc>
          <w:tcPr>
            <w:tcW w:w="1587" w:type="dxa"/>
            <w:tcBorders>
              <w:top w:val="single" w:color="auto" w:sz="8" w:space="0"/>
              <w:left w:val="single" w:color="auto" w:sz="4" w:space="0"/>
              <w:bottom w:val="single" w:color="auto" w:sz="4" w:space="0"/>
              <w:right w:val="single" w:color="auto" w:sz="4" w:space="0"/>
            </w:tcBorders>
            <w:shd w:val="clear" w:color="auto" w:fill="auto"/>
            <w:tcMar>
              <w:left w:w="28" w:type="dxa"/>
              <w:right w:w="28" w:type="dxa"/>
            </w:tcMar>
            <w:vAlign w:val="center"/>
          </w:tcPr>
          <w:p w14:paraId="4FEE7642">
            <w:pPr>
              <w:pStyle w:val="36"/>
              <w:widowControl/>
              <w:spacing w:beforeLines="0" w:afterLines="0" w:line="240" w:lineRule="auto"/>
              <w:rPr>
                <w:rFonts w:ascii="Times New Roman" w:eastAsia="黑体"/>
                <w:spacing w:val="-6"/>
                <w:kern w:val="21"/>
                <w:szCs w:val="21"/>
              </w:rPr>
            </w:pPr>
            <w:r>
              <w:rPr>
                <w:rFonts w:ascii="Times New Roman" w:eastAsia="黑体"/>
                <w:snapToGrid w:val="0"/>
                <w:spacing w:val="-6"/>
                <w:kern w:val="21"/>
                <w:szCs w:val="21"/>
              </w:rPr>
              <w:t>污染物名称</w:t>
            </w:r>
          </w:p>
        </w:tc>
        <w:tc>
          <w:tcPr>
            <w:tcW w:w="1702" w:type="dxa"/>
            <w:tcBorders>
              <w:top w:val="single" w:color="auto" w:sz="8" w:space="0"/>
              <w:left w:val="single" w:color="auto" w:sz="4" w:space="0"/>
              <w:bottom w:val="single" w:color="auto" w:sz="4" w:space="0"/>
              <w:right w:val="single" w:color="auto" w:sz="4" w:space="0"/>
            </w:tcBorders>
            <w:shd w:val="clear" w:color="auto" w:fill="auto"/>
            <w:tcMar>
              <w:left w:w="28" w:type="dxa"/>
              <w:right w:w="28" w:type="dxa"/>
            </w:tcMar>
            <w:vAlign w:val="center"/>
          </w:tcPr>
          <w:p w14:paraId="0A3B9FF1">
            <w:pPr>
              <w:pStyle w:val="36"/>
              <w:widowControl/>
              <w:spacing w:beforeLines="0" w:afterLines="0" w:line="240" w:lineRule="auto"/>
              <w:rPr>
                <w:rFonts w:ascii="Times New Roman" w:eastAsia="黑体"/>
                <w:spacing w:val="-6"/>
                <w:kern w:val="21"/>
                <w:szCs w:val="21"/>
              </w:rPr>
            </w:pPr>
            <w:r>
              <w:rPr>
                <w:rFonts w:ascii="Times New Roman" w:eastAsia="黑体"/>
                <w:snapToGrid w:val="0"/>
                <w:spacing w:val="-6"/>
                <w:kern w:val="21"/>
                <w:szCs w:val="21"/>
              </w:rPr>
              <w:t>现有工程</w:t>
            </w:r>
          </w:p>
          <w:p w14:paraId="2C738B7C">
            <w:pPr>
              <w:pStyle w:val="36"/>
              <w:widowControl/>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排放量（固体废物产生量）</w:t>
            </w:r>
            <w:r>
              <w:rPr>
                <w:rFonts w:hint="eastAsia" w:ascii="Times New Roman" w:eastAsia="黑体"/>
                <w:snapToGrid w:val="0"/>
                <w:spacing w:val="-6"/>
                <w:kern w:val="21"/>
                <w:szCs w:val="21"/>
              </w:rPr>
              <w:t>t/a</w:t>
            </w:r>
          </w:p>
        </w:tc>
        <w:tc>
          <w:tcPr>
            <w:tcW w:w="1276" w:type="dxa"/>
            <w:tcBorders>
              <w:top w:val="single" w:color="auto" w:sz="8" w:space="0"/>
              <w:left w:val="single" w:color="auto" w:sz="4" w:space="0"/>
              <w:bottom w:val="single" w:color="auto" w:sz="4" w:space="0"/>
              <w:right w:val="single" w:color="auto" w:sz="4" w:space="0"/>
            </w:tcBorders>
            <w:shd w:val="clear" w:color="auto" w:fill="auto"/>
            <w:tcMar>
              <w:left w:w="28" w:type="dxa"/>
              <w:right w:w="28" w:type="dxa"/>
            </w:tcMar>
            <w:vAlign w:val="center"/>
          </w:tcPr>
          <w:p w14:paraId="67BAF0F5">
            <w:pPr>
              <w:pStyle w:val="36"/>
              <w:widowControl/>
              <w:spacing w:beforeLines="0" w:afterLines="0" w:line="240" w:lineRule="auto"/>
              <w:rPr>
                <w:rFonts w:ascii="Times New Roman" w:eastAsia="黑体"/>
                <w:spacing w:val="-6"/>
                <w:kern w:val="21"/>
                <w:szCs w:val="21"/>
              </w:rPr>
            </w:pPr>
            <w:r>
              <w:rPr>
                <w:rFonts w:ascii="Times New Roman" w:eastAsia="黑体"/>
                <w:snapToGrid w:val="0"/>
                <w:spacing w:val="-6"/>
                <w:kern w:val="21"/>
                <w:szCs w:val="21"/>
              </w:rPr>
              <w:t>现有工程</w:t>
            </w:r>
          </w:p>
          <w:p w14:paraId="09BAC9D7">
            <w:pPr>
              <w:pStyle w:val="36"/>
              <w:widowControl/>
              <w:spacing w:beforeLines="0" w:afterLines="0" w:line="240" w:lineRule="auto"/>
              <w:rPr>
                <w:rFonts w:ascii="Times New Roman" w:eastAsia="黑体"/>
                <w:spacing w:val="-6"/>
                <w:kern w:val="21"/>
                <w:szCs w:val="21"/>
              </w:rPr>
            </w:pPr>
            <w:r>
              <w:rPr>
                <w:rFonts w:ascii="Times New Roman" w:eastAsia="黑体"/>
                <w:snapToGrid w:val="0"/>
                <w:spacing w:val="-6"/>
                <w:kern w:val="21"/>
                <w:szCs w:val="21"/>
              </w:rPr>
              <w:t>许可排放量</w:t>
            </w:r>
          </w:p>
          <w:p w14:paraId="5DDDE09F">
            <w:pPr>
              <w:pStyle w:val="36"/>
              <w:widowControl/>
              <w:spacing w:beforeLines="0" w:afterLines="0" w:line="240" w:lineRule="auto"/>
              <w:rPr>
                <w:rFonts w:ascii="Times New Roman" w:eastAsia="黑体"/>
                <w:snapToGrid w:val="0"/>
                <w:spacing w:val="-6"/>
                <w:kern w:val="21"/>
                <w:szCs w:val="21"/>
              </w:rPr>
            </w:pPr>
            <w:r>
              <w:rPr>
                <w:rFonts w:hint="eastAsia" w:ascii="Times New Roman" w:eastAsia="黑体"/>
                <w:snapToGrid w:val="0"/>
                <w:spacing w:val="-6"/>
                <w:kern w:val="21"/>
                <w:szCs w:val="21"/>
              </w:rPr>
              <w:t>t/a</w:t>
            </w:r>
          </w:p>
        </w:tc>
        <w:tc>
          <w:tcPr>
            <w:tcW w:w="1702" w:type="dxa"/>
            <w:tcBorders>
              <w:top w:val="single" w:color="auto" w:sz="8" w:space="0"/>
              <w:left w:val="single" w:color="auto" w:sz="4" w:space="0"/>
              <w:bottom w:val="single" w:color="auto" w:sz="4" w:space="0"/>
              <w:right w:val="single" w:color="auto" w:sz="4" w:space="0"/>
            </w:tcBorders>
            <w:shd w:val="clear" w:color="auto" w:fill="auto"/>
            <w:tcMar>
              <w:left w:w="28" w:type="dxa"/>
              <w:right w:w="28" w:type="dxa"/>
            </w:tcMar>
            <w:vAlign w:val="center"/>
          </w:tcPr>
          <w:p w14:paraId="23FF1159">
            <w:pPr>
              <w:pStyle w:val="36"/>
              <w:widowControl/>
              <w:spacing w:beforeLines="0" w:afterLines="0" w:line="240" w:lineRule="auto"/>
              <w:rPr>
                <w:rFonts w:ascii="Times New Roman" w:eastAsia="黑体"/>
                <w:spacing w:val="-6"/>
                <w:kern w:val="21"/>
                <w:szCs w:val="21"/>
              </w:rPr>
            </w:pPr>
            <w:r>
              <w:rPr>
                <w:rFonts w:ascii="Times New Roman" w:eastAsia="黑体"/>
                <w:snapToGrid w:val="0"/>
                <w:spacing w:val="-6"/>
                <w:kern w:val="21"/>
                <w:szCs w:val="21"/>
              </w:rPr>
              <w:t>在建工程</w:t>
            </w:r>
          </w:p>
          <w:p w14:paraId="0B495828">
            <w:pPr>
              <w:pStyle w:val="36"/>
              <w:widowControl/>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排放量（固体废物产生量）</w:t>
            </w:r>
            <w:r>
              <w:rPr>
                <w:rFonts w:hint="eastAsia" w:ascii="Times New Roman" w:eastAsia="黑体"/>
                <w:snapToGrid w:val="0"/>
                <w:spacing w:val="-6"/>
                <w:kern w:val="21"/>
                <w:szCs w:val="21"/>
              </w:rPr>
              <w:t>t/a</w:t>
            </w:r>
          </w:p>
        </w:tc>
        <w:tc>
          <w:tcPr>
            <w:tcW w:w="1559" w:type="dxa"/>
            <w:tcBorders>
              <w:top w:val="single" w:color="auto" w:sz="8" w:space="0"/>
              <w:left w:val="single" w:color="auto" w:sz="4" w:space="0"/>
              <w:bottom w:val="single" w:color="auto" w:sz="4" w:space="0"/>
              <w:right w:val="single" w:color="auto" w:sz="4" w:space="0"/>
            </w:tcBorders>
            <w:shd w:val="clear" w:color="auto" w:fill="auto"/>
            <w:tcMar>
              <w:left w:w="28" w:type="dxa"/>
              <w:right w:w="28" w:type="dxa"/>
            </w:tcMar>
            <w:vAlign w:val="center"/>
          </w:tcPr>
          <w:p w14:paraId="17C79B53">
            <w:pPr>
              <w:pStyle w:val="36"/>
              <w:widowControl/>
              <w:spacing w:beforeLines="0" w:afterLines="0" w:line="240" w:lineRule="auto"/>
              <w:rPr>
                <w:rFonts w:ascii="Times New Roman" w:eastAsia="黑体"/>
                <w:spacing w:val="-6"/>
                <w:kern w:val="21"/>
                <w:szCs w:val="21"/>
              </w:rPr>
            </w:pPr>
            <w:r>
              <w:rPr>
                <w:rFonts w:ascii="Times New Roman" w:eastAsia="黑体"/>
                <w:snapToGrid w:val="0"/>
                <w:spacing w:val="-6"/>
                <w:kern w:val="21"/>
                <w:szCs w:val="21"/>
              </w:rPr>
              <w:t>本项目</w:t>
            </w:r>
          </w:p>
          <w:p w14:paraId="5F9E79BF">
            <w:pPr>
              <w:pStyle w:val="36"/>
              <w:widowControl/>
              <w:spacing w:beforeLines="0" w:afterLines="0" w:line="240" w:lineRule="auto"/>
              <w:rPr>
                <w:rFonts w:ascii="Times New Roman" w:eastAsia="黑体"/>
                <w:snapToGrid w:val="0"/>
                <w:spacing w:val="-6"/>
                <w:kern w:val="21"/>
                <w:szCs w:val="21"/>
              </w:rPr>
            </w:pPr>
            <w:r>
              <w:rPr>
                <w:rFonts w:ascii="Times New Roman" w:eastAsia="黑体"/>
                <w:snapToGrid w:val="0"/>
                <w:spacing w:val="-6"/>
                <w:kern w:val="21"/>
                <w:szCs w:val="21"/>
              </w:rPr>
              <w:t>排放量（固体废物产生量）</w:t>
            </w:r>
            <w:r>
              <w:rPr>
                <w:rFonts w:hint="eastAsia" w:ascii="Times New Roman" w:eastAsia="黑体"/>
                <w:snapToGrid w:val="0"/>
                <w:spacing w:val="-6"/>
                <w:kern w:val="21"/>
                <w:szCs w:val="21"/>
              </w:rPr>
              <w:t>t/a</w:t>
            </w:r>
          </w:p>
        </w:tc>
        <w:tc>
          <w:tcPr>
            <w:tcW w:w="1382" w:type="dxa"/>
            <w:tcBorders>
              <w:top w:val="single" w:color="auto" w:sz="8" w:space="0"/>
              <w:left w:val="single" w:color="auto" w:sz="4" w:space="0"/>
              <w:bottom w:val="single" w:color="auto" w:sz="4" w:space="0"/>
              <w:right w:val="single" w:color="auto" w:sz="4" w:space="0"/>
            </w:tcBorders>
            <w:shd w:val="clear" w:color="auto" w:fill="auto"/>
            <w:tcMar>
              <w:left w:w="28" w:type="dxa"/>
              <w:right w:w="28" w:type="dxa"/>
            </w:tcMar>
            <w:vAlign w:val="center"/>
          </w:tcPr>
          <w:p w14:paraId="5DB16FDF">
            <w:pPr>
              <w:pStyle w:val="36"/>
              <w:widowControl/>
              <w:spacing w:beforeLines="0" w:afterLines="0" w:line="240" w:lineRule="auto"/>
              <w:rPr>
                <w:rFonts w:ascii="Times New Roman" w:eastAsia="黑体"/>
                <w:spacing w:val="-16"/>
                <w:kern w:val="21"/>
                <w:szCs w:val="21"/>
              </w:rPr>
            </w:pPr>
            <w:r>
              <w:rPr>
                <w:rFonts w:ascii="Times New Roman" w:eastAsia="黑体"/>
                <w:snapToGrid w:val="0"/>
                <w:spacing w:val="-16"/>
                <w:kern w:val="21"/>
                <w:szCs w:val="21"/>
              </w:rPr>
              <w:t>以新带老削减量</w:t>
            </w:r>
          </w:p>
          <w:p w14:paraId="7B1DB5E5">
            <w:pPr>
              <w:pStyle w:val="36"/>
              <w:widowControl/>
              <w:spacing w:beforeLines="0" w:afterLines="0" w:line="240" w:lineRule="auto"/>
              <w:rPr>
                <w:rFonts w:ascii="Times New Roman" w:eastAsia="黑体"/>
                <w:snapToGrid w:val="0"/>
                <w:spacing w:val="-16"/>
                <w:kern w:val="21"/>
                <w:szCs w:val="21"/>
              </w:rPr>
            </w:pPr>
            <w:r>
              <w:rPr>
                <w:rFonts w:ascii="Times New Roman" w:eastAsia="黑体"/>
                <w:snapToGrid w:val="0"/>
                <w:spacing w:val="-16"/>
                <w:kern w:val="21"/>
                <w:szCs w:val="21"/>
              </w:rPr>
              <w:t>（新建项目不填）</w:t>
            </w:r>
            <w:r>
              <w:rPr>
                <w:rFonts w:hint="eastAsia" w:ascii="Times New Roman" w:eastAsia="黑体"/>
                <w:snapToGrid w:val="0"/>
                <w:spacing w:val="-6"/>
                <w:kern w:val="21"/>
                <w:szCs w:val="21"/>
              </w:rPr>
              <w:t>t/a</w:t>
            </w:r>
          </w:p>
        </w:tc>
        <w:tc>
          <w:tcPr>
            <w:tcW w:w="1689" w:type="dxa"/>
            <w:tcBorders>
              <w:top w:val="single" w:color="auto" w:sz="8" w:space="0"/>
              <w:left w:val="single" w:color="auto" w:sz="4" w:space="0"/>
              <w:bottom w:val="single" w:color="auto" w:sz="4" w:space="0"/>
              <w:right w:val="single" w:color="auto" w:sz="4" w:space="0"/>
            </w:tcBorders>
            <w:shd w:val="clear" w:color="auto" w:fill="auto"/>
            <w:tcMar>
              <w:left w:w="28" w:type="dxa"/>
              <w:right w:w="28" w:type="dxa"/>
            </w:tcMar>
            <w:vAlign w:val="center"/>
          </w:tcPr>
          <w:p w14:paraId="3DD80402">
            <w:pPr>
              <w:pStyle w:val="36"/>
              <w:widowControl/>
              <w:spacing w:beforeLines="0" w:afterLines="0" w:line="240" w:lineRule="auto"/>
              <w:rPr>
                <w:rFonts w:ascii="Times New Roman" w:eastAsia="黑体"/>
                <w:spacing w:val="-16"/>
                <w:kern w:val="21"/>
                <w:szCs w:val="21"/>
              </w:rPr>
            </w:pPr>
            <w:r>
              <w:rPr>
                <w:rFonts w:ascii="Times New Roman" w:eastAsia="黑体"/>
                <w:snapToGrid w:val="0"/>
                <w:spacing w:val="-16"/>
                <w:kern w:val="21"/>
                <w:szCs w:val="21"/>
              </w:rPr>
              <w:t>本项目建成后</w:t>
            </w:r>
          </w:p>
          <w:p w14:paraId="231E9745">
            <w:pPr>
              <w:pStyle w:val="36"/>
              <w:widowControl/>
              <w:spacing w:beforeLines="0" w:afterLines="0" w:line="240" w:lineRule="auto"/>
              <w:rPr>
                <w:rFonts w:ascii="Times New Roman" w:eastAsia="黑体"/>
                <w:snapToGrid w:val="0"/>
                <w:spacing w:val="-16"/>
                <w:kern w:val="21"/>
                <w:szCs w:val="21"/>
              </w:rPr>
            </w:pPr>
            <w:r>
              <w:rPr>
                <w:rFonts w:ascii="Times New Roman" w:eastAsia="黑体"/>
                <w:snapToGrid w:val="0"/>
                <w:spacing w:val="-16"/>
                <w:kern w:val="21"/>
                <w:szCs w:val="21"/>
              </w:rPr>
              <w:t>全厂排放量（固体废物产生量）</w:t>
            </w:r>
            <w:r>
              <w:rPr>
                <w:rFonts w:hint="eastAsia" w:ascii="Times New Roman" w:eastAsia="黑体"/>
                <w:snapToGrid w:val="0"/>
                <w:spacing w:val="-6"/>
                <w:kern w:val="21"/>
                <w:szCs w:val="21"/>
              </w:rPr>
              <w:t>t/a</w:t>
            </w:r>
          </w:p>
        </w:tc>
        <w:tc>
          <w:tcPr>
            <w:tcW w:w="1475" w:type="dxa"/>
            <w:tcBorders>
              <w:top w:val="single" w:color="auto" w:sz="8" w:space="0"/>
              <w:left w:val="single" w:color="auto" w:sz="4" w:space="0"/>
              <w:bottom w:val="single" w:color="auto" w:sz="4" w:space="0"/>
              <w:right w:val="single" w:color="auto" w:sz="8" w:space="0"/>
            </w:tcBorders>
            <w:shd w:val="clear" w:color="auto" w:fill="auto"/>
            <w:tcMar>
              <w:left w:w="28" w:type="dxa"/>
              <w:right w:w="28" w:type="dxa"/>
            </w:tcMar>
            <w:vAlign w:val="center"/>
          </w:tcPr>
          <w:p w14:paraId="679E0409">
            <w:pPr>
              <w:pStyle w:val="36"/>
              <w:widowControl/>
              <w:spacing w:beforeLines="0" w:afterLines="0" w:line="240" w:lineRule="auto"/>
              <w:rPr>
                <w:rFonts w:ascii="Times New Roman" w:eastAsia="黑体"/>
                <w:spacing w:val="-6"/>
                <w:kern w:val="21"/>
                <w:szCs w:val="21"/>
              </w:rPr>
            </w:pPr>
            <w:r>
              <w:rPr>
                <w:rFonts w:ascii="Times New Roman" w:eastAsia="黑体"/>
                <w:snapToGrid w:val="0"/>
                <w:spacing w:val="-6"/>
                <w:kern w:val="21"/>
                <w:szCs w:val="21"/>
              </w:rPr>
              <w:t>变化量</w:t>
            </w:r>
          </w:p>
          <w:p w14:paraId="340DC289">
            <w:pPr>
              <w:pStyle w:val="36"/>
              <w:widowControl/>
              <w:spacing w:beforeLines="0" w:afterLines="0" w:line="240" w:lineRule="auto"/>
              <w:rPr>
                <w:rFonts w:ascii="Times New Roman" w:eastAsia="黑体"/>
                <w:snapToGrid w:val="0"/>
                <w:spacing w:val="-6"/>
                <w:kern w:val="21"/>
                <w:szCs w:val="21"/>
              </w:rPr>
            </w:pPr>
            <w:r>
              <w:rPr>
                <w:rFonts w:hint="eastAsia" w:ascii="Times New Roman" w:eastAsia="黑体"/>
                <w:snapToGrid w:val="0"/>
                <w:spacing w:val="-6"/>
                <w:kern w:val="21"/>
                <w:szCs w:val="21"/>
              </w:rPr>
              <w:t>t/a</w:t>
            </w:r>
          </w:p>
        </w:tc>
      </w:tr>
      <w:tr w14:paraId="533FBC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418" w:type="dxa"/>
            <w:vMerge w:val="restart"/>
            <w:tcBorders>
              <w:top w:val="single" w:color="auto" w:sz="4" w:space="0"/>
              <w:left w:val="single" w:color="auto" w:sz="8" w:space="0"/>
              <w:right w:val="single" w:color="auto" w:sz="4" w:space="0"/>
            </w:tcBorders>
            <w:shd w:val="clear" w:color="auto" w:fill="auto"/>
            <w:vAlign w:val="center"/>
          </w:tcPr>
          <w:p w14:paraId="2B7BD1D8">
            <w:pPr>
              <w:pStyle w:val="36"/>
              <w:widowControl/>
              <w:spacing w:beforeLines="0" w:afterLines="0" w:line="240" w:lineRule="auto"/>
              <w:rPr>
                <w:rFonts w:ascii="Times New Roman"/>
                <w:kern w:val="21"/>
                <w:szCs w:val="21"/>
              </w:rPr>
            </w:pPr>
            <w:r>
              <w:rPr>
                <w:rFonts w:ascii="Times New Roman"/>
                <w:snapToGrid w:val="0"/>
                <w:kern w:val="21"/>
                <w:szCs w:val="21"/>
              </w:rPr>
              <w:t>废气</w:t>
            </w:r>
          </w:p>
        </w:tc>
        <w:tc>
          <w:tcPr>
            <w:tcW w:w="1587" w:type="dxa"/>
            <w:tcBorders>
              <w:top w:val="single" w:color="auto" w:sz="4" w:space="0"/>
              <w:left w:val="single" w:color="auto" w:sz="4" w:space="0"/>
              <w:bottom w:val="single" w:color="auto" w:sz="4" w:space="0"/>
              <w:right w:val="single" w:color="auto" w:sz="4" w:space="0"/>
            </w:tcBorders>
            <w:shd w:val="clear" w:color="auto" w:fill="auto"/>
            <w:vAlign w:val="center"/>
          </w:tcPr>
          <w:p w14:paraId="482E095C">
            <w:pPr>
              <w:pStyle w:val="36"/>
              <w:widowControl/>
              <w:spacing w:beforeLines="0" w:afterLines="0" w:line="240" w:lineRule="auto"/>
              <w:rPr>
                <w:rFonts w:ascii="Times New Roman"/>
                <w:snapToGrid w:val="0"/>
                <w:kern w:val="21"/>
                <w:szCs w:val="21"/>
              </w:rPr>
            </w:pPr>
            <w:r>
              <w:rPr>
                <w:rFonts w:hint="eastAsia"/>
                <w:szCs w:val="21"/>
              </w:rPr>
              <w:t>非甲烷总烃</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2929E99C">
            <w:pPr>
              <w:pStyle w:val="36"/>
              <w:widowControl/>
              <w:spacing w:beforeLines="0" w:afterLines="0" w:line="240" w:lineRule="auto"/>
              <w:rPr>
                <w:rFonts w:ascii="Times New Roman"/>
                <w:snapToGrid w:val="0"/>
                <w:kern w:val="21"/>
                <w:szCs w:val="21"/>
              </w:rPr>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47F3E1AF">
            <w:pPr>
              <w:pStyle w:val="36"/>
              <w:widowControl/>
              <w:spacing w:beforeLines="0" w:afterLines="0" w:line="240" w:lineRule="auto"/>
              <w:rPr>
                <w:rFonts w:ascii="Times New Roman"/>
                <w:snapToGrid w:val="0"/>
                <w:kern w:val="21"/>
                <w:szCs w:val="21"/>
              </w:rPr>
            </w:pP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7225D282">
            <w:pPr>
              <w:pStyle w:val="36"/>
              <w:widowControl/>
              <w:spacing w:beforeLines="0" w:afterLines="0" w:line="240" w:lineRule="auto"/>
              <w:rPr>
                <w:rFonts w:ascii="Times New Roman"/>
                <w:snapToGrid w:val="0"/>
                <w:kern w:val="21"/>
                <w:szCs w:val="21"/>
              </w:rPr>
            </w:pPr>
          </w:p>
        </w:tc>
        <w:tc>
          <w:tcPr>
            <w:tcW w:w="1559" w:type="dxa"/>
            <w:tcBorders>
              <w:top w:val="single" w:color="auto" w:sz="4" w:space="0"/>
              <w:left w:val="single" w:color="auto" w:sz="4" w:space="0"/>
              <w:bottom w:val="single" w:color="auto" w:sz="4" w:space="0"/>
              <w:right w:val="single" w:color="auto" w:sz="4" w:space="0"/>
            </w:tcBorders>
            <w:shd w:val="clear" w:color="auto" w:fill="auto"/>
            <w:vAlign w:val="center"/>
          </w:tcPr>
          <w:p w14:paraId="3009C08F">
            <w:pPr>
              <w:jc w:val="center"/>
              <w:rPr>
                <w:rFonts w:hint="default" w:eastAsia="宋体"/>
                <w:szCs w:val="21"/>
                <w:lang w:val="en-US" w:eastAsia="zh-CN"/>
              </w:rPr>
            </w:pPr>
            <w:r>
              <w:rPr>
                <w:rFonts w:hint="eastAsia"/>
                <w:szCs w:val="21"/>
                <w:lang w:val="en-US" w:eastAsia="zh-CN"/>
              </w:rPr>
              <w:t>0.2226</w:t>
            </w:r>
          </w:p>
        </w:tc>
        <w:tc>
          <w:tcPr>
            <w:tcW w:w="1382" w:type="dxa"/>
            <w:tcBorders>
              <w:top w:val="single" w:color="auto" w:sz="4" w:space="0"/>
              <w:left w:val="single" w:color="auto" w:sz="4" w:space="0"/>
              <w:bottom w:val="single" w:color="auto" w:sz="4" w:space="0"/>
              <w:right w:val="single" w:color="auto" w:sz="4" w:space="0"/>
            </w:tcBorders>
            <w:shd w:val="clear" w:color="auto" w:fill="auto"/>
            <w:vAlign w:val="center"/>
          </w:tcPr>
          <w:p w14:paraId="012D0731">
            <w:pPr>
              <w:pStyle w:val="36"/>
              <w:widowControl/>
              <w:spacing w:beforeLines="0" w:afterLines="0" w:line="240" w:lineRule="auto"/>
              <w:rPr>
                <w:rFonts w:ascii="Times New Roman"/>
                <w:snapToGrid w:val="0"/>
                <w:kern w:val="21"/>
                <w:szCs w:val="21"/>
              </w:rPr>
            </w:pPr>
          </w:p>
        </w:tc>
        <w:tc>
          <w:tcPr>
            <w:tcW w:w="1689" w:type="dxa"/>
            <w:tcBorders>
              <w:top w:val="single" w:color="auto" w:sz="4" w:space="0"/>
              <w:left w:val="single" w:color="auto" w:sz="4" w:space="0"/>
              <w:bottom w:val="single" w:color="auto" w:sz="4" w:space="0"/>
              <w:right w:val="single" w:color="auto" w:sz="4" w:space="0"/>
            </w:tcBorders>
            <w:shd w:val="clear" w:color="auto" w:fill="auto"/>
            <w:vAlign w:val="center"/>
          </w:tcPr>
          <w:p w14:paraId="3779A317">
            <w:pPr>
              <w:jc w:val="center"/>
              <w:rPr>
                <w:rFonts w:hint="default" w:ascii="Times New Roman" w:hAnsi="Times New Roman" w:eastAsia="宋体" w:cs="Times New Roman"/>
                <w:kern w:val="2"/>
                <w:sz w:val="21"/>
                <w:szCs w:val="21"/>
                <w:lang w:val="en-US" w:eastAsia="zh-CN" w:bidi="ar-SA"/>
              </w:rPr>
            </w:pPr>
            <w:r>
              <w:rPr>
                <w:rFonts w:hint="eastAsia"/>
                <w:szCs w:val="21"/>
                <w:lang w:val="en-US" w:eastAsia="zh-CN"/>
              </w:rPr>
              <w:t>0.2226</w:t>
            </w:r>
          </w:p>
        </w:tc>
        <w:tc>
          <w:tcPr>
            <w:tcW w:w="1475" w:type="dxa"/>
            <w:tcBorders>
              <w:top w:val="single" w:color="auto" w:sz="4" w:space="0"/>
              <w:left w:val="single" w:color="auto" w:sz="4" w:space="0"/>
              <w:bottom w:val="single" w:color="auto" w:sz="4" w:space="0"/>
              <w:right w:val="single" w:color="auto" w:sz="8" w:space="0"/>
            </w:tcBorders>
            <w:shd w:val="clear" w:color="auto" w:fill="auto"/>
            <w:vAlign w:val="center"/>
          </w:tcPr>
          <w:p w14:paraId="50727D5A">
            <w:pPr>
              <w:jc w:val="center"/>
              <w:rPr>
                <w:szCs w:val="21"/>
              </w:rPr>
            </w:pPr>
          </w:p>
        </w:tc>
      </w:tr>
      <w:tr w14:paraId="3E834A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418" w:type="dxa"/>
            <w:vMerge w:val="continue"/>
            <w:tcBorders>
              <w:left w:val="single" w:color="auto" w:sz="8" w:space="0"/>
              <w:right w:val="single" w:color="auto" w:sz="4" w:space="0"/>
            </w:tcBorders>
            <w:shd w:val="clear" w:color="auto" w:fill="auto"/>
            <w:vAlign w:val="center"/>
          </w:tcPr>
          <w:p w14:paraId="4F2B01DF">
            <w:pPr>
              <w:pStyle w:val="36"/>
              <w:widowControl/>
              <w:spacing w:beforeLines="0" w:afterLines="0" w:line="240" w:lineRule="auto"/>
              <w:rPr>
                <w:rFonts w:ascii="Times New Roman"/>
                <w:snapToGrid w:val="0"/>
                <w:kern w:val="21"/>
                <w:szCs w:val="21"/>
              </w:rPr>
            </w:pPr>
          </w:p>
        </w:tc>
        <w:tc>
          <w:tcPr>
            <w:tcW w:w="1587" w:type="dxa"/>
            <w:tcBorders>
              <w:top w:val="single" w:color="auto" w:sz="4" w:space="0"/>
              <w:left w:val="single" w:color="auto" w:sz="4" w:space="0"/>
              <w:bottom w:val="single" w:color="auto" w:sz="4" w:space="0"/>
              <w:right w:val="single" w:color="auto" w:sz="4" w:space="0"/>
            </w:tcBorders>
            <w:shd w:val="clear" w:color="auto" w:fill="auto"/>
            <w:vAlign w:val="center"/>
          </w:tcPr>
          <w:p w14:paraId="3FF3B508">
            <w:pPr>
              <w:jc w:val="center"/>
              <w:rPr>
                <w:rFonts w:hint="eastAsia" w:eastAsia="宋体"/>
                <w:szCs w:val="21"/>
                <w:lang w:eastAsia="zh-CN"/>
              </w:rPr>
            </w:pPr>
            <w:r>
              <w:rPr>
                <w:rFonts w:hint="eastAsia"/>
                <w:szCs w:val="21"/>
                <w:lang w:val="en-US" w:eastAsia="zh-CN"/>
              </w:rPr>
              <w:t>硫化氢</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0374D8C4">
            <w:pPr>
              <w:pStyle w:val="36"/>
              <w:widowControl/>
              <w:spacing w:beforeLines="0" w:afterLines="0" w:line="240" w:lineRule="auto"/>
              <w:rPr>
                <w:rFonts w:ascii="Times New Roman"/>
                <w:szCs w:val="21"/>
              </w:rPr>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34AC770C">
            <w:pPr>
              <w:pStyle w:val="36"/>
              <w:widowControl/>
              <w:spacing w:beforeLines="0" w:afterLines="0" w:line="240" w:lineRule="auto"/>
              <w:rPr>
                <w:rFonts w:ascii="Times New Roman"/>
                <w:szCs w:val="21"/>
              </w:rPr>
            </w:pP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575FE8C4">
            <w:pPr>
              <w:pStyle w:val="36"/>
              <w:widowControl/>
              <w:spacing w:beforeLines="0" w:afterLines="0" w:line="240" w:lineRule="auto"/>
              <w:rPr>
                <w:rFonts w:ascii="Times New Roman"/>
                <w:szCs w:val="21"/>
              </w:rPr>
            </w:pPr>
          </w:p>
        </w:tc>
        <w:tc>
          <w:tcPr>
            <w:tcW w:w="1559" w:type="dxa"/>
            <w:tcBorders>
              <w:top w:val="single" w:color="auto" w:sz="4" w:space="0"/>
              <w:left w:val="single" w:color="auto" w:sz="4" w:space="0"/>
              <w:bottom w:val="single" w:color="auto" w:sz="4" w:space="0"/>
              <w:right w:val="single" w:color="auto" w:sz="4" w:space="0"/>
            </w:tcBorders>
            <w:shd w:val="clear" w:color="auto" w:fill="auto"/>
            <w:vAlign w:val="center"/>
          </w:tcPr>
          <w:p w14:paraId="15718624">
            <w:pPr>
              <w:jc w:val="center"/>
              <w:rPr>
                <w:rFonts w:hint="default" w:eastAsia="宋体"/>
                <w:szCs w:val="21"/>
                <w:lang w:val="en-US" w:eastAsia="zh-CN"/>
              </w:rPr>
            </w:pPr>
            <w:r>
              <w:rPr>
                <w:rFonts w:hint="eastAsia"/>
                <w:szCs w:val="21"/>
                <w:lang w:val="en-US" w:eastAsia="zh-CN"/>
              </w:rPr>
              <w:t>0.2038</w:t>
            </w:r>
          </w:p>
        </w:tc>
        <w:tc>
          <w:tcPr>
            <w:tcW w:w="1382" w:type="dxa"/>
            <w:tcBorders>
              <w:top w:val="single" w:color="auto" w:sz="4" w:space="0"/>
              <w:left w:val="single" w:color="auto" w:sz="4" w:space="0"/>
              <w:bottom w:val="single" w:color="auto" w:sz="4" w:space="0"/>
              <w:right w:val="single" w:color="auto" w:sz="4" w:space="0"/>
            </w:tcBorders>
            <w:shd w:val="clear" w:color="auto" w:fill="auto"/>
            <w:vAlign w:val="center"/>
          </w:tcPr>
          <w:p w14:paraId="3F33CBE0">
            <w:pPr>
              <w:pStyle w:val="36"/>
              <w:widowControl/>
              <w:spacing w:beforeLines="0" w:afterLines="0" w:line="240" w:lineRule="auto"/>
              <w:rPr>
                <w:rFonts w:ascii="Times New Roman"/>
                <w:szCs w:val="21"/>
              </w:rPr>
            </w:pPr>
          </w:p>
        </w:tc>
        <w:tc>
          <w:tcPr>
            <w:tcW w:w="1689" w:type="dxa"/>
            <w:tcBorders>
              <w:top w:val="single" w:color="auto" w:sz="4" w:space="0"/>
              <w:left w:val="single" w:color="auto" w:sz="4" w:space="0"/>
              <w:bottom w:val="single" w:color="auto" w:sz="4" w:space="0"/>
              <w:right w:val="single" w:color="auto" w:sz="4" w:space="0"/>
            </w:tcBorders>
            <w:shd w:val="clear" w:color="auto" w:fill="auto"/>
            <w:vAlign w:val="center"/>
          </w:tcPr>
          <w:p w14:paraId="41211E13">
            <w:pPr>
              <w:jc w:val="center"/>
              <w:rPr>
                <w:rFonts w:hint="default" w:ascii="Times New Roman" w:hAnsi="Times New Roman" w:eastAsia="宋体" w:cs="Times New Roman"/>
                <w:kern w:val="2"/>
                <w:sz w:val="21"/>
                <w:szCs w:val="21"/>
                <w:lang w:val="en-US" w:eastAsia="zh-CN" w:bidi="ar-SA"/>
              </w:rPr>
            </w:pPr>
            <w:r>
              <w:rPr>
                <w:rFonts w:hint="eastAsia"/>
                <w:szCs w:val="21"/>
                <w:lang w:val="en-US" w:eastAsia="zh-CN"/>
              </w:rPr>
              <w:t>0.2038</w:t>
            </w:r>
          </w:p>
        </w:tc>
        <w:tc>
          <w:tcPr>
            <w:tcW w:w="1475" w:type="dxa"/>
            <w:tcBorders>
              <w:top w:val="single" w:color="auto" w:sz="4" w:space="0"/>
              <w:left w:val="single" w:color="auto" w:sz="4" w:space="0"/>
              <w:bottom w:val="single" w:color="auto" w:sz="4" w:space="0"/>
              <w:right w:val="single" w:color="auto" w:sz="8" w:space="0"/>
            </w:tcBorders>
            <w:shd w:val="clear" w:color="auto" w:fill="auto"/>
            <w:vAlign w:val="center"/>
          </w:tcPr>
          <w:p w14:paraId="2E8BA69B">
            <w:pPr>
              <w:jc w:val="center"/>
              <w:rPr>
                <w:szCs w:val="21"/>
              </w:rPr>
            </w:pPr>
          </w:p>
        </w:tc>
      </w:tr>
      <w:tr w14:paraId="60AC24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418" w:type="dxa"/>
            <w:vMerge w:val="continue"/>
            <w:tcBorders>
              <w:left w:val="single" w:color="auto" w:sz="8" w:space="0"/>
              <w:right w:val="single" w:color="auto" w:sz="4" w:space="0"/>
            </w:tcBorders>
            <w:shd w:val="clear" w:color="auto" w:fill="auto"/>
            <w:vAlign w:val="center"/>
          </w:tcPr>
          <w:p w14:paraId="4DD845D3">
            <w:pPr>
              <w:pStyle w:val="36"/>
              <w:widowControl/>
              <w:spacing w:beforeLines="0" w:afterLines="0" w:line="240" w:lineRule="auto"/>
              <w:rPr>
                <w:rFonts w:ascii="Times New Roman"/>
                <w:snapToGrid w:val="0"/>
                <w:kern w:val="21"/>
                <w:szCs w:val="21"/>
              </w:rPr>
            </w:pPr>
          </w:p>
        </w:tc>
        <w:tc>
          <w:tcPr>
            <w:tcW w:w="1587" w:type="dxa"/>
            <w:tcBorders>
              <w:top w:val="single" w:color="auto" w:sz="4" w:space="0"/>
              <w:left w:val="single" w:color="auto" w:sz="4" w:space="0"/>
              <w:bottom w:val="single" w:color="auto" w:sz="4" w:space="0"/>
              <w:right w:val="single" w:color="auto" w:sz="4" w:space="0"/>
            </w:tcBorders>
            <w:shd w:val="clear" w:color="auto" w:fill="auto"/>
            <w:vAlign w:val="center"/>
          </w:tcPr>
          <w:p w14:paraId="7CFB9CD2">
            <w:pPr>
              <w:jc w:val="center"/>
              <w:rPr>
                <w:rFonts w:hint="eastAsia" w:eastAsia="宋体"/>
                <w:szCs w:val="21"/>
                <w:lang w:eastAsia="zh-CN"/>
              </w:rPr>
            </w:pPr>
            <w:r>
              <w:rPr>
                <w:rFonts w:hint="eastAsia"/>
                <w:szCs w:val="21"/>
                <w:lang w:val="en-US" w:eastAsia="zh-CN"/>
              </w:rPr>
              <w:t>氨</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5BBC1714">
            <w:pPr>
              <w:pStyle w:val="36"/>
              <w:widowControl/>
              <w:spacing w:beforeLines="0" w:afterLines="0" w:line="240" w:lineRule="auto"/>
              <w:rPr>
                <w:rFonts w:ascii="Times New Roman" w:eastAsiaTheme="minorEastAsia"/>
                <w:snapToGrid w:val="0"/>
                <w:kern w:val="21"/>
                <w:szCs w:val="21"/>
              </w:rPr>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59CE3E98">
            <w:pPr>
              <w:pStyle w:val="36"/>
              <w:widowControl/>
              <w:spacing w:beforeLines="0" w:afterLines="0" w:line="240" w:lineRule="auto"/>
              <w:rPr>
                <w:rFonts w:ascii="Times New Roman" w:eastAsiaTheme="minorEastAsia"/>
                <w:snapToGrid w:val="0"/>
                <w:kern w:val="21"/>
                <w:szCs w:val="21"/>
              </w:rPr>
            </w:pP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58442F60">
            <w:pPr>
              <w:pStyle w:val="36"/>
              <w:widowControl/>
              <w:spacing w:beforeLines="0" w:afterLines="0" w:line="240" w:lineRule="auto"/>
              <w:rPr>
                <w:rFonts w:ascii="Times New Roman" w:eastAsiaTheme="minorEastAsia"/>
                <w:snapToGrid w:val="0"/>
                <w:kern w:val="21"/>
                <w:szCs w:val="21"/>
              </w:rPr>
            </w:pPr>
          </w:p>
        </w:tc>
        <w:tc>
          <w:tcPr>
            <w:tcW w:w="1559" w:type="dxa"/>
            <w:tcBorders>
              <w:top w:val="single" w:color="auto" w:sz="4" w:space="0"/>
              <w:left w:val="single" w:color="auto" w:sz="4" w:space="0"/>
              <w:bottom w:val="single" w:color="auto" w:sz="4" w:space="0"/>
              <w:right w:val="single" w:color="auto" w:sz="4" w:space="0"/>
            </w:tcBorders>
            <w:shd w:val="clear" w:color="auto" w:fill="auto"/>
            <w:vAlign w:val="center"/>
          </w:tcPr>
          <w:p w14:paraId="4ADA4DC4">
            <w:pPr>
              <w:jc w:val="center"/>
              <w:rPr>
                <w:rFonts w:hint="default" w:eastAsia="宋体"/>
                <w:szCs w:val="21"/>
                <w:lang w:val="en-US" w:eastAsia="zh-CN"/>
              </w:rPr>
            </w:pPr>
            <w:r>
              <w:rPr>
                <w:rFonts w:hint="eastAsia"/>
                <w:szCs w:val="21"/>
                <w:lang w:val="en-US" w:eastAsia="zh-CN"/>
              </w:rPr>
              <w:t>0.3951</w:t>
            </w:r>
          </w:p>
        </w:tc>
        <w:tc>
          <w:tcPr>
            <w:tcW w:w="1382" w:type="dxa"/>
            <w:tcBorders>
              <w:top w:val="single" w:color="auto" w:sz="4" w:space="0"/>
              <w:left w:val="single" w:color="auto" w:sz="4" w:space="0"/>
              <w:bottom w:val="single" w:color="auto" w:sz="4" w:space="0"/>
              <w:right w:val="single" w:color="auto" w:sz="4" w:space="0"/>
            </w:tcBorders>
            <w:shd w:val="clear" w:color="auto" w:fill="auto"/>
            <w:vAlign w:val="center"/>
          </w:tcPr>
          <w:p w14:paraId="33E63484">
            <w:pPr>
              <w:pStyle w:val="36"/>
              <w:widowControl/>
              <w:spacing w:beforeLines="0" w:afterLines="0" w:line="240" w:lineRule="auto"/>
              <w:rPr>
                <w:rFonts w:ascii="Times New Roman" w:eastAsiaTheme="minorEastAsia"/>
                <w:snapToGrid w:val="0"/>
                <w:kern w:val="21"/>
                <w:szCs w:val="21"/>
              </w:rPr>
            </w:pPr>
          </w:p>
        </w:tc>
        <w:tc>
          <w:tcPr>
            <w:tcW w:w="1689" w:type="dxa"/>
            <w:tcBorders>
              <w:top w:val="single" w:color="auto" w:sz="4" w:space="0"/>
              <w:left w:val="single" w:color="auto" w:sz="4" w:space="0"/>
              <w:bottom w:val="single" w:color="auto" w:sz="4" w:space="0"/>
              <w:right w:val="single" w:color="auto" w:sz="4" w:space="0"/>
            </w:tcBorders>
            <w:shd w:val="clear" w:color="auto" w:fill="auto"/>
            <w:vAlign w:val="center"/>
          </w:tcPr>
          <w:p w14:paraId="21797D67">
            <w:pPr>
              <w:jc w:val="center"/>
              <w:rPr>
                <w:rFonts w:hint="default" w:ascii="Times New Roman" w:hAnsi="Times New Roman" w:eastAsia="宋体" w:cs="Times New Roman"/>
                <w:kern w:val="2"/>
                <w:sz w:val="21"/>
                <w:szCs w:val="21"/>
                <w:lang w:val="en-US" w:eastAsia="zh-CN" w:bidi="ar-SA"/>
              </w:rPr>
            </w:pPr>
            <w:r>
              <w:rPr>
                <w:rFonts w:hint="eastAsia"/>
                <w:szCs w:val="21"/>
                <w:lang w:val="en-US" w:eastAsia="zh-CN"/>
              </w:rPr>
              <w:t>0.3951</w:t>
            </w:r>
          </w:p>
        </w:tc>
        <w:tc>
          <w:tcPr>
            <w:tcW w:w="1475" w:type="dxa"/>
            <w:tcBorders>
              <w:top w:val="single" w:color="auto" w:sz="4" w:space="0"/>
              <w:left w:val="single" w:color="auto" w:sz="4" w:space="0"/>
              <w:bottom w:val="single" w:color="auto" w:sz="4" w:space="0"/>
              <w:right w:val="single" w:color="auto" w:sz="8" w:space="0"/>
            </w:tcBorders>
            <w:shd w:val="clear" w:color="auto" w:fill="auto"/>
            <w:vAlign w:val="center"/>
          </w:tcPr>
          <w:p w14:paraId="4CCC9CE7">
            <w:pPr>
              <w:jc w:val="center"/>
              <w:rPr>
                <w:szCs w:val="21"/>
              </w:rPr>
            </w:pPr>
          </w:p>
        </w:tc>
      </w:tr>
      <w:tr w14:paraId="7F7A64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418" w:type="dxa"/>
            <w:vMerge w:val="continue"/>
            <w:tcBorders>
              <w:left w:val="single" w:color="auto" w:sz="8" w:space="0"/>
              <w:right w:val="single" w:color="auto" w:sz="4" w:space="0"/>
            </w:tcBorders>
            <w:shd w:val="clear" w:color="auto" w:fill="auto"/>
            <w:vAlign w:val="center"/>
          </w:tcPr>
          <w:p w14:paraId="5BC533D0">
            <w:pPr>
              <w:pStyle w:val="36"/>
              <w:widowControl/>
              <w:spacing w:beforeLines="0" w:afterLines="0" w:line="240" w:lineRule="auto"/>
              <w:rPr>
                <w:rFonts w:ascii="Times New Roman"/>
                <w:snapToGrid w:val="0"/>
                <w:kern w:val="21"/>
                <w:szCs w:val="21"/>
              </w:rPr>
            </w:pPr>
          </w:p>
        </w:tc>
        <w:tc>
          <w:tcPr>
            <w:tcW w:w="1587" w:type="dxa"/>
            <w:tcBorders>
              <w:top w:val="single" w:color="auto" w:sz="4" w:space="0"/>
              <w:left w:val="single" w:color="auto" w:sz="4" w:space="0"/>
              <w:bottom w:val="single" w:color="auto" w:sz="4" w:space="0"/>
              <w:right w:val="single" w:color="auto" w:sz="4" w:space="0"/>
            </w:tcBorders>
            <w:shd w:val="clear" w:color="auto" w:fill="auto"/>
            <w:vAlign w:val="center"/>
          </w:tcPr>
          <w:p w14:paraId="6E2FE951">
            <w:pPr>
              <w:jc w:val="center"/>
              <w:rPr>
                <w:rFonts w:hint="default"/>
                <w:szCs w:val="21"/>
                <w:lang w:val="en-US" w:eastAsia="zh-CN"/>
              </w:rPr>
            </w:pPr>
            <w:r>
              <w:rPr>
                <w:rFonts w:hint="eastAsia"/>
                <w:szCs w:val="21"/>
                <w:lang w:val="en-US" w:eastAsia="zh-CN"/>
              </w:rPr>
              <w:t>氯化氢</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324B2301">
            <w:pPr>
              <w:pStyle w:val="36"/>
              <w:widowControl/>
              <w:spacing w:beforeLines="0" w:afterLines="0" w:line="240" w:lineRule="auto"/>
              <w:rPr>
                <w:rFonts w:ascii="Times New Roman" w:eastAsiaTheme="minorEastAsia"/>
                <w:snapToGrid w:val="0"/>
                <w:kern w:val="21"/>
                <w:szCs w:val="21"/>
              </w:rPr>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262C9CED">
            <w:pPr>
              <w:pStyle w:val="36"/>
              <w:widowControl/>
              <w:spacing w:beforeLines="0" w:afterLines="0" w:line="240" w:lineRule="auto"/>
              <w:rPr>
                <w:rFonts w:ascii="Times New Roman" w:eastAsiaTheme="minorEastAsia"/>
                <w:snapToGrid w:val="0"/>
                <w:kern w:val="21"/>
                <w:szCs w:val="21"/>
              </w:rPr>
            </w:pP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18F8AA73">
            <w:pPr>
              <w:pStyle w:val="36"/>
              <w:widowControl/>
              <w:spacing w:beforeLines="0" w:afterLines="0" w:line="240" w:lineRule="auto"/>
              <w:rPr>
                <w:rFonts w:ascii="Times New Roman" w:eastAsiaTheme="minorEastAsia"/>
                <w:snapToGrid w:val="0"/>
                <w:kern w:val="21"/>
                <w:szCs w:val="21"/>
              </w:rPr>
            </w:pPr>
          </w:p>
        </w:tc>
        <w:tc>
          <w:tcPr>
            <w:tcW w:w="1559" w:type="dxa"/>
            <w:tcBorders>
              <w:top w:val="single" w:color="auto" w:sz="4" w:space="0"/>
              <w:left w:val="single" w:color="auto" w:sz="4" w:space="0"/>
              <w:bottom w:val="single" w:color="auto" w:sz="4" w:space="0"/>
              <w:right w:val="single" w:color="auto" w:sz="4" w:space="0"/>
            </w:tcBorders>
            <w:shd w:val="clear" w:color="auto" w:fill="auto"/>
            <w:vAlign w:val="center"/>
          </w:tcPr>
          <w:p w14:paraId="1F7F8DE3">
            <w:pPr>
              <w:jc w:val="center"/>
              <w:rPr>
                <w:rFonts w:hint="default"/>
                <w:szCs w:val="21"/>
                <w:lang w:val="en-US" w:eastAsia="zh-CN"/>
              </w:rPr>
            </w:pPr>
            <w:r>
              <w:rPr>
                <w:rFonts w:hint="eastAsia"/>
                <w:szCs w:val="21"/>
                <w:lang w:val="en-US" w:eastAsia="zh-CN"/>
              </w:rPr>
              <w:t>0.007672</w:t>
            </w:r>
          </w:p>
        </w:tc>
        <w:tc>
          <w:tcPr>
            <w:tcW w:w="1382" w:type="dxa"/>
            <w:tcBorders>
              <w:top w:val="single" w:color="auto" w:sz="4" w:space="0"/>
              <w:left w:val="single" w:color="auto" w:sz="4" w:space="0"/>
              <w:bottom w:val="single" w:color="auto" w:sz="4" w:space="0"/>
              <w:right w:val="single" w:color="auto" w:sz="4" w:space="0"/>
            </w:tcBorders>
            <w:shd w:val="clear" w:color="auto" w:fill="auto"/>
            <w:vAlign w:val="center"/>
          </w:tcPr>
          <w:p w14:paraId="7B68517B">
            <w:pPr>
              <w:pStyle w:val="36"/>
              <w:widowControl/>
              <w:spacing w:beforeLines="0" w:afterLines="0" w:line="240" w:lineRule="auto"/>
              <w:rPr>
                <w:rFonts w:ascii="Times New Roman" w:eastAsiaTheme="minorEastAsia"/>
                <w:snapToGrid w:val="0"/>
                <w:kern w:val="21"/>
                <w:szCs w:val="21"/>
              </w:rPr>
            </w:pPr>
          </w:p>
        </w:tc>
        <w:tc>
          <w:tcPr>
            <w:tcW w:w="1689" w:type="dxa"/>
            <w:tcBorders>
              <w:top w:val="single" w:color="auto" w:sz="4" w:space="0"/>
              <w:left w:val="single" w:color="auto" w:sz="4" w:space="0"/>
              <w:bottom w:val="single" w:color="auto" w:sz="4" w:space="0"/>
              <w:right w:val="single" w:color="auto" w:sz="4" w:space="0"/>
            </w:tcBorders>
            <w:shd w:val="clear" w:color="auto" w:fill="auto"/>
            <w:vAlign w:val="center"/>
          </w:tcPr>
          <w:p w14:paraId="29505628">
            <w:pPr>
              <w:jc w:val="center"/>
              <w:rPr>
                <w:rFonts w:hint="eastAsia" w:ascii="Times New Roman" w:hAnsi="Times New Roman" w:eastAsia="宋体" w:cs="Times New Roman"/>
                <w:kern w:val="2"/>
                <w:sz w:val="21"/>
                <w:szCs w:val="21"/>
                <w:lang w:val="en-US" w:eastAsia="zh-CN" w:bidi="ar-SA"/>
              </w:rPr>
            </w:pPr>
            <w:r>
              <w:rPr>
                <w:rFonts w:hint="eastAsia"/>
                <w:szCs w:val="21"/>
                <w:lang w:val="en-US" w:eastAsia="zh-CN"/>
              </w:rPr>
              <w:t>0.007672</w:t>
            </w:r>
          </w:p>
        </w:tc>
        <w:tc>
          <w:tcPr>
            <w:tcW w:w="1475" w:type="dxa"/>
            <w:tcBorders>
              <w:top w:val="single" w:color="auto" w:sz="4" w:space="0"/>
              <w:left w:val="single" w:color="auto" w:sz="4" w:space="0"/>
              <w:bottom w:val="single" w:color="auto" w:sz="4" w:space="0"/>
              <w:right w:val="single" w:color="auto" w:sz="8" w:space="0"/>
            </w:tcBorders>
            <w:shd w:val="clear" w:color="auto" w:fill="auto"/>
            <w:vAlign w:val="center"/>
          </w:tcPr>
          <w:p w14:paraId="31F6F126">
            <w:pPr>
              <w:jc w:val="center"/>
              <w:rPr>
                <w:szCs w:val="21"/>
              </w:rPr>
            </w:pPr>
          </w:p>
        </w:tc>
      </w:tr>
      <w:tr w14:paraId="0D4B37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418" w:type="dxa"/>
            <w:tcBorders>
              <w:top w:val="single" w:color="auto" w:sz="4" w:space="0"/>
              <w:left w:val="single" w:color="auto" w:sz="8" w:space="0"/>
              <w:bottom w:val="single" w:color="auto" w:sz="4" w:space="0"/>
              <w:right w:val="single" w:color="auto" w:sz="4" w:space="0"/>
            </w:tcBorders>
            <w:shd w:val="clear" w:color="auto" w:fill="auto"/>
            <w:vAlign w:val="center"/>
          </w:tcPr>
          <w:p w14:paraId="4CEB91F8">
            <w:pPr>
              <w:pStyle w:val="36"/>
              <w:widowControl/>
              <w:spacing w:beforeLines="0" w:afterLines="0" w:line="240" w:lineRule="auto"/>
              <w:rPr>
                <w:rFonts w:ascii="Times New Roman"/>
                <w:kern w:val="21"/>
                <w:szCs w:val="21"/>
              </w:rPr>
            </w:pPr>
            <w:r>
              <w:rPr>
                <w:rFonts w:ascii="Times New Roman"/>
                <w:snapToGrid w:val="0"/>
                <w:kern w:val="21"/>
                <w:szCs w:val="21"/>
              </w:rPr>
              <w:t>废水</w:t>
            </w:r>
          </w:p>
        </w:tc>
        <w:tc>
          <w:tcPr>
            <w:tcW w:w="1587" w:type="dxa"/>
            <w:tcBorders>
              <w:top w:val="single" w:color="auto" w:sz="4" w:space="0"/>
              <w:left w:val="single" w:color="auto" w:sz="4" w:space="0"/>
              <w:bottom w:val="single" w:color="auto" w:sz="4" w:space="0"/>
              <w:right w:val="single" w:color="auto" w:sz="4" w:space="0"/>
            </w:tcBorders>
            <w:shd w:val="clear" w:color="auto" w:fill="auto"/>
            <w:vAlign w:val="center"/>
          </w:tcPr>
          <w:p w14:paraId="044BA925">
            <w:pPr>
              <w:jc w:val="center"/>
              <w:rPr>
                <w:szCs w:val="21"/>
              </w:rPr>
            </w:pP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65A49FF2">
            <w:pPr>
              <w:pStyle w:val="36"/>
              <w:widowControl/>
              <w:spacing w:beforeLines="0" w:afterLines="0" w:line="240" w:lineRule="auto"/>
              <w:rPr>
                <w:rFonts w:ascii="Times New Roman"/>
                <w:snapToGrid w:val="0"/>
                <w:kern w:val="21"/>
                <w:szCs w:val="21"/>
              </w:rPr>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7798E6E5">
            <w:pPr>
              <w:pStyle w:val="36"/>
              <w:widowControl/>
              <w:spacing w:beforeLines="0" w:afterLines="0" w:line="240" w:lineRule="auto"/>
              <w:rPr>
                <w:rFonts w:ascii="Times New Roman"/>
                <w:snapToGrid w:val="0"/>
                <w:kern w:val="21"/>
                <w:szCs w:val="21"/>
              </w:rPr>
            </w:pP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3FDED32E">
            <w:pPr>
              <w:pStyle w:val="36"/>
              <w:widowControl/>
              <w:spacing w:beforeLines="0" w:afterLines="0" w:line="240" w:lineRule="auto"/>
              <w:rPr>
                <w:rFonts w:ascii="Times New Roman"/>
                <w:snapToGrid w:val="0"/>
                <w:kern w:val="21"/>
                <w:szCs w:val="21"/>
              </w:rPr>
            </w:pPr>
          </w:p>
        </w:tc>
        <w:tc>
          <w:tcPr>
            <w:tcW w:w="1559" w:type="dxa"/>
            <w:tcBorders>
              <w:top w:val="single" w:color="auto" w:sz="4" w:space="0"/>
              <w:left w:val="single" w:color="auto" w:sz="4" w:space="0"/>
              <w:bottom w:val="single" w:color="auto" w:sz="4" w:space="0"/>
              <w:right w:val="single" w:color="auto" w:sz="4" w:space="0"/>
            </w:tcBorders>
            <w:shd w:val="clear" w:color="auto" w:fill="auto"/>
            <w:vAlign w:val="center"/>
          </w:tcPr>
          <w:p w14:paraId="62586C71">
            <w:pPr>
              <w:pStyle w:val="36"/>
              <w:widowControl/>
              <w:spacing w:beforeLines="0" w:afterLines="0" w:line="240" w:lineRule="auto"/>
              <w:rPr>
                <w:rFonts w:ascii="Times New Roman"/>
                <w:snapToGrid w:val="0"/>
                <w:kern w:val="21"/>
                <w:szCs w:val="21"/>
              </w:rPr>
            </w:pPr>
          </w:p>
        </w:tc>
        <w:tc>
          <w:tcPr>
            <w:tcW w:w="1382" w:type="dxa"/>
            <w:tcBorders>
              <w:top w:val="single" w:color="auto" w:sz="4" w:space="0"/>
              <w:left w:val="single" w:color="auto" w:sz="4" w:space="0"/>
              <w:bottom w:val="single" w:color="auto" w:sz="4" w:space="0"/>
              <w:right w:val="single" w:color="auto" w:sz="4" w:space="0"/>
            </w:tcBorders>
            <w:shd w:val="clear" w:color="auto" w:fill="auto"/>
            <w:vAlign w:val="center"/>
          </w:tcPr>
          <w:p w14:paraId="754517FE">
            <w:pPr>
              <w:pStyle w:val="36"/>
              <w:widowControl/>
              <w:spacing w:beforeLines="0" w:afterLines="0" w:line="240" w:lineRule="auto"/>
              <w:rPr>
                <w:rFonts w:ascii="Times New Roman"/>
                <w:snapToGrid w:val="0"/>
                <w:kern w:val="21"/>
                <w:szCs w:val="21"/>
              </w:rPr>
            </w:pPr>
          </w:p>
        </w:tc>
        <w:tc>
          <w:tcPr>
            <w:tcW w:w="1689" w:type="dxa"/>
            <w:tcBorders>
              <w:top w:val="single" w:color="auto" w:sz="4" w:space="0"/>
              <w:left w:val="single" w:color="auto" w:sz="4" w:space="0"/>
              <w:bottom w:val="single" w:color="auto" w:sz="4" w:space="0"/>
              <w:right w:val="single" w:color="auto" w:sz="4" w:space="0"/>
            </w:tcBorders>
            <w:shd w:val="clear" w:color="auto" w:fill="auto"/>
            <w:vAlign w:val="center"/>
          </w:tcPr>
          <w:p w14:paraId="76B66F85">
            <w:pPr>
              <w:pStyle w:val="36"/>
              <w:widowControl/>
              <w:spacing w:beforeLines="0" w:afterLines="0" w:line="240" w:lineRule="auto"/>
              <w:rPr>
                <w:rFonts w:ascii="Times New Roman" w:hAnsi="Times New Roman" w:eastAsia="宋体" w:cs="Times New Roman"/>
                <w:snapToGrid w:val="0"/>
                <w:kern w:val="21"/>
                <w:sz w:val="21"/>
                <w:szCs w:val="21"/>
                <w:lang w:val="en-US" w:eastAsia="zh-CN" w:bidi="ar-SA"/>
              </w:rPr>
            </w:pPr>
          </w:p>
        </w:tc>
        <w:tc>
          <w:tcPr>
            <w:tcW w:w="1475" w:type="dxa"/>
            <w:tcBorders>
              <w:top w:val="single" w:color="auto" w:sz="4" w:space="0"/>
              <w:left w:val="single" w:color="auto" w:sz="4" w:space="0"/>
              <w:bottom w:val="single" w:color="auto" w:sz="4" w:space="0"/>
              <w:right w:val="single" w:color="auto" w:sz="8" w:space="0"/>
            </w:tcBorders>
            <w:shd w:val="clear" w:color="auto" w:fill="auto"/>
            <w:vAlign w:val="center"/>
          </w:tcPr>
          <w:p w14:paraId="4FE13215">
            <w:pPr>
              <w:pStyle w:val="36"/>
              <w:widowControl/>
              <w:spacing w:beforeLines="0" w:afterLines="0" w:line="240" w:lineRule="auto"/>
              <w:rPr>
                <w:rFonts w:ascii="Times New Roman"/>
                <w:snapToGrid w:val="0"/>
                <w:kern w:val="21"/>
                <w:szCs w:val="21"/>
              </w:rPr>
            </w:pPr>
          </w:p>
        </w:tc>
      </w:tr>
      <w:tr w14:paraId="3457A1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418" w:type="dxa"/>
            <w:tcBorders>
              <w:top w:val="single" w:color="auto" w:sz="4" w:space="0"/>
              <w:left w:val="single" w:color="auto" w:sz="8" w:space="0"/>
              <w:right w:val="single" w:color="auto" w:sz="4" w:space="0"/>
            </w:tcBorders>
            <w:shd w:val="clear" w:color="auto" w:fill="auto"/>
            <w:vAlign w:val="center"/>
          </w:tcPr>
          <w:p w14:paraId="799BBAFA">
            <w:pPr>
              <w:pStyle w:val="36"/>
              <w:widowControl/>
              <w:spacing w:beforeLines="0" w:afterLines="0" w:line="240" w:lineRule="auto"/>
              <w:rPr>
                <w:rFonts w:ascii="Times New Roman"/>
                <w:kern w:val="21"/>
                <w:szCs w:val="21"/>
              </w:rPr>
            </w:pPr>
            <w:r>
              <w:rPr>
                <w:rFonts w:ascii="Times New Roman"/>
                <w:snapToGrid w:val="0"/>
                <w:kern w:val="21"/>
                <w:szCs w:val="21"/>
              </w:rPr>
              <w:t>一般工业</w:t>
            </w:r>
          </w:p>
          <w:p w14:paraId="6660F95C">
            <w:pPr>
              <w:pStyle w:val="36"/>
              <w:widowControl/>
              <w:spacing w:beforeLines="0" w:afterLines="0" w:line="240" w:lineRule="auto"/>
              <w:rPr>
                <w:rFonts w:ascii="Times New Roman"/>
                <w:kern w:val="21"/>
                <w:szCs w:val="21"/>
              </w:rPr>
            </w:pPr>
            <w:r>
              <w:rPr>
                <w:rFonts w:ascii="Times New Roman"/>
                <w:snapToGrid w:val="0"/>
                <w:kern w:val="21"/>
                <w:szCs w:val="21"/>
              </w:rPr>
              <w:t>固体废物</w:t>
            </w:r>
          </w:p>
        </w:tc>
        <w:tc>
          <w:tcPr>
            <w:tcW w:w="1587" w:type="dxa"/>
            <w:tcBorders>
              <w:top w:val="single" w:color="auto" w:sz="4" w:space="0"/>
              <w:left w:val="single" w:color="auto" w:sz="4" w:space="0"/>
              <w:bottom w:val="single" w:color="auto" w:sz="4" w:space="0"/>
              <w:right w:val="single" w:color="auto" w:sz="4" w:space="0"/>
            </w:tcBorders>
            <w:shd w:val="clear" w:color="auto" w:fill="auto"/>
            <w:vAlign w:val="center"/>
          </w:tcPr>
          <w:p w14:paraId="314B3808">
            <w:pPr>
              <w:pStyle w:val="36"/>
              <w:widowControl/>
              <w:spacing w:beforeLines="0" w:afterLines="0" w:line="240" w:lineRule="auto"/>
              <w:rPr>
                <w:rFonts w:ascii="Times New Roman"/>
                <w:snapToGrid w:val="0"/>
                <w:kern w:val="21"/>
                <w:szCs w:val="21"/>
              </w:rPr>
            </w:pP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2DB15D2E">
            <w:pPr>
              <w:pStyle w:val="36"/>
              <w:widowControl/>
              <w:spacing w:beforeLines="0" w:afterLines="0" w:line="240" w:lineRule="auto"/>
              <w:rPr>
                <w:rFonts w:ascii="Times New Roman"/>
                <w:snapToGrid w:val="0"/>
                <w:kern w:val="21"/>
                <w:szCs w:val="21"/>
              </w:rPr>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08507220">
            <w:pPr>
              <w:pStyle w:val="36"/>
              <w:widowControl/>
              <w:spacing w:beforeLines="0" w:afterLines="0" w:line="240" w:lineRule="auto"/>
              <w:rPr>
                <w:rFonts w:ascii="Times New Roman"/>
                <w:snapToGrid w:val="0"/>
                <w:kern w:val="21"/>
                <w:szCs w:val="21"/>
              </w:rPr>
            </w:pP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1136E2E3">
            <w:pPr>
              <w:pStyle w:val="36"/>
              <w:widowControl/>
              <w:spacing w:beforeLines="0" w:afterLines="0" w:line="240" w:lineRule="auto"/>
              <w:rPr>
                <w:rFonts w:ascii="Times New Roman"/>
                <w:snapToGrid w:val="0"/>
                <w:kern w:val="21"/>
                <w:szCs w:val="21"/>
              </w:rPr>
            </w:pPr>
          </w:p>
        </w:tc>
        <w:tc>
          <w:tcPr>
            <w:tcW w:w="1559" w:type="dxa"/>
            <w:tcBorders>
              <w:top w:val="single" w:color="auto" w:sz="4" w:space="0"/>
              <w:left w:val="single" w:color="auto" w:sz="4" w:space="0"/>
              <w:bottom w:val="single" w:color="auto" w:sz="4" w:space="0"/>
              <w:right w:val="single" w:color="auto" w:sz="4" w:space="0"/>
            </w:tcBorders>
            <w:shd w:val="clear" w:color="auto" w:fill="auto"/>
            <w:vAlign w:val="center"/>
          </w:tcPr>
          <w:p w14:paraId="01AAC6DB">
            <w:pPr>
              <w:pStyle w:val="36"/>
              <w:widowControl/>
              <w:spacing w:beforeLines="0" w:afterLines="0" w:line="240" w:lineRule="auto"/>
              <w:rPr>
                <w:rFonts w:hint="default" w:ascii="Times New Roman" w:eastAsiaTheme="minorEastAsia"/>
                <w:snapToGrid w:val="0"/>
                <w:kern w:val="21"/>
                <w:szCs w:val="21"/>
                <w:lang w:val="en-US" w:eastAsia="zh-CN"/>
              </w:rPr>
            </w:pPr>
          </w:p>
        </w:tc>
        <w:tc>
          <w:tcPr>
            <w:tcW w:w="1382" w:type="dxa"/>
            <w:tcBorders>
              <w:top w:val="single" w:color="auto" w:sz="4" w:space="0"/>
              <w:left w:val="single" w:color="auto" w:sz="4" w:space="0"/>
              <w:bottom w:val="single" w:color="auto" w:sz="4" w:space="0"/>
              <w:right w:val="single" w:color="auto" w:sz="4" w:space="0"/>
            </w:tcBorders>
            <w:shd w:val="clear" w:color="auto" w:fill="auto"/>
            <w:vAlign w:val="center"/>
          </w:tcPr>
          <w:p w14:paraId="0F9B6F5E">
            <w:pPr>
              <w:pStyle w:val="36"/>
              <w:widowControl/>
              <w:spacing w:beforeLines="0" w:afterLines="0" w:line="240" w:lineRule="auto"/>
              <w:rPr>
                <w:rFonts w:ascii="Times New Roman"/>
                <w:snapToGrid w:val="0"/>
                <w:kern w:val="21"/>
                <w:szCs w:val="21"/>
              </w:rPr>
            </w:pPr>
          </w:p>
        </w:tc>
        <w:tc>
          <w:tcPr>
            <w:tcW w:w="1689" w:type="dxa"/>
            <w:tcBorders>
              <w:top w:val="single" w:color="auto" w:sz="4" w:space="0"/>
              <w:left w:val="single" w:color="auto" w:sz="4" w:space="0"/>
              <w:bottom w:val="single" w:color="auto" w:sz="4" w:space="0"/>
              <w:right w:val="single" w:color="auto" w:sz="4" w:space="0"/>
            </w:tcBorders>
            <w:shd w:val="clear" w:color="auto" w:fill="auto"/>
            <w:vAlign w:val="center"/>
          </w:tcPr>
          <w:p w14:paraId="590C1848">
            <w:pPr>
              <w:pStyle w:val="36"/>
              <w:widowControl/>
              <w:spacing w:beforeLines="0" w:afterLines="0" w:line="240" w:lineRule="auto"/>
              <w:rPr>
                <w:rFonts w:hint="default" w:ascii="Times New Roman" w:hAnsi="Times New Roman" w:cs="Times New Roman" w:eastAsiaTheme="minorEastAsia"/>
                <w:snapToGrid w:val="0"/>
                <w:kern w:val="21"/>
                <w:sz w:val="21"/>
                <w:szCs w:val="21"/>
                <w:lang w:val="en-US" w:eastAsia="zh-CN" w:bidi="ar-SA"/>
              </w:rPr>
            </w:pPr>
          </w:p>
        </w:tc>
        <w:tc>
          <w:tcPr>
            <w:tcW w:w="1475" w:type="dxa"/>
            <w:tcBorders>
              <w:top w:val="single" w:color="auto" w:sz="4" w:space="0"/>
              <w:left w:val="single" w:color="auto" w:sz="4" w:space="0"/>
              <w:bottom w:val="single" w:color="auto" w:sz="4" w:space="0"/>
              <w:right w:val="single" w:color="auto" w:sz="8" w:space="0"/>
            </w:tcBorders>
            <w:shd w:val="clear" w:color="auto" w:fill="auto"/>
            <w:vAlign w:val="center"/>
          </w:tcPr>
          <w:p w14:paraId="400C564D">
            <w:pPr>
              <w:pStyle w:val="36"/>
              <w:widowControl/>
              <w:spacing w:beforeLines="0" w:afterLines="0" w:line="240" w:lineRule="auto"/>
              <w:rPr>
                <w:rFonts w:ascii="Times New Roman" w:eastAsiaTheme="minorEastAsia"/>
                <w:snapToGrid w:val="0"/>
                <w:kern w:val="21"/>
                <w:szCs w:val="21"/>
              </w:rPr>
            </w:pPr>
          </w:p>
        </w:tc>
      </w:tr>
      <w:tr w14:paraId="7350F5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1418" w:type="dxa"/>
            <w:vMerge w:val="restart"/>
            <w:tcBorders>
              <w:top w:val="single" w:color="auto" w:sz="4" w:space="0"/>
              <w:left w:val="single" w:color="auto" w:sz="8" w:space="0"/>
              <w:bottom w:val="single" w:color="auto" w:sz="8" w:space="0"/>
              <w:right w:val="single" w:color="auto" w:sz="4" w:space="0"/>
            </w:tcBorders>
            <w:shd w:val="clear" w:color="auto" w:fill="auto"/>
            <w:vAlign w:val="center"/>
          </w:tcPr>
          <w:p w14:paraId="38A2642C">
            <w:pPr>
              <w:pStyle w:val="36"/>
              <w:widowControl/>
              <w:spacing w:beforeLines="0" w:afterLines="0" w:line="240" w:lineRule="auto"/>
              <w:rPr>
                <w:rFonts w:ascii="Times New Roman"/>
                <w:kern w:val="21"/>
                <w:szCs w:val="21"/>
              </w:rPr>
            </w:pPr>
            <w:r>
              <w:rPr>
                <w:rFonts w:ascii="Times New Roman"/>
                <w:snapToGrid w:val="0"/>
                <w:kern w:val="21"/>
                <w:szCs w:val="21"/>
              </w:rPr>
              <w:t>危险废物</w:t>
            </w:r>
          </w:p>
        </w:tc>
        <w:tc>
          <w:tcPr>
            <w:tcW w:w="1587" w:type="dxa"/>
            <w:tcBorders>
              <w:top w:val="single" w:color="auto" w:sz="4" w:space="0"/>
              <w:left w:val="single" w:color="auto" w:sz="4" w:space="0"/>
              <w:bottom w:val="single" w:color="auto" w:sz="4" w:space="0"/>
              <w:right w:val="single" w:color="auto" w:sz="4" w:space="0"/>
            </w:tcBorders>
            <w:shd w:val="clear" w:color="auto" w:fill="auto"/>
            <w:vAlign w:val="center"/>
          </w:tcPr>
          <w:p w14:paraId="48E9C779">
            <w:pPr>
              <w:jc w:val="center"/>
              <w:rPr>
                <w:rFonts w:hint="eastAsia" w:eastAsia="宋体"/>
                <w:snapToGrid w:val="0"/>
                <w:kern w:val="21"/>
                <w:szCs w:val="21"/>
                <w:lang w:val="en-US" w:eastAsia="zh-CN"/>
              </w:rPr>
            </w:pPr>
            <w:r>
              <w:rPr>
                <w:rFonts w:hint="eastAsia"/>
                <w:snapToGrid w:val="0"/>
                <w:kern w:val="21"/>
                <w:szCs w:val="21"/>
                <w:lang w:val="en-US" w:eastAsia="zh-CN"/>
              </w:rPr>
              <w:t>废碱液</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4B963E7B">
            <w:pPr>
              <w:pStyle w:val="36"/>
              <w:widowControl/>
              <w:spacing w:beforeLines="0" w:afterLines="0" w:line="240" w:lineRule="auto"/>
              <w:rPr>
                <w:rFonts w:ascii="Times New Roman"/>
                <w:snapToGrid w:val="0"/>
                <w:kern w:val="21"/>
                <w:szCs w:val="21"/>
              </w:rPr>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5DE7C023">
            <w:pPr>
              <w:pStyle w:val="36"/>
              <w:widowControl/>
              <w:spacing w:beforeLines="0" w:afterLines="0" w:line="240" w:lineRule="auto"/>
              <w:rPr>
                <w:rFonts w:ascii="Times New Roman"/>
                <w:snapToGrid w:val="0"/>
                <w:kern w:val="21"/>
                <w:szCs w:val="21"/>
              </w:rPr>
            </w:pP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1EC2D52F">
            <w:pPr>
              <w:pStyle w:val="36"/>
              <w:widowControl/>
              <w:spacing w:beforeLines="0" w:afterLines="0" w:line="240" w:lineRule="auto"/>
              <w:rPr>
                <w:rFonts w:ascii="Times New Roman"/>
                <w:snapToGrid w:val="0"/>
                <w:kern w:val="21"/>
                <w:szCs w:val="21"/>
              </w:rPr>
            </w:pPr>
          </w:p>
        </w:tc>
        <w:tc>
          <w:tcPr>
            <w:tcW w:w="1559" w:type="dxa"/>
            <w:tcBorders>
              <w:top w:val="single" w:color="auto" w:sz="4" w:space="0"/>
              <w:left w:val="single" w:color="auto" w:sz="4" w:space="0"/>
              <w:bottom w:val="single" w:color="auto" w:sz="4" w:space="0"/>
              <w:right w:val="single" w:color="auto" w:sz="4" w:space="0"/>
            </w:tcBorders>
            <w:shd w:val="clear" w:color="auto" w:fill="auto"/>
            <w:vAlign w:val="center"/>
          </w:tcPr>
          <w:p w14:paraId="33793714">
            <w:pPr>
              <w:jc w:val="center"/>
              <w:rPr>
                <w:rFonts w:hint="default" w:eastAsia="宋体"/>
                <w:snapToGrid w:val="0"/>
                <w:kern w:val="21"/>
                <w:szCs w:val="21"/>
                <w:lang w:val="en-US" w:eastAsia="zh-CN"/>
              </w:rPr>
            </w:pPr>
            <w:r>
              <w:rPr>
                <w:rFonts w:hint="eastAsia"/>
                <w:snapToGrid w:val="0"/>
                <w:kern w:val="21"/>
                <w:szCs w:val="21"/>
                <w:lang w:val="en-US" w:eastAsia="zh-CN"/>
              </w:rPr>
              <w:t>261.07</w:t>
            </w:r>
          </w:p>
        </w:tc>
        <w:tc>
          <w:tcPr>
            <w:tcW w:w="1382" w:type="dxa"/>
            <w:tcBorders>
              <w:top w:val="single" w:color="auto" w:sz="4" w:space="0"/>
              <w:left w:val="single" w:color="auto" w:sz="4" w:space="0"/>
              <w:bottom w:val="single" w:color="auto" w:sz="4" w:space="0"/>
              <w:right w:val="single" w:color="auto" w:sz="4" w:space="0"/>
            </w:tcBorders>
            <w:shd w:val="clear" w:color="auto" w:fill="auto"/>
            <w:vAlign w:val="center"/>
          </w:tcPr>
          <w:p w14:paraId="4C42CD49">
            <w:pPr>
              <w:pStyle w:val="36"/>
              <w:widowControl/>
              <w:spacing w:beforeLines="0" w:afterLines="0" w:line="240" w:lineRule="auto"/>
              <w:rPr>
                <w:rFonts w:ascii="Times New Roman"/>
                <w:snapToGrid w:val="0"/>
                <w:kern w:val="21"/>
                <w:szCs w:val="21"/>
              </w:rPr>
            </w:pPr>
          </w:p>
        </w:tc>
        <w:tc>
          <w:tcPr>
            <w:tcW w:w="1689" w:type="dxa"/>
            <w:tcBorders>
              <w:top w:val="single" w:color="auto" w:sz="4" w:space="0"/>
              <w:left w:val="single" w:color="auto" w:sz="4" w:space="0"/>
              <w:bottom w:val="single" w:color="auto" w:sz="4" w:space="0"/>
              <w:right w:val="single" w:color="auto" w:sz="4" w:space="0"/>
            </w:tcBorders>
            <w:shd w:val="clear" w:color="auto" w:fill="auto"/>
            <w:vAlign w:val="center"/>
          </w:tcPr>
          <w:p w14:paraId="39CA4D40">
            <w:pPr>
              <w:jc w:val="center"/>
              <w:rPr>
                <w:rFonts w:hint="default" w:ascii="Times New Roman" w:hAnsi="Times New Roman" w:eastAsia="宋体" w:cs="Times New Roman"/>
                <w:snapToGrid w:val="0"/>
                <w:kern w:val="21"/>
                <w:sz w:val="21"/>
                <w:szCs w:val="21"/>
                <w:lang w:val="en-US" w:eastAsia="zh-CN" w:bidi="ar-SA"/>
              </w:rPr>
            </w:pPr>
            <w:r>
              <w:rPr>
                <w:rFonts w:hint="eastAsia"/>
                <w:snapToGrid w:val="0"/>
                <w:kern w:val="21"/>
                <w:szCs w:val="21"/>
                <w:lang w:val="en-US" w:eastAsia="zh-CN"/>
              </w:rPr>
              <w:t>261.07</w:t>
            </w:r>
          </w:p>
        </w:tc>
        <w:tc>
          <w:tcPr>
            <w:tcW w:w="1475" w:type="dxa"/>
            <w:tcBorders>
              <w:top w:val="single" w:color="auto" w:sz="4" w:space="0"/>
              <w:left w:val="single" w:color="auto" w:sz="4" w:space="0"/>
              <w:bottom w:val="single" w:color="auto" w:sz="4" w:space="0"/>
              <w:right w:val="single" w:color="auto" w:sz="8" w:space="0"/>
            </w:tcBorders>
            <w:shd w:val="clear" w:color="auto" w:fill="auto"/>
            <w:vAlign w:val="center"/>
          </w:tcPr>
          <w:p w14:paraId="21026106">
            <w:pPr>
              <w:jc w:val="center"/>
              <w:rPr>
                <w:snapToGrid w:val="0"/>
                <w:kern w:val="21"/>
                <w:szCs w:val="21"/>
              </w:rPr>
            </w:pPr>
          </w:p>
        </w:tc>
      </w:tr>
      <w:tr w14:paraId="204F69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418" w:type="dxa"/>
            <w:vMerge w:val="continue"/>
            <w:tcBorders>
              <w:left w:val="single" w:color="auto" w:sz="8" w:space="0"/>
              <w:right w:val="single" w:color="auto" w:sz="4" w:space="0"/>
            </w:tcBorders>
            <w:shd w:val="clear" w:color="auto" w:fill="auto"/>
            <w:vAlign w:val="center"/>
          </w:tcPr>
          <w:p w14:paraId="11C2E7E4">
            <w:pPr>
              <w:pStyle w:val="36"/>
              <w:widowControl/>
              <w:spacing w:beforeLines="0" w:afterLines="0" w:line="240" w:lineRule="auto"/>
              <w:rPr>
                <w:rFonts w:ascii="Times New Roman"/>
                <w:snapToGrid w:val="0"/>
                <w:kern w:val="21"/>
                <w:szCs w:val="21"/>
              </w:rPr>
            </w:pPr>
          </w:p>
        </w:tc>
        <w:tc>
          <w:tcPr>
            <w:tcW w:w="1587" w:type="dxa"/>
            <w:tcBorders>
              <w:top w:val="single" w:color="auto" w:sz="4" w:space="0"/>
              <w:left w:val="single" w:color="auto" w:sz="4" w:space="0"/>
              <w:bottom w:val="single" w:color="auto" w:sz="4" w:space="0"/>
              <w:right w:val="single" w:color="auto" w:sz="4" w:space="0"/>
            </w:tcBorders>
            <w:shd w:val="clear" w:color="auto" w:fill="auto"/>
            <w:vAlign w:val="center"/>
          </w:tcPr>
          <w:p w14:paraId="0FEC22D2">
            <w:pPr>
              <w:jc w:val="center"/>
              <w:rPr>
                <w:rFonts w:hint="eastAsia" w:eastAsia="宋体"/>
                <w:szCs w:val="21"/>
                <w:lang w:val="en-US" w:eastAsia="zh-CN"/>
              </w:rPr>
            </w:pPr>
            <w:r>
              <w:rPr>
                <w:rFonts w:hint="eastAsia"/>
                <w:szCs w:val="21"/>
                <w:lang w:val="en-US" w:eastAsia="zh-CN"/>
              </w:rPr>
              <w:t>废活性炭</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2B55819E">
            <w:pPr>
              <w:pStyle w:val="36"/>
              <w:widowControl/>
              <w:spacing w:beforeLines="0" w:afterLines="0" w:line="240" w:lineRule="auto"/>
              <w:rPr>
                <w:rFonts w:ascii="Times New Roman"/>
                <w:snapToGrid w:val="0"/>
                <w:kern w:val="21"/>
                <w:szCs w:val="21"/>
              </w:rPr>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25EC578B">
            <w:pPr>
              <w:pStyle w:val="36"/>
              <w:widowControl/>
              <w:spacing w:beforeLines="0" w:afterLines="0" w:line="240" w:lineRule="auto"/>
              <w:rPr>
                <w:rFonts w:ascii="Times New Roman"/>
                <w:snapToGrid w:val="0"/>
                <w:kern w:val="21"/>
                <w:szCs w:val="21"/>
              </w:rPr>
            </w:pP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5AF840B4">
            <w:pPr>
              <w:pStyle w:val="36"/>
              <w:widowControl/>
              <w:spacing w:beforeLines="0" w:afterLines="0" w:line="240" w:lineRule="auto"/>
              <w:rPr>
                <w:rFonts w:ascii="Times New Roman"/>
                <w:snapToGrid w:val="0"/>
                <w:kern w:val="21"/>
                <w:szCs w:val="21"/>
              </w:rPr>
            </w:pPr>
          </w:p>
        </w:tc>
        <w:tc>
          <w:tcPr>
            <w:tcW w:w="1559" w:type="dxa"/>
            <w:tcBorders>
              <w:top w:val="single" w:color="auto" w:sz="4" w:space="0"/>
              <w:left w:val="single" w:color="auto" w:sz="4" w:space="0"/>
              <w:bottom w:val="single" w:color="auto" w:sz="4" w:space="0"/>
              <w:right w:val="single" w:color="auto" w:sz="4" w:space="0"/>
            </w:tcBorders>
            <w:shd w:val="clear" w:color="auto" w:fill="auto"/>
            <w:vAlign w:val="center"/>
          </w:tcPr>
          <w:p w14:paraId="4C100C97">
            <w:pPr>
              <w:jc w:val="center"/>
              <w:rPr>
                <w:rFonts w:hint="default" w:eastAsia="宋体"/>
                <w:snapToGrid w:val="0"/>
                <w:kern w:val="21"/>
                <w:szCs w:val="21"/>
                <w:lang w:val="en-US" w:eastAsia="zh-CN"/>
              </w:rPr>
            </w:pPr>
            <w:r>
              <w:rPr>
                <w:rFonts w:hint="eastAsia"/>
                <w:snapToGrid w:val="0"/>
                <w:kern w:val="21"/>
                <w:szCs w:val="21"/>
                <w:lang w:val="en-US" w:eastAsia="zh-CN"/>
              </w:rPr>
              <w:t>2.508</w:t>
            </w:r>
          </w:p>
        </w:tc>
        <w:tc>
          <w:tcPr>
            <w:tcW w:w="1382" w:type="dxa"/>
            <w:tcBorders>
              <w:top w:val="single" w:color="auto" w:sz="4" w:space="0"/>
              <w:left w:val="single" w:color="auto" w:sz="4" w:space="0"/>
              <w:bottom w:val="single" w:color="auto" w:sz="4" w:space="0"/>
              <w:right w:val="single" w:color="auto" w:sz="4" w:space="0"/>
            </w:tcBorders>
            <w:shd w:val="clear" w:color="auto" w:fill="auto"/>
            <w:vAlign w:val="center"/>
          </w:tcPr>
          <w:p w14:paraId="578B3CC1">
            <w:pPr>
              <w:pStyle w:val="36"/>
              <w:widowControl/>
              <w:spacing w:beforeLines="0" w:afterLines="0" w:line="240" w:lineRule="auto"/>
              <w:rPr>
                <w:rFonts w:ascii="Times New Roman"/>
                <w:snapToGrid w:val="0"/>
                <w:kern w:val="21"/>
                <w:szCs w:val="21"/>
              </w:rPr>
            </w:pPr>
          </w:p>
        </w:tc>
        <w:tc>
          <w:tcPr>
            <w:tcW w:w="1689" w:type="dxa"/>
            <w:tcBorders>
              <w:top w:val="single" w:color="auto" w:sz="4" w:space="0"/>
              <w:left w:val="single" w:color="auto" w:sz="4" w:space="0"/>
              <w:bottom w:val="single" w:color="auto" w:sz="4" w:space="0"/>
              <w:right w:val="single" w:color="auto" w:sz="4" w:space="0"/>
            </w:tcBorders>
            <w:shd w:val="clear" w:color="auto" w:fill="auto"/>
            <w:vAlign w:val="center"/>
          </w:tcPr>
          <w:p w14:paraId="0E8D5C66">
            <w:pPr>
              <w:jc w:val="center"/>
              <w:rPr>
                <w:rFonts w:hint="default" w:ascii="Times New Roman" w:hAnsi="Times New Roman" w:eastAsia="宋体" w:cs="Times New Roman"/>
                <w:snapToGrid w:val="0"/>
                <w:kern w:val="21"/>
                <w:sz w:val="21"/>
                <w:szCs w:val="21"/>
                <w:lang w:val="en-US" w:eastAsia="zh-CN" w:bidi="ar-SA"/>
              </w:rPr>
            </w:pPr>
            <w:r>
              <w:rPr>
                <w:rFonts w:hint="eastAsia"/>
                <w:snapToGrid w:val="0"/>
                <w:kern w:val="21"/>
                <w:szCs w:val="21"/>
                <w:lang w:val="en-US" w:eastAsia="zh-CN"/>
              </w:rPr>
              <w:t>2.508</w:t>
            </w:r>
          </w:p>
        </w:tc>
        <w:tc>
          <w:tcPr>
            <w:tcW w:w="1475" w:type="dxa"/>
            <w:tcBorders>
              <w:top w:val="single" w:color="auto" w:sz="4" w:space="0"/>
              <w:left w:val="single" w:color="auto" w:sz="4" w:space="0"/>
              <w:bottom w:val="single" w:color="auto" w:sz="4" w:space="0"/>
              <w:right w:val="single" w:color="auto" w:sz="8" w:space="0"/>
            </w:tcBorders>
            <w:shd w:val="clear" w:color="auto" w:fill="auto"/>
            <w:vAlign w:val="center"/>
          </w:tcPr>
          <w:p w14:paraId="7199F9D7">
            <w:pPr>
              <w:jc w:val="center"/>
              <w:rPr>
                <w:snapToGrid w:val="0"/>
                <w:kern w:val="21"/>
                <w:szCs w:val="21"/>
              </w:rPr>
            </w:pPr>
          </w:p>
        </w:tc>
      </w:tr>
      <w:tr w14:paraId="3A6444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418" w:type="dxa"/>
            <w:vMerge w:val="continue"/>
            <w:tcBorders>
              <w:left w:val="single" w:color="auto" w:sz="8" w:space="0"/>
              <w:right w:val="single" w:color="auto" w:sz="4" w:space="0"/>
            </w:tcBorders>
            <w:shd w:val="clear" w:color="auto" w:fill="auto"/>
            <w:vAlign w:val="center"/>
          </w:tcPr>
          <w:p w14:paraId="1596F84A">
            <w:pPr>
              <w:pStyle w:val="36"/>
              <w:widowControl/>
              <w:spacing w:beforeLines="0" w:afterLines="0" w:line="240" w:lineRule="auto"/>
              <w:rPr>
                <w:rFonts w:ascii="Times New Roman"/>
                <w:snapToGrid w:val="0"/>
                <w:kern w:val="21"/>
                <w:szCs w:val="21"/>
              </w:rPr>
            </w:pPr>
          </w:p>
        </w:tc>
        <w:tc>
          <w:tcPr>
            <w:tcW w:w="1587" w:type="dxa"/>
            <w:tcBorders>
              <w:top w:val="single" w:color="auto" w:sz="4" w:space="0"/>
              <w:left w:val="single" w:color="auto" w:sz="4" w:space="0"/>
              <w:bottom w:val="single" w:color="auto" w:sz="4" w:space="0"/>
              <w:right w:val="single" w:color="auto" w:sz="4" w:space="0"/>
            </w:tcBorders>
            <w:shd w:val="clear" w:color="auto" w:fill="auto"/>
            <w:vAlign w:val="center"/>
          </w:tcPr>
          <w:p w14:paraId="5403C52B">
            <w:pPr>
              <w:jc w:val="center"/>
              <w:rPr>
                <w:szCs w:val="21"/>
              </w:rPr>
            </w:pPr>
            <w:r>
              <w:rPr>
                <w:rFonts w:hint="eastAsia" w:ascii="Times New Roman" w:hAnsi="Times New Roman" w:eastAsia="宋体" w:cs="Times New Roman"/>
                <w:kern w:val="0"/>
                <w:szCs w:val="21"/>
                <w:lang w:val="en-US" w:eastAsia="zh-CN" w:bidi="ar"/>
              </w:rPr>
              <w:t>废包装桶/袋</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499A29A6">
            <w:pPr>
              <w:pStyle w:val="36"/>
              <w:widowControl/>
              <w:spacing w:beforeLines="0" w:afterLines="0" w:line="240" w:lineRule="auto"/>
              <w:rPr>
                <w:rFonts w:ascii="Times New Roman"/>
                <w:snapToGrid w:val="0"/>
                <w:kern w:val="21"/>
                <w:szCs w:val="21"/>
              </w:rPr>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60C395CE">
            <w:pPr>
              <w:pStyle w:val="36"/>
              <w:widowControl/>
              <w:spacing w:beforeLines="0" w:afterLines="0" w:line="240" w:lineRule="auto"/>
              <w:rPr>
                <w:rFonts w:ascii="Times New Roman"/>
                <w:snapToGrid w:val="0"/>
                <w:kern w:val="21"/>
                <w:szCs w:val="21"/>
              </w:rPr>
            </w:pP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43FABF2E">
            <w:pPr>
              <w:pStyle w:val="36"/>
              <w:widowControl/>
              <w:spacing w:beforeLines="0" w:afterLines="0" w:line="240" w:lineRule="auto"/>
              <w:rPr>
                <w:rFonts w:ascii="Times New Roman"/>
                <w:snapToGrid w:val="0"/>
                <w:kern w:val="21"/>
                <w:szCs w:val="21"/>
              </w:rPr>
            </w:pPr>
          </w:p>
        </w:tc>
        <w:tc>
          <w:tcPr>
            <w:tcW w:w="1559" w:type="dxa"/>
            <w:tcBorders>
              <w:top w:val="single" w:color="auto" w:sz="4" w:space="0"/>
              <w:left w:val="single" w:color="auto" w:sz="4" w:space="0"/>
              <w:bottom w:val="single" w:color="auto" w:sz="4" w:space="0"/>
              <w:right w:val="single" w:color="auto" w:sz="4" w:space="0"/>
            </w:tcBorders>
            <w:shd w:val="clear" w:color="auto" w:fill="auto"/>
            <w:vAlign w:val="center"/>
          </w:tcPr>
          <w:p w14:paraId="50583347">
            <w:pPr>
              <w:jc w:val="center"/>
              <w:rPr>
                <w:rFonts w:hint="default" w:eastAsia="宋体"/>
                <w:snapToGrid w:val="0"/>
                <w:kern w:val="21"/>
                <w:szCs w:val="21"/>
                <w:lang w:val="en-US" w:eastAsia="zh-CN"/>
              </w:rPr>
            </w:pPr>
            <w:r>
              <w:rPr>
                <w:rFonts w:hint="eastAsia"/>
                <w:snapToGrid w:val="0"/>
                <w:kern w:val="21"/>
                <w:szCs w:val="21"/>
                <w:lang w:val="en-US" w:eastAsia="zh-CN"/>
              </w:rPr>
              <w:t>0.5</w:t>
            </w:r>
          </w:p>
        </w:tc>
        <w:tc>
          <w:tcPr>
            <w:tcW w:w="1382" w:type="dxa"/>
            <w:tcBorders>
              <w:top w:val="single" w:color="auto" w:sz="4" w:space="0"/>
              <w:left w:val="single" w:color="auto" w:sz="4" w:space="0"/>
              <w:bottom w:val="single" w:color="auto" w:sz="4" w:space="0"/>
              <w:right w:val="single" w:color="auto" w:sz="4" w:space="0"/>
            </w:tcBorders>
            <w:shd w:val="clear" w:color="auto" w:fill="auto"/>
            <w:vAlign w:val="center"/>
          </w:tcPr>
          <w:p w14:paraId="3E1FE5FA">
            <w:pPr>
              <w:pStyle w:val="36"/>
              <w:widowControl/>
              <w:spacing w:beforeLines="0" w:afterLines="0" w:line="240" w:lineRule="auto"/>
              <w:rPr>
                <w:rFonts w:ascii="Times New Roman"/>
                <w:snapToGrid w:val="0"/>
                <w:kern w:val="21"/>
                <w:szCs w:val="21"/>
              </w:rPr>
            </w:pPr>
          </w:p>
        </w:tc>
        <w:tc>
          <w:tcPr>
            <w:tcW w:w="1689" w:type="dxa"/>
            <w:tcBorders>
              <w:top w:val="single" w:color="auto" w:sz="4" w:space="0"/>
              <w:left w:val="single" w:color="auto" w:sz="4" w:space="0"/>
              <w:bottom w:val="single" w:color="auto" w:sz="4" w:space="0"/>
              <w:right w:val="single" w:color="auto" w:sz="4" w:space="0"/>
            </w:tcBorders>
            <w:shd w:val="clear" w:color="auto" w:fill="auto"/>
            <w:vAlign w:val="center"/>
          </w:tcPr>
          <w:p w14:paraId="2527F90F">
            <w:pPr>
              <w:jc w:val="center"/>
              <w:rPr>
                <w:rFonts w:hint="eastAsia" w:ascii="Times New Roman" w:hAnsi="Times New Roman" w:eastAsia="宋体" w:cs="Times New Roman"/>
                <w:snapToGrid w:val="0"/>
                <w:kern w:val="21"/>
                <w:sz w:val="21"/>
                <w:szCs w:val="21"/>
                <w:lang w:val="en-US" w:eastAsia="zh-CN" w:bidi="ar-SA"/>
              </w:rPr>
            </w:pPr>
            <w:r>
              <w:rPr>
                <w:rFonts w:hint="eastAsia"/>
                <w:snapToGrid w:val="0"/>
                <w:kern w:val="21"/>
                <w:szCs w:val="21"/>
                <w:lang w:val="en-US" w:eastAsia="zh-CN"/>
              </w:rPr>
              <w:t>0.5</w:t>
            </w:r>
          </w:p>
        </w:tc>
        <w:tc>
          <w:tcPr>
            <w:tcW w:w="1475" w:type="dxa"/>
            <w:tcBorders>
              <w:top w:val="single" w:color="auto" w:sz="4" w:space="0"/>
              <w:left w:val="single" w:color="auto" w:sz="4" w:space="0"/>
              <w:bottom w:val="single" w:color="auto" w:sz="4" w:space="0"/>
              <w:right w:val="single" w:color="auto" w:sz="8" w:space="0"/>
            </w:tcBorders>
            <w:shd w:val="clear" w:color="auto" w:fill="auto"/>
            <w:vAlign w:val="center"/>
          </w:tcPr>
          <w:p w14:paraId="4F9E56B3">
            <w:pPr>
              <w:jc w:val="center"/>
              <w:rPr>
                <w:snapToGrid w:val="0"/>
                <w:kern w:val="21"/>
                <w:szCs w:val="21"/>
              </w:rPr>
            </w:pPr>
          </w:p>
        </w:tc>
      </w:tr>
      <w:tr w14:paraId="3378E7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418" w:type="dxa"/>
            <w:vMerge w:val="continue"/>
            <w:tcBorders>
              <w:left w:val="single" w:color="auto" w:sz="8" w:space="0"/>
              <w:right w:val="single" w:color="auto" w:sz="4" w:space="0"/>
            </w:tcBorders>
            <w:shd w:val="clear" w:color="auto" w:fill="auto"/>
            <w:vAlign w:val="center"/>
          </w:tcPr>
          <w:p w14:paraId="183CDC1B">
            <w:pPr>
              <w:pStyle w:val="36"/>
              <w:widowControl/>
              <w:spacing w:beforeLines="0" w:afterLines="0" w:line="240" w:lineRule="auto"/>
              <w:rPr>
                <w:rFonts w:ascii="Times New Roman"/>
                <w:snapToGrid w:val="0"/>
                <w:kern w:val="21"/>
                <w:szCs w:val="21"/>
              </w:rPr>
            </w:pPr>
          </w:p>
        </w:tc>
        <w:tc>
          <w:tcPr>
            <w:tcW w:w="1587" w:type="dxa"/>
            <w:tcBorders>
              <w:top w:val="single" w:color="auto" w:sz="4" w:space="0"/>
              <w:left w:val="single" w:color="auto" w:sz="4" w:space="0"/>
              <w:bottom w:val="single" w:color="auto" w:sz="4" w:space="0"/>
              <w:right w:val="single" w:color="auto" w:sz="4" w:space="0"/>
            </w:tcBorders>
            <w:shd w:val="clear" w:color="auto" w:fill="auto"/>
            <w:vAlign w:val="center"/>
          </w:tcPr>
          <w:p w14:paraId="7B2264F3">
            <w:pPr>
              <w:jc w:val="center"/>
              <w:rPr>
                <w:szCs w:val="21"/>
              </w:rPr>
            </w:pPr>
            <w:r>
              <w:rPr>
                <w:szCs w:val="21"/>
              </w:rPr>
              <w:t>废</w:t>
            </w:r>
            <w:r>
              <w:rPr>
                <w:rFonts w:hint="eastAsia"/>
                <w:szCs w:val="21"/>
                <w:lang w:val="en-US" w:eastAsia="zh-CN"/>
              </w:rPr>
              <w:t>矿物</w:t>
            </w:r>
            <w:r>
              <w:rPr>
                <w:szCs w:val="21"/>
              </w:rPr>
              <w:t>油</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30F32D5C">
            <w:pPr>
              <w:pStyle w:val="36"/>
              <w:widowControl/>
              <w:spacing w:beforeLines="0" w:afterLines="0" w:line="240" w:lineRule="auto"/>
              <w:rPr>
                <w:rFonts w:ascii="Times New Roman"/>
                <w:snapToGrid w:val="0"/>
                <w:kern w:val="21"/>
                <w:szCs w:val="21"/>
              </w:rPr>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173372F4">
            <w:pPr>
              <w:pStyle w:val="36"/>
              <w:widowControl/>
              <w:spacing w:beforeLines="0" w:afterLines="0" w:line="240" w:lineRule="auto"/>
              <w:rPr>
                <w:rFonts w:ascii="Times New Roman"/>
                <w:snapToGrid w:val="0"/>
                <w:kern w:val="21"/>
                <w:szCs w:val="21"/>
              </w:rPr>
            </w:pP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3597AA2A">
            <w:pPr>
              <w:pStyle w:val="36"/>
              <w:widowControl/>
              <w:spacing w:beforeLines="0" w:afterLines="0" w:line="240" w:lineRule="auto"/>
              <w:rPr>
                <w:rFonts w:ascii="Times New Roman"/>
                <w:snapToGrid w:val="0"/>
                <w:kern w:val="21"/>
                <w:szCs w:val="21"/>
              </w:rPr>
            </w:pPr>
          </w:p>
        </w:tc>
        <w:tc>
          <w:tcPr>
            <w:tcW w:w="1559" w:type="dxa"/>
            <w:tcBorders>
              <w:top w:val="single" w:color="auto" w:sz="4" w:space="0"/>
              <w:left w:val="single" w:color="auto" w:sz="4" w:space="0"/>
              <w:bottom w:val="single" w:color="auto" w:sz="4" w:space="0"/>
              <w:right w:val="single" w:color="auto" w:sz="4" w:space="0"/>
            </w:tcBorders>
            <w:shd w:val="clear" w:color="auto" w:fill="auto"/>
            <w:vAlign w:val="center"/>
          </w:tcPr>
          <w:p w14:paraId="75998CAB">
            <w:pPr>
              <w:jc w:val="center"/>
              <w:rPr>
                <w:rFonts w:hint="default" w:eastAsia="宋体"/>
                <w:snapToGrid w:val="0"/>
                <w:kern w:val="21"/>
                <w:szCs w:val="21"/>
                <w:lang w:val="en-US" w:eastAsia="zh-CN"/>
              </w:rPr>
            </w:pPr>
            <w:r>
              <w:rPr>
                <w:rFonts w:hint="eastAsia"/>
                <w:snapToGrid w:val="0"/>
                <w:kern w:val="21"/>
                <w:szCs w:val="21"/>
                <w:lang w:val="en-US" w:eastAsia="zh-CN"/>
              </w:rPr>
              <w:t>0.05</w:t>
            </w:r>
          </w:p>
        </w:tc>
        <w:tc>
          <w:tcPr>
            <w:tcW w:w="1382" w:type="dxa"/>
            <w:tcBorders>
              <w:top w:val="single" w:color="auto" w:sz="4" w:space="0"/>
              <w:left w:val="single" w:color="auto" w:sz="4" w:space="0"/>
              <w:bottom w:val="single" w:color="auto" w:sz="4" w:space="0"/>
              <w:right w:val="single" w:color="auto" w:sz="4" w:space="0"/>
            </w:tcBorders>
            <w:shd w:val="clear" w:color="auto" w:fill="auto"/>
            <w:vAlign w:val="center"/>
          </w:tcPr>
          <w:p w14:paraId="20B20444">
            <w:pPr>
              <w:pStyle w:val="36"/>
              <w:widowControl/>
              <w:spacing w:beforeLines="0" w:afterLines="0" w:line="240" w:lineRule="auto"/>
              <w:rPr>
                <w:rFonts w:ascii="Times New Roman"/>
                <w:snapToGrid w:val="0"/>
                <w:kern w:val="21"/>
                <w:szCs w:val="21"/>
              </w:rPr>
            </w:pPr>
          </w:p>
        </w:tc>
        <w:tc>
          <w:tcPr>
            <w:tcW w:w="1689" w:type="dxa"/>
            <w:tcBorders>
              <w:top w:val="single" w:color="auto" w:sz="4" w:space="0"/>
              <w:left w:val="single" w:color="auto" w:sz="4" w:space="0"/>
              <w:bottom w:val="single" w:color="auto" w:sz="4" w:space="0"/>
              <w:right w:val="single" w:color="auto" w:sz="4" w:space="0"/>
            </w:tcBorders>
            <w:shd w:val="clear" w:color="auto" w:fill="auto"/>
            <w:vAlign w:val="center"/>
          </w:tcPr>
          <w:p w14:paraId="10250D7E">
            <w:pPr>
              <w:jc w:val="center"/>
              <w:rPr>
                <w:rFonts w:hint="eastAsia" w:ascii="Times New Roman" w:hAnsi="Times New Roman" w:eastAsia="宋体" w:cs="Times New Roman"/>
                <w:snapToGrid w:val="0"/>
                <w:kern w:val="21"/>
                <w:sz w:val="21"/>
                <w:szCs w:val="21"/>
                <w:lang w:val="en-US" w:eastAsia="zh-CN" w:bidi="ar-SA"/>
              </w:rPr>
            </w:pPr>
            <w:r>
              <w:rPr>
                <w:rFonts w:hint="eastAsia"/>
                <w:snapToGrid w:val="0"/>
                <w:kern w:val="21"/>
                <w:szCs w:val="21"/>
                <w:lang w:val="en-US" w:eastAsia="zh-CN"/>
              </w:rPr>
              <w:t>0.05</w:t>
            </w:r>
          </w:p>
        </w:tc>
        <w:tc>
          <w:tcPr>
            <w:tcW w:w="1475" w:type="dxa"/>
            <w:tcBorders>
              <w:top w:val="single" w:color="auto" w:sz="4" w:space="0"/>
              <w:left w:val="single" w:color="auto" w:sz="4" w:space="0"/>
              <w:bottom w:val="single" w:color="auto" w:sz="4" w:space="0"/>
              <w:right w:val="single" w:color="auto" w:sz="8" w:space="0"/>
            </w:tcBorders>
            <w:shd w:val="clear" w:color="auto" w:fill="auto"/>
            <w:vAlign w:val="center"/>
          </w:tcPr>
          <w:p w14:paraId="43613697">
            <w:pPr>
              <w:jc w:val="center"/>
              <w:rPr>
                <w:snapToGrid w:val="0"/>
                <w:kern w:val="21"/>
                <w:szCs w:val="21"/>
              </w:rPr>
            </w:pPr>
          </w:p>
        </w:tc>
      </w:tr>
      <w:tr w14:paraId="1EBCEB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418" w:type="dxa"/>
            <w:vMerge w:val="continue"/>
            <w:tcBorders>
              <w:top w:val="single" w:color="auto" w:sz="4" w:space="0"/>
              <w:left w:val="single" w:color="auto" w:sz="8" w:space="0"/>
              <w:bottom w:val="single" w:color="auto" w:sz="8" w:space="0"/>
              <w:right w:val="single" w:color="auto" w:sz="4" w:space="0"/>
            </w:tcBorders>
            <w:shd w:val="clear" w:color="auto" w:fill="auto"/>
            <w:vAlign w:val="center"/>
          </w:tcPr>
          <w:p w14:paraId="611882A4">
            <w:pPr>
              <w:pStyle w:val="36"/>
              <w:widowControl/>
              <w:spacing w:beforeLines="0" w:afterLines="0" w:line="240" w:lineRule="auto"/>
              <w:rPr>
                <w:rFonts w:ascii="Times New Roman"/>
                <w:snapToGrid w:val="0"/>
                <w:kern w:val="21"/>
                <w:szCs w:val="21"/>
              </w:rPr>
            </w:pPr>
          </w:p>
        </w:tc>
        <w:tc>
          <w:tcPr>
            <w:tcW w:w="1587" w:type="dxa"/>
            <w:tcBorders>
              <w:top w:val="single" w:color="auto" w:sz="4" w:space="0"/>
              <w:left w:val="single" w:color="auto" w:sz="4" w:space="0"/>
              <w:bottom w:val="single" w:color="auto" w:sz="4" w:space="0"/>
              <w:right w:val="single" w:color="auto" w:sz="4" w:space="0"/>
            </w:tcBorders>
            <w:shd w:val="clear" w:color="auto" w:fill="auto"/>
            <w:vAlign w:val="center"/>
          </w:tcPr>
          <w:p w14:paraId="415BD0FB">
            <w:pPr>
              <w:jc w:val="center"/>
              <w:rPr>
                <w:szCs w:val="21"/>
              </w:rPr>
            </w:pPr>
            <w:r>
              <w:rPr>
                <w:szCs w:val="21"/>
              </w:rPr>
              <w:t>废</w:t>
            </w:r>
            <w:r>
              <w:rPr>
                <w:rFonts w:hint="eastAsia"/>
                <w:szCs w:val="21"/>
                <w:lang w:val="en-US" w:eastAsia="zh-CN"/>
              </w:rPr>
              <w:t>矿物</w:t>
            </w:r>
            <w:r>
              <w:rPr>
                <w:szCs w:val="21"/>
              </w:rPr>
              <w:t>油桶</w:t>
            </w: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7A6CFF4D">
            <w:pPr>
              <w:pStyle w:val="36"/>
              <w:widowControl/>
              <w:spacing w:beforeLines="0" w:afterLines="0" w:line="240" w:lineRule="auto"/>
              <w:rPr>
                <w:rFonts w:ascii="Times New Roman"/>
                <w:snapToGrid w:val="0"/>
                <w:kern w:val="21"/>
                <w:szCs w:val="21"/>
              </w:rPr>
            </w:pPr>
          </w:p>
        </w:tc>
        <w:tc>
          <w:tcPr>
            <w:tcW w:w="1276" w:type="dxa"/>
            <w:tcBorders>
              <w:top w:val="single" w:color="auto" w:sz="4" w:space="0"/>
              <w:left w:val="single" w:color="auto" w:sz="4" w:space="0"/>
              <w:bottom w:val="single" w:color="auto" w:sz="4" w:space="0"/>
              <w:right w:val="single" w:color="auto" w:sz="4" w:space="0"/>
            </w:tcBorders>
            <w:shd w:val="clear" w:color="auto" w:fill="auto"/>
            <w:vAlign w:val="center"/>
          </w:tcPr>
          <w:p w14:paraId="428B302C">
            <w:pPr>
              <w:pStyle w:val="36"/>
              <w:widowControl/>
              <w:spacing w:beforeLines="0" w:afterLines="0" w:line="240" w:lineRule="auto"/>
              <w:rPr>
                <w:rFonts w:ascii="Times New Roman"/>
                <w:snapToGrid w:val="0"/>
                <w:kern w:val="21"/>
                <w:szCs w:val="21"/>
              </w:rPr>
            </w:pPr>
          </w:p>
        </w:tc>
        <w:tc>
          <w:tcPr>
            <w:tcW w:w="1702" w:type="dxa"/>
            <w:tcBorders>
              <w:top w:val="single" w:color="auto" w:sz="4" w:space="0"/>
              <w:left w:val="single" w:color="auto" w:sz="4" w:space="0"/>
              <w:bottom w:val="single" w:color="auto" w:sz="4" w:space="0"/>
              <w:right w:val="single" w:color="auto" w:sz="4" w:space="0"/>
            </w:tcBorders>
            <w:shd w:val="clear" w:color="auto" w:fill="auto"/>
            <w:vAlign w:val="center"/>
          </w:tcPr>
          <w:p w14:paraId="70C3E3EB">
            <w:pPr>
              <w:pStyle w:val="36"/>
              <w:widowControl/>
              <w:spacing w:beforeLines="0" w:afterLines="0" w:line="240" w:lineRule="auto"/>
              <w:rPr>
                <w:rFonts w:ascii="Times New Roman"/>
                <w:snapToGrid w:val="0"/>
                <w:kern w:val="21"/>
                <w:szCs w:val="21"/>
              </w:rPr>
            </w:pPr>
          </w:p>
        </w:tc>
        <w:tc>
          <w:tcPr>
            <w:tcW w:w="1559" w:type="dxa"/>
            <w:tcBorders>
              <w:top w:val="single" w:color="auto" w:sz="4" w:space="0"/>
              <w:left w:val="single" w:color="auto" w:sz="4" w:space="0"/>
              <w:bottom w:val="single" w:color="auto" w:sz="4" w:space="0"/>
              <w:right w:val="single" w:color="auto" w:sz="4" w:space="0"/>
            </w:tcBorders>
            <w:shd w:val="clear" w:color="auto" w:fill="auto"/>
            <w:vAlign w:val="center"/>
          </w:tcPr>
          <w:p w14:paraId="260BA9B4">
            <w:pPr>
              <w:jc w:val="center"/>
              <w:rPr>
                <w:rFonts w:hint="default" w:eastAsia="宋体"/>
                <w:snapToGrid w:val="0"/>
                <w:kern w:val="21"/>
                <w:szCs w:val="21"/>
                <w:lang w:val="en-US" w:eastAsia="zh-CN"/>
              </w:rPr>
            </w:pPr>
            <w:r>
              <w:rPr>
                <w:rFonts w:hint="eastAsia"/>
                <w:snapToGrid w:val="0"/>
                <w:kern w:val="21"/>
                <w:szCs w:val="21"/>
                <w:lang w:val="en-US" w:eastAsia="zh-CN"/>
              </w:rPr>
              <w:t>0.01</w:t>
            </w:r>
          </w:p>
        </w:tc>
        <w:tc>
          <w:tcPr>
            <w:tcW w:w="1382" w:type="dxa"/>
            <w:tcBorders>
              <w:top w:val="single" w:color="auto" w:sz="4" w:space="0"/>
              <w:left w:val="single" w:color="auto" w:sz="4" w:space="0"/>
              <w:bottom w:val="single" w:color="auto" w:sz="4" w:space="0"/>
              <w:right w:val="single" w:color="auto" w:sz="4" w:space="0"/>
            </w:tcBorders>
            <w:shd w:val="clear" w:color="auto" w:fill="auto"/>
            <w:vAlign w:val="center"/>
          </w:tcPr>
          <w:p w14:paraId="287A37A2">
            <w:pPr>
              <w:pStyle w:val="36"/>
              <w:widowControl/>
              <w:spacing w:beforeLines="0" w:afterLines="0" w:line="240" w:lineRule="auto"/>
              <w:rPr>
                <w:rFonts w:ascii="Times New Roman"/>
                <w:snapToGrid w:val="0"/>
                <w:kern w:val="21"/>
                <w:szCs w:val="21"/>
              </w:rPr>
            </w:pPr>
          </w:p>
        </w:tc>
        <w:tc>
          <w:tcPr>
            <w:tcW w:w="1689" w:type="dxa"/>
            <w:tcBorders>
              <w:top w:val="single" w:color="auto" w:sz="4" w:space="0"/>
              <w:left w:val="single" w:color="auto" w:sz="4" w:space="0"/>
              <w:bottom w:val="single" w:color="auto" w:sz="4" w:space="0"/>
              <w:right w:val="single" w:color="auto" w:sz="4" w:space="0"/>
            </w:tcBorders>
            <w:shd w:val="clear" w:color="auto" w:fill="auto"/>
            <w:vAlign w:val="center"/>
          </w:tcPr>
          <w:p w14:paraId="73B50223">
            <w:pPr>
              <w:jc w:val="center"/>
              <w:rPr>
                <w:rFonts w:hint="default" w:ascii="Times New Roman" w:hAnsi="Times New Roman" w:eastAsia="宋体" w:cs="Times New Roman"/>
                <w:snapToGrid w:val="0"/>
                <w:kern w:val="21"/>
                <w:sz w:val="21"/>
                <w:szCs w:val="21"/>
                <w:lang w:val="en-US" w:eastAsia="zh-CN" w:bidi="ar-SA"/>
              </w:rPr>
            </w:pPr>
            <w:r>
              <w:rPr>
                <w:rFonts w:hint="eastAsia"/>
                <w:snapToGrid w:val="0"/>
                <w:kern w:val="21"/>
                <w:szCs w:val="21"/>
                <w:lang w:val="en-US" w:eastAsia="zh-CN"/>
              </w:rPr>
              <w:t>0.01</w:t>
            </w:r>
          </w:p>
        </w:tc>
        <w:tc>
          <w:tcPr>
            <w:tcW w:w="1475" w:type="dxa"/>
            <w:tcBorders>
              <w:top w:val="single" w:color="auto" w:sz="4" w:space="0"/>
              <w:left w:val="single" w:color="auto" w:sz="4" w:space="0"/>
              <w:bottom w:val="single" w:color="auto" w:sz="4" w:space="0"/>
              <w:right w:val="single" w:color="auto" w:sz="8" w:space="0"/>
            </w:tcBorders>
            <w:shd w:val="clear" w:color="auto" w:fill="auto"/>
            <w:vAlign w:val="center"/>
          </w:tcPr>
          <w:p w14:paraId="021FF314">
            <w:pPr>
              <w:jc w:val="center"/>
              <w:rPr>
                <w:snapToGrid w:val="0"/>
                <w:kern w:val="21"/>
                <w:szCs w:val="21"/>
              </w:rPr>
            </w:pPr>
          </w:p>
        </w:tc>
      </w:tr>
      <w:tr w14:paraId="5556BE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418" w:type="dxa"/>
            <w:vMerge w:val="continue"/>
            <w:tcBorders>
              <w:top w:val="single" w:color="auto" w:sz="4" w:space="0"/>
              <w:left w:val="single" w:color="auto" w:sz="8" w:space="0"/>
              <w:bottom w:val="single" w:color="auto" w:sz="8" w:space="0"/>
              <w:right w:val="single" w:color="auto" w:sz="4" w:space="0"/>
            </w:tcBorders>
            <w:shd w:val="clear" w:color="auto" w:fill="auto"/>
            <w:vAlign w:val="center"/>
          </w:tcPr>
          <w:p w14:paraId="03EDC72B">
            <w:pPr>
              <w:jc w:val="center"/>
              <w:rPr>
                <w:szCs w:val="21"/>
              </w:rPr>
            </w:pPr>
          </w:p>
        </w:tc>
        <w:tc>
          <w:tcPr>
            <w:tcW w:w="1587" w:type="dxa"/>
            <w:tcBorders>
              <w:top w:val="single" w:color="auto" w:sz="4" w:space="0"/>
              <w:left w:val="single" w:color="auto" w:sz="4" w:space="0"/>
              <w:bottom w:val="single" w:color="auto" w:sz="8" w:space="0"/>
              <w:right w:val="single" w:color="auto" w:sz="4" w:space="0"/>
            </w:tcBorders>
            <w:shd w:val="clear" w:color="auto" w:fill="auto"/>
            <w:vAlign w:val="center"/>
          </w:tcPr>
          <w:p w14:paraId="53FE5D84">
            <w:pPr>
              <w:jc w:val="center"/>
              <w:rPr>
                <w:snapToGrid w:val="0"/>
                <w:kern w:val="21"/>
                <w:szCs w:val="21"/>
              </w:rPr>
            </w:pPr>
            <w:r>
              <w:rPr>
                <w:rFonts w:hint="eastAsia"/>
                <w:snapToGrid w:val="0"/>
                <w:kern w:val="21"/>
                <w:szCs w:val="21"/>
              </w:rPr>
              <w:t>废弃的含油抹布、劳保用品</w:t>
            </w:r>
          </w:p>
        </w:tc>
        <w:tc>
          <w:tcPr>
            <w:tcW w:w="1702" w:type="dxa"/>
            <w:tcBorders>
              <w:top w:val="single" w:color="auto" w:sz="4" w:space="0"/>
              <w:left w:val="single" w:color="auto" w:sz="4" w:space="0"/>
              <w:bottom w:val="single" w:color="auto" w:sz="8" w:space="0"/>
              <w:right w:val="single" w:color="auto" w:sz="4" w:space="0"/>
            </w:tcBorders>
            <w:shd w:val="clear" w:color="auto" w:fill="auto"/>
            <w:vAlign w:val="center"/>
          </w:tcPr>
          <w:p w14:paraId="605660D3">
            <w:pPr>
              <w:pStyle w:val="36"/>
              <w:widowControl/>
              <w:spacing w:beforeLines="0" w:afterLines="0" w:line="240" w:lineRule="auto"/>
              <w:rPr>
                <w:rFonts w:ascii="Times New Roman"/>
                <w:snapToGrid w:val="0"/>
                <w:kern w:val="21"/>
                <w:szCs w:val="21"/>
              </w:rPr>
            </w:pPr>
          </w:p>
        </w:tc>
        <w:tc>
          <w:tcPr>
            <w:tcW w:w="1276" w:type="dxa"/>
            <w:tcBorders>
              <w:top w:val="single" w:color="auto" w:sz="4" w:space="0"/>
              <w:left w:val="single" w:color="auto" w:sz="4" w:space="0"/>
              <w:bottom w:val="single" w:color="auto" w:sz="8" w:space="0"/>
              <w:right w:val="single" w:color="auto" w:sz="4" w:space="0"/>
            </w:tcBorders>
            <w:shd w:val="clear" w:color="auto" w:fill="auto"/>
            <w:vAlign w:val="center"/>
          </w:tcPr>
          <w:p w14:paraId="6CCD709E">
            <w:pPr>
              <w:pStyle w:val="36"/>
              <w:widowControl/>
              <w:spacing w:beforeLines="0" w:afterLines="0" w:line="240" w:lineRule="auto"/>
              <w:rPr>
                <w:rFonts w:ascii="Times New Roman"/>
                <w:snapToGrid w:val="0"/>
                <w:kern w:val="21"/>
                <w:szCs w:val="21"/>
              </w:rPr>
            </w:pPr>
          </w:p>
        </w:tc>
        <w:tc>
          <w:tcPr>
            <w:tcW w:w="1702" w:type="dxa"/>
            <w:tcBorders>
              <w:top w:val="single" w:color="auto" w:sz="4" w:space="0"/>
              <w:left w:val="single" w:color="auto" w:sz="4" w:space="0"/>
              <w:bottom w:val="single" w:color="auto" w:sz="8" w:space="0"/>
              <w:right w:val="single" w:color="auto" w:sz="4" w:space="0"/>
            </w:tcBorders>
            <w:shd w:val="clear" w:color="auto" w:fill="auto"/>
            <w:vAlign w:val="center"/>
          </w:tcPr>
          <w:p w14:paraId="206641CE">
            <w:pPr>
              <w:pStyle w:val="36"/>
              <w:widowControl/>
              <w:spacing w:beforeLines="0" w:afterLines="0" w:line="240" w:lineRule="auto"/>
              <w:rPr>
                <w:rFonts w:ascii="Times New Roman"/>
                <w:snapToGrid w:val="0"/>
                <w:kern w:val="21"/>
                <w:szCs w:val="21"/>
              </w:rPr>
            </w:pPr>
          </w:p>
        </w:tc>
        <w:tc>
          <w:tcPr>
            <w:tcW w:w="1559" w:type="dxa"/>
            <w:tcBorders>
              <w:top w:val="single" w:color="auto" w:sz="4" w:space="0"/>
              <w:left w:val="single" w:color="auto" w:sz="4" w:space="0"/>
              <w:bottom w:val="single" w:color="auto" w:sz="8" w:space="0"/>
              <w:right w:val="single" w:color="auto" w:sz="4" w:space="0"/>
            </w:tcBorders>
            <w:shd w:val="clear" w:color="auto" w:fill="auto"/>
            <w:vAlign w:val="center"/>
          </w:tcPr>
          <w:p w14:paraId="0DF73E9A">
            <w:pPr>
              <w:jc w:val="center"/>
              <w:rPr>
                <w:rFonts w:hint="default" w:eastAsia="宋体"/>
                <w:snapToGrid w:val="0"/>
                <w:kern w:val="21"/>
                <w:szCs w:val="21"/>
                <w:lang w:val="en-US" w:eastAsia="zh-CN"/>
              </w:rPr>
            </w:pPr>
            <w:r>
              <w:rPr>
                <w:rFonts w:hint="eastAsia"/>
                <w:snapToGrid w:val="0"/>
                <w:kern w:val="21"/>
                <w:szCs w:val="21"/>
                <w:lang w:val="en-US" w:eastAsia="zh-CN"/>
              </w:rPr>
              <w:t>0.01</w:t>
            </w:r>
          </w:p>
        </w:tc>
        <w:tc>
          <w:tcPr>
            <w:tcW w:w="1382" w:type="dxa"/>
            <w:tcBorders>
              <w:top w:val="single" w:color="auto" w:sz="4" w:space="0"/>
              <w:left w:val="single" w:color="auto" w:sz="4" w:space="0"/>
              <w:bottom w:val="single" w:color="auto" w:sz="8" w:space="0"/>
              <w:right w:val="single" w:color="auto" w:sz="4" w:space="0"/>
            </w:tcBorders>
            <w:shd w:val="clear" w:color="auto" w:fill="auto"/>
            <w:vAlign w:val="center"/>
          </w:tcPr>
          <w:p w14:paraId="6129475A">
            <w:pPr>
              <w:pStyle w:val="36"/>
              <w:widowControl/>
              <w:spacing w:beforeLines="0" w:afterLines="0" w:line="240" w:lineRule="auto"/>
              <w:rPr>
                <w:rFonts w:ascii="Times New Roman"/>
                <w:snapToGrid w:val="0"/>
                <w:kern w:val="21"/>
                <w:szCs w:val="21"/>
              </w:rPr>
            </w:pPr>
          </w:p>
        </w:tc>
        <w:tc>
          <w:tcPr>
            <w:tcW w:w="1689" w:type="dxa"/>
            <w:tcBorders>
              <w:top w:val="single" w:color="auto" w:sz="4" w:space="0"/>
              <w:left w:val="single" w:color="auto" w:sz="4" w:space="0"/>
              <w:bottom w:val="single" w:color="auto" w:sz="8" w:space="0"/>
              <w:right w:val="single" w:color="auto" w:sz="4" w:space="0"/>
            </w:tcBorders>
            <w:shd w:val="clear" w:color="auto" w:fill="auto"/>
            <w:vAlign w:val="center"/>
          </w:tcPr>
          <w:p w14:paraId="07A32463">
            <w:pPr>
              <w:jc w:val="center"/>
              <w:rPr>
                <w:rFonts w:hint="default" w:ascii="Times New Roman" w:hAnsi="Times New Roman" w:eastAsia="宋体" w:cs="Times New Roman"/>
                <w:snapToGrid w:val="0"/>
                <w:kern w:val="21"/>
                <w:sz w:val="21"/>
                <w:szCs w:val="21"/>
                <w:lang w:val="en-US" w:eastAsia="zh-CN" w:bidi="ar-SA"/>
              </w:rPr>
            </w:pPr>
            <w:r>
              <w:rPr>
                <w:rFonts w:hint="eastAsia"/>
                <w:snapToGrid w:val="0"/>
                <w:kern w:val="21"/>
                <w:szCs w:val="21"/>
                <w:lang w:val="en-US" w:eastAsia="zh-CN"/>
              </w:rPr>
              <w:t>0.01</w:t>
            </w:r>
          </w:p>
        </w:tc>
        <w:tc>
          <w:tcPr>
            <w:tcW w:w="1475" w:type="dxa"/>
            <w:tcBorders>
              <w:top w:val="single" w:color="auto" w:sz="4" w:space="0"/>
              <w:left w:val="single" w:color="auto" w:sz="4" w:space="0"/>
              <w:bottom w:val="single" w:color="auto" w:sz="8" w:space="0"/>
              <w:right w:val="single" w:color="auto" w:sz="8" w:space="0"/>
            </w:tcBorders>
            <w:shd w:val="clear" w:color="auto" w:fill="auto"/>
            <w:vAlign w:val="center"/>
          </w:tcPr>
          <w:p w14:paraId="18B79188">
            <w:pPr>
              <w:jc w:val="center"/>
              <w:rPr>
                <w:snapToGrid w:val="0"/>
                <w:kern w:val="21"/>
                <w:szCs w:val="21"/>
              </w:rPr>
            </w:pPr>
          </w:p>
        </w:tc>
      </w:tr>
    </w:tbl>
    <w:p w14:paraId="18F3B093">
      <w:pPr>
        <w:pStyle w:val="36"/>
        <w:spacing w:before="192" w:beforeLines="80" w:after="24"/>
        <w:jc w:val="left"/>
        <w:rPr>
          <w:rFonts w:hAnsi="宋体"/>
          <w:snapToGrid w:val="0"/>
          <w:color w:val="000000"/>
          <w:spacing w:val="-6"/>
          <w:kern w:val="21"/>
          <w:szCs w:val="21"/>
        </w:rPr>
      </w:pPr>
      <w:r>
        <w:rPr>
          <w:rFonts w:hAnsi="宋体"/>
          <w:snapToGrid w:val="0"/>
          <w:color w:val="000000"/>
          <w:kern w:val="21"/>
          <w:szCs w:val="21"/>
        </w:rPr>
        <w:t>注：</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6 \* GB3 \* MERGEFORMAT </w:instrText>
      </w:r>
      <w:r>
        <w:rPr>
          <w:rFonts w:hAnsi="宋体"/>
          <w:snapToGrid w:val="0"/>
          <w:color w:val="000000"/>
          <w:spacing w:val="-16"/>
          <w:kern w:val="21"/>
          <w:szCs w:val="21"/>
        </w:rPr>
        <w:fldChar w:fldCharType="separate"/>
      </w:r>
      <w:r>
        <w:rPr>
          <w:rFonts w:hint="eastAsia" w:hAnsi="宋体"/>
          <w:szCs w:val="21"/>
        </w:rPr>
        <w:t>⑥</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1 \* GB3 \* MERGEFORMAT </w:instrText>
      </w:r>
      <w:r>
        <w:rPr>
          <w:rFonts w:hAnsi="宋体"/>
          <w:snapToGrid w:val="0"/>
          <w:color w:val="000000"/>
          <w:spacing w:val="-6"/>
          <w:kern w:val="21"/>
          <w:szCs w:val="21"/>
        </w:rPr>
        <w:fldChar w:fldCharType="separate"/>
      </w:r>
      <w:r>
        <w:rPr>
          <w:rFonts w:hint="eastAsia" w:hAnsi="宋体"/>
          <w:szCs w:val="21"/>
        </w:rPr>
        <w:t>①</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3 \* GB3 \* MERGEFORMAT </w:instrText>
      </w:r>
      <w:r>
        <w:rPr>
          <w:rFonts w:hAnsi="宋体"/>
          <w:snapToGrid w:val="0"/>
          <w:color w:val="000000"/>
          <w:spacing w:val="-6"/>
          <w:kern w:val="21"/>
          <w:szCs w:val="21"/>
        </w:rPr>
        <w:fldChar w:fldCharType="separate"/>
      </w:r>
      <w:r>
        <w:rPr>
          <w:rFonts w:hint="eastAsia" w:hAnsi="宋体"/>
          <w:szCs w:val="21"/>
        </w:rPr>
        <w:t>③</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4 \* GB3 \* MERGEFORMAT </w:instrText>
      </w:r>
      <w:r>
        <w:rPr>
          <w:rFonts w:hAnsi="宋体"/>
          <w:snapToGrid w:val="0"/>
          <w:color w:val="000000"/>
          <w:spacing w:val="-6"/>
          <w:kern w:val="21"/>
          <w:szCs w:val="21"/>
        </w:rPr>
        <w:fldChar w:fldCharType="separate"/>
      </w:r>
      <w:r>
        <w:rPr>
          <w:rFonts w:hint="eastAsia" w:hAnsi="宋体"/>
          <w:szCs w:val="21"/>
        </w:rPr>
        <w:t>④</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5 \* GB3 \* MERGEFORMAT </w:instrText>
      </w:r>
      <w:r>
        <w:rPr>
          <w:rFonts w:hAnsi="宋体"/>
          <w:snapToGrid w:val="0"/>
          <w:color w:val="000000"/>
          <w:spacing w:val="-16"/>
          <w:kern w:val="21"/>
          <w:szCs w:val="21"/>
        </w:rPr>
        <w:fldChar w:fldCharType="separate"/>
      </w:r>
      <w:r>
        <w:rPr>
          <w:rFonts w:hint="eastAsia" w:hAnsi="宋体"/>
          <w:szCs w:val="21"/>
        </w:rPr>
        <w:t>⑤</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7 \* GB3 \* MERGEFORMAT </w:instrText>
      </w:r>
      <w:r>
        <w:rPr>
          <w:rFonts w:hAnsi="宋体"/>
          <w:snapToGrid w:val="0"/>
          <w:color w:val="000000"/>
          <w:spacing w:val="-6"/>
          <w:kern w:val="21"/>
          <w:szCs w:val="21"/>
        </w:rPr>
        <w:fldChar w:fldCharType="separate"/>
      </w:r>
      <w:r>
        <w:rPr>
          <w:rFonts w:hint="eastAsia" w:hAnsi="宋体"/>
          <w:szCs w:val="21"/>
        </w:rPr>
        <w:t>⑦</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6 \* GB3 \* MERGEFORMAT </w:instrText>
      </w:r>
      <w:r>
        <w:rPr>
          <w:rFonts w:hAnsi="宋体"/>
          <w:snapToGrid w:val="0"/>
          <w:color w:val="000000"/>
          <w:spacing w:val="-16"/>
          <w:kern w:val="21"/>
          <w:szCs w:val="21"/>
        </w:rPr>
        <w:fldChar w:fldCharType="separate"/>
      </w:r>
      <w:r>
        <w:rPr>
          <w:rFonts w:hint="eastAsia" w:hAnsi="宋体"/>
          <w:szCs w:val="21"/>
        </w:rPr>
        <w:t>⑥</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1 \* GB3 \* MERGEFORMAT </w:instrText>
      </w:r>
      <w:r>
        <w:rPr>
          <w:rFonts w:hAnsi="宋体"/>
          <w:snapToGrid w:val="0"/>
          <w:color w:val="000000"/>
          <w:spacing w:val="-6"/>
          <w:kern w:val="21"/>
          <w:szCs w:val="21"/>
        </w:rPr>
        <w:fldChar w:fldCharType="separate"/>
      </w:r>
      <w:r>
        <w:rPr>
          <w:rFonts w:hint="eastAsia" w:hAnsi="宋体"/>
          <w:szCs w:val="21"/>
        </w:rPr>
        <w:t>①</w:t>
      </w:r>
      <w:r>
        <w:rPr>
          <w:rFonts w:hAnsi="宋体"/>
          <w:snapToGrid w:val="0"/>
          <w:color w:val="000000"/>
          <w:spacing w:val="-6"/>
          <w:kern w:val="21"/>
          <w:szCs w:val="21"/>
        </w:rPr>
        <w:fldChar w:fldCharType="end"/>
      </w:r>
    </w:p>
    <w:p w14:paraId="0E64587E">
      <w:pPr>
        <w:rPr>
          <w:highlight w:val="green"/>
        </w:rPr>
      </w:pPr>
    </w:p>
    <w:p w14:paraId="22845419">
      <w:r>
        <w:rPr>
          <w:highlight w:val="green"/>
        </w:rPr>
        <w:br w:type="page"/>
      </w:r>
    </w:p>
    <w:p w14:paraId="0AFF39AC">
      <w:pPr>
        <w:pStyle w:val="2"/>
      </w:pPr>
      <w:r>
        <w:drawing>
          <wp:inline distT="0" distB="0" distL="114300" distR="114300">
            <wp:extent cx="7546975" cy="5212080"/>
            <wp:effectExtent l="0" t="0" r="15875" b="7620"/>
            <wp:docPr id="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pic:cNvPicPr>
                      <a:picLocks noChangeAspect="1"/>
                    </pic:cNvPicPr>
                  </pic:nvPicPr>
                  <pic:blipFill>
                    <a:blip r:embed="rId27"/>
                    <a:stretch>
                      <a:fillRect/>
                    </a:stretch>
                  </pic:blipFill>
                  <pic:spPr>
                    <a:xfrm>
                      <a:off x="0" y="0"/>
                      <a:ext cx="7546975" cy="5212080"/>
                    </a:xfrm>
                    <a:prstGeom prst="rect">
                      <a:avLst/>
                    </a:prstGeom>
                    <a:noFill/>
                    <a:ln>
                      <a:noFill/>
                    </a:ln>
                  </pic:spPr>
                </pic:pic>
              </a:graphicData>
            </a:graphic>
          </wp:inline>
        </w:drawing>
      </w:r>
    </w:p>
    <w:p w14:paraId="6E8FFC06">
      <w:pPr>
        <w:pStyle w:val="2"/>
        <w:jc w:val="center"/>
        <w:rPr>
          <w:rFonts w:hint="eastAsia" w:ascii="Times New Roman" w:hAnsi="Times New Roman" w:eastAsia="宋体" w:cs="Times New Roman"/>
          <w:b/>
          <w:bCs/>
          <w:w w:val="100"/>
          <w:highlight w:val="green"/>
          <w:lang w:val="en-US" w:eastAsia="zh-CN"/>
        </w:rPr>
      </w:pPr>
      <w:r>
        <w:rPr>
          <w:rFonts w:hint="default" w:ascii="Times New Roman" w:hAnsi="Times New Roman" w:cs="Times New Roman"/>
          <w:b/>
          <w:bCs/>
          <w:color w:val="auto"/>
          <w:spacing w:val="3"/>
          <w:w w:val="100"/>
          <w:sz w:val="30"/>
        </w:rPr>
        <w:t>附图1建设项目地理位置</w:t>
      </w:r>
      <w:r>
        <w:rPr>
          <w:rFonts w:hint="eastAsia" w:ascii="Times New Roman" w:hAnsi="Times New Roman" w:cs="Times New Roman"/>
          <w:b/>
          <w:bCs/>
          <w:color w:val="auto"/>
          <w:spacing w:val="3"/>
          <w:w w:val="100"/>
          <w:sz w:val="30"/>
          <w:lang w:val="en-US" w:eastAsia="zh-CN"/>
        </w:rPr>
        <w:t>图</w:t>
      </w:r>
    </w:p>
    <w:p w14:paraId="1180821D">
      <w:pPr>
        <w:sectPr>
          <w:footerReference r:id="rId6" w:type="default"/>
          <w:pgSz w:w="16838" w:h="11906" w:orient="landscape"/>
          <w:pgMar w:top="1531" w:right="1701" w:bottom="1531" w:left="1701" w:header="851" w:footer="851" w:gutter="0"/>
          <w:cols w:space="720" w:num="1"/>
          <w:docGrid w:linePitch="312" w:charSpace="0"/>
        </w:sectPr>
      </w:pPr>
    </w:p>
    <w:p w14:paraId="154D7925">
      <w:pPr>
        <w:pStyle w:val="2"/>
        <w:ind w:left="420"/>
        <w:rPr>
          <w:rFonts w:hint="eastAsia" w:eastAsia="宋体"/>
          <w:lang w:eastAsia="zh-CN"/>
        </w:rPr>
      </w:pPr>
      <w:r>
        <w:drawing>
          <wp:inline distT="0" distB="0" distL="114300" distR="114300">
            <wp:extent cx="4380865" cy="5082540"/>
            <wp:effectExtent l="0" t="0" r="635" b="3810"/>
            <wp:docPr id="6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5"/>
                    <pic:cNvPicPr>
                      <a:picLocks noChangeAspect="1"/>
                    </pic:cNvPicPr>
                  </pic:nvPicPr>
                  <pic:blipFill>
                    <a:blip r:embed="rId28"/>
                    <a:stretch>
                      <a:fillRect/>
                    </a:stretch>
                  </pic:blipFill>
                  <pic:spPr>
                    <a:xfrm>
                      <a:off x="0" y="0"/>
                      <a:ext cx="4380865" cy="5082540"/>
                    </a:xfrm>
                    <a:prstGeom prst="rect">
                      <a:avLst/>
                    </a:prstGeom>
                    <a:noFill/>
                    <a:ln>
                      <a:noFill/>
                    </a:ln>
                  </pic:spPr>
                </pic:pic>
              </a:graphicData>
            </a:graphic>
          </wp:inline>
        </w:drawing>
      </w:r>
    </w:p>
    <w:p w14:paraId="5F179845">
      <w:pPr>
        <w:pStyle w:val="2"/>
        <w:jc w:val="center"/>
        <w:rPr>
          <w:rFonts w:hint="eastAsia" w:ascii="Times New Roman" w:hAnsi="Times New Roman" w:eastAsia="宋体" w:cs="Times New Roman"/>
          <w:b/>
          <w:bCs/>
          <w:w w:val="100"/>
          <w:highlight w:val="green"/>
          <w:lang w:val="en-US" w:eastAsia="zh-CN"/>
        </w:rPr>
      </w:pPr>
      <w:r>
        <w:rPr>
          <w:rFonts w:hint="default" w:ascii="Times New Roman" w:hAnsi="Times New Roman" w:cs="Times New Roman"/>
          <w:b/>
          <w:bCs/>
          <w:color w:val="auto"/>
          <w:spacing w:val="3"/>
          <w:w w:val="100"/>
          <w:sz w:val="30"/>
        </w:rPr>
        <w:t>附图</w:t>
      </w:r>
      <w:r>
        <w:rPr>
          <w:rFonts w:hint="eastAsia" w:cs="Times New Roman"/>
          <w:b/>
          <w:bCs/>
          <w:color w:val="auto"/>
          <w:spacing w:val="3"/>
          <w:w w:val="100"/>
          <w:sz w:val="30"/>
          <w:lang w:val="en-US" w:eastAsia="zh-CN"/>
        </w:rPr>
        <w:t>2平面布置</w:t>
      </w:r>
      <w:r>
        <w:rPr>
          <w:rFonts w:hint="eastAsia" w:ascii="Times New Roman" w:hAnsi="Times New Roman" w:cs="Times New Roman"/>
          <w:b/>
          <w:bCs/>
          <w:color w:val="auto"/>
          <w:spacing w:val="3"/>
          <w:w w:val="100"/>
          <w:sz w:val="30"/>
          <w:lang w:val="en-US" w:eastAsia="zh-CN"/>
        </w:rPr>
        <w:t>图</w:t>
      </w:r>
    </w:p>
    <w:p w14:paraId="63E80E7E">
      <w:pPr>
        <w:rPr>
          <w:rFonts w:hint="eastAsia" w:ascii="Times New Roman" w:hAnsi="Times New Roman" w:cs="Times New Roman"/>
          <w:b/>
          <w:bCs/>
          <w:color w:val="auto"/>
          <w:spacing w:val="3"/>
          <w:w w:val="100"/>
          <w:sz w:val="30"/>
          <w:lang w:val="en-US" w:eastAsia="zh-CN"/>
        </w:rPr>
        <w:sectPr>
          <w:pgSz w:w="16838" w:h="11906" w:orient="landscape"/>
          <w:pgMar w:top="1531" w:right="1701" w:bottom="1531" w:left="1701" w:header="851" w:footer="851" w:gutter="0"/>
          <w:cols w:space="720" w:num="1"/>
          <w:docGrid w:linePitch="312" w:charSpace="0"/>
        </w:sectPr>
      </w:pPr>
    </w:p>
    <w:p w14:paraId="3400EFFC">
      <w:pPr>
        <w:jc w:val="center"/>
        <w:rPr>
          <w:rFonts w:hint="eastAsia"/>
          <w:lang w:val="en-US" w:eastAsia="zh-CN"/>
        </w:rPr>
      </w:pPr>
      <w:r>
        <w:drawing>
          <wp:inline distT="0" distB="0" distL="114300" distR="114300">
            <wp:extent cx="3657600" cy="6334125"/>
            <wp:effectExtent l="0" t="0" r="0" b="9525"/>
            <wp:docPr id="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pic:cNvPicPr>
                      <a:picLocks noChangeAspect="1"/>
                    </pic:cNvPicPr>
                  </pic:nvPicPr>
                  <pic:blipFill>
                    <a:blip r:embed="rId29"/>
                    <a:stretch>
                      <a:fillRect/>
                    </a:stretch>
                  </pic:blipFill>
                  <pic:spPr>
                    <a:xfrm>
                      <a:off x="0" y="0"/>
                      <a:ext cx="3657600" cy="6334125"/>
                    </a:xfrm>
                    <a:prstGeom prst="rect">
                      <a:avLst/>
                    </a:prstGeom>
                    <a:noFill/>
                    <a:ln>
                      <a:noFill/>
                    </a:ln>
                  </pic:spPr>
                </pic:pic>
              </a:graphicData>
            </a:graphic>
          </wp:inline>
        </w:drawing>
      </w:r>
    </w:p>
    <w:p w14:paraId="2539BD76">
      <w:pPr>
        <w:pStyle w:val="18"/>
        <w:jc w:val="center"/>
        <w:rPr>
          <w:rFonts w:hint="eastAsia"/>
          <w:lang w:val="en-US" w:eastAsia="zh-CN"/>
        </w:rPr>
        <w:sectPr>
          <w:pgSz w:w="11906" w:h="16838"/>
          <w:pgMar w:top="1701" w:right="1531" w:bottom="1701" w:left="1531" w:header="851" w:footer="851" w:gutter="0"/>
          <w:cols w:space="720" w:num="1"/>
          <w:docGrid w:linePitch="312" w:charSpace="0"/>
        </w:sectPr>
      </w:pPr>
      <w:r>
        <w:rPr>
          <w:rFonts w:hint="default" w:ascii="Times New Roman" w:hAnsi="Times New Roman" w:cs="Times New Roman"/>
          <w:b/>
          <w:bCs/>
          <w:color w:val="auto"/>
          <w:spacing w:val="3"/>
          <w:w w:val="100"/>
          <w:sz w:val="30"/>
        </w:rPr>
        <w:t>附图</w:t>
      </w:r>
      <w:r>
        <w:rPr>
          <w:rFonts w:hint="eastAsia" w:cs="Times New Roman"/>
          <w:b/>
          <w:bCs/>
          <w:color w:val="auto"/>
          <w:spacing w:val="3"/>
          <w:w w:val="100"/>
          <w:sz w:val="30"/>
          <w:lang w:val="en-US" w:eastAsia="zh-CN"/>
        </w:rPr>
        <w:t>3库房平面布置图</w:t>
      </w:r>
    </w:p>
    <w:p w14:paraId="02114FB5">
      <w:pPr>
        <w:pStyle w:val="2"/>
        <w:ind w:left="420"/>
        <w:rPr>
          <w:rFonts w:hint="eastAsia" w:eastAsia="宋体"/>
          <w:lang w:eastAsia="zh-CN"/>
        </w:rPr>
      </w:pPr>
      <w:r>
        <w:rPr>
          <w:rFonts w:hint="eastAsia" w:eastAsia="宋体"/>
          <w:lang w:eastAsia="zh-CN"/>
        </w:rPr>
        <w:drawing>
          <wp:inline distT="0" distB="0" distL="114300" distR="114300">
            <wp:extent cx="7152005" cy="5056505"/>
            <wp:effectExtent l="0" t="0" r="10795" b="10795"/>
            <wp:docPr id="34" name="图片 34" descr="保护目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保护目标"/>
                    <pic:cNvPicPr>
                      <a:picLocks noChangeAspect="1"/>
                    </pic:cNvPicPr>
                  </pic:nvPicPr>
                  <pic:blipFill>
                    <a:blip r:embed="rId30"/>
                    <a:stretch>
                      <a:fillRect/>
                    </a:stretch>
                  </pic:blipFill>
                  <pic:spPr>
                    <a:xfrm>
                      <a:off x="0" y="0"/>
                      <a:ext cx="7152005" cy="5056505"/>
                    </a:xfrm>
                    <a:prstGeom prst="rect">
                      <a:avLst/>
                    </a:prstGeom>
                  </pic:spPr>
                </pic:pic>
              </a:graphicData>
            </a:graphic>
          </wp:inline>
        </w:drawing>
      </w:r>
    </w:p>
    <w:p w14:paraId="60B4E4B9">
      <w:pPr>
        <w:pStyle w:val="2"/>
        <w:jc w:val="center"/>
        <w:rPr>
          <w:rFonts w:hint="eastAsia" w:ascii="Times New Roman" w:hAnsi="Times New Roman" w:cs="Times New Roman"/>
          <w:b/>
          <w:bCs/>
          <w:color w:val="auto"/>
          <w:spacing w:val="3"/>
          <w:w w:val="100"/>
          <w:sz w:val="30"/>
          <w:lang w:val="en-US" w:eastAsia="zh-CN"/>
        </w:rPr>
      </w:pPr>
      <w:r>
        <w:rPr>
          <w:rFonts w:hint="default" w:ascii="Times New Roman" w:hAnsi="Times New Roman" w:cs="Times New Roman"/>
          <w:b/>
          <w:bCs/>
          <w:color w:val="auto"/>
          <w:spacing w:val="3"/>
          <w:w w:val="100"/>
          <w:sz w:val="30"/>
        </w:rPr>
        <w:t>附图</w:t>
      </w:r>
      <w:r>
        <w:rPr>
          <w:rFonts w:hint="eastAsia" w:cs="Times New Roman"/>
          <w:b/>
          <w:bCs/>
          <w:color w:val="auto"/>
          <w:spacing w:val="3"/>
          <w:w w:val="100"/>
          <w:sz w:val="30"/>
          <w:lang w:val="en-US" w:eastAsia="zh-CN"/>
        </w:rPr>
        <w:t>4保护目标分布</w:t>
      </w:r>
      <w:r>
        <w:rPr>
          <w:rFonts w:hint="eastAsia" w:ascii="Times New Roman" w:hAnsi="Times New Roman" w:cs="Times New Roman"/>
          <w:b/>
          <w:bCs/>
          <w:color w:val="auto"/>
          <w:spacing w:val="3"/>
          <w:w w:val="100"/>
          <w:sz w:val="30"/>
          <w:lang w:val="en-US" w:eastAsia="zh-CN"/>
        </w:rPr>
        <w:t>图</w:t>
      </w:r>
    </w:p>
    <w:p w14:paraId="440C0C00">
      <w:pPr>
        <w:pStyle w:val="2"/>
        <w:ind w:left="420"/>
        <w:rPr>
          <w:rFonts w:hint="eastAsia" w:eastAsia="宋体"/>
          <w:lang w:eastAsia="zh-CN"/>
        </w:rPr>
      </w:pPr>
      <w:r>
        <w:drawing>
          <wp:inline distT="0" distB="0" distL="114300" distR="114300">
            <wp:extent cx="7473315" cy="5256530"/>
            <wp:effectExtent l="0" t="0" r="13335" b="1270"/>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pic:cNvPicPr>
                      <a:picLocks noChangeAspect="1"/>
                    </pic:cNvPicPr>
                  </pic:nvPicPr>
                  <pic:blipFill>
                    <a:blip r:embed="rId31"/>
                    <a:stretch>
                      <a:fillRect/>
                    </a:stretch>
                  </pic:blipFill>
                  <pic:spPr>
                    <a:xfrm>
                      <a:off x="0" y="0"/>
                      <a:ext cx="7473315" cy="5256530"/>
                    </a:xfrm>
                    <a:prstGeom prst="rect">
                      <a:avLst/>
                    </a:prstGeom>
                    <a:noFill/>
                    <a:ln>
                      <a:noFill/>
                    </a:ln>
                  </pic:spPr>
                </pic:pic>
              </a:graphicData>
            </a:graphic>
          </wp:inline>
        </w:drawing>
      </w:r>
    </w:p>
    <w:p w14:paraId="429D5603">
      <w:pPr>
        <w:pStyle w:val="2"/>
        <w:ind w:left="420"/>
        <w:rPr>
          <w:rFonts w:hint="eastAsia" w:ascii="Times New Roman" w:hAnsi="Times New Roman" w:cs="Times New Roman"/>
          <w:b/>
          <w:bCs/>
          <w:color w:val="auto"/>
          <w:spacing w:val="3"/>
          <w:w w:val="100"/>
          <w:sz w:val="30"/>
          <w:lang w:val="en-US" w:eastAsia="zh-CN"/>
        </w:rPr>
      </w:pPr>
      <w:r>
        <w:rPr>
          <w:rFonts w:hint="default" w:ascii="Times New Roman" w:hAnsi="Times New Roman" w:cs="Times New Roman"/>
          <w:b/>
          <w:bCs/>
          <w:color w:val="auto"/>
          <w:spacing w:val="3"/>
          <w:w w:val="100"/>
          <w:sz w:val="30"/>
        </w:rPr>
        <w:t>附图</w:t>
      </w:r>
      <w:r>
        <w:rPr>
          <w:rFonts w:hint="eastAsia" w:cs="Times New Roman"/>
          <w:b/>
          <w:bCs/>
          <w:color w:val="auto"/>
          <w:spacing w:val="3"/>
          <w:w w:val="100"/>
          <w:sz w:val="30"/>
          <w:lang w:val="en-US" w:eastAsia="zh-CN"/>
        </w:rPr>
        <w:t>5</w:t>
      </w:r>
      <w:r>
        <w:rPr>
          <w:rFonts w:hint="eastAsia" w:ascii="Times New Roman" w:hAnsi="Times New Roman" w:cs="Times New Roman"/>
          <w:b/>
          <w:bCs/>
          <w:color w:val="auto"/>
          <w:spacing w:val="3"/>
          <w:w w:val="100"/>
          <w:sz w:val="30"/>
          <w:lang w:val="en-US" w:eastAsia="zh-CN"/>
        </w:rPr>
        <w:t>项目选址与生态红线位置关系图</w:t>
      </w:r>
    </w:p>
    <w:p w14:paraId="498749AA">
      <w:pPr>
        <w:pStyle w:val="2"/>
        <w:ind w:left="420"/>
        <w:rPr>
          <w:rFonts w:hint="eastAsia" w:ascii="Times New Roman" w:hAnsi="Times New Roman" w:cs="Times New Roman"/>
          <w:b/>
          <w:bCs/>
          <w:color w:val="auto"/>
          <w:spacing w:val="3"/>
          <w:w w:val="100"/>
          <w:sz w:val="30"/>
          <w:lang w:val="en-US" w:eastAsia="zh-CN"/>
        </w:rPr>
        <w:sectPr>
          <w:pgSz w:w="16838" w:h="11906" w:orient="landscape"/>
          <w:pgMar w:top="1531" w:right="1701" w:bottom="1531" w:left="1701" w:header="851" w:footer="851" w:gutter="0"/>
          <w:cols w:space="720" w:num="1"/>
          <w:docGrid w:linePitch="312" w:charSpace="0"/>
        </w:sectPr>
      </w:pPr>
    </w:p>
    <w:p w14:paraId="04673B9F">
      <w:pPr>
        <w:pStyle w:val="2"/>
        <w:ind w:left="0" w:leftChars="0" w:firstLine="0" w:firstLineChars="0"/>
        <w:jc w:val="both"/>
      </w:pPr>
      <w:r>
        <w:drawing>
          <wp:inline distT="0" distB="0" distL="114300" distR="114300">
            <wp:extent cx="5372100" cy="7858125"/>
            <wp:effectExtent l="0" t="0" r="0" b="9525"/>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32"/>
                    <a:stretch>
                      <a:fillRect/>
                    </a:stretch>
                  </pic:blipFill>
                  <pic:spPr>
                    <a:xfrm>
                      <a:off x="0" y="0"/>
                      <a:ext cx="5372100" cy="7858125"/>
                    </a:xfrm>
                    <a:prstGeom prst="rect">
                      <a:avLst/>
                    </a:prstGeom>
                    <a:noFill/>
                    <a:ln>
                      <a:noFill/>
                    </a:ln>
                  </pic:spPr>
                </pic:pic>
              </a:graphicData>
            </a:graphic>
          </wp:inline>
        </w:drawing>
      </w:r>
      <w:r>
        <w:drawing>
          <wp:inline distT="0" distB="0" distL="114300" distR="114300">
            <wp:extent cx="5486400" cy="8145145"/>
            <wp:effectExtent l="0" t="0" r="0" b="8255"/>
            <wp:docPr id="43" name="图片 43" descr="92991e7731c78ef2ac6435fb80d0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92991e7731c78ef2ac6435fb80d0883"/>
                    <pic:cNvPicPr>
                      <a:picLocks noChangeAspect="1"/>
                    </pic:cNvPicPr>
                  </pic:nvPicPr>
                  <pic:blipFill>
                    <a:blip r:embed="rId33"/>
                    <a:stretch>
                      <a:fillRect/>
                    </a:stretch>
                  </pic:blipFill>
                  <pic:spPr>
                    <a:xfrm>
                      <a:off x="0" y="0"/>
                      <a:ext cx="5486400" cy="8145145"/>
                    </a:xfrm>
                    <a:prstGeom prst="rect">
                      <a:avLst/>
                    </a:prstGeom>
                  </pic:spPr>
                </pic:pic>
              </a:graphicData>
            </a:graphic>
          </wp:inline>
        </w:drawing>
      </w:r>
      <w:r>
        <w:drawing>
          <wp:inline distT="0" distB="0" distL="114300" distR="114300">
            <wp:extent cx="5591175" cy="7905750"/>
            <wp:effectExtent l="0" t="0" r="9525" b="0"/>
            <wp:docPr id="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
                    <pic:cNvPicPr>
                      <a:picLocks noChangeAspect="1"/>
                    </pic:cNvPicPr>
                  </pic:nvPicPr>
                  <pic:blipFill>
                    <a:blip r:embed="rId34"/>
                    <a:stretch>
                      <a:fillRect/>
                    </a:stretch>
                  </pic:blipFill>
                  <pic:spPr>
                    <a:xfrm>
                      <a:off x="0" y="0"/>
                      <a:ext cx="5591175" cy="7905750"/>
                    </a:xfrm>
                    <a:prstGeom prst="rect">
                      <a:avLst/>
                    </a:prstGeom>
                    <a:noFill/>
                    <a:ln>
                      <a:noFill/>
                    </a:ln>
                  </pic:spPr>
                </pic:pic>
              </a:graphicData>
            </a:graphic>
          </wp:inline>
        </w:drawing>
      </w:r>
      <w:r>
        <w:drawing>
          <wp:inline distT="0" distB="0" distL="114300" distR="114300">
            <wp:extent cx="5610225" cy="7877175"/>
            <wp:effectExtent l="0" t="0" r="9525" b="9525"/>
            <wp:docPr id="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
                    <pic:cNvPicPr>
                      <a:picLocks noChangeAspect="1"/>
                    </pic:cNvPicPr>
                  </pic:nvPicPr>
                  <pic:blipFill>
                    <a:blip r:embed="rId35"/>
                    <a:stretch>
                      <a:fillRect/>
                    </a:stretch>
                  </pic:blipFill>
                  <pic:spPr>
                    <a:xfrm>
                      <a:off x="0" y="0"/>
                      <a:ext cx="5610225" cy="7877175"/>
                    </a:xfrm>
                    <a:prstGeom prst="rect">
                      <a:avLst/>
                    </a:prstGeom>
                    <a:noFill/>
                    <a:ln>
                      <a:noFill/>
                    </a:ln>
                  </pic:spPr>
                </pic:pic>
              </a:graphicData>
            </a:graphic>
          </wp:inline>
        </w:drawing>
      </w:r>
      <w:r>
        <w:drawing>
          <wp:inline distT="0" distB="0" distL="114300" distR="114300">
            <wp:extent cx="5581650" cy="7677150"/>
            <wp:effectExtent l="0" t="0" r="0" b="0"/>
            <wp:docPr id="3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5"/>
                    <pic:cNvPicPr>
                      <a:picLocks noChangeAspect="1"/>
                    </pic:cNvPicPr>
                  </pic:nvPicPr>
                  <pic:blipFill>
                    <a:blip r:embed="rId36"/>
                    <a:stretch>
                      <a:fillRect/>
                    </a:stretch>
                  </pic:blipFill>
                  <pic:spPr>
                    <a:xfrm>
                      <a:off x="0" y="0"/>
                      <a:ext cx="5581650" cy="7677150"/>
                    </a:xfrm>
                    <a:prstGeom prst="rect">
                      <a:avLst/>
                    </a:prstGeom>
                    <a:noFill/>
                    <a:ln>
                      <a:noFill/>
                    </a:ln>
                  </pic:spPr>
                </pic:pic>
              </a:graphicData>
            </a:graphic>
          </wp:inline>
        </w:drawing>
      </w:r>
      <w:r>
        <w:drawing>
          <wp:inline distT="0" distB="0" distL="114300" distR="114300">
            <wp:extent cx="5543550" cy="7924800"/>
            <wp:effectExtent l="0" t="0" r="0" b="0"/>
            <wp:docPr id="3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6"/>
                    <pic:cNvPicPr>
                      <a:picLocks noChangeAspect="1"/>
                    </pic:cNvPicPr>
                  </pic:nvPicPr>
                  <pic:blipFill>
                    <a:blip r:embed="rId37"/>
                    <a:stretch>
                      <a:fillRect/>
                    </a:stretch>
                  </pic:blipFill>
                  <pic:spPr>
                    <a:xfrm>
                      <a:off x="0" y="0"/>
                      <a:ext cx="5543550" cy="7924800"/>
                    </a:xfrm>
                    <a:prstGeom prst="rect">
                      <a:avLst/>
                    </a:prstGeom>
                    <a:noFill/>
                    <a:ln>
                      <a:noFill/>
                    </a:ln>
                  </pic:spPr>
                </pic:pic>
              </a:graphicData>
            </a:graphic>
          </wp:inline>
        </w:drawing>
      </w:r>
    </w:p>
    <w:p w14:paraId="79DD8CC4">
      <w:pPr>
        <w:pStyle w:val="2"/>
        <w:ind w:left="0" w:leftChars="0" w:firstLine="0" w:firstLineChars="0"/>
        <w:jc w:val="both"/>
        <w:rPr>
          <w:rFonts w:hint="eastAsia"/>
          <w:lang w:val="en-US" w:eastAsia="zh-CN"/>
        </w:rPr>
      </w:pPr>
      <w:r>
        <w:drawing>
          <wp:inline distT="0" distB="0" distL="114300" distR="114300">
            <wp:extent cx="5553075" cy="7924800"/>
            <wp:effectExtent l="0" t="0" r="9525" b="0"/>
            <wp:docPr id="4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2"/>
                    <pic:cNvPicPr>
                      <a:picLocks noChangeAspect="1"/>
                    </pic:cNvPicPr>
                  </pic:nvPicPr>
                  <pic:blipFill>
                    <a:blip r:embed="rId38"/>
                    <a:stretch>
                      <a:fillRect/>
                    </a:stretch>
                  </pic:blipFill>
                  <pic:spPr>
                    <a:xfrm>
                      <a:off x="0" y="0"/>
                      <a:ext cx="5553075" cy="7924800"/>
                    </a:xfrm>
                    <a:prstGeom prst="rect">
                      <a:avLst/>
                    </a:prstGeom>
                    <a:noFill/>
                    <a:ln>
                      <a:noFill/>
                    </a:ln>
                  </pic:spPr>
                </pic:pic>
              </a:graphicData>
            </a:graphic>
          </wp:inline>
        </w:drawing>
      </w:r>
      <w:r>
        <w:drawing>
          <wp:inline distT="0" distB="0" distL="114300" distR="114300">
            <wp:extent cx="5495925" cy="7839075"/>
            <wp:effectExtent l="0" t="0" r="9525" b="9525"/>
            <wp:docPr id="4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3"/>
                    <pic:cNvPicPr>
                      <a:picLocks noChangeAspect="1"/>
                    </pic:cNvPicPr>
                  </pic:nvPicPr>
                  <pic:blipFill>
                    <a:blip r:embed="rId39"/>
                    <a:stretch>
                      <a:fillRect/>
                    </a:stretch>
                  </pic:blipFill>
                  <pic:spPr>
                    <a:xfrm>
                      <a:off x="0" y="0"/>
                      <a:ext cx="5495925" cy="7839075"/>
                    </a:xfrm>
                    <a:prstGeom prst="rect">
                      <a:avLst/>
                    </a:prstGeom>
                    <a:noFill/>
                    <a:ln>
                      <a:noFill/>
                    </a:ln>
                  </pic:spPr>
                </pic:pic>
              </a:graphicData>
            </a:graphic>
          </wp:inline>
        </w:drawing>
      </w:r>
      <w:r>
        <w:drawing>
          <wp:inline distT="0" distB="0" distL="114300" distR="114300">
            <wp:extent cx="5505450" cy="7810500"/>
            <wp:effectExtent l="0" t="0" r="0" b="0"/>
            <wp:docPr id="4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4"/>
                    <pic:cNvPicPr>
                      <a:picLocks noChangeAspect="1"/>
                    </pic:cNvPicPr>
                  </pic:nvPicPr>
                  <pic:blipFill>
                    <a:blip r:embed="rId40"/>
                    <a:stretch>
                      <a:fillRect/>
                    </a:stretch>
                  </pic:blipFill>
                  <pic:spPr>
                    <a:xfrm>
                      <a:off x="0" y="0"/>
                      <a:ext cx="5505450" cy="7810500"/>
                    </a:xfrm>
                    <a:prstGeom prst="rect">
                      <a:avLst/>
                    </a:prstGeom>
                    <a:noFill/>
                    <a:ln>
                      <a:noFill/>
                    </a:ln>
                  </pic:spPr>
                </pic:pic>
              </a:graphicData>
            </a:graphic>
          </wp:inline>
        </w:drawing>
      </w:r>
      <w:r>
        <w:drawing>
          <wp:inline distT="0" distB="0" distL="114300" distR="114300">
            <wp:extent cx="5524500" cy="7772400"/>
            <wp:effectExtent l="0" t="0" r="0" b="0"/>
            <wp:docPr id="5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5"/>
                    <pic:cNvPicPr>
                      <a:picLocks noChangeAspect="1"/>
                    </pic:cNvPicPr>
                  </pic:nvPicPr>
                  <pic:blipFill>
                    <a:blip r:embed="rId41"/>
                    <a:stretch>
                      <a:fillRect/>
                    </a:stretch>
                  </pic:blipFill>
                  <pic:spPr>
                    <a:xfrm>
                      <a:off x="0" y="0"/>
                      <a:ext cx="5524500" cy="7772400"/>
                    </a:xfrm>
                    <a:prstGeom prst="rect">
                      <a:avLst/>
                    </a:prstGeom>
                    <a:noFill/>
                    <a:ln>
                      <a:noFill/>
                    </a:ln>
                  </pic:spPr>
                </pic:pic>
              </a:graphicData>
            </a:graphic>
          </wp:inline>
        </w:drawing>
      </w:r>
      <w:r>
        <w:drawing>
          <wp:inline distT="0" distB="0" distL="114300" distR="114300">
            <wp:extent cx="5486400" cy="7800975"/>
            <wp:effectExtent l="0" t="0" r="0" b="9525"/>
            <wp:docPr id="5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6"/>
                    <pic:cNvPicPr>
                      <a:picLocks noChangeAspect="1"/>
                    </pic:cNvPicPr>
                  </pic:nvPicPr>
                  <pic:blipFill>
                    <a:blip r:embed="rId42"/>
                    <a:stretch>
                      <a:fillRect/>
                    </a:stretch>
                  </pic:blipFill>
                  <pic:spPr>
                    <a:xfrm>
                      <a:off x="0" y="0"/>
                      <a:ext cx="5486400" cy="7800975"/>
                    </a:xfrm>
                    <a:prstGeom prst="rect">
                      <a:avLst/>
                    </a:prstGeom>
                    <a:noFill/>
                    <a:ln>
                      <a:noFill/>
                    </a:ln>
                  </pic:spPr>
                </pic:pic>
              </a:graphicData>
            </a:graphic>
          </wp:inline>
        </w:drawing>
      </w:r>
      <w:r>
        <w:drawing>
          <wp:inline distT="0" distB="0" distL="114300" distR="114300">
            <wp:extent cx="5514975" cy="7667625"/>
            <wp:effectExtent l="0" t="0" r="9525" b="9525"/>
            <wp:docPr id="5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7"/>
                    <pic:cNvPicPr>
                      <a:picLocks noChangeAspect="1"/>
                    </pic:cNvPicPr>
                  </pic:nvPicPr>
                  <pic:blipFill>
                    <a:blip r:embed="rId43"/>
                    <a:stretch>
                      <a:fillRect/>
                    </a:stretch>
                  </pic:blipFill>
                  <pic:spPr>
                    <a:xfrm>
                      <a:off x="0" y="0"/>
                      <a:ext cx="5514975" cy="7667625"/>
                    </a:xfrm>
                    <a:prstGeom prst="rect">
                      <a:avLst/>
                    </a:prstGeom>
                    <a:noFill/>
                    <a:ln>
                      <a:noFill/>
                    </a:ln>
                  </pic:spPr>
                </pic:pic>
              </a:graphicData>
            </a:graphic>
          </wp:inline>
        </w:drawing>
      </w:r>
      <w:r>
        <w:drawing>
          <wp:inline distT="0" distB="0" distL="114300" distR="114300">
            <wp:extent cx="5524500" cy="7639050"/>
            <wp:effectExtent l="0" t="0" r="0" b="0"/>
            <wp:docPr id="5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8"/>
                    <pic:cNvPicPr>
                      <a:picLocks noChangeAspect="1"/>
                    </pic:cNvPicPr>
                  </pic:nvPicPr>
                  <pic:blipFill>
                    <a:blip r:embed="rId44"/>
                    <a:stretch>
                      <a:fillRect/>
                    </a:stretch>
                  </pic:blipFill>
                  <pic:spPr>
                    <a:xfrm>
                      <a:off x="0" y="0"/>
                      <a:ext cx="5524500" cy="7639050"/>
                    </a:xfrm>
                    <a:prstGeom prst="rect">
                      <a:avLst/>
                    </a:prstGeom>
                    <a:noFill/>
                    <a:ln>
                      <a:noFill/>
                    </a:ln>
                  </pic:spPr>
                </pic:pic>
              </a:graphicData>
            </a:graphic>
          </wp:inline>
        </w:drawing>
      </w:r>
      <w:r>
        <w:drawing>
          <wp:inline distT="0" distB="0" distL="114300" distR="114300">
            <wp:extent cx="5467350" cy="7734300"/>
            <wp:effectExtent l="0" t="0" r="0" b="0"/>
            <wp:docPr id="5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9"/>
                    <pic:cNvPicPr>
                      <a:picLocks noChangeAspect="1"/>
                    </pic:cNvPicPr>
                  </pic:nvPicPr>
                  <pic:blipFill>
                    <a:blip r:embed="rId45"/>
                    <a:stretch>
                      <a:fillRect/>
                    </a:stretch>
                  </pic:blipFill>
                  <pic:spPr>
                    <a:xfrm>
                      <a:off x="0" y="0"/>
                      <a:ext cx="5467350" cy="7734300"/>
                    </a:xfrm>
                    <a:prstGeom prst="rect">
                      <a:avLst/>
                    </a:prstGeom>
                    <a:noFill/>
                    <a:ln>
                      <a:noFill/>
                    </a:ln>
                  </pic:spPr>
                </pic:pic>
              </a:graphicData>
            </a:graphic>
          </wp:inline>
        </w:drawing>
      </w:r>
      <w:r>
        <w:drawing>
          <wp:inline distT="0" distB="0" distL="114300" distR="114300">
            <wp:extent cx="5524500" cy="7705725"/>
            <wp:effectExtent l="0" t="0" r="0" b="9525"/>
            <wp:docPr id="5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0"/>
                    <pic:cNvPicPr>
                      <a:picLocks noChangeAspect="1"/>
                    </pic:cNvPicPr>
                  </pic:nvPicPr>
                  <pic:blipFill>
                    <a:blip r:embed="rId46"/>
                    <a:stretch>
                      <a:fillRect/>
                    </a:stretch>
                  </pic:blipFill>
                  <pic:spPr>
                    <a:xfrm>
                      <a:off x="0" y="0"/>
                      <a:ext cx="5524500" cy="7705725"/>
                    </a:xfrm>
                    <a:prstGeom prst="rect">
                      <a:avLst/>
                    </a:prstGeom>
                    <a:noFill/>
                    <a:ln>
                      <a:noFill/>
                    </a:ln>
                  </pic:spPr>
                </pic:pic>
              </a:graphicData>
            </a:graphic>
          </wp:inline>
        </w:drawing>
      </w:r>
      <w:r>
        <w:drawing>
          <wp:inline distT="0" distB="0" distL="114300" distR="114300">
            <wp:extent cx="5476875" cy="7743825"/>
            <wp:effectExtent l="0" t="0" r="9525" b="9525"/>
            <wp:docPr id="5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1"/>
                    <pic:cNvPicPr>
                      <a:picLocks noChangeAspect="1"/>
                    </pic:cNvPicPr>
                  </pic:nvPicPr>
                  <pic:blipFill>
                    <a:blip r:embed="rId47"/>
                    <a:stretch>
                      <a:fillRect/>
                    </a:stretch>
                  </pic:blipFill>
                  <pic:spPr>
                    <a:xfrm>
                      <a:off x="0" y="0"/>
                      <a:ext cx="5476875" cy="7743825"/>
                    </a:xfrm>
                    <a:prstGeom prst="rect">
                      <a:avLst/>
                    </a:prstGeom>
                    <a:noFill/>
                    <a:ln>
                      <a:noFill/>
                    </a:ln>
                  </pic:spPr>
                </pic:pic>
              </a:graphicData>
            </a:graphic>
          </wp:inline>
        </w:drawing>
      </w:r>
      <w:r>
        <w:drawing>
          <wp:inline distT="0" distB="0" distL="114300" distR="114300">
            <wp:extent cx="5534025" cy="7839075"/>
            <wp:effectExtent l="0" t="0" r="9525" b="9525"/>
            <wp:docPr id="5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2"/>
                    <pic:cNvPicPr>
                      <a:picLocks noChangeAspect="1"/>
                    </pic:cNvPicPr>
                  </pic:nvPicPr>
                  <pic:blipFill>
                    <a:blip r:embed="rId48"/>
                    <a:stretch>
                      <a:fillRect/>
                    </a:stretch>
                  </pic:blipFill>
                  <pic:spPr>
                    <a:xfrm>
                      <a:off x="0" y="0"/>
                      <a:ext cx="5534025" cy="7839075"/>
                    </a:xfrm>
                    <a:prstGeom prst="rect">
                      <a:avLst/>
                    </a:prstGeom>
                    <a:noFill/>
                    <a:ln>
                      <a:noFill/>
                    </a:ln>
                  </pic:spPr>
                </pic:pic>
              </a:graphicData>
            </a:graphic>
          </wp:inline>
        </w:drawing>
      </w:r>
      <w:r>
        <w:drawing>
          <wp:inline distT="0" distB="0" distL="114300" distR="114300">
            <wp:extent cx="5524500" cy="7772400"/>
            <wp:effectExtent l="0" t="0" r="0" b="0"/>
            <wp:docPr id="5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3"/>
                    <pic:cNvPicPr>
                      <a:picLocks noChangeAspect="1"/>
                    </pic:cNvPicPr>
                  </pic:nvPicPr>
                  <pic:blipFill>
                    <a:blip r:embed="rId49"/>
                    <a:stretch>
                      <a:fillRect/>
                    </a:stretch>
                  </pic:blipFill>
                  <pic:spPr>
                    <a:xfrm>
                      <a:off x="0" y="0"/>
                      <a:ext cx="5524500" cy="7772400"/>
                    </a:xfrm>
                    <a:prstGeom prst="rect">
                      <a:avLst/>
                    </a:prstGeom>
                    <a:noFill/>
                    <a:ln>
                      <a:noFill/>
                    </a:ln>
                  </pic:spPr>
                </pic:pic>
              </a:graphicData>
            </a:graphic>
          </wp:inline>
        </w:drawing>
      </w:r>
      <w:r>
        <w:drawing>
          <wp:inline distT="0" distB="0" distL="114300" distR="114300">
            <wp:extent cx="5514975" cy="7734300"/>
            <wp:effectExtent l="0" t="0" r="9525" b="0"/>
            <wp:docPr id="5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4"/>
                    <pic:cNvPicPr>
                      <a:picLocks noChangeAspect="1"/>
                    </pic:cNvPicPr>
                  </pic:nvPicPr>
                  <pic:blipFill>
                    <a:blip r:embed="rId50"/>
                    <a:stretch>
                      <a:fillRect/>
                    </a:stretch>
                  </pic:blipFill>
                  <pic:spPr>
                    <a:xfrm>
                      <a:off x="0" y="0"/>
                      <a:ext cx="5514975" cy="7734300"/>
                    </a:xfrm>
                    <a:prstGeom prst="rect">
                      <a:avLst/>
                    </a:prstGeom>
                    <a:noFill/>
                    <a:ln>
                      <a:noFill/>
                    </a:ln>
                  </pic:spPr>
                </pic:pic>
              </a:graphicData>
            </a:graphic>
          </wp:inline>
        </w:drawing>
      </w:r>
      <w:r>
        <w:drawing>
          <wp:inline distT="0" distB="0" distL="114300" distR="114300">
            <wp:extent cx="5457825" cy="7810500"/>
            <wp:effectExtent l="0" t="0" r="9525" b="0"/>
            <wp:docPr id="6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5"/>
                    <pic:cNvPicPr>
                      <a:picLocks noChangeAspect="1"/>
                    </pic:cNvPicPr>
                  </pic:nvPicPr>
                  <pic:blipFill>
                    <a:blip r:embed="rId51"/>
                    <a:stretch>
                      <a:fillRect/>
                    </a:stretch>
                  </pic:blipFill>
                  <pic:spPr>
                    <a:xfrm>
                      <a:off x="0" y="0"/>
                      <a:ext cx="5457825" cy="7810500"/>
                    </a:xfrm>
                    <a:prstGeom prst="rect">
                      <a:avLst/>
                    </a:prstGeom>
                    <a:noFill/>
                    <a:ln>
                      <a:noFill/>
                    </a:ln>
                  </pic:spPr>
                </pic:pic>
              </a:graphicData>
            </a:graphic>
          </wp:inline>
        </w:drawing>
      </w:r>
      <w:r>
        <w:drawing>
          <wp:inline distT="0" distB="0" distL="114300" distR="114300">
            <wp:extent cx="5534025" cy="7772400"/>
            <wp:effectExtent l="0" t="0" r="9525" b="0"/>
            <wp:docPr id="6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6"/>
                    <pic:cNvPicPr>
                      <a:picLocks noChangeAspect="1"/>
                    </pic:cNvPicPr>
                  </pic:nvPicPr>
                  <pic:blipFill>
                    <a:blip r:embed="rId52"/>
                    <a:stretch>
                      <a:fillRect/>
                    </a:stretch>
                  </pic:blipFill>
                  <pic:spPr>
                    <a:xfrm>
                      <a:off x="0" y="0"/>
                      <a:ext cx="5534025" cy="7772400"/>
                    </a:xfrm>
                    <a:prstGeom prst="rect">
                      <a:avLst/>
                    </a:prstGeom>
                    <a:noFill/>
                    <a:ln>
                      <a:noFill/>
                    </a:ln>
                  </pic:spPr>
                </pic:pic>
              </a:graphicData>
            </a:graphic>
          </wp:inline>
        </w:drawing>
      </w:r>
      <w:r>
        <w:drawing>
          <wp:inline distT="0" distB="0" distL="114300" distR="114300">
            <wp:extent cx="5524500" cy="7715250"/>
            <wp:effectExtent l="0" t="0" r="0" b="0"/>
            <wp:docPr id="6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7"/>
                    <pic:cNvPicPr>
                      <a:picLocks noChangeAspect="1"/>
                    </pic:cNvPicPr>
                  </pic:nvPicPr>
                  <pic:blipFill>
                    <a:blip r:embed="rId53"/>
                    <a:stretch>
                      <a:fillRect/>
                    </a:stretch>
                  </pic:blipFill>
                  <pic:spPr>
                    <a:xfrm>
                      <a:off x="0" y="0"/>
                      <a:ext cx="5524500" cy="7715250"/>
                    </a:xfrm>
                    <a:prstGeom prst="rect">
                      <a:avLst/>
                    </a:prstGeom>
                    <a:noFill/>
                    <a:ln>
                      <a:noFill/>
                    </a:ln>
                  </pic:spPr>
                </pic:pic>
              </a:graphicData>
            </a:graphic>
          </wp:inline>
        </w:drawing>
      </w:r>
      <w:r>
        <w:drawing>
          <wp:inline distT="0" distB="0" distL="114300" distR="114300">
            <wp:extent cx="5581650" cy="7810500"/>
            <wp:effectExtent l="0" t="0" r="0" b="0"/>
            <wp:docPr id="6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8"/>
                    <pic:cNvPicPr>
                      <a:picLocks noChangeAspect="1"/>
                    </pic:cNvPicPr>
                  </pic:nvPicPr>
                  <pic:blipFill>
                    <a:blip r:embed="rId54"/>
                    <a:stretch>
                      <a:fillRect/>
                    </a:stretch>
                  </pic:blipFill>
                  <pic:spPr>
                    <a:xfrm>
                      <a:off x="0" y="0"/>
                      <a:ext cx="5581650" cy="7810500"/>
                    </a:xfrm>
                    <a:prstGeom prst="rect">
                      <a:avLst/>
                    </a:prstGeom>
                    <a:noFill/>
                    <a:ln>
                      <a:noFill/>
                    </a:ln>
                  </pic:spPr>
                </pic:pic>
              </a:graphicData>
            </a:graphic>
          </wp:inline>
        </w:drawing>
      </w:r>
      <w:r>
        <w:drawing>
          <wp:inline distT="0" distB="0" distL="114300" distR="114300">
            <wp:extent cx="5476875" cy="7781925"/>
            <wp:effectExtent l="0" t="0" r="9525" b="9525"/>
            <wp:docPr id="6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9"/>
                    <pic:cNvPicPr>
                      <a:picLocks noChangeAspect="1"/>
                    </pic:cNvPicPr>
                  </pic:nvPicPr>
                  <pic:blipFill>
                    <a:blip r:embed="rId55"/>
                    <a:stretch>
                      <a:fillRect/>
                    </a:stretch>
                  </pic:blipFill>
                  <pic:spPr>
                    <a:xfrm>
                      <a:off x="0" y="0"/>
                      <a:ext cx="5476875" cy="7781925"/>
                    </a:xfrm>
                    <a:prstGeom prst="rect">
                      <a:avLst/>
                    </a:prstGeom>
                    <a:noFill/>
                    <a:ln>
                      <a:noFill/>
                    </a:ln>
                  </pic:spPr>
                </pic:pic>
              </a:graphicData>
            </a:graphic>
          </wp:inline>
        </w:drawing>
      </w:r>
      <w:r>
        <w:drawing>
          <wp:inline distT="0" distB="0" distL="114300" distR="114300">
            <wp:extent cx="5505450" cy="7924800"/>
            <wp:effectExtent l="0" t="0" r="0" b="0"/>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56"/>
                    <a:stretch>
                      <a:fillRect/>
                    </a:stretch>
                  </pic:blipFill>
                  <pic:spPr>
                    <a:xfrm>
                      <a:off x="0" y="0"/>
                      <a:ext cx="5505450" cy="7924800"/>
                    </a:xfrm>
                    <a:prstGeom prst="rect">
                      <a:avLst/>
                    </a:prstGeom>
                    <a:noFill/>
                    <a:ln>
                      <a:noFill/>
                    </a:ln>
                  </pic:spPr>
                </pic:pic>
              </a:graphicData>
            </a:graphic>
          </wp:inline>
        </w:drawing>
      </w:r>
      <w:r>
        <w:drawing>
          <wp:inline distT="0" distB="0" distL="114300" distR="114300">
            <wp:extent cx="5553075" cy="7848600"/>
            <wp:effectExtent l="0" t="0" r="9525" b="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57"/>
                    <a:stretch>
                      <a:fillRect/>
                    </a:stretch>
                  </pic:blipFill>
                  <pic:spPr>
                    <a:xfrm>
                      <a:off x="0" y="0"/>
                      <a:ext cx="5553075" cy="7848600"/>
                    </a:xfrm>
                    <a:prstGeom prst="rect">
                      <a:avLst/>
                    </a:prstGeom>
                    <a:noFill/>
                    <a:ln>
                      <a:noFill/>
                    </a:ln>
                  </pic:spPr>
                </pic:pic>
              </a:graphicData>
            </a:graphic>
          </wp:inline>
        </w:drawing>
      </w:r>
      <w:r>
        <w:drawing>
          <wp:inline distT="0" distB="0" distL="114300" distR="114300">
            <wp:extent cx="5514975" cy="7848600"/>
            <wp:effectExtent l="0" t="0" r="9525" b="0"/>
            <wp:docPr id="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pic:cNvPicPr>
                      <a:picLocks noChangeAspect="1"/>
                    </pic:cNvPicPr>
                  </pic:nvPicPr>
                  <pic:blipFill>
                    <a:blip r:embed="rId58"/>
                    <a:stretch>
                      <a:fillRect/>
                    </a:stretch>
                  </pic:blipFill>
                  <pic:spPr>
                    <a:xfrm>
                      <a:off x="0" y="0"/>
                      <a:ext cx="5514975" cy="7848600"/>
                    </a:xfrm>
                    <a:prstGeom prst="rect">
                      <a:avLst/>
                    </a:prstGeom>
                    <a:noFill/>
                    <a:ln>
                      <a:noFill/>
                    </a:ln>
                  </pic:spPr>
                </pic:pic>
              </a:graphicData>
            </a:graphic>
          </wp:inline>
        </w:drawing>
      </w:r>
      <w:r>
        <w:drawing>
          <wp:inline distT="0" distB="0" distL="114300" distR="114300">
            <wp:extent cx="5562600" cy="7867650"/>
            <wp:effectExtent l="0" t="0" r="0" b="0"/>
            <wp:docPr id="1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6"/>
                    <pic:cNvPicPr>
                      <a:picLocks noChangeAspect="1"/>
                    </pic:cNvPicPr>
                  </pic:nvPicPr>
                  <pic:blipFill>
                    <a:blip r:embed="rId59"/>
                    <a:stretch>
                      <a:fillRect/>
                    </a:stretch>
                  </pic:blipFill>
                  <pic:spPr>
                    <a:xfrm>
                      <a:off x="0" y="0"/>
                      <a:ext cx="5562600" cy="7867650"/>
                    </a:xfrm>
                    <a:prstGeom prst="rect">
                      <a:avLst/>
                    </a:prstGeom>
                    <a:noFill/>
                    <a:ln>
                      <a:noFill/>
                    </a:ln>
                  </pic:spPr>
                </pic:pic>
              </a:graphicData>
            </a:graphic>
          </wp:inline>
        </w:drawing>
      </w:r>
      <w:r>
        <w:drawing>
          <wp:inline distT="0" distB="0" distL="114300" distR="114300">
            <wp:extent cx="5534025" cy="7810500"/>
            <wp:effectExtent l="0" t="0" r="9525" b="0"/>
            <wp:docPr id="2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7"/>
                    <pic:cNvPicPr>
                      <a:picLocks noChangeAspect="1"/>
                    </pic:cNvPicPr>
                  </pic:nvPicPr>
                  <pic:blipFill>
                    <a:blip r:embed="rId60"/>
                    <a:stretch>
                      <a:fillRect/>
                    </a:stretch>
                  </pic:blipFill>
                  <pic:spPr>
                    <a:xfrm>
                      <a:off x="0" y="0"/>
                      <a:ext cx="5534025" cy="7810500"/>
                    </a:xfrm>
                    <a:prstGeom prst="rect">
                      <a:avLst/>
                    </a:prstGeom>
                    <a:noFill/>
                    <a:ln>
                      <a:noFill/>
                    </a:ln>
                  </pic:spPr>
                </pic:pic>
              </a:graphicData>
            </a:graphic>
          </wp:inline>
        </w:drawing>
      </w:r>
      <w:r>
        <w:drawing>
          <wp:inline distT="0" distB="0" distL="114300" distR="114300">
            <wp:extent cx="5543550" cy="7848600"/>
            <wp:effectExtent l="0" t="0" r="0" b="0"/>
            <wp:docPr id="2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8"/>
                    <pic:cNvPicPr>
                      <a:picLocks noChangeAspect="1"/>
                    </pic:cNvPicPr>
                  </pic:nvPicPr>
                  <pic:blipFill>
                    <a:blip r:embed="rId61"/>
                    <a:stretch>
                      <a:fillRect/>
                    </a:stretch>
                  </pic:blipFill>
                  <pic:spPr>
                    <a:xfrm>
                      <a:off x="0" y="0"/>
                      <a:ext cx="5543550" cy="7848600"/>
                    </a:xfrm>
                    <a:prstGeom prst="rect">
                      <a:avLst/>
                    </a:prstGeom>
                    <a:noFill/>
                    <a:ln>
                      <a:noFill/>
                    </a:ln>
                  </pic:spPr>
                </pic:pic>
              </a:graphicData>
            </a:graphic>
          </wp:inline>
        </w:drawing>
      </w:r>
      <w:r>
        <w:drawing>
          <wp:inline distT="0" distB="0" distL="114300" distR="114300">
            <wp:extent cx="5514975" cy="7915275"/>
            <wp:effectExtent l="0" t="0" r="9525" b="9525"/>
            <wp:docPr id="2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
                    <pic:cNvPicPr>
                      <a:picLocks noChangeAspect="1"/>
                    </pic:cNvPicPr>
                  </pic:nvPicPr>
                  <pic:blipFill>
                    <a:blip r:embed="rId62"/>
                    <a:stretch>
                      <a:fillRect/>
                    </a:stretch>
                  </pic:blipFill>
                  <pic:spPr>
                    <a:xfrm>
                      <a:off x="0" y="0"/>
                      <a:ext cx="5514975" cy="7915275"/>
                    </a:xfrm>
                    <a:prstGeom prst="rect">
                      <a:avLst/>
                    </a:prstGeom>
                    <a:noFill/>
                    <a:ln>
                      <a:noFill/>
                    </a:ln>
                  </pic:spPr>
                </pic:pic>
              </a:graphicData>
            </a:graphic>
          </wp:inline>
        </w:drawing>
      </w:r>
      <w:r>
        <w:drawing>
          <wp:inline distT="0" distB="0" distL="114300" distR="114300">
            <wp:extent cx="5572125" cy="7848600"/>
            <wp:effectExtent l="0" t="0" r="9525" b="0"/>
            <wp:docPr id="2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0"/>
                    <pic:cNvPicPr>
                      <a:picLocks noChangeAspect="1"/>
                    </pic:cNvPicPr>
                  </pic:nvPicPr>
                  <pic:blipFill>
                    <a:blip r:embed="rId63"/>
                    <a:stretch>
                      <a:fillRect/>
                    </a:stretch>
                  </pic:blipFill>
                  <pic:spPr>
                    <a:xfrm>
                      <a:off x="0" y="0"/>
                      <a:ext cx="5572125" cy="7848600"/>
                    </a:xfrm>
                    <a:prstGeom prst="rect">
                      <a:avLst/>
                    </a:prstGeom>
                    <a:noFill/>
                    <a:ln>
                      <a:noFill/>
                    </a:ln>
                  </pic:spPr>
                </pic:pic>
              </a:graphicData>
            </a:graphic>
          </wp:inline>
        </w:drawing>
      </w:r>
      <w:r>
        <w:drawing>
          <wp:inline distT="0" distB="0" distL="114300" distR="114300">
            <wp:extent cx="5505450" cy="7829550"/>
            <wp:effectExtent l="0" t="0" r="0" b="0"/>
            <wp:docPr id="2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1"/>
                    <pic:cNvPicPr>
                      <a:picLocks noChangeAspect="1"/>
                    </pic:cNvPicPr>
                  </pic:nvPicPr>
                  <pic:blipFill>
                    <a:blip r:embed="rId64"/>
                    <a:stretch>
                      <a:fillRect/>
                    </a:stretch>
                  </pic:blipFill>
                  <pic:spPr>
                    <a:xfrm>
                      <a:off x="0" y="0"/>
                      <a:ext cx="5505450" cy="7829550"/>
                    </a:xfrm>
                    <a:prstGeom prst="rect">
                      <a:avLst/>
                    </a:prstGeom>
                    <a:noFill/>
                    <a:ln>
                      <a:noFill/>
                    </a:ln>
                  </pic:spPr>
                </pic:pic>
              </a:graphicData>
            </a:graphic>
          </wp:inline>
        </w:drawing>
      </w:r>
      <w:r>
        <w:drawing>
          <wp:inline distT="0" distB="0" distL="114300" distR="114300">
            <wp:extent cx="5562600" cy="7867650"/>
            <wp:effectExtent l="0" t="0" r="0" b="0"/>
            <wp:docPr id="2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2"/>
                    <pic:cNvPicPr>
                      <a:picLocks noChangeAspect="1"/>
                    </pic:cNvPicPr>
                  </pic:nvPicPr>
                  <pic:blipFill>
                    <a:blip r:embed="rId65"/>
                    <a:stretch>
                      <a:fillRect/>
                    </a:stretch>
                  </pic:blipFill>
                  <pic:spPr>
                    <a:xfrm>
                      <a:off x="0" y="0"/>
                      <a:ext cx="5562600" cy="7867650"/>
                    </a:xfrm>
                    <a:prstGeom prst="rect">
                      <a:avLst/>
                    </a:prstGeom>
                    <a:noFill/>
                    <a:ln>
                      <a:noFill/>
                    </a:ln>
                  </pic:spPr>
                </pic:pic>
              </a:graphicData>
            </a:graphic>
          </wp:inline>
        </w:drawing>
      </w:r>
      <w:r>
        <w:drawing>
          <wp:inline distT="0" distB="0" distL="114300" distR="114300">
            <wp:extent cx="5534025" cy="7867650"/>
            <wp:effectExtent l="0" t="0" r="9525" b="0"/>
            <wp:docPr id="2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3"/>
                    <pic:cNvPicPr>
                      <a:picLocks noChangeAspect="1"/>
                    </pic:cNvPicPr>
                  </pic:nvPicPr>
                  <pic:blipFill>
                    <a:blip r:embed="rId66"/>
                    <a:stretch>
                      <a:fillRect/>
                    </a:stretch>
                  </pic:blipFill>
                  <pic:spPr>
                    <a:xfrm>
                      <a:off x="0" y="0"/>
                      <a:ext cx="5534025" cy="7867650"/>
                    </a:xfrm>
                    <a:prstGeom prst="rect">
                      <a:avLst/>
                    </a:prstGeom>
                    <a:noFill/>
                    <a:ln>
                      <a:noFill/>
                    </a:ln>
                  </pic:spPr>
                </pic:pic>
              </a:graphicData>
            </a:graphic>
          </wp:inline>
        </w:drawing>
      </w:r>
      <w:r>
        <w:drawing>
          <wp:inline distT="0" distB="0" distL="114300" distR="114300">
            <wp:extent cx="5486400" cy="7858125"/>
            <wp:effectExtent l="0" t="0" r="0" b="9525"/>
            <wp:docPr id="3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4"/>
                    <pic:cNvPicPr>
                      <a:picLocks noChangeAspect="1"/>
                    </pic:cNvPicPr>
                  </pic:nvPicPr>
                  <pic:blipFill>
                    <a:blip r:embed="rId67"/>
                    <a:stretch>
                      <a:fillRect/>
                    </a:stretch>
                  </pic:blipFill>
                  <pic:spPr>
                    <a:xfrm>
                      <a:off x="0" y="0"/>
                      <a:ext cx="5486400" cy="7858125"/>
                    </a:xfrm>
                    <a:prstGeom prst="rect">
                      <a:avLst/>
                    </a:prstGeom>
                    <a:noFill/>
                    <a:ln>
                      <a:noFill/>
                    </a:ln>
                  </pic:spPr>
                </pic:pic>
              </a:graphicData>
            </a:graphic>
          </wp:inline>
        </w:drawing>
      </w:r>
      <w:r>
        <w:drawing>
          <wp:inline distT="0" distB="0" distL="114300" distR="114300">
            <wp:extent cx="5543550" cy="7867650"/>
            <wp:effectExtent l="0" t="0" r="0" b="0"/>
            <wp:docPr id="3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5"/>
                    <pic:cNvPicPr>
                      <a:picLocks noChangeAspect="1"/>
                    </pic:cNvPicPr>
                  </pic:nvPicPr>
                  <pic:blipFill>
                    <a:blip r:embed="rId68"/>
                    <a:stretch>
                      <a:fillRect/>
                    </a:stretch>
                  </pic:blipFill>
                  <pic:spPr>
                    <a:xfrm>
                      <a:off x="0" y="0"/>
                      <a:ext cx="5543550" cy="7867650"/>
                    </a:xfrm>
                    <a:prstGeom prst="rect">
                      <a:avLst/>
                    </a:prstGeom>
                    <a:noFill/>
                    <a:ln>
                      <a:noFill/>
                    </a:ln>
                  </pic:spPr>
                </pic:pic>
              </a:graphicData>
            </a:graphic>
          </wp:inline>
        </w:drawing>
      </w:r>
      <w:r>
        <w:drawing>
          <wp:inline distT="0" distB="0" distL="114300" distR="114300">
            <wp:extent cx="5534025" cy="7829550"/>
            <wp:effectExtent l="0" t="0" r="9525" b="0"/>
            <wp:docPr id="3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6"/>
                    <pic:cNvPicPr>
                      <a:picLocks noChangeAspect="1"/>
                    </pic:cNvPicPr>
                  </pic:nvPicPr>
                  <pic:blipFill>
                    <a:blip r:embed="rId69"/>
                    <a:stretch>
                      <a:fillRect/>
                    </a:stretch>
                  </pic:blipFill>
                  <pic:spPr>
                    <a:xfrm>
                      <a:off x="0" y="0"/>
                      <a:ext cx="5534025" cy="7829550"/>
                    </a:xfrm>
                    <a:prstGeom prst="rect">
                      <a:avLst/>
                    </a:prstGeom>
                    <a:noFill/>
                    <a:ln>
                      <a:noFill/>
                    </a:ln>
                  </pic:spPr>
                </pic:pic>
              </a:graphicData>
            </a:graphic>
          </wp:inline>
        </w:drawing>
      </w:r>
      <w:r>
        <w:drawing>
          <wp:inline distT="0" distB="0" distL="114300" distR="114300">
            <wp:extent cx="5514975" cy="7667625"/>
            <wp:effectExtent l="0" t="0" r="9525" b="9525"/>
            <wp:docPr id="3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7"/>
                    <pic:cNvPicPr>
                      <a:picLocks noChangeAspect="1"/>
                    </pic:cNvPicPr>
                  </pic:nvPicPr>
                  <pic:blipFill>
                    <a:blip r:embed="rId70"/>
                    <a:stretch>
                      <a:fillRect/>
                    </a:stretch>
                  </pic:blipFill>
                  <pic:spPr>
                    <a:xfrm>
                      <a:off x="0" y="0"/>
                      <a:ext cx="5514975" cy="7667625"/>
                    </a:xfrm>
                    <a:prstGeom prst="rect">
                      <a:avLst/>
                    </a:prstGeom>
                    <a:noFill/>
                    <a:ln>
                      <a:noFill/>
                    </a:ln>
                  </pic:spPr>
                </pic:pic>
              </a:graphicData>
            </a:graphic>
          </wp:inline>
        </w:drawing>
      </w:r>
      <w:r>
        <w:drawing>
          <wp:inline distT="0" distB="0" distL="114300" distR="114300">
            <wp:extent cx="5591175" cy="7867650"/>
            <wp:effectExtent l="0" t="0" r="9525" b="0"/>
            <wp:docPr id="3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8"/>
                    <pic:cNvPicPr>
                      <a:picLocks noChangeAspect="1"/>
                    </pic:cNvPicPr>
                  </pic:nvPicPr>
                  <pic:blipFill>
                    <a:blip r:embed="rId71"/>
                    <a:stretch>
                      <a:fillRect/>
                    </a:stretch>
                  </pic:blipFill>
                  <pic:spPr>
                    <a:xfrm>
                      <a:off x="0" y="0"/>
                      <a:ext cx="5591175" cy="7867650"/>
                    </a:xfrm>
                    <a:prstGeom prst="rect">
                      <a:avLst/>
                    </a:prstGeom>
                    <a:noFill/>
                    <a:ln>
                      <a:noFill/>
                    </a:ln>
                  </pic:spPr>
                </pic:pic>
              </a:graphicData>
            </a:graphic>
          </wp:inline>
        </w:drawing>
      </w:r>
      <w:r>
        <w:drawing>
          <wp:inline distT="0" distB="0" distL="114300" distR="114300">
            <wp:extent cx="5572125" cy="7858125"/>
            <wp:effectExtent l="0" t="0" r="9525" b="9525"/>
            <wp:docPr id="3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9"/>
                    <pic:cNvPicPr>
                      <a:picLocks noChangeAspect="1"/>
                    </pic:cNvPicPr>
                  </pic:nvPicPr>
                  <pic:blipFill>
                    <a:blip r:embed="rId72"/>
                    <a:stretch>
                      <a:fillRect/>
                    </a:stretch>
                  </pic:blipFill>
                  <pic:spPr>
                    <a:xfrm>
                      <a:off x="0" y="0"/>
                      <a:ext cx="5572125" cy="7858125"/>
                    </a:xfrm>
                    <a:prstGeom prst="rect">
                      <a:avLst/>
                    </a:prstGeom>
                    <a:noFill/>
                    <a:ln>
                      <a:noFill/>
                    </a:ln>
                  </pic:spPr>
                </pic:pic>
              </a:graphicData>
            </a:graphic>
          </wp:inline>
        </w:drawing>
      </w:r>
      <w:r>
        <w:drawing>
          <wp:inline distT="0" distB="0" distL="114300" distR="114300">
            <wp:extent cx="5591175" cy="7886700"/>
            <wp:effectExtent l="0" t="0" r="9525" b="0"/>
            <wp:docPr id="4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0"/>
                    <pic:cNvPicPr>
                      <a:picLocks noChangeAspect="1"/>
                    </pic:cNvPicPr>
                  </pic:nvPicPr>
                  <pic:blipFill>
                    <a:blip r:embed="rId73"/>
                    <a:stretch>
                      <a:fillRect/>
                    </a:stretch>
                  </pic:blipFill>
                  <pic:spPr>
                    <a:xfrm>
                      <a:off x="0" y="0"/>
                      <a:ext cx="5591175" cy="7886700"/>
                    </a:xfrm>
                    <a:prstGeom prst="rect">
                      <a:avLst/>
                    </a:prstGeom>
                    <a:noFill/>
                    <a:ln>
                      <a:noFill/>
                    </a:ln>
                  </pic:spPr>
                </pic:pic>
              </a:graphicData>
            </a:graphic>
          </wp:inline>
        </w:drawing>
      </w:r>
      <w:r>
        <w:drawing>
          <wp:inline distT="0" distB="0" distL="114300" distR="114300">
            <wp:extent cx="5562600" cy="7886700"/>
            <wp:effectExtent l="0" t="0" r="0" b="0"/>
            <wp:docPr id="4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1"/>
                    <pic:cNvPicPr>
                      <a:picLocks noChangeAspect="1"/>
                    </pic:cNvPicPr>
                  </pic:nvPicPr>
                  <pic:blipFill>
                    <a:blip r:embed="rId74"/>
                    <a:stretch>
                      <a:fillRect/>
                    </a:stretch>
                  </pic:blipFill>
                  <pic:spPr>
                    <a:xfrm>
                      <a:off x="0" y="0"/>
                      <a:ext cx="5562600" cy="7886700"/>
                    </a:xfrm>
                    <a:prstGeom prst="rect">
                      <a:avLst/>
                    </a:prstGeom>
                    <a:noFill/>
                    <a:ln>
                      <a:noFill/>
                    </a:ln>
                  </pic:spPr>
                </pic:pic>
              </a:graphicData>
            </a:graphic>
          </wp:inline>
        </w:drawing>
      </w:r>
      <w:r>
        <w:drawing>
          <wp:inline distT="0" distB="0" distL="114300" distR="114300">
            <wp:extent cx="5581650" cy="7905750"/>
            <wp:effectExtent l="0" t="0" r="0" b="0"/>
            <wp:docPr id="4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2"/>
                    <pic:cNvPicPr>
                      <a:picLocks noChangeAspect="1"/>
                    </pic:cNvPicPr>
                  </pic:nvPicPr>
                  <pic:blipFill>
                    <a:blip r:embed="rId75"/>
                    <a:stretch>
                      <a:fillRect/>
                    </a:stretch>
                  </pic:blipFill>
                  <pic:spPr>
                    <a:xfrm>
                      <a:off x="0" y="0"/>
                      <a:ext cx="5581650" cy="7905750"/>
                    </a:xfrm>
                    <a:prstGeom prst="rect">
                      <a:avLst/>
                    </a:prstGeom>
                    <a:noFill/>
                    <a:ln>
                      <a:noFill/>
                    </a:ln>
                  </pic:spPr>
                </pic:pic>
              </a:graphicData>
            </a:graphic>
          </wp:inline>
        </w:drawing>
      </w:r>
    </w:p>
    <w:sectPr>
      <w:pgSz w:w="11906" w:h="16838"/>
      <w:pgMar w:top="1701" w:right="1531" w:bottom="1701" w:left="1531" w:header="851" w:footer="851"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EFF" w:usb1="C000785B" w:usb2="00000009" w:usb3="00000000" w:csb0="400001FF" w:csb1="FFFF0000"/>
  </w:font>
  <w:font w:name="宋体">
    <w:panose1 w:val="02010600030101010101"/>
    <w:charset w:val="81"/>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等线">
    <w:panose1 w:val="02010600030101010101"/>
    <w:charset w:val="86"/>
    <w:family w:val="auto"/>
    <w:pitch w:val="default"/>
    <w:sig w:usb0="A00002BF" w:usb1="38CF7CFA" w:usb2="00000016" w:usb3="00000000" w:csb0="0004000F" w:csb1="00000000"/>
  </w:font>
  <w:font w:name="Tahoma">
    <w:panose1 w:val="020B0604030504040204"/>
    <w:charset w:val="00"/>
    <w:family w:val="swiss"/>
    <w:pitch w:val="default"/>
    <w:sig w:usb0="E1002EFF" w:usb1="C000605B" w:usb2="00000029" w:usb3="00000000" w:csb0="200101FF" w:csb1="2028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方正小标宋_GBK">
    <w:panose1 w:val="02000000000000000000"/>
    <w:charset w:val="86"/>
    <w:family w:val="script"/>
    <w:pitch w:val="default"/>
    <w:sig w:usb0="A00002BF" w:usb1="38CF7CFA" w:usb2="00082016" w:usb3="00000000" w:csb0="00040001" w:csb1="00000000"/>
  </w:font>
  <w:font w:name="华文仿宋">
    <w:altName w:val="仿宋"/>
    <w:panose1 w:val="02010600040101010101"/>
    <w:charset w:val="86"/>
    <w:family w:val="auto"/>
    <w:pitch w:val="default"/>
    <w:sig w:usb0="00000000" w:usb1="00000000" w:usb2="00000010" w:usb3="00000000" w:csb0="0004009F" w:csb1="00000000"/>
  </w:font>
  <w:font w:name="Segoe UI Symbol">
    <w:panose1 w:val="020B0502040204020203"/>
    <w:charset w:val="00"/>
    <w:family w:val="swiss"/>
    <w:pitch w:val="default"/>
    <w:sig w:usb0="800001E3" w:usb1="1200FFEF" w:usb2="00040000" w:usb3="04000000" w:csb0="00000001" w:csb1="40000000"/>
  </w:font>
  <w:font w:name="Wingdings 2">
    <w:panose1 w:val="05020102010507070707"/>
    <w:charset w:val="02"/>
    <w:family w:val="roman"/>
    <w:pitch w:val="default"/>
    <w:sig w:usb0="00000000" w:usb1="00000000" w:usb2="00000000" w:usb3="00000000" w:csb0="80000000"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AFDEEC">
    <w:pPr>
      <w:pStyle w:val="15"/>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1CCA90">
    <w:pPr>
      <w:pStyle w:val="15"/>
      <w:framePr w:wrap="around" w:vAnchor="text" w:hAnchor="margin" w:xAlign="center" w:y="1"/>
      <w:rPr>
        <w:rStyle w:val="24"/>
      </w:rPr>
    </w:pPr>
    <w:r>
      <w:fldChar w:fldCharType="begin"/>
    </w:r>
    <w:r>
      <w:rPr>
        <w:rStyle w:val="24"/>
      </w:rPr>
      <w:instrText xml:space="preserve">PAGE  </w:instrText>
    </w:r>
    <w:r>
      <w:fldChar w:fldCharType="separate"/>
    </w:r>
    <w:r>
      <w:rPr>
        <w:rStyle w:val="24"/>
      </w:rPr>
      <w:t>6</w:t>
    </w:r>
    <w:r>
      <w:fldChar w:fldCharType="end"/>
    </w:r>
  </w:p>
  <w:p w14:paraId="4E93D3F9">
    <w:pPr>
      <w:pStyle w:val="15"/>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2BD75B">
    <w:pPr>
      <w:pStyle w:val="15"/>
      <w:jc w:val="center"/>
      <w:rPr>
        <w:rStyle w:val="24"/>
        <w:rFonts w:ascii="宋体" w:hAnsi="宋体"/>
        <w:sz w:val="28"/>
        <w:szCs w:val="28"/>
      </w:rPr>
    </w:pPr>
    <w:r>
      <w:rPr>
        <w:rStyle w:val="24"/>
        <w:rFonts w:hint="eastAsia" w:ascii="宋体" w:hAnsi="宋体"/>
        <w:sz w:val="28"/>
        <w:szCs w:val="28"/>
      </w:rPr>
      <w:t>—</w:t>
    </w:r>
    <w:r>
      <w:rPr>
        <w:rStyle w:val="24"/>
        <w:sz w:val="24"/>
        <w:szCs w:val="26"/>
      </w:rPr>
      <w:fldChar w:fldCharType="begin"/>
    </w:r>
    <w:r>
      <w:rPr>
        <w:rStyle w:val="24"/>
        <w:sz w:val="24"/>
        <w:szCs w:val="26"/>
      </w:rPr>
      <w:instrText xml:space="preserve">PAGE  </w:instrText>
    </w:r>
    <w:r>
      <w:rPr>
        <w:rStyle w:val="24"/>
        <w:sz w:val="24"/>
        <w:szCs w:val="26"/>
      </w:rPr>
      <w:fldChar w:fldCharType="separate"/>
    </w:r>
    <w:r>
      <w:rPr>
        <w:rStyle w:val="24"/>
        <w:sz w:val="24"/>
        <w:szCs w:val="26"/>
      </w:rPr>
      <w:t>63</w:t>
    </w:r>
    <w:r>
      <w:rPr>
        <w:rStyle w:val="24"/>
        <w:sz w:val="24"/>
        <w:szCs w:val="26"/>
      </w:rPr>
      <w:fldChar w:fldCharType="end"/>
    </w:r>
    <w:r>
      <w:rPr>
        <w:rStyle w:val="24"/>
        <w:rFonts w:hint="eastAsia" w:ascii="宋体" w:hAnsi="宋体"/>
        <w:sz w:val="28"/>
        <w:szCs w:val="28"/>
      </w:rPr>
      <w:t>—</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C753EF">
    <w:pPr>
      <w:pStyle w:val="15"/>
      <w:framePr w:wrap="around" w:vAnchor="text" w:hAnchor="page" w:x="7963" w:y="27"/>
      <w:jc w:val="center"/>
      <w:rPr>
        <w:rStyle w:val="24"/>
        <w:rFonts w:ascii="宋体" w:hAnsi="宋体"/>
        <w:sz w:val="28"/>
        <w:szCs w:val="28"/>
      </w:rPr>
    </w:pPr>
    <w:r>
      <w:rPr>
        <w:rStyle w:val="24"/>
        <w:rFonts w:hint="eastAsia" w:ascii="宋体" w:hAnsi="宋体"/>
        <w:sz w:val="28"/>
        <w:szCs w:val="28"/>
      </w:rPr>
      <w:t>—</w:t>
    </w:r>
    <w:r>
      <w:rPr>
        <w:rStyle w:val="24"/>
        <w:sz w:val="24"/>
        <w:szCs w:val="24"/>
      </w:rPr>
      <w:fldChar w:fldCharType="begin"/>
    </w:r>
    <w:r>
      <w:rPr>
        <w:rStyle w:val="24"/>
        <w:sz w:val="24"/>
        <w:szCs w:val="24"/>
      </w:rPr>
      <w:instrText xml:space="preserve">PAGE  </w:instrText>
    </w:r>
    <w:r>
      <w:rPr>
        <w:rStyle w:val="24"/>
        <w:sz w:val="24"/>
        <w:szCs w:val="24"/>
      </w:rPr>
      <w:fldChar w:fldCharType="separate"/>
    </w:r>
    <w:r>
      <w:rPr>
        <w:rStyle w:val="24"/>
        <w:sz w:val="24"/>
        <w:szCs w:val="24"/>
      </w:rPr>
      <w:t>90</w:t>
    </w:r>
    <w:r>
      <w:rPr>
        <w:rStyle w:val="24"/>
        <w:sz w:val="24"/>
        <w:szCs w:val="24"/>
      </w:rPr>
      <w:fldChar w:fldCharType="end"/>
    </w:r>
    <w:r>
      <w:rPr>
        <w:rStyle w:val="24"/>
        <w:rFonts w:hint="eastAsia" w:ascii="宋体" w:hAnsi="宋体"/>
        <w:sz w:val="28"/>
        <w:szCs w:val="28"/>
      </w:rPr>
      <w:t>—</w:t>
    </w:r>
  </w:p>
  <w:p w14:paraId="2FEBBCAF">
    <w:pPr>
      <w:pStyle w:val="15"/>
      <w:ind w:right="360" w:firstLine="360"/>
      <w:jc w:val="cen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9143F6C"/>
    <w:multiLevelType w:val="singleLevel"/>
    <w:tmpl w:val="C9143F6C"/>
    <w:lvl w:ilvl="0" w:tentative="0">
      <w:start w:val="2"/>
      <w:numFmt w:val="decimal"/>
      <w:suff w:val="nothing"/>
      <w:lvlText w:val="（%1）"/>
      <w:lvlJc w:val="left"/>
    </w:lvl>
  </w:abstractNum>
  <w:abstractNum w:abstractNumId="1">
    <w:nsid w:val="0FBAE9C0"/>
    <w:multiLevelType w:val="singleLevel"/>
    <w:tmpl w:val="0FBAE9C0"/>
    <w:lvl w:ilvl="0" w:tentative="0">
      <w:start w:val="5"/>
      <w:numFmt w:val="decimal"/>
      <w:suff w:val="nothing"/>
      <w:lvlText w:val="%1．"/>
      <w:lvlJc w:val="left"/>
    </w:lvl>
  </w:abstractNum>
  <w:abstractNum w:abstractNumId="2">
    <w:nsid w:val="2B99361C"/>
    <w:multiLevelType w:val="multilevel"/>
    <w:tmpl w:val="2B99361C"/>
    <w:lvl w:ilvl="0" w:tentative="0">
      <w:start w:val="1"/>
      <w:numFmt w:val="decimal"/>
      <w:lvlText w:val="表2-%1"/>
      <w:lvlJc w:val="center"/>
      <w:pPr>
        <w:ind w:left="900" w:hanging="420"/>
      </w:pPr>
      <w:rPr>
        <w:rFonts w:hint="default" w:ascii="Times New Roman" w:hAnsi="Times New Roman" w:eastAsia="宋体"/>
        <w:b/>
        <w:i w:val="0"/>
        <w:sz w:val="21"/>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
    <w:nsid w:val="48CC0CE2"/>
    <w:multiLevelType w:val="multilevel"/>
    <w:tmpl w:val="48CC0CE2"/>
    <w:lvl w:ilvl="0" w:tentative="0">
      <w:start w:val="1"/>
      <w:numFmt w:val="decimal"/>
      <w:lvlText w:val="图2-%1"/>
      <w:lvlJc w:val="center"/>
      <w:pPr>
        <w:ind w:left="840" w:hanging="420"/>
      </w:pPr>
      <w:rPr>
        <w:rFonts w:hint="default" w:ascii="Times New Roman" w:hAnsi="Times New Roman" w:eastAsia="宋体"/>
        <w:b/>
        <w:i w:val="0"/>
        <w:w w:val="100"/>
        <w:sz w:val="21"/>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4">
    <w:nsid w:val="4A9460D4"/>
    <w:multiLevelType w:val="multilevel"/>
    <w:tmpl w:val="4A9460D4"/>
    <w:lvl w:ilvl="0" w:tentative="0">
      <w:start w:val="1"/>
      <w:numFmt w:val="decimal"/>
      <w:lvlText w:val="图1-%1"/>
      <w:lvlJc w:val="left"/>
      <w:pPr>
        <w:ind w:left="420" w:hanging="420"/>
      </w:pPr>
      <w:rPr>
        <w:rFonts w:hint="default" w:ascii="Times New Roman" w:hAnsi="Times New Roman" w:eastAsia="宋体"/>
        <w:b/>
        <w:i w:val="0"/>
        <w:sz w:val="21"/>
        <w:highlight w:val="none"/>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58DE0BE5"/>
    <w:multiLevelType w:val="multilevel"/>
    <w:tmpl w:val="58DE0BE5"/>
    <w:lvl w:ilvl="0" w:tentative="0">
      <w:start w:val="1"/>
      <w:numFmt w:val="decimal"/>
      <w:suff w:val="space"/>
      <w:lvlText w:val="%1"/>
      <w:lvlJc w:val="left"/>
      <w:pPr>
        <w:ind w:left="0" w:firstLine="0"/>
      </w:pPr>
      <w:rPr>
        <w:rFonts w:hint="default" w:ascii="宋体" w:hAnsi="宋体" w:eastAsia="宋体" w:cs="宋体"/>
      </w:rPr>
    </w:lvl>
    <w:lvl w:ilvl="1" w:tentative="0">
      <w:start w:val="1"/>
      <w:numFmt w:val="decimal"/>
      <w:suff w:val="space"/>
      <w:lvlText w:val="%1.%2"/>
      <w:lvlJc w:val="left"/>
      <w:pPr>
        <w:tabs>
          <w:tab w:val="left" w:pos="0"/>
        </w:tabs>
        <w:ind w:left="0" w:firstLine="0"/>
      </w:pPr>
      <w:rPr>
        <w:rFonts w:hint="default" w:ascii="宋体" w:hAnsi="宋体" w:eastAsia="宋体" w:cs="宋体"/>
      </w:rPr>
    </w:lvl>
    <w:lvl w:ilvl="2" w:tentative="0">
      <w:start w:val="1"/>
      <w:numFmt w:val="decimal"/>
      <w:isLgl/>
      <w:suff w:val="space"/>
      <w:lvlText w:val="%1.%2.%3"/>
      <w:lvlJc w:val="left"/>
      <w:pPr>
        <w:tabs>
          <w:tab w:val="left" w:pos="420"/>
        </w:tabs>
        <w:ind w:left="0" w:firstLine="0"/>
      </w:pPr>
      <w:rPr>
        <w:rFonts w:hint="default" w:ascii="宋体" w:hAnsi="宋体" w:eastAsia="宋体" w:cs="宋体"/>
      </w:rPr>
    </w:lvl>
    <w:lvl w:ilvl="3" w:tentative="0">
      <w:start w:val="1"/>
      <w:numFmt w:val="decimal"/>
      <w:pStyle w:val="52"/>
      <w:suff w:val="nothing"/>
      <w:lvlText w:val="（%4）"/>
      <w:lvlJc w:val="left"/>
      <w:pPr>
        <w:tabs>
          <w:tab w:val="left" w:pos="420"/>
        </w:tabs>
        <w:ind w:left="850" w:hanging="850"/>
      </w:pPr>
      <w:rPr>
        <w:rFonts w:hint="default" w:ascii="宋体" w:hAnsi="宋体" w:eastAsia="宋体" w:cs="宋体"/>
        <w:lang w:val="en-US"/>
      </w:rPr>
    </w:lvl>
    <w:lvl w:ilvl="4" w:tentative="0">
      <w:start w:val="1"/>
      <w:numFmt w:val="none"/>
      <w:lvlText w:val=""/>
      <w:lvlJc w:val="left"/>
      <w:pPr>
        <w:tabs>
          <w:tab w:val="left" w:pos="420"/>
        </w:tabs>
        <w:ind w:left="991" w:hanging="991"/>
      </w:pPr>
      <w:rPr>
        <w:rFonts w:hint="default" w:ascii="宋体" w:hAnsi="宋体" w:eastAsia="宋体" w:cs="宋体"/>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6">
    <w:nsid w:val="5A0B2FAA"/>
    <w:multiLevelType w:val="multilevel"/>
    <w:tmpl w:val="5A0B2FAA"/>
    <w:lvl w:ilvl="0" w:tentative="0">
      <w:start w:val="1"/>
      <w:numFmt w:val="decimal"/>
      <w:lvlText w:val="表3-%1"/>
      <w:lvlJc w:val="center"/>
      <w:pPr>
        <w:ind w:left="840" w:hanging="420"/>
      </w:pPr>
      <w:rPr>
        <w:rFonts w:hint="default" w:ascii="Times New Roman" w:hAnsi="Times New Roman" w:eastAsia="宋体"/>
        <w:b/>
        <w:i w:val="0"/>
        <w:sz w:val="21"/>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64F98807"/>
    <w:multiLevelType w:val="singleLevel"/>
    <w:tmpl w:val="64F98807"/>
    <w:lvl w:ilvl="0" w:tentative="0">
      <w:start w:val="6"/>
      <w:numFmt w:val="decimal"/>
      <w:suff w:val="nothing"/>
      <w:lvlText w:val="%1．"/>
      <w:lvlJc w:val="left"/>
    </w:lvl>
  </w:abstractNum>
  <w:abstractNum w:abstractNumId="8">
    <w:nsid w:val="691752B0"/>
    <w:multiLevelType w:val="multilevel"/>
    <w:tmpl w:val="691752B0"/>
    <w:lvl w:ilvl="0" w:tentative="0">
      <w:start w:val="1"/>
      <w:numFmt w:val="decimal"/>
      <w:lvlText w:val="表4-%1"/>
      <w:lvlJc w:val="center"/>
      <w:pPr>
        <w:ind w:left="900" w:hanging="420"/>
      </w:pPr>
      <w:rPr>
        <w:rFonts w:hint="default" w:ascii="Times New Roman" w:hAnsi="Times New Roman" w:eastAsia="宋体"/>
        <w:b/>
        <w:i w:val="0"/>
        <w:sz w:val="21"/>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9">
    <w:nsid w:val="6DC8709F"/>
    <w:multiLevelType w:val="multilevel"/>
    <w:tmpl w:val="6DC8709F"/>
    <w:lvl w:ilvl="0" w:tentative="0">
      <w:start w:val="1"/>
      <w:numFmt w:val="decimal"/>
      <w:lvlText w:val="图4-%1"/>
      <w:lvlJc w:val="center"/>
      <w:pPr>
        <w:ind w:left="900" w:hanging="420"/>
      </w:pPr>
      <w:rPr>
        <w:rFonts w:hint="default" w:ascii="Times New Roman" w:hAnsi="Times New Roman" w:eastAsia="宋体" w:cs="Times New Roman"/>
        <w:b/>
        <w:i w:val="0"/>
        <w:sz w:val="21"/>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0">
    <w:nsid w:val="71702E45"/>
    <w:multiLevelType w:val="multilevel"/>
    <w:tmpl w:val="71702E45"/>
    <w:lvl w:ilvl="0" w:tentative="0">
      <w:start w:val="1"/>
      <w:numFmt w:val="decimal"/>
      <w:lvlText w:val="表1-%1"/>
      <w:lvlJc w:val="center"/>
      <w:pPr>
        <w:ind w:left="900" w:hanging="420"/>
      </w:pPr>
      <w:rPr>
        <w:rFonts w:hint="default" w:ascii="Times New Roman" w:hAnsi="Times New Roman" w:eastAsia="宋体"/>
        <w:b/>
        <w:i w:val="0"/>
        <w:sz w:val="21"/>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num w:numId="1">
    <w:abstractNumId w:val="5"/>
  </w:num>
  <w:num w:numId="2">
    <w:abstractNumId w:val="4"/>
  </w:num>
  <w:num w:numId="3">
    <w:abstractNumId w:val="10"/>
  </w:num>
  <w:num w:numId="4">
    <w:abstractNumId w:val="2"/>
  </w:num>
  <w:num w:numId="5">
    <w:abstractNumId w:val="3"/>
  </w:num>
  <w:num w:numId="6">
    <w:abstractNumId w:val="0"/>
  </w:num>
  <w:num w:numId="7">
    <w:abstractNumId w:val="6"/>
  </w:num>
  <w:num w:numId="8">
    <w:abstractNumId w:val="7"/>
  </w:num>
  <w:num w:numId="9">
    <w:abstractNumId w:val="8"/>
  </w:num>
  <w:num w:numId="10">
    <w:abstractNumId w:val="9"/>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DVjNDkyMjFmMTA1OGUyMDU3ZDc1YzI0MWU3NzZjYTEifQ=="/>
  </w:docVars>
  <w:rsids>
    <w:rsidRoot w:val="00A14947"/>
    <w:rsid w:val="00000378"/>
    <w:rsid w:val="00000719"/>
    <w:rsid w:val="00004836"/>
    <w:rsid w:val="000060B3"/>
    <w:rsid w:val="000065AE"/>
    <w:rsid w:val="0000665E"/>
    <w:rsid w:val="00007F2A"/>
    <w:rsid w:val="000131A5"/>
    <w:rsid w:val="00013A1A"/>
    <w:rsid w:val="00013E81"/>
    <w:rsid w:val="0001411F"/>
    <w:rsid w:val="00014A0A"/>
    <w:rsid w:val="00014CCE"/>
    <w:rsid w:val="00022122"/>
    <w:rsid w:val="00023F1A"/>
    <w:rsid w:val="00024093"/>
    <w:rsid w:val="00025AB6"/>
    <w:rsid w:val="00026093"/>
    <w:rsid w:val="000269D3"/>
    <w:rsid w:val="00027104"/>
    <w:rsid w:val="000312BB"/>
    <w:rsid w:val="00031CF4"/>
    <w:rsid w:val="000327C9"/>
    <w:rsid w:val="00032BA1"/>
    <w:rsid w:val="00033BFC"/>
    <w:rsid w:val="00036899"/>
    <w:rsid w:val="00037080"/>
    <w:rsid w:val="000417AE"/>
    <w:rsid w:val="00041EAA"/>
    <w:rsid w:val="00041EB9"/>
    <w:rsid w:val="0004364B"/>
    <w:rsid w:val="00044864"/>
    <w:rsid w:val="00044ADB"/>
    <w:rsid w:val="00045679"/>
    <w:rsid w:val="00045C45"/>
    <w:rsid w:val="0005052A"/>
    <w:rsid w:val="00051F99"/>
    <w:rsid w:val="0005336A"/>
    <w:rsid w:val="00053AC3"/>
    <w:rsid w:val="00053C90"/>
    <w:rsid w:val="00054701"/>
    <w:rsid w:val="0006147D"/>
    <w:rsid w:val="00061B1F"/>
    <w:rsid w:val="00063067"/>
    <w:rsid w:val="00063DE4"/>
    <w:rsid w:val="0006491E"/>
    <w:rsid w:val="00064AA6"/>
    <w:rsid w:val="00065C50"/>
    <w:rsid w:val="00066D7F"/>
    <w:rsid w:val="000733C4"/>
    <w:rsid w:val="00074783"/>
    <w:rsid w:val="00075DE4"/>
    <w:rsid w:val="00076CE7"/>
    <w:rsid w:val="000773A7"/>
    <w:rsid w:val="00077B93"/>
    <w:rsid w:val="00077C8C"/>
    <w:rsid w:val="0008070B"/>
    <w:rsid w:val="00080BC5"/>
    <w:rsid w:val="000810AC"/>
    <w:rsid w:val="00081A02"/>
    <w:rsid w:val="00082231"/>
    <w:rsid w:val="000839BE"/>
    <w:rsid w:val="0008493E"/>
    <w:rsid w:val="00086161"/>
    <w:rsid w:val="000877EC"/>
    <w:rsid w:val="000908DC"/>
    <w:rsid w:val="000912B1"/>
    <w:rsid w:val="00092D38"/>
    <w:rsid w:val="00092EB9"/>
    <w:rsid w:val="0009377B"/>
    <w:rsid w:val="00093E7B"/>
    <w:rsid w:val="0009481D"/>
    <w:rsid w:val="000948AB"/>
    <w:rsid w:val="000958B3"/>
    <w:rsid w:val="0009743D"/>
    <w:rsid w:val="000975C7"/>
    <w:rsid w:val="00097B12"/>
    <w:rsid w:val="00097D73"/>
    <w:rsid w:val="000A0615"/>
    <w:rsid w:val="000A0812"/>
    <w:rsid w:val="000A0DB0"/>
    <w:rsid w:val="000A0E0C"/>
    <w:rsid w:val="000A1616"/>
    <w:rsid w:val="000A20C9"/>
    <w:rsid w:val="000A41D6"/>
    <w:rsid w:val="000A4908"/>
    <w:rsid w:val="000A566F"/>
    <w:rsid w:val="000A5F7E"/>
    <w:rsid w:val="000A6410"/>
    <w:rsid w:val="000A64CF"/>
    <w:rsid w:val="000A7DD2"/>
    <w:rsid w:val="000B058F"/>
    <w:rsid w:val="000B05D6"/>
    <w:rsid w:val="000B1ACE"/>
    <w:rsid w:val="000B2F78"/>
    <w:rsid w:val="000B4467"/>
    <w:rsid w:val="000B4DB9"/>
    <w:rsid w:val="000B5048"/>
    <w:rsid w:val="000B5BE0"/>
    <w:rsid w:val="000B5D77"/>
    <w:rsid w:val="000C09AC"/>
    <w:rsid w:val="000C1382"/>
    <w:rsid w:val="000C3E6B"/>
    <w:rsid w:val="000C4A40"/>
    <w:rsid w:val="000C767F"/>
    <w:rsid w:val="000D0AAD"/>
    <w:rsid w:val="000D102B"/>
    <w:rsid w:val="000D20F2"/>
    <w:rsid w:val="000D30A5"/>
    <w:rsid w:val="000D5A44"/>
    <w:rsid w:val="000E35B9"/>
    <w:rsid w:val="000E3B3F"/>
    <w:rsid w:val="000E3ED2"/>
    <w:rsid w:val="000E440E"/>
    <w:rsid w:val="000E451A"/>
    <w:rsid w:val="000E7652"/>
    <w:rsid w:val="000F0A59"/>
    <w:rsid w:val="000F39D8"/>
    <w:rsid w:val="000F3AB7"/>
    <w:rsid w:val="000F43CA"/>
    <w:rsid w:val="000F4889"/>
    <w:rsid w:val="000F4C20"/>
    <w:rsid w:val="000F5818"/>
    <w:rsid w:val="000F59B3"/>
    <w:rsid w:val="000F5B70"/>
    <w:rsid w:val="000F6A7F"/>
    <w:rsid w:val="000F7290"/>
    <w:rsid w:val="00100028"/>
    <w:rsid w:val="00101E10"/>
    <w:rsid w:val="0010230F"/>
    <w:rsid w:val="00111160"/>
    <w:rsid w:val="00113A4F"/>
    <w:rsid w:val="0011612A"/>
    <w:rsid w:val="00116172"/>
    <w:rsid w:val="001167E3"/>
    <w:rsid w:val="00116BA1"/>
    <w:rsid w:val="00116BB8"/>
    <w:rsid w:val="00117ADB"/>
    <w:rsid w:val="0012090A"/>
    <w:rsid w:val="00121C8E"/>
    <w:rsid w:val="00121E50"/>
    <w:rsid w:val="001222C2"/>
    <w:rsid w:val="00122429"/>
    <w:rsid w:val="00123872"/>
    <w:rsid w:val="00123C32"/>
    <w:rsid w:val="00125E26"/>
    <w:rsid w:val="0013054A"/>
    <w:rsid w:val="00131F42"/>
    <w:rsid w:val="001336D6"/>
    <w:rsid w:val="00133CC5"/>
    <w:rsid w:val="00133D72"/>
    <w:rsid w:val="00133F49"/>
    <w:rsid w:val="001357F1"/>
    <w:rsid w:val="00140075"/>
    <w:rsid w:val="0014073A"/>
    <w:rsid w:val="00140FA8"/>
    <w:rsid w:val="00142FEB"/>
    <w:rsid w:val="00143A2D"/>
    <w:rsid w:val="00144B06"/>
    <w:rsid w:val="00145A41"/>
    <w:rsid w:val="00146F0B"/>
    <w:rsid w:val="001479CA"/>
    <w:rsid w:val="001504C8"/>
    <w:rsid w:val="00151675"/>
    <w:rsid w:val="0015266C"/>
    <w:rsid w:val="00155B3E"/>
    <w:rsid w:val="00155E69"/>
    <w:rsid w:val="00157435"/>
    <w:rsid w:val="00157F3A"/>
    <w:rsid w:val="00160E23"/>
    <w:rsid w:val="00161564"/>
    <w:rsid w:val="0016189B"/>
    <w:rsid w:val="00162558"/>
    <w:rsid w:val="00163890"/>
    <w:rsid w:val="00163A11"/>
    <w:rsid w:val="00164696"/>
    <w:rsid w:val="001650EC"/>
    <w:rsid w:val="00167F72"/>
    <w:rsid w:val="00167F8D"/>
    <w:rsid w:val="00172409"/>
    <w:rsid w:val="00172CBD"/>
    <w:rsid w:val="00173E8A"/>
    <w:rsid w:val="001746CE"/>
    <w:rsid w:val="00174C25"/>
    <w:rsid w:val="0017504D"/>
    <w:rsid w:val="0017671A"/>
    <w:rsid w:val="00177422"/>
    <w:rsid w:val="00180AFD"/>
    <w:rsid w:val="00181D1F"/>
    <w:rsid w:val="001823FA"/>
    <w:rsid w:val="0018295C"/>
    <w:rsid w:val="00182D1E"/>
    <w:rsid w:val="00184590"/>
    <w:rsid w:val="0018501B"/>
    <w:rsid w:val="00185201"/>
    <w:rsid w:val="0018579B"/>
    <w:rsid w:val="001861BC"/>
    <w:rsid w:val="001870D1"/>
    <w:rsid w:val="0018781E"/>
    <w:rsid w:val="0019262D"/>
    <w:rsid w:val="001946C8"/>
    <w:rsid w:val="00195FFB"/>
    <w:rsid w:val="0019712C"/>
    <w:rsid w:val="001A107D"/>
    <w:rsid w:val="001A11EA"/>
    <w:rsid w:val="001A135D"/>
    <w:rsid w:val="001A1B35"/>
    <w:rsid w:val="001A1BAB"/>
    <w:rsid w:val="001A24E5"/>
    <w:rsid w:val="001A2904"/>
    <w:rsid w:val="001A30AF"/>
    <w:rsid w:val="001A3258"/>
    <w:rsid w:val="001A3503"/>
    <w:rsid w:val="001A48A2"/>
    <w:rsid w:val="001A51E2"/>
    <w:rsid w:val="001A6E8D"/>
    <w:rsid w:val="001A6F61"/>
    <w:rsid w:val="001B3EEF"/>
    <w:rsid w:val="001B42AA"/>
    <w:rsid w:val="001B58FB"/>
    <w:rsid w:val="001B72B8"/>
    <w:rsid w:val="001C1EDB"/>
    <w:rsid w:val="001C280A"/>
    <w:rsid w:val="001C4BD8"/>
    <w:rsid w:val="001C56E8"/>
    <w:rsid w:val="001C641F"/>
    <w:rsid w:val="001C69B3"/>
    <w:rsid w:val="001C7214"/>
    <w:rsid w:val="001C76AF"/>
    <w:rsid w:val="001D0F5D"/>
    <w:rsid w:val="001D1176"/>
    <w:rsid w:val="001D37AE"/>
    <w:rsid w:val="001D4EAE"/>
    <w:rsid w:val="001D4EC4"/>
    <w:rsid w:val="001D4EDB"/>
    <w:rsid w:val="001D52D9"/>
    <w:rsid w:val="001D5595"/>
    <w:rsid w:val="001D5C98"/>
    <w:rsid w:val="001D6B43"/>
    <w:rsid w:val="001D7874"/>
    <w:rsid w:val="001D7F22"/>
    <w:rsid w:val="001E0267"/>
    <w:rsid w:val="001E0FB6"/>
    <w:rsid w:val="001E31D0"/>
    <w:rsid w:val="001E766F"/>
    <w:rsid w:val="001F0F17"/>
    <w:rsid w:val="001F3347"/>
    <w:rsid w:val="001F49DA"/>
    <w:rsid w:val="001F69E4"/>
    <w:rsid w:val="001F7A67"/>
    <w:rsid w:val="00200AB4"/>
    <w:rsid w:val="00203042"/>
    <w:rsid w:val="00203C05"/>
    <w:rsid w:val="0020516F"/>
    <w:rsid w:val="002051C0"/>
    <w:rsid w:val="002059B8"/>
    <w:rsid w:val="00206482"/>
    <w:rsid w:val="0021000A"/>
    <w:rsid w:val="0021239B"/>
    <w:rsid w:val="002125B4"/>
    <w:rsid w:val="0021391E"/>
    <w:rsid w:val="00214222"/>
    <w:rsid w:val="00214E72"/>
    <w:rsid w:val="002155B8"/>
    <w:rsid w:val="00220DB0"/>
    <w:rsid w:val="002220CF"/>
    <w:rsid w:val="00223E68"/>
    <w:rsid w:val="00224839"/>
    <w:rsid w:val="002249B2"/>
    <w:rsid w:val="00226574"/>
    <w:rsid w:val="00226B77"/>
    <w:rsid w:val="002278EC"/>
    <w:rsid w:val="00230F1C"/>
    <w:rsid w:val="00231AD5"/>
    <w:rsid w:val="0023280E"/>
    <w:rsid w:val="0023513B"/>
    <w:rsid w:val="002363CC"/>
    <w:rsid w:val="0023685F"/>
    <w:rsid w:val="002377D1"/>
    <w:rsid w:val="00241821"/>
    <w:rsid w:val="00243D73"/>
    <w:rsid w:val="002451BC"/>
    <w:rsid w:val="0024529B"/>
    <w:rsid w:val="00245F92"/>
    <w:rsid w:val="002506BC"/>
    <w:rsid w:val="00252E8E"/>
    <w:rsid w:val="0025320B"/>
    <w:rsid w:val="00253757"/>
    <w:rsid w:val="00254345"/>
    <w:rsid w:val="002556FB"/>
    <w:rsid w:val="00257C9F"/>
    <w:rsid w:val="00261B44"/>
    <w:rsid w:val="00261C79"/>
    <w:rsid w:val="002635FF"/>
    <w:rsid w:val="00264557"/>
    <w:rsid w:val="002658D4"/>
    <w:rsid w:val="00267F55"/>
    <w:rsid w:val="00267F87"/>
    <w:rsid w:val="00270268"/>
    <w:rsid w:val="0027081A"/>
    <w:rsid w:val="00270C4A"/>
    <w:rsid w:val="00270F81"/>
    <w:rsid w:val="002717A5"/>
    <w:rsid w:val="00271CA9"/>
    <w:rsid w:val="00275546"/>
    <w:rsid w:val="00275D1E"/>
    <w:rsid w:val="00277330"/>
    <w:rsid w:val="00277962"/>
    <w:rsid w:val="002805AB"/>
    <w:rsid w:val="0028085B"/>
    <w:rsid w:val="00284204"/>
    <w:rsid w:val="00285C64"/>
    <w:rsid w:val="00286323"/>
    <w:rsid w:val="0028640C"/>
    <w:rsid w:val="002902ED"/>
    <w:rsid w:val="00290FF1"/>
    <w:rsid w:val="0029159F"/>
    <w:rsid w:val="00291773"/>
    <w:rsid w:val="00291C41"/>
    <w:rsid w:val="00292977"/>
    <w:rsid w:val="00292C6F"/>
    <w:rsid w:val="0029334D"/>
    <w:rsid w:val="00294AAB"/>
    <w:rsid w:val="0029730A"/>
    <w:rsid w:val="00297409"/>
    <w:rsid w:val="002978EA"/>
    <w:rsid w:val="00297C6E"/>
    <w:rsid w:val="002A0C9B"/>
    <w:rsid w:val="002A168C"/>
    <w:rsid w:val="002A3DC7"/>
    <w:rsid w:val="002A449C"/>
    <w:rsid w:val="002A4955"/>
    <w:rsid w:val="002A52B9"/>
    <w:rsid w:val="002B03D2"/>
    <w:rsid w:val="002B1275"/>
    <w:rsid w:val="002B155F"/>
    <w:rsid w:val="002B1E28"/>
    <w:rsid w:val="002B3205"/>
    <w:rsid w:val="002B3B29"/>
    <w:rsid w:val="002B49E2"/>
    <w:rsid w:val="002B65BE"/>
    <w:rsid w:val="002B6DD3"/>
    <w:rsid w:val="002B6E76"/>
    <w:rsid w:val="002B729B"/>
    <w:rsid w:val="002B7B00"/>
    <w:rsid w:val="002B7C44"/>
    <w:rsid w:val="002C0611"/>
    <w:rsid w:val="002C187F"/>
    <w:rsid w:val="002C1B8D"/>
    <w:rsid w:val="002C1FD2"/>
    <w:rsid w:val="002C2115"/>
    <w:rsid w:val="002C2215"/>
    <w:rsid w:val="002C2B17"/>
    <w:rsid w:val="002C3A6C"/>
    <w:rsid w:val="002C4222"/>
    <w:rsid w:val="002C567F"/>
    <w:rsid w:val="002C6CE9"/>
    <w:rsid w:val="002C6D9D"/>
    <w:rsid w:val="002D03DE"/>
    <w:rsid w:val="002D15DA"/>
    <w:rsid w:val="002D1AE8"/>
    <w:rsid w:val="002D1ED0"/>
    <w:rsid w:val="002D261D"/>
    <w:rsid w:val="002D2BD7"/>
    <w:rsid w:val="002D3DD0"/>
    <w:rsid w:val="002D3FD7"/>
    <w:rsid w:val="002D4954"/>
    <w:rsid w:val="002D5A0B"/>
    <w:rsid w:val="002E12D4"/>
    <w:rsid w:val="002E1F3A"/>
    <w:rsid w:val="002E298A"/>
    <w:rsid w:val="002E3419"/>
    <w:rsid w:val="002E3C35"/>
    <w:rsid w:val="002E4C2E"/>
    <w:rsid w:val="002E7DC5"/>
    <w:rsid w:val="002F1957"/>
    <w:rsid w:val="002F27B9"/>
    <w:rsid w:val="002F4C7B"/>
    <w:rsid w:val="002F521E"/>
    <w:rsid w:val="002F5EC1"/>
    <w:rsid w:val="002F699B"/>
    <w:rsid w:val="002F713A"/>
    <w:rsid w:val="0030028F"/>
    <w:rsid w:val="00301978"/>
    <w:rsid w:val="003019B5"/>
    <w:rsid w:val="00302EE5"/>
    <w:rsid w:val="0030332C"/>
    <w:rsid w:val="003051C2"/>
    <w:rsid w:val="00305B54"/>
    <w:rsid w:val="003066C1"/>
    <w:rsid w:val="0031024B"/>
    <w:rsid w:val="00311527"/>
    <w:rsid w:val="00311CA6"/>
    <w:rsid w:val="00312296"/>
    <w:rsid w:val="0031300E"/>
    <w:rsid w:val="00313B42"/>
    <w:rsid w:val="00313D3C"/>
    <w:rsid w:val="00314782"/>
    <w:rsid w:val="00314DFF"/>
    <w:rsid w:val="00314F0E"/>
    <w:rsid w:val="00316FC1"/>
    <w:rsid w:val="003170C5"/>
    <w:rsid w:val="00317CED"/>
    <w:rsid w:val="00320B08"/>
    <w:rsid w:val="00321D8E"/>
    <w:rsid w:val="00324374"/>
    <w:rsid w:val="003247F8"/>
    <w:rsid w:val="003249AA"/>
    <w:rsid w:val="00324D50"/>
    <w:rsid w:val="00325928"/>
    <w:rsid w:val="00327782"/>
    <w:rsid w:val="00331EF4"/>
    <w:rsid w:val="00332863"/>
    <w:rsid w:val="003337CC"/>
    <w:rsid w:val="00333E23"/>
    <w:rsid w:val="00334DA3"/>
    <w:rsid w:val="00335105"/>
    <w:rsid w:val="0033684D"/>
    <w:rsid w:val="00337B42"/>
    <w:rsid w:val="00337D4A"/>
    <w:rsid w:val="003405F5"/>
    <w:rsid w:val="00340E01"/>
    <w:rsid w:val="00341B42"/>
    <w:rsid w:val="0034348F"/>
    <w:rsid w:val="003434AB"/>
    <w:rsid w:val="00343522"/>
    <w:rsid w:val="0034423E"/>
    <w:rsid w:val="00345557"/>
    <w:rsid w:val="00352D36"/>
    <w:rsid w:val="00354FB0"/>
    <w:rsid w:val="00355348"/>
    <w:rsid w:val="00356653"/>
    <w:rsid w:val="0035743F"/>
    <w:rsid w:val="00357552"/>
    <w:rsid w:val="00357BE2"/>
    <w:rsid w:val="00357D79"/>
    <w:rsid w:val="0036170C"/>
    <w:rsid w:val="0036191C"/>
    <w:rsid w:val="00366E0F"/>
    <w:rsid w:val="0036722A"/>
    <w:rsid w:val="00367BA7"/>
    <w:rsid w:val="00372620"/>
    <w:rsid w:val="00373E11"/>
    <w:rsid w:val="00374F13"/>
    <w:rsid w:val="00375751"/>
    <w:rsid w:val="00381A72"/>
    <w:rsid w:val="0038228A"/>
    <w:rsid w:val="00384676"/>
    <w:rsid w:val="00385526"/>
    <w:rsid w:val="003871C0"/>
    <w:rsid w:val="00387CC9"/>
    <w:rsid w:val="00387F00"/>
    <w:rsid w:val="00390857"/>
    <w:rsid w:val="00391C4C"/>
    <w:rsid w:val="00392742"/>
    <w:rsid w:val="00393028"/>
    <w:rsid w:val="00393CA3"/>
    <w:rsid w:val="0039411F"/>
    <w:rsid w:val="00394B7B"/>
    <w:rsid w:val="003A4BF3"/>
    <w:rsid w:val="003A551A"/>
    <w:rsid w:val="003A5902"/>
    <w:rsid w:val="003A60E7"/>
    <w:rsid w:val="003A69DD"/>
    <w:rsid w:val="003A6E81"/>
    <w:rsid w:val="003A74BF"/>
    <w:rsid w:val="003B36A4"/>
    <w:rsid w:val="003B415E"/>
    <w:rsid w:val="003B420D"/>
    <w:rsid w:val="003B69FA"/>
    <w:rsid w:val="003B6A22"/>
    <w:rsid w:val="003C13B5"/>
    <w:rsid w:val="003C30B1"/>
    <w:rsid w:val="003C6C16"/>
    <w:rsid w:val="003C74EB"/>
    <w:rsid w:val="003D0D8C"/>
    <w:rsid w:val="003D3D77"/>
    <w:rsid w:val="003D4285"/>
    <w:rsid w:val="003D593C"/>
    <w:rsid w:val="003D5F19"/>
    <w:rsid w:val="003D5F1B"/>
    <w:rsid w:val="003D65BF"/>
    <w:rsid w:val="003D794D"/>
    <w:rsid w:val="003D7F01"/>
    <w:rsid w:val="003E0303"/>
    <w:rsid w:val="003E0748"/>
    <w:rsid w:val="003E2239"/>
    <w:rsid w:val="003E2EBC"/>
    <w:rsid w:val="003E3058"/>
    <w:rsid w:val="003E30B6"/>
    <w:rsid w:val="003E3220"/>
    <w:rsid w:val="003E3FE1"/>
    <w:rsid w:val="003E4DAB"/>
    <w:rsid w:val="003E62CA"/>
    <w:rsid w:val="003E70DE"/>
    <w:rsid w:val="003E76A9"/>
    <w:rsid w:val="003E76C8"/>
    <w:rsid w:val="003E7F89"/>
    <w:rsid w:val="003F0809"/>
    <w:rsid w:val="003F3F1A"/>
    <w:rsid w:val="003F41C2"/>
    <w:rsid w:val="003F4B0D"/>
    <w:rsid w:val="003F6A8C"/>
    <w:rsid w:val="003F6C02"/>
    <w:rsid w:val="003F6F9B"/>
    <w:rsid w:val="003F755C"/>
    <w:rsid w:val="003F7774"/>
    <w:rsid w:val="003F77ED"/>
    <w:rsid w:val="00402C42"/>
    <w:rsid w:val="0040572F"/>
    <w:rsid w:val="00406F01"/>
    <w:rsid w:val="00410CA8"/>
    <w:rsid w:val="00411807"/>
    <w:rsid w:val="004122BA"/>
    <w:rsid w:val="00413049"/>
    <w:rsid w:val="00416B7F"/>
    <w:rsid w:val="00416D50"/>
    <w:rsid w:val="00416FD5"/>
    <w:rsid w:val="00417772"/>
    <w:rsid w:val="00420BB7"/>
    <w:rsid w:val="00420E6A"/>
    <w:rsid w:val="004235BB"/>
    <w:rsid w:val="0042363D"/>
    <w:rsid w:val="004239EB"/>
    <w:rsid w:val="00423E9A"/>
    <w:rsid w:val="00425A9E"/>
    <w:rsid w:val="00426095"/>
    <w:rsid w:val="0042628B"/>
    <w:rsid w:val="00426D6B"/>
    <w:rsid w:val="00431E6C"/>
    <w:rsid w:val="00433CE7"/>
    <w:rsid w:val="0043433E"/>
    <w:rsid w:val="00436BB9"/>
    <w:rsid w:val="00436E99"/>
    <w:rsid w:val="0043720F"/>
    <w:rsid w:val="0043741B"/>
    <w:rsid w:val="004375F5"/>
    <w:rsid w:val="00437830"/>
    <w:rsid w:val="00437E71"/>
    <w:rsid w:val="00441E67"/>
    <w:rsid w:val="0044227D"/>
    <w:rsid w:val="00442D96"/>
    <w:rsid w:val="004457AA"/>
    <w:rsid w:val="0044788F"/>
    <w:rsid w:val="00452738"/>
    <w:rsid w:val="00452BCF"/>
    <w:rsid w:val="00454DFF"/>
    <w:rsid w:val="00456091"/>
    <w:rsid w:val="00457107"/>
    <w:rsid w:val="00460517"/>
    <w:rsid w:val="00462D34"/>
    <w:rsid w:val="00464609"/>
    <w:rsid w:val="00465F2E"/>
    <w:rsid w:val="004661BD"/>
    <w:rsid w:val="00466321"/>
    <w:rsid w:val="004671AD"/>
    <w:rsid w:val="004673D9"/>
    <w:rsid w:val="00470CDD"/>
    <w:rsid w:val="00470D74"/>
    <w:rsid w:val="0047197C"/>
    <w:rsid w:val="00472E00"/>
    <w:rsid w:val="00474244"/>
    <w:rsid w:val="00474C91"/>
    <w:rsid w:val="004757DF"/>
    <w:rsid w:val="00476E94"/>
    <w:rsid w:val="00477731"/>
    <w:rsid w:val="0048120D"/>
    <w:rsid w:val="0048485C"/>
    <w:rsid w:val="00484B9B"/>
    <w:rsid w:val="004855E7"/>
    <w:rsid w:val="004855F6"/>
    <w:rsid w:val="00485A21"/>
    <w:rsid w:val="0048661E"/>
    <w:rsid w:val="00486B06"/>
    <w:rsid w:val="00487334"/>
    <w:rsid w:val="0048783C"/>
    <w:rsid w:val="0049038F"/>
    <w:rsid w:val="00493794"/>
    <w:rsid w:val="00494670"/>
    <w:rsid w:val="0049584D"/>
    <w:rsid w:val="00496CF3"/>
    <w:rsid w:val="00497F92"/>
    <w:rsid w:val="004A144E"/>
    <w:rsid w:val="004A1680"/>
    <w:rsid w:val="004A3182"/>
    <w:rsid w:val="004A3823"/>
    <w:rsid w:val="004A385D"/>
    <w:rsid w:val="004B0C40"/>
    <w:rsid w:val="004B1783"/>
    <w:rsid w:val="004B2361"/>
    <w:rsid w:val="004B2976"/>
    <w:rsid w:val="004B51BD"/>
    <w:rsid w:val="004B594D"/>
    <w:rsid w:val="004B72E7"/>
    <w:rsid w:val="004C0F1B"/>
    <w:rsid w:val="004C13AA"/>
    <w:rsid w:val="004C364B"/>
    <w:rsid w:val="004C7976"/>
    <w:rsid w:val="004D043B"/>
    <w:rsid w:val="004D0616"/>
    <w:rsid w:val="004D1AFC"/>
    <w:rsid w:val="004D35BD"/>
    <w:rsid w:val="004D465A"/>
    <w:rsid w:val="004D7514"/>
    <w:rsid w:val="004D7C2D"/>
    <w:rsid w:val="004E0455"/>
    <w:rsid w:val="004E1B97"/>
    <w:rsid w:val="004E3476"/>
    <w:rsid w:val="004E3EA5"/>
    <w:rsid w:val="004E6946"/>
    <w:rsid w:val="004F0FB5"/>
    <w:rsid w:val="004F151A"/>
    <w:rsid w:val="004F19F3"/>
    <w:rsid w:val="004F1AD8"/>
    <w:rsid w:val="004F654D"/>
    <w:rsid w:val="004F75D8"/>
    <w:rsid w:val="004F7E70"/>
    <w:rsid w:val="00500998"/>
    <w:rsid w:val="005039CB"/>
    <w:rsid w:val="00504A44"/>
    <w:rsid w:val="0050558F"/>
    <w:rsid w:val="00506286"/>
    <w:rsid w:val="005065B3"/>
    <w:rsid w:val="00507EF8"/>
    <w:rsid w:val="00510758"/>
    <w:rsid w:val="00510813"/>
    <w:rsid w:val="005117A0"/>
    <w:rsid w:val="005118ED"/>
    <w:rsid w:val="00511990"/>
    <w:rsid w:val="00511DE0"/>
    <w:rsid w:val="00512ABD"/>
    <w:rsid w:val="005130B8"/>
    <w:rsid w:val="00514870"/>
    <w:rsid w:val="00514B9B"/>
    <w:rsid w:val="00516114"/>
    <w:rsid w:val="00516311"/>
    <w:rsid w:val="00516A22"/>
    <w:rsid w:val="00517F02"/>
    <w:rsid w:val="00521B45"/>
    <w:rsid w:val="00521F36"/>
    <w:rsid w:val="005227A5"/>
    <w:rsid w:val="00524303"/>
    <w:rsid w:val="005258A2"/>
    <w:rsid w:val="00530839"/>
    <w:rsid w:val="00530E31"/>
    <w:rsid w:val="00533FA7"/>
    <w:rsid w:val="00535CF0"/>
    <w:rsid w:val="00536303"/>
    <w:rsid w:val="005401AE"/>
    <w:rsid w:val="00540932"/>
    <w:rsid w:val="005416BF"/>
    <w:rsid w:val="00541E7F"/>
    <w:rsid w:val="0054243C"/>
    <w:rsid w:val="0054257A"/>
    <w:rsid w:val="00542E07"/>
    <w:rsid w:val="00542E41"/>
    <w:rsid w:val="0054348A"/>
    <w:rsid w:val="005437AC"/>
    <w:rsid w:val="005438A5"/>
    <w:rsid w:val="00543FEF"/>
    <w:rsid w:val="0054485F"/>
    <w:rsid w:val="00545424"/>
    <w:rsid w:val="00546938"/>
    <w:rsid w:val="005502AD"/>
    <w:rsid w:val="00551A4A"/>
    <w:rsid w:val="00552E2E"/>
    <w:rsid w:val="00553E85"/>
    <w:rsid w:val="005549EA"/>
    <w:rsid w:val="00554A7B"/>
    <w:rsid w:val="005550D9"/>
    <w:rsid w:val="0055572C"/>
    <w:rsid w:val="00555DDA"/>
    <w:rsid w:val="00557A2B"/>
    <w:rsid w:val="00560F67"/>
    <w:rsid w:val="0056106A"/>
    <w:rsid w:val="00562F6A"/>
    <w:rsid w:val="00564AC2"/>
    <w:rsid w:val="0056606E"/>
    <w:rsid w:val="00566D8E"/>
    <w:rsid w:val="00567F1E"/>
    <w:rsid w:val="005720AE"/>
    <w:rsid w:val="0057250E"/>
    <w:rsid w:val="00572AAA"/>
    <w:rsid w:val="00572B21"/>
    <w:rsid w:val="0057309E"/>
    <w:rsid w:val="0057333B"/>
    <w:rsid w:val="00573DE3"/>
    <w:rsid w:val="00574C6A"/>
    <w:rsid w:val="00576313"/>
    <w:rsid w:val="00576E75"/>
    <w:rsid w:val="0057722D"/>
    <w:rsid w:val="00582B4D"/>
    <w:rsid w:val="00582FEF"/>
    <w:rsid w:val="005836FD"/>
    <w:rsid w:val="00585D75"/>
    <w:rsid w:val="00592AB8"/>
    <w:rsid w:val="005930BC"/>
    <w:rsid w:val="00593894"/>
    <w:rsid w:val="00594D77"/>
    <w:rsid w:val="00595F64"/>
    <w:rsid w:val="005969E4"/>
    <w:rsid w:val="00596BE2"/>
    <w:rsid w:val="00597D1B"/>
    <w:rsid w:val="005A06B7"/>
    <w:rsid w:val="005A1759"/>
    <w:rsid w:val="005A2FD5"/>
    <w:rsid w:val="005A3479"/>
    <w:rsid w:val="005A392F"/>
    <w:rsid w:val="005A3D0C"/>
    <w:rsid w:val="005A68A7"/>
    <w:rsid w:val="005A7EDF"/>
    <w:rsid w:val="005B2062"/>
    <w:rsid w:val="005B2CE8"/>
    <w:rsid w:val="005B49E1"/>
    <w:rsid w:val="005B531A"/>
    <w:rsid w:val="005B667B"/>
    <w:rsid w:val="005B7C0B"/>
    <w:rsid w:val="005C134D"/>
    <w:rsid w:val="005C29D3"/>
    <w:rsid w:val="005C2B17"/>
    <w:rsid w:val="005C2DDE"/>
    <w:rsid w:val="005C52A0"/>
    <w:rsid w:val="005C6182"/>
    <w:rsid w:val="005C72F3"/>
    <w:rsid w:val="005D05D6"/>
    <w:rsid w:val="005D1BEF"/>
    <w:rsid w:val="005D2820"/>
    <w:rsid w:val="005D340B"/>
    <w:rsid w:val="005D36AB"/>
    <w:rsid w:val="005D3D00"/>
    <w:rsid w:val="005D4DD2"/>
    <w:rsid w:val="005E056E"/>
    <w:rsid w:val="005E34DD"/>
    <w:rsid w:val="005E50E3"/>
    <w:rsid w:val="005E7A37"/>
    <w:rsid w:val="005F2BFB"/>
    <w:rsid w:val="005F41ED"/>
    <w:rsid w:val="005F4868"/>
    <w:rsid w:val="005F4E76"/>
    <w:rsid w:val="005F696E"/>
    <w:rsid w:val="005F6B5E"/>
    <w:rsid w:val="005F7881"/>
    <w:rsid w:val="00602096"/>
    <w:rsid w:val="00602708"/>
    <w:rsid w:val="00605660"/>
    <w:rsid w:val="00610F75"/>
    <w:rsid w:val="006123A4"/>
    <w:rsid w:val="00614852"/>
    <w:rsid w:val="00616572"/>
    <w:rsid w:val="00616D40"/>
    <w:rsid w:val="00616FE6"/>
    <w:rsid w:val="006179E9"/>
    <w:rsid w:val="00617CC3"/>
    <w:rsid w:val="006237C5"/>
    <w:rsid w:val="006249CD"/>
    <w:rsid w:val="00624E8E"/>
    <w:rsid w:val="0062618E"/>
    <w:rsid w:val="006267E4"/>
    <w:rsid w:val="00630466"/>
    <w:rsid w:val="00630B2E"/>
    <w:rsid w:val="00632E93"/>
    <w:rsid w:val="00635545"/>
    <w:rsid w:val="006363DD"/>
    <w:rsid w:val="00636672"/>
    <w:rsid w:val="00636BF9"/>
    <w:rsid w:val="006377A6"/>
    <w:rsid w:val="00637A3D"/>
    <w:rsid w:val="006400DF"/>
    <w:rsid w:val="006411EF"/>
    <w:rsid w:val="006412A2"/>
    <w:rsid w:val="00641EF3"/>
    <w:rsid w:val="00642A2B"/>
    <w:rsid w:val="00642B39"/>
    <w:rsid w:val="006438EF"/>
    <w:rsid w:val="006450CF"/>
    <w:rsid w:val="006460F7"/>
    <w:rsid w:val="006462B2"/>
    <w:rsid w:val="00647B2C"/>
    <w:rsid w:val="00647DDD"/>
    <w:rsid w:val="00650C54"/>
    <w:rsid w:val="00651003"/>
    <w:rsid w:val="006523D8"/>
    <w:rsid w:val="006527EB"/>
    <w:rsid w:val="00653ED7"/>
    <w:rsid w:val="0065582F"/>
    <w:rsid w:val="0065609E"/>
    <w:rsid w:val="00660FAE"/>
    <w:rsid w:val="006646AE"/>
    <w:rsid w:val="0066554A"/>
    <w:rsid w:val="0066616D"/>
    <w:rsid w:val="006669C8"/>
    <w:rsid w:val="00667EA4"/>
    <w:rsid w:val="00671880"/>
    <w:rsid w:val="00671FD0"/>
    <w:rsid w:val="006726A6"/>
    <w:rsid w:val="006748B8"/>
    <w:rsid w:val="0067576C"/>
    <w:rsid w:val="006775C3"/>
    <w:rsid w:val="006775C9"/>
    <w:rsid w:val="00677CB8"/>
    <w:rsid w:val="0068158A"/>
    <w:rsid w:val="006818EF"/>
    <w:rsid w:val="00681C24"/>
    <w:rsid w:val="0068496B"/>
    <w:rsid w:val="006858B6"/>
    <w:rsid w:val="00687021"/>
    <w:rsid w:val="00687D68"/>
    <w:rsid w:val="0069062B"/>
    <w:rsid w:val="0069290A"/>
    <w:rsid w:val="0069362F"/>
    <w:rsid w:val="00695A37"/>
    <w:rsid w:val="00696298"/>
    <w:rsid w:val="0069775A"/>
    <w:rsid w:val="00697813"/>
    <w:rsid w:val="006A06D6"/>
    <w:rsid w:val="006A0EB6"/>
    <w:rsid w:val="006A3BE2"/>
    <w:rsid w:val="006A3BF7"/>
    <w:rsid w:val="006A3EE8"/>
    <w:rsid w:val="006A54BF"/>
    <w:rsid w:val="006A59DD"/>
    <w:rsid w:val="006A72BF"/>
    <w:rsid w:val="006A7686"/>
    <w:rsid w:val="006B03F2"/>
    <w:rsid w:val="006B0B3E"/>
    <w:rsid w:val="006B185C"/>
    <w:rsid w:val="006B1D93"/>
    <w:rsid w:val="006B2D65"/>
    <w:rsid w:val="006B37DC"/>
    <w:rsid w:val="006B4271"/>
    <w:rsid w:val="006B4916"/>
    <w:rsid w:val="006B4C96"/>
    <w:rsid w:val="006B4CC1"/>
    <w:rsid w:val="006B4F68"/>
    <w:rsid w:val="006B69D4"/>
    <w:rsid w:val="006B6E8B"/>
    <w:rsid w:val="006C0592"/>
    <w:rsid w:val="006C0A12"/>
    <w:rsid w:val="006C0A25"/>
    <w:rsid w:val="006C0EC5"/>
    <w:rsid w:val="006C272E"/>
    <w:rsid w:val="006C2F3A"/>
    <w:rsid w:val="006C5479"/>
    <w:rsid w:val="006C69F8"/>
    <w:rsid w:val="006D13B5"/>
    <w:rsid w:val="006D4092"/>
    <w:rsid w:val="006D4515"/>
    <w:rsid w:val="006D4682"/>
    <w:rsid w:val="006E0FED"/>
    <w:rsid w:val="006E12FF"/>
    <w:rsid w:val="006E213B"/>
    <w:rsid w:val="006E39F6"/>
    <w:rsid w:val="006E3BD3"/>
    <w:rsid w:val="006E4909"/>
    <w:rsid w:val="006E607E"/>
    <w:rsid w:val="006E7EEB"/>
    <w:rsid w:val="006E7FA6"/>
    <w:rsid w:val="006E7FB5"/>
    <w:rsid w:val="006F114A"/>
    <w:rsid w:val="006F5C5E"/>
    <w:rsid w:val="006F5C7A"/>
    <w:rsid w:val="006F5D6D"/>
    <w:rsid w:val="006F6194"/>
    <w:rsid w:val="006F7201"/>
    <w:rsid w:val="00700856"/>
    <w:rsid w:val="00701DBE"/>
    <w:rsid w:val="00703027"/>
    <w:rsid w:val="00704FF0"/>
    <w:rsid w:val="0070604A"/>
    <w:rsid w:val="0070674F"/>
    <w:rsid w:val="00706C5D"/>
    <w:rsid w:val="00706CE5"/>
    <w:rsid w:val="007101A2"/>
    <w:rsid w:val="0071100A"/>
    <w:rsid w:val="00712530"/>
    <w:rsid w:val="00712830"/>
    <w:rsid w:val="00714082"/>
    <w:rsid w:val="00714D45"/>
    <w:rsid w:val="0071518A"/>
    <w:rsid w:val="00715473"/>
    <w:rsid w:val="00715CA9"/>
    <w:rsid w:val="00715DC7"/>
    <w:rsid w:val="0071690B"/>
    <w:rsid w:val="00716916"/>
    <w:rsid w:val="00723ABA"/>
    <w:rsid w:val="00724122"/>
    <w:rsid w:val="00726960"/>
    <w:rsid w:val="007272BF"/>
    <w:rsid w:val="00727B14"/>
    <w:rsid w:val="00727C88"/>
    <w:rsid w:val="007300BD"/>
    <w:rsid w:val="00732019"/>
    <w:rsid w:val="00732922"/>
    <w:rsid w:val="007354A7"/>
    <w:rsid w:val="0073780B"/>
    <w:rsid w:val="007439A5"/>
    <w:rsid w:val="007451EF"/>
    <w:rsid w:val="0075162E"/>
    <w:rsid w:val="00753A60"/>
    <w:rsid w:val="00754034"/>
    <w:rsid w:val="00755D8D"/>
    <w:rsid w:val="007564B8"/>
    <w:rsid w:val="00756556"/>
    <w:rsid w:val="00760147"/>
    <w:rsid w:val="007618C4"/>
    <w:rsid w:val="00761B4E"/>
    <w:rsid w:val="00762565"/>
    <w:rsid w:val="00765434"/>
    <w:rsid w:val="00765B06"/>
    <w:rsid w:val="00767257"/>
    <w:rsid w:val="00767980"/>
    <w:rsid w:val="00770503"/>
    <w:rsid w:val="00770B19"/>
    <w:rsid w:val="007718AA"/>
    <w:rsid w:val="0077273F"/>
    <w:rsid w:val="0077463F"/>
    <w:rsid w:val="00774AD9"/>
    <w:rsid w:val="00774F19"/>
    <w:rsid w:val="007751E3"/>
    <w:rsid w:val="007754BA"/>
    <w:rsid w:val="00776762"/>
    <w:rsid w:val="00777C01"/>
    <w:rsid w:val="007813C5"/>
    <w:rsid w:val="0078170D"/>
    <w:rsid w:val="00781DAD"/>
    <w:rsid w:val="00781FE2"/>
    <w:rsid w:val="00782309"/>
    <w:rsid w:val="00782577"/>
    <w:rsid w:val="007836EA"/>
    <w:rsid w:val="00783E3A"/>
    <w:rsid w:val="00784489"/>
    <w:rsid w:val="00784CDA"/>
    <w:rsid w:val="007866D9"/>
    <w:rsid w:val="00786BDB"/>
    <w:rsid w:val="00786FBB"/>
    <w:rsid w:val="007906C4"/>
    <w:rsid w:val="00790CE4"/>
    <w:rsid w:val="00792EFD"/>
    <w:rsid w:val="007940EA"/>
    <w:rsid w:val="00794AB0"/>
    <w:rsid w:val="007952AF"/>
    <w:rsid w:val="007967E8"/>
    <w:rsid w:val="007969C2"/>
    <w:rsid w:val="007A0E9D"/>
    <w:rsid w:val="007A1763"/>
    <w:rsid w:val="007A17F8"/>
    <w:rsid w:val="007A1F41"/>
    <w:rsid w:val="007A2170"/>
    <w:rsid w:val="007A22BF"/>
    <w:rsid w:val="007A3323"/>
    <w:rsid w:val="007A421B"/>
    <w:rsid w:val="007A5183"/>
    <w:rsid w:val="007A59DF"/>
    <w:rsid w:val="007A5AF6"/>
    <w:rsid w:val="007A6A42"/>
    <w:rsid w:val="007A7083"/>
    <w:rsid w:val="007A7D33"/>
    <w:rsid w:val="007B1F24"/>
    <w:rsid w:val="007B4C47"/>
    <w:rsid w:val="007B5C2B"/>
    <w:rsid w:val="007B68A6"/>
    <w:rsid w:val="007B7160"/>
    <w:rsid w:val="007B72B8"/>
    <w:rsid w:val="007B7A58"/>
    <w:rsid w:val="007C05F1"/>
    <w:rsid w:val="007C0CDD"/>
    <w:rsid w:val="007C21B5"/>
    <w:rsid w:val="007C273C"/>
    <w:rsid w:val="007C3665"/>
    <w:rsid w:val="007C4C5A"/>
    <w:rsid w:val="007C5E41"/>
    <w:rsid w:val="007C6C8E"/>
    <w:rsid w:val="007C6D31"/>
    <w:rsid w:val="007D0FF4"/>
    <w:rsid w:val="007D2FC0"/>
    <w:rsid w:val="007D31D9"/>
    <w:rsid w:val="007D5561"/>
    <w:rsid w:val="007D6554"/>
    <w:rsid w:val="007D67C1"/>
    <w:rsid w:val="007D7448"/>
    <w:rsid w:val="007E0F43"/>
    <w:rsid w:val="007E3E1E"/>
    <w:rsid w:val="007E42C7"/>
    <w:rsid w:val="007E43D9"/>
    <w:rsid w:val="007E4BD2"/>
    <w:rsid w:val="007E5C41"/>
    <w:rsid w:val="007E6C0D"/>
    <w:rsid w:val="007F1371"/>
    <w:rsid w:val="007F20B1"/>
    <w:rsid w:val="007F285E"/>
    <w:rsid w:val="007F3005"/>
    <w:rsid w:val="007F3165"/>
    <w:rsid w:val="007F41CD"/>
    <w:rsid w:val="007F45AB"/>
    <w:rsid w:val="007F5013"/>
    <w:rsid w:val="007F5A26"/>
    <w:rsid w:val="0080009D"/>
    <w:rsid w:val="00801393"/>
    <w:rsid w:val="00802F88"/>
    <w:rsid w:val="00805FDE"/>
    <w:rsid w:val="00806E0D"/>
    <w:rsid w:val="00806E95"/>
    <w:rsid w:val="008075E5"/>
    <w:rsid w:val="00811111"/>
    <w:rsid w:val="0081254A"/>
    <w:rsid w:val="0081293E"/>
    <w:rsid w:val="00815465"/>
    <w:rsid w:val="00815AF5"/>
    <w:rsid w:val="008160EC"/>
    <w:rsid w:val="00817E9A"/>
    <w:rsid w:val="00821DBE"/>
    <w:rsid w:val="008225B9"/>
    <w:rsid w:val="008226BE"/>
    <w:rsid w:val="0082314D"/>
    <w:rsid w:val="00824565"/>
    <w:rsid w:val="00825B64"/>
    <w:rsid w:val="00826151"/>
    <w:rsid w:val="008263D3"/>
    <w:rsid w:val="00826763"/>
    <w:rsid w:val="008306BD"/>
    <w:rsid w:val="00831A80"/>
    <w:rsid w:val="0083267B"/>
    <w:rsid w:val="00833743"/>
    <w:rsid w:val="008339BA"/>
    <w:rsid w:val="008340A4"/>
    <w:rsid w:val="00835C27"/>
    <w:rsid w:val="00840235"/>
    <w:rsid w:val="008407A1"/>
    <w:rsid w:val="00840CC7"/>
    <w:rsid w:val="00841D81"/>
    <w:rsid w:val="00842C83"/>
    <w:rsid w:val="00842F01"/>
    <w:rsid w:val="00842F5E"/>
    <w:rsid w:val="00843EE0"/>
    <w:rsid w:val="00845716"/>
    <w:rsid w:val="0084626F"/>
    <w:rsid w:val="0084724A"/>
    <w:rsid w:val="008504A9"/>
    <w:rsid w:val="008510FB"/>
    <w:rsid w:val="00851CB7"/>
    <w:rsid w:val="008531C5"/>
    <w:rsid w:val="008552AD"/>
    <w:rsid w:val="008570BF"/>
    <w:rsid w:val="00857A14"/>
    <w:rsid w:val="008640AD"/>
    <w:rsid w:val="00864DC5"/>
    <w:rsid w:val="00866393"/>
    <w:rsid w:val="0086744F"/>
    <w:rsid w:val="008709DD"/>
    <w:rsid w:val="0087135F"/>
    <w:rsid w:val="00871484"/>
    <w:rsid w:val="00872D94"/>
    <w:rsid w:val="0087627F"/>
    <w:rsid w:val="00876D2E"/>
    <w:rsid w:val="00880364"/>
    <w:rsid w:val="0088088B"/>
    <w:rsid w:val="0088128C"/>
    <w:rsid w:val="0088186B"/>
    <w:rsid w:val="00882982"/>
    <w:rsid w:val="00882AD9"/>
    <w:rsid w:val="00886349"/>
    <w:rsid w:val="00887743"/>
    <w:rsid w:val="00887890"/>
    <w:rsid w:val="00887C0A"/>
    <w:rsid w:val="00890336"/>
    <w:rsid w:val="00891592"/>
    <w:rsid w:val="00891E9E"/>
    <w:rsid w:val="00892C02"/>
    <w:rsid w:val="008934C9"/>
    <w:rsid w:val="008964D8"/>
    <w:rsid w:val="008965C0"/>
    <w:rsid w:val="00897A4C"/>
    <w:rsid w:val="008A023F"/>
    <w:rsid w:val="008A2F68"/>
    <w:rsid w:val="008A2FF1"/>
    <w:rsid w:val="008A34D7"/>
    <w:rsid w:val="008A3BBB"/>
    <w:rsid w:val="008A3E8E"/>
    <w:rsid w:val="008A430D"/>
    <w:rsid w:val="008A44DF"/>
    <w:rsid w:val="008A6DED"/>
    <w:rsid w:val="008A741D"/>
    <w:rsid w:val="008A75D1"/>
    <w:rsid w:val="008A7657"/>
    <w:rsid w:val="008B00E3"/>
    <w:rsid w:val="008B0BAE"/>
    <w:rsid w:val="008B12E6"/>
    <w:rsid w:val="008B19FE"/>
    <w:rsid w:val="008B2D34"/>
    <w:rsid w:val="008B2EA9"/>
    <w:rsid w:val="008B3D40"/>
    <w:rsid w:val="008B4DE0"/>
    <w:rsid w:val="008B4FA6"/>
    <w:rsid w:val="008B5282"/>
    <w:rsid w:val="008B52D9"/>
    <w:rsid w:val="008B6EC7"/>
    <w:rsid w:val="008B76D4"/>
    <w:rsid w:val="008B7C17"/>
    <w:rsid w:val="008C0CAD"/>
    <w:rsid w:val="008C2D01"/>
    <w:rsid w:val="008C2E8A"/>
    <w:rsid w:val="008C3141"/>
    <w:rsid w:val="008C40E6"/>
    <w:rsid w:val="008D0F7A"/>
    <w:rsid w:val="008D1D36"/>
    <w:rsid w:val="008D2192"/>
    <w:rsid w:val="008D3A2D"/>
    <w:rsid w:val="008D58D4"/>
    <w:rsid w:val="008D68E4"/>
    <w:rsid w:val="008D75D9"/>
    <w:rsid w:val="008D7BF0"/>
    <w:rsid w:val="008E01A7"/>
    <w:rsid w:val="008E0506"/>
    <w:rsid w:val="008E0CFF"/>
    <w:rsid w:val="008E0DFF"/>
    <w:rsid w:val="008E3659"/>
    <w:rsid w:val="008E44DF"/>
    <w:rsid w:val="008E4A3E"/>
    <w:rsid w:val="008E5B2B"/>
    <w:rsid w:val="008E5D6B"/>
    <w:rsid w:val="008E6545"/>
    <w:rsid w:val="008E68BC"/>
    <w:rsid w:val="008E753D"/>
    <w:rsid w:val="008E76F0"/>
    <w:rsid w:val="008F023B"/>
    <w:rsid w:val="008F15FE"/>
    <w:rsid w:val="008F2C10"/>
    <w:rsid w:val="008F2D29"/>
    <w:rsid w:val="008F3D0F"/>
    <w:rsid w:val="008F5187"/>
    <w:rsid w:val="008F60D8"/>
    <w:rsid w:val="008F63BB"/>
    <w:rsid w:val="008F6468"/>
    <w:rsid w:val="008F6DE4"/>
    <w:rsid w:val="0090263C"/>
    <w:rsid w:val="00902727"/>
    <w:rsid w:val="0090312B"/>
    <w:rsid w:val="0090320C"/>
    <w:rsid w:val="00903CC9"/>
    <w:rsid w:val="00903F21"/>
    <w:rsid w:val="0090449F"/>
    <w:rsid w:val="009067B9"/>
    <w:rsid w:val="00906F2F"/>
    <w:rsid w:val="00907260"/>
    <w:rsid w:val="00907B62"/>
    <w:rsid w:val="00907F17"/>
    <w:rsid w:val="0091164C"/>
    <w:rsid w:val="00913012"/>
    <w:rsid w:val="00913240"/>
    <w:rsid w:val="00914204"/>
    <w:rsid w:val="00916130"/>
    <w:rsid w:val="00916DA2"/>
    <w:rsid w:val="0091736D"/>
    <w:rsid w:val="00920D54"/>
    <w:rsid w:val="00921E52"/>
    <w:rsid w:val="009234E2"/>
    <w:rsid w:val="00926C3C"/>
    <w:rsid w:val="00927974"/>
    <w:rsid w:val="0093037A"/>
    <w:rsid w:val="0093039C"/>
    <w:rsid w:val="009317F1"/>
    <w:rsid w:val="0093281C"/>
    <w:rsid w:val="00937106"/>
    <w:rsid w:val="00941542"/>
    <w:rsid w:val="0094154D"/>
    <w:rsid w:val="009430C8"/>
    <w:rsid w:val="00944B14"/>
    <w:rsid w:val="00945840"/>
    <w:rsid w:val="00946387"/>
    <w:rsid w:val="0094762E"/>
    <w:rsid w:val="00950470"/>
    <w:rsid w:val="0095155F"/>
    <w:rsid w:val="00951826"/>
    <w:rsid w:val="00953EAD"/>
    <w:rsid w:val="00953F15"/>
    <w:rsid w:val="00953FFB"/>
    <w:rsid w:val="00954429"/>
    <w:rsid w:val="00954867"/>
    <w:rsid w:val="00954C6A"/>
    <w:rsid w:val="00955F4A"/>
    <w:rsid w:val="009563CE"/>
    <w:rsid w:val="00961002"/>
    <w:rsid w:val="00961C59"/>
    <w:rsid w:val="00966BF6"/>
    <w:rsid w:val="00966CC4"/>
    <w:rsid w:val="009711C4"/>
    <w:rsid w:val="00972FA3"/>
    <w:rsid w:val="0097303F"/>
    <w:rsid w:val="00973582"/>
    <w:rsid w:val="00973A4F"/>
    <w:rsid w:val="00974EFE"/>
    <w:rsid w:val="009760FA"/>
    <w:rsid w:val="00976328"/>
    <w:rsid w:val="0097680D"/>
    <w:rsid w:val="009768CD"/>
    <w:rsid w:val="00977D0A"/>
    <w:rsid w:val="0098043A"/>
    <w:rsid w:val="00981277"/>
    <w:rsid w:val="0098172B"/>
    <w:rsid w:val="00982438"/>
    <w:rsid w:val="009829F5"/>
    <w:rsid w:val="00982E75"/>
    <w:rsid w:val="0098404C"/>
    <w:rsid w:val="009850E1"/>
    <w:rsid w:val="00985283"/>
    <w:rsid w:val="00986D34"/>
    <w:rsid w:val="0098759A"/>
    <w:rsid w:val="009907A6"/>
    <w:rsid w:val="00992208"/>
    <w:rsid w:val="00992C68"/>
    <w:rsid w:val="009948D7"/>
    <w:rsid w:val="00995992"/>
    <w:rsid w:val="00996415"/>
    <w:rsid w:val="009970E1"/>
    <w:rsid w:val="009A020A"/>
    <w:rsid w:val="009A03E5"/>
    <w:rsid w:val="009A0F3B"/>
    <w:rsid w:val="009A1BB4"/>
    <w:rsid w:val="009A2281"/>
    <w:rsid w:val="009A2628"/>
    <w:rsid w:val="009A3200"/>
    <w:rsid w:val="009A361E"/>
    <w:rsid w:val="009A4431"/>
    <w:rsid w:val="009A4C9B"/>
    <w:rsid w:val="009A6163"/>
    <w:rsid w:val="009A76E9"/>
    <w:rsid w:val="009A7900"/>
    <w:rsid w:val="009A7955"/>
    <w:rsid w:val="009B0897"/>
    <w:rsid w:val="009B1058"/>
    <w:rsid w:val="009B1699"/>
    <w:rsid w:val="009B3257"/>
    <w:rsid w:val="009B4B86"/>
    <w:rsid w:val="009B7BD9"/>
    <w:rsid w:val="009C01AC"/>
    <w:rsid w:val="009C0298"/>
    <w:rsid w:val="009C232C"/>
    <w:rsid w:val="009C3E98"/>
    <w:rsid w:val="009C404E"/>
    <w:rsid w:val="009C5DA3"/>
    <w:rsid w:val="009C6B2E"/>
    <w:rsid w:val="009C7DD5"/>
    <w:rsid w:val="009D2AFC"/>
    <w:rsid w:val="009D3478"/>
    <w:rsid w:val="009D6229"/>
    <w:rsid w:val="009E0085"/>
    <w:rsid w:val="009E183D"/>
    <w:rsid w:val="009E227D"/>
    <w:rsid w:val="009E39E1"/>
    <w:rsid w:val="009E4E38"/>
    <w:rsid w:val="009E5019"/>
    <w:rsid w:val="009E50BF"/>
    <w:rsid w:val="009E59D9"/>
    <w:rsid w:val="009F1754"/>
    <w:rsid w:val="009F1C35"/>
    <w:rsid w:val="009F2D8B"/>
    <w:rsid w:val="00A00B5F"/>
    <w:rsid w:val="00A01B2C"/>
    <w:rsid w:val="00A03D50"/>
    <w:rsid w:val="00A042B0"/>
    <w:rsid w:val="00A04512"/>
    <w:rsid w:val="00A04AFF"/>
    <w:rsid w:val="00A04F1B"/>
    <w:rsid w:val="00A0501B"/>
    <w:rsid w:val="00A06015"/>
    <w:rsid w:val="00A123A5"/>
    <w:rsid w:val="00A129E2"/>
    <w:rsid w:val="00A14947"/>
    <w:rsid w:val="00A154DF"/>
    <w:rsid w:val="00A162A9"/>
    <w:rsid w:val="00A20173"/>
    <w:rsid w:val="00A217C7"/>
    <w:rsid w:val="00A22CC5"/>
    <w:rsid w:val="00A27CE2"/>
    <w:rsid w:val="00A31D47"/>
    <w:rsid w:val="00A321BA"/>
    <w:rsid w:val="00A32A83"/>
    <w:rsid w:val="00A3525A"/>
    <w:rsid w:val="00A366BC"/>
    <w:rsid w:val="00A368DB"/>
    <w:rsid w:val="00A4102E"/>
    <w:rsid w:val="00A423AA"/>
    <w:rsid w:val="00A43C08"/>
    <w:rsid w:val="00A44021"/>
    <w:rsid w:val="00A50A29"/>
    <w:rsid w:val="00A50F45"/>
    <w:rsid w:val="00A53AB2"/>
    <w:rsid w:val="00A53EC6"/>
    <w:rsid w:val="00A53EDF"/>
    <w:rsid w:val="00A55C0F"/>
    <w:rsid w:val="00A569CD"/>
    <w:rsid w:val="00A571CA"/>
    <w:rsid w:val="00A6254E"/>
    <w:rsid w:val="00A62A30"/>
    <w:rsid w:val="00A638C2"/>
    <w:rsid w:val="00A655A4"/>
    <w:rsid w:val="00A6599A"/>
    <w:rsid w:val="00A66172"/>
    <w:rsid w:val="00A662A9"/>
    <w:rsid w:val="00A677C2"/>
    <w:rsid w:val="00A709FE"/>
    <w:rsid w:val="00A73F48"/>
    <w:rsid w:val="00A77639"/>
    <w:rsid w:val="00A77E85"/>
    <w:rsid w:val="00A80010"/>
    <w:rsid w:val="00A80543"/>
    <w:rsid w:val="00A831B6"/>
    <w:rsid w:val="00A84B7A"/>
    <w:rsid w:val="00A85BDB"/>
    <w:rsid w:val="00A8713F"/>
    <w:rsid w:val="00A9044F"/>
    <w:rsid w:val="00A90BA1"/>
    <w:rsid w:val="00A90D72"/>
    <w:rsid w:val="00A95A9B"/>
    <w:rsid w:val="00A96AAC"/>
    <w:rsid w:val="00A979DF"/>
    <w:rsid w:val="00A97A9A"/>
    <w:rsid w:val="00AA0671"/>
    <w:rsid w:val="00AA095E"/>
    <w:rsid w:val="00AA0F3A"/>
    <w:rsid w:val="00AA2531"/>
    <w:rsid w:val="00AA3634"/>
    <w:rsid w:val="00AA67DB"/>
    <w:rsid w:val="00AA74F7"/>
    <w:rsid w:val="00AA76DB"/>
    <w:rsid w:val="00AA7B0A"/>
    <w:rsid w:val="00AA7D9F"/>
    <w:rsid w:val="00AA7FFC"/>
    <w:rsid w:val="00AB0ABA"/>
    <w:rsid w:val="00AB182B"/>
    <w:rsid w:val="00AB1E09"/>
    <w:rsid w:val="00AB3BFC"/>
    <w:rsid w:val="00AB462B"/>
    <w:rsid w:val="00AB5330"/>
    <w:rsid w:val="00AB7747"/>
    <w:rsid w:val="00AC14B2"/>
    <w:rsid w:val="00AC14CE"/>
    <w:rsid w:val="00AC2A56"/>
    <w:rsid w:val="00AC3862"/>
    <w:rsid w:val="00AC5187"/>
    <w:rsid w:val="00AC5F4F"/>
    <w:rsid w:val="00AC64B6"/>
    <w:rsid w:val="00AC68A5"/>
    <w:rsid w:val="00AC713A"/>
    <w:rsid w:val="00AC7461"/>
    <w:rsid w:val="00AD0553"/>
    <w:rsid w:val="00AD055E"/>
    <w:rsid w:val="00AD169C"/>
    <w:rsid w:val="00AD1983"/>
    <w:rsid w:val="00AD45B5"/>
    <w:rsid w:val="00AD47A7"/>
    <w:rsid w:val="00AD489F"/>
    <w:rsid w:val="00AD4E59"/>
    <w:rsid w:val="00AD78B3"/>
    <w:rsid w:val="00AE364D"/>
    <w:rsid w:val="00AE4326"/>
    <w:rsid w:val="00AE5C69"/>
    <w:rsid w:val="00AE6F0D"/>
    <w:rsid w:val="00AE7139"/>
    <w:rsid w:val="00AE7C9F"/>
    <w:rsid w:val="00AF0CBF"/>
    <w:rsid w:val="00AF12A6"/>
    <w:rsid w:val="00AF257F"/>
    <w:rsid w:val="00AF33CF"/>
    <w:rsid w:val="00AF377B"/>
    <w:rsid w:val="00AF4D50"/>
    <w:rsid w:val="00AF6179"/>
    <w:rsid w:val="00AF6D58"/>
    <w:rsid w:val="00B0223B"/>
    <w:rsid w:val="00B033A6"/>
    <w:rsid w:val="00B04227"/>
    <w:rsid w:val="00B05B47"/>
    <w:rsid w:val="00B075AF"/>
    <w:rsid w:val="00B07952"/>
    <w:rsid w:val="00B10297"/>
    <w:rsid w:val="00B10EDD"/>
    <w:rsid w:val="00B123F4"/>
    <w:rsid w:val="00B1295A"/>
    <w:rsid w:val="00B12B57"/>
    <w:rsid w:val="00B12E00"/>
    <w:rsid w:val="00B178F5"/>
    <w:rsid w:val="00B200CA"/>
    <w:rsid w:val="00B20786"/>
    <w:rsid w:val="00B20A45"/>
    <w:rsid w:val="00B22C5C"/>
    <w:rsid w:val="00B2350D"/>
    <w:rsid w:val="00B23522"/>
    <w:rsid w:val="00B24F30"/>
    <w:rsid w:val="00B26FD7"/>
    <w:rsid w:val="00B27390"/>
    <w:rsid w:val="00B30E4B"/>
    <w:rsid w:val="00B31986"/>
    <w:rsid w:val="00B31A85"/>
    <w:rsid w:val="00B31ABF"/>
    <w:rsid w:val="00B32801"/>
    <w:rsid w:val="00B33793"/>
    <w:rsid w:val="00B33BE3"/>
    <w:rsid w:val="00B353C9"/>
    <w:rsid w:val="00B356E3"/>
    <w:rsid w:val="00B42618"/>
    <w:rsid w:val="00B45AED"/>
    <w:rsid w:val="00B5043F"/>
    <w:rsid w:val="00B52B3D"/>
    <w:rsid w:val="00B52B75"/>
    <w:rsid w:val="00B52BFB"/>
    <w:rsid w:val="00B53B5D"/>
    <w:rsid w:val="00B54EAC"/>
    <w:rsid w:val="00B6055E"/>
    <w:rsid w:val="00B60DC2"/>
    <w:rsid w:val="00B6317D"/>
    <w:rsid w:val="00B63B82"/>
    <w:rsid w:val="00B7001D"/>
    <w:rsid w:val="00B708EA"/>
    <w:rsid w:val="00B71735"/>
    <w:rsid w:val="00B73157"/>
    <w:rsid w:val="00B771A0"/>
    <w:rsid w:val="00B7723F"/>
    <w:rsid w:val="00B80534"/>
    <w:rsid w:val="00B80951"/>
    <w:rsid w:val="00B80A02"/>
    <w:rsid w:val="00B81C97"/>
    <w:rsid w:val="00B82D5C"/>
    <w:rsid w:val="00B8433C"/>
    <w:rsid w:val="00B848CC"/>
    <w:rsid w:val="00B86EB9"/>
    <w:rsid w:val="00B87491"/>
    <w:rsid w:val="00B90066"/>
    <w:rsid w:val="00B92CFC"/>
    <w:rsid w:val="00B93993"/>
    <w:rsid w:val="00B95138"/>
    <w:rsid w:val="00B97B23"/>
    <w:rsid w:val="00BA1F26"/>
    <w:rsid w:val="00BA29E9"/>
    <w:rsid w:val="00BA53E1"/>
    <w:rsid w:val="00BA5D3E"/>
    <w:rsid w:val="00BA5F45"/>
    <w:rsid w:val="00BA7142"/>
    <w:rsid w:val="00BA7833"/>
    <w:rsid w:val="00BA7F9D"/>
    <w:rsid w:val="00BB237C"/>
    <w:rsid w:val="00BB41A3"/>
    <w:rsid w:val="00BB4812"/>
    <w:rsid w:val="00BB7B66"/>
    <w:rsid w:val="00BC011D"/>
    <w:rsid w:val="00BC09EB"/>
    <w:rsid w:val="00BC173B"/>
    <w:rsid w:val="00BC1767"/>
    <w:rsid w:val="00BC32DC"/>
    <w:rsid w:val="00BC3346"/>
    <w:rsid w:val="00BC35B3"/>
    <w:rsid w:val="00BC35B6"/>
    <w:rsid w:val="00BC568D"/>
    <w:rsid w:val="00BC5BD4"/>
    <w:rsid w:val="00BC68DC"/>
    <w:rsid w:val="00BC6FA5"/>
    <w:rsid w:val="00BC7C15"/>
    <w:rsid w:val="00BD0E65"/>
    <w:rsid w:val="00BD1B51"/>
    <w:rsid w:val="00BD2114"/>
    <w:rsid w:val="00BD22C5"/>
    <w:rsid w:val="00BD2943"/>
    <w:rsid w:val="00BD436E"/>
    <w:rsid w:val="00BD4596"/>
    <w:rsid w:val="00BD4DA2"/>
    <w:rsid w:val="00BD66D1"/>
    <w:rsid w:val="00BD66D4"/>
    <w:rsid w:val="00BD6CF9"/>
    <w:rsid w:val="00BD7A56"/>
    <w:rsid w:val="00BE02BC"/>
    <w:rsid w:val="00BE1405"/>
    <w:rsid w:val="00BE312D"/>
    <w:rsid w:val="00BE6388"/>
    <w:rsid w:val="00BE65C8"/>
    <w:rsid w:val="00BE78B1"/>
    <w:rsid w:val="00BF0D1A"/>
    <w:rsid w:val="00BF1C20"/>
    <w:rsid w:val="00BF4E64"/>
    <w:rsid w:val="00C0152E"/>
    <w:rsid w:val="00C04BE8"/>
    <w:rsid w:val="00C04F41"/>
    <w:rsid w:val="00C05CAE"/>
    <w:rsid w:val="00C10578"/>
    <w:rsid w:val="00C10DE3"/>
    <w:rsid w:val="00C114E0"/>
    <w:rsid w:val="00C11633"/>
    <w:rsid w:val="00C1247A"/>
    <w:rsid w:val="00C135BC"/>
    <w:rsid w:val="00C13AB4"/>
    <w:rsid w:val="00C13B14"/>
    <w:rsid w:val="00C14380"/>
    <w:rsid w:val="00C14473"/>
    <w:rsid w:val="00C15759"/>
    <w:rsid w:val="00C15C95"/>
    <w:rsid w:val="00C211EB"/>
    <w:rsid w:val="00C226D4"/>
    <w:rsid w:val="00C22A4D"/>
    <w:rsid w:val="00C22CBC"/>
    <w:rsid w:val="00C239A0"/>
    <w:rsid w:val="00C2412C"/>
    <w:rsid w:val="00C2431B"/>
    <w:rsid w:val="00C24920"/>
    <w:rsid w:val="00C24F17"/>
    <w:rsid w:val="00C2596A"/>
    <w:rsid w:val="00C27537"/>
    <w:rsid w:val="00C27E88"/>
    <w:rsid w:val="00C30108"/>
    <w:rsid w:val="00C326EA"/>
    <w:rsid w:val="00C328FE"/>
    <w:rsid w:val="00C33507"/>
    <w:rsid w:val="00C35542"/>
    <w:rsid w:val="00C35659"/>
    <w:rsid w:val="00C36802"/>
    <w:rsid w:val="00C374EE"/>
    <w:rsid w:val="00C40B38"/>
    <w:rsid w:val="00C4197A"/>
    <w:rsid w:val="00C43030"/>
    <w:rsid w:val="00C433EE"/>
    <w:rsid w:val="00C4409D"/>
    <w:rsid w:val="00C447F0"/>
    <w:rsid w:val="00C44E72"/>
    <w:rsid w:val="00C45A06"/>
    <w:rsid w:val="00C45CD4"/>
    <w:rsid w:val="00C47E5B"/>
    <w:rsid w:val="00C50DF6"/>
    <w:rsid w:val="00C50FF9"/>
    <w:rsid w:val="00C52159"/>
    <w:rsid w:val="00C532A9"/>
    <w:rsid w:val="00C53BE7"/>
    <w:rsid w:val="00C55342"/>
    <w:rsid w:val="00C56AB3"/>
    <w:rsid w:val="00C56B8C"/>
    <w:rsid w:val="00C5761B"/>
    <w:rsid w:val="00C57A40"/>
    <w:rsid w:val="00C604A3"/>
    <w:rsid w:val="00C606A9"/>
    <w:rsid w:val="00C61108"/>
    <w:rsid w:val="00C61E4B"/>
    <w:rsid w:val="00C645B3"/>
    <w:rsid w:val="00C64BFF"/>
    <w:rsid w:val="00C661C9"/>
    <w:rsid w:val="00C704E9"/>
    <w:rsid w:val="00C72B11"/>
    <w:rsid w:val="00C74260"/>
    <w:rsid w:val="00C763C9"/>
    <w:rsid w:val="00C76435"/>
    <w:rsid w:val="00C80057"/>
    <w:rsid w:val="00C80F96"/>
    <w:rsid w:val="00C821AA"/>
    <w:rsid w:val="00C82232"/>
    <w:rsid w:val="00C82913"/>
    <w:rsid w:val="00C8492E"/>
    <w:rsid w:val="00C85036"/>
    <w:rsid w:val="00C87F1F"/>
    <w:rsid w:val="00C9261A"/>
    <w:rsid w:val="00C93DF4"/>
    <w:rsid w:val="00C94320"/>
    <w:rsid w:val="00C952BC"/>
    <w:rsid w:val="00C9546D"/>
    <w:rsid w:val="00C972B1"/>
    <w:rsid w:val="00CA153C"/>
    <w:rsid w:val="00CA1991"/>
    <w:rsid w:val="00CA1A67"/>
    <w:rsid w:val="00CA1CD6"/>
    <w:rsid w:val="00CA1DBA"/>
    <w:rsid w:val="00CA21AC"/>
    <w:rsid w:val="00CA2CCE"/>
    <w:rsid w:val="00CA3281"/>
    <w:rsid w:val="00CA38B1"/>
    <w:rsid w:val="00CA43FD"/>
    <w:rsid w:val="00CA54B2"/>
    <w:rsid w:val="00CA698B"/>
    <w:rsid w:val="00CA6C6A"/>
    <w:rsid w:val="00CA7000"/>
    <w:rsid w:val="00CA7EF8"/>
    <w:rsid w:val="00CB0629"/>
    <w:rsid w:val="00CB20BE"/>
    <w:rsid w:val="00CB5473"/>
    <w:rsid w:val="00CB5BF9"/>
    <w:rsid w:val="00CB6A5B"/>
    <w:rsid w:val="00CC0847"/>
    <w:rsid w:val="00CC0B8B"/>
    <w:rsid w:val="00CC0F4B"/>
    <w:rsid w:val="00CC1EBA"/>
    <w:rsid w:val="00CC23EA"/>
    <w:rsid w:val="00CC2D06"/>
    <w:rsid w:val="00CC2F44"/>
    <w:rsid w:val="00CC489B"/>
    <w:rsid w:val="00CC5FB6"/>
    <w:rsid w:val="00CC64CF"/>
    <w:rsid w:val="00CC64D4"/>
    <w:rsid w:val="00CC685D"/>
    <w:rsid w:val="00CC7A6B"/>
    <w:rsid w:val="00CC7A91"/>
    <w:rsid w:val="00CD0CB7"/>
    <w:rsid w:val="00CD1181"/>
    <w:rsid w:val="00CD1964"/>
    <w:rsid w:val="00CD1CD6"/>
    <w:rsid w:val="00CD2749"/>
    <w:rsid w:val="00CD2AF3"/>
    <w:rsid w:val="00CD2BCD"/>
    <w:rsid w:val="00CD2E77"/>
    <w:rsid w:val="00CD3A4C"/>
    <w:rsid w:val="00CD6369"/>
    <w:rsid w:val="00CD6A05"/>
    <w:rsid w:val="00CD7846"/>
    <w:rsid w:val="00CD7DBF"/>
    <w:rsid w:val="00CD7DE6"/>
    <w:rsid w:val="00CE080F"/>
    <w:rsid w:val="00CE10E9"/>
    <w:rsid w:val="00CE1F17"/>
    <w:rsid w:val="00CE2025"/>
    <w:rsid w:val="00CE2910"/>
    <w:rsid w:val="00CE2D90"/>
    <w:rsid w:val="00CE5393"/>
    <w:rsid w:val="00CE73F1"/>
    <w:rsid w:val="00CE7ADA"/>
    <w:rsid w:val="00CF0294"/>
    <w:rsid w:val="00CF0340"/>
    <w:rsid w:val="00CF0A89"/>
    <w:rsid w:val="00CF0FA0"/>
    <w:rsid w:val="00CF36BE"/>
    <w:rsid w:val="00CF3709"/>
    <w:rsid w:val="00CF570C"/>
    <w:rsid w:val="00CF5FCE"/>
    <w:rsid w:val="00CF6000"/>
    <w:rsid w:val="00CF6AC4"/>
    <w:rsid w:val="00CF7BEC"/>
    <w:rsid w:val="00D003F3"/>
    <w:rsid w:val="00D035B6"/>
    <w:rsid w:val="00D0364F"/>
    <w:rsid w:val="00D0530C"/>
    <w:rsid w:val="00D05440"/>
    <w:rsid w:val="00D05677"/>
    <w:rsid w:val="00D0640C"/>
    <w:rsid w:val="00D06834"/>
    <w:rsid w:val="00D07656"/>
    <w:rsid w:val="00D13064"/>
    <w:rsid w:val="00D14688"/>
    <w:rsid w:val="00D1482F"/>
    <w:rsid w:val="00D155DC"/>
    <w:rsid w:val="00D15A1C"/>
    <w:rsid w:val="00D16540"/>
    <w:rsid w:val="00D17A37"/>
    <w:rsid w:val="00D209C4"/>
    <w:rsid w:val="00D20E50"/>
    <w:rsid w:val="00D21945"/>
    <w:rsid w:val="00D21E31"/>
    <w:rsid w:val="00D23181"/>
    <w:rsid w:val="00D24359"/>
    <w:rsid w:val="00D250AB"/>
    <w:rsid w:val="00D26597"/>
    <w:rsid w:val="00D27A1C"/>
    <w:rsid w:val="00D308ED"/>
    <w:rsid w:val="00D30AF2"/>
    <w:rsid w:val="00D32678"/>
    <w:rsid w:val="00D328CF"/>
    <w:rsid w:val="00D33096"/>
    <w:rsid w:val="00D34355"/>
    <w:rsid w:val="00D366A6"/>
    <w:rsid w:val="00D36D86"/>
    <w:rsid w:val="00D371DD"/>
    <w:rsid w:val="00D401AA"/>
    <w:rsid w:val="00D428AA"/>
    <w:rsid w:val="00D436DB"/>
    <w:rsid w:val="00D46FB3"/>
    <w:rsid w:val="00D50A34"/>
    <w:rsid w:val="00D51DB1"/>
    <w:rsid w:val="00D52031"/>
    <w:rsid w:val="00D53EFA"/>
    <w:rsid w:val="00D5757C"/>
    <w:rsid w:val="00D60A3D"/>
    <w:rsid w:val="00D61889"/>
    <w:rsid w:val="00D6399F"/>
    <w:rsid w:val="00D654DD"/>
    <w:rsid w:val="00D65577"/>
    <w:rsid w:val="00D664E1"/>
    <w:rsid w:val="00D66532"/>
    <w:rsid w:val="00D66EEC"/>
    <w:rsid w:val="00D74887"/>
    <w:rsid w:val="00D75B3F"/>
    <w:rsid w:val="00D760C5"/>
    <w:rsid w:val="00D760DA"/>
    <w:rsid w:val="00D77271"/>
    <w:rsid w:val="00D772AE"/>
    <w:rsid w:val="00D80BB6"/>
    <w:rsid w:val="00D81961"/>
    <w:rsid w:val="00D8214B"/>
    <w:rsid w:val="00D82807"/>
    <w:rsid w:val="00D85308"/>
    <w:rsid w:val="00D8587E"/>
    <w:rsid w:val="00D85FCE"/>
    <w:rsid w:val="00D919B2"/>
    <w:rsid w:val="00D91E4A"/>
    <w:rsid w:val="00D9312E"/>
    <w:rsid w:val="00D9322C"/>
    <w:rsid w:val="00D9446D"/>
    <w:rsid w:val="00D94700"/>
    <w:rsid w:val="00D94A7C"/>
    <w:rsid w:val="00D95896"/>
    <w:rsid w:val="00D95DA4"/>
    <w:rsid w:val="00D95EEE"/>
    <w:rsid w:val="00D96BDA"/>
    <w:rsid w:val="00D96D17"/>
    <w:rsid w:val="00D97914"/>
    <w:rsid w:val="00DA1D2D"/>
    <w:rsid w:val="00DA4CF4"/>
    <w:rsid w:val="00DA4CFF"/>
    <w:rsid w:val="00DB109F"/>
    <w:rsid w:val="00DB1F22"/>
    <w:rsid w:val="00DB2983"/>
    <w:rsid w:val="00DB5BAA"/>
    <w:rsid w:val="00DB6A56"/>
    <w:rsid w:val="00DB6F83"/>
    <w:rsid w:val="00DB7522"/>
    <w:rsid w:val="00DC0245"/>
    <w:rsid w:val="00DC0CD4"/>
    <w:rsid w:val="00DC0FB7"/>
    <w:rsid w:val="00DC1257"/>
    <w:rsid w:val="00DC17EA"/>
    <w:rsid w:val="00DC1EC9"/>
    <w:rsid w:val="00DC27CC"/>
    <w:rsid w:val="00DC2DFA"/>
    <w:rsid w:val="00DC3DC0"/>
    <w:rsid w:val="00DC4231"/>
    <w:rsid w:val="00DC4579"/>
    <w:rsid w:val="00DC5011"/>
    <w:rsid w:val="00DC5B2B"/>
    <w:rsid w:val="00DC68BE"/>
    <w:rsid w:val="00DD1F33"/>
    <w:rsid w:val="00DD20B3"/>
    <w:rsid w:val="00DD318D"/>
    <w:rsid w:val="00DD6713"/>
    <w:rsid w:val="00DD674E"/>
    <w:rsid w:val="00DE06FB"/>
    <w:rsid w:val="00DE2159"/>
    <w:rsid w:val="00DE336C"/>
    <w:rsid w:val="00DE3607"/>
    <w:rsid w:val="00DE3D3A"/>
    <w:rsid w:val="00DE61EC"/>
    <w:rsid w:val="00DE6EC3"/>
    <w:rsid w:val="00DE7C9D"/>
    <w:rsid w:val="00DF0BA9"/>
    <w:rsid w:val="00DF0E74"/>
    <w:rsid w:val="00DF1FBC"/>
    <w:rsid w:val="00DF29A6"/>
    <w:rsid w:val="00DF2E12"/>
    <w:rsid w:val="00DF514A"/>
    <w:rsid w:val="00DF5ACC"/>
    <w:rsid w:val="00DF5B50"/>
    <w:rsid w:val="00DF6690"/>
    <w:rsid w:val="00DF6804"/>
    <w:rsid w:val="00DF7428"/>
    <w:rsid w:val="00E00855"/>
    <w:rsid w:val="00E01551"/>
    <w:rsid w:val="00E01ECC"/>
    <w:rsid w:val="00E01FAA"/>
    <w:rsid w:val="00E03314"/>
    <w:rsid w:val="00E0358D"/>
    <w:rsid w:val="00E04323"/>
    <w:rsid w:val="00E04A5C"/>
    <w:rsid w:val="00E0550C"/>
    <w:rsid w:val="00E070A2"/>
    <w:rsid w:val="00E07379"/>
    <w:rsid w:val="00E076EF"/>
    <w:rsid w:val="00E10BFB"/>
    <w:rsid w:val="00E12311"/>
    <w:rsid w:val="00E12B2F"/>
    <w:rsid w:val="00E13C48"/>
    <w:rsid w:val="00E14189"/>
    <w:rsid w:val="00E156D6"/>
    <w:rsid w:val="00E161E9"/>
    <w:rsid w:val="00E2250A"/>
    <w:rsid w:val="00E225B6"/>
    <w:rsid w:val="00E2344D"/>
    <w:rsid w:val="00E2391F"/>
    <w:rsid w:val="00E23E44"/>
    <w:rsid w:val="00E24E47"/>
    <w:rsid w:val="00E2656A"/>
    <w:rsid w:val="00E30681"/>
    <w:rsid w:val="00E30F30"/>
    <w:rsid w:val="00E31762"/>
    <w:rsid w:val="00E32A03"/>
    <w:rsid w:val="00E32F56"/>
    <w:rsid w:val="00E35751"/>
    <w:rsid w:val="00E3601A"/>
    <w:rsid w:val="00E37682"/>
    <w:rsid w:val="00E412D0"/>
    <w:rsid w:val="00E434A4"/>
    <w:rsid w:val="00E46681"/>
    <w:rsid w:val="00E47B48"/>
    <w:rsid w:val="00E47F24"/>
    <w:rsid w:val="00E508C0"/>
    <w:rsid w:val="00E514B7"/>
    <w:rsid w:val="00E54010"/>
    <w:rsid w:val="00E54E0F"/>
    <w:rsid w:val="00E54E4D"/>
    <w:rsid w:val="00E554A4"/>
    <w:rsid w:val="00E55EAF"/>
    <w:rsid w:val="00E56322"/>
    <w:rsid w:val="00E5667B"/>
    <w:rsid w:val="00E5675A"/>
    <w:rsid w:val="00E5690D"/>
    <w:rsid w:val="00E574F0"/>
    <w:rsid w:val="00E60982"/>
    <w:rsid w:val="00E61224"/>
    <w:rsid w:val="00E62C62"/>
    <w:rsid w:val="00E63290"/>
    <w:rsid w:val="00E64104"/>
    <w:rsid w:val="00E6444E"/>
    <w:rsid w:val="00E654C1"/>
    <w:rsid w:val="00E65D97"/>
    <w:rsid w:val="00E67E26"/>
    <w:rsid w:val="00E7243A"/>
    <w:rsid w:val="00E72620"/>
    <w:rsid w:val="00E72A5A"/>
    <w:rsid w:val="00E73354"/>
    <w:rsid w:val="00E74FF7"/>
    <w:rsid w:val="00E769A1"/>
    <w:rsid w:val="00E77F51"/>
    <w:rsid w:val="00E81A5E"/>
    <w:rsid w:val="00E849FB"/>
    <w:rsid w:val="00E84F85"/>
    <w:rsid w:val="00E87F31"/>
    <w:rsid w:val="00E909D2"/>
    <w:rsid w:val="00E922D0"/>
    <w:rsid w:val="00E9242D"/>
    <w:rsid w:val="00E9418E"/>
    <w:rsid w:val="00E970CD"/>
    <w:rsid w:val="00E978E4"/>
    <w:rsid w:val="00E97939"/>
    <w:rsid w:val="00EA0BB3"/>
    <w:rsid w:val="00EA1DAE"/>
    <w:rsid w:val="00EA1EAD"/>
    <w:rsid w:val="00EA32C5"/>
    <w:rsid w:val="00EA435E"/>
    <w:rsid w:val="00EA6976"/>
    <w:rsid w:val="00EA7BF4"/>
    <w:rsid w:val="00EB1FBC"/>
    <w:rsid w:val="00EB3561"/>
    <w:rsid w:val="00EB5255"/>
    <w:rsid w:val="00EB5C47"/>
    <w:rsid w:val="00EB6CBD"/>
    <w:rsid w:val="00EC09AB"/>
    <w:rsid w:val="00EC1B8F"/>
    <w:rsid w:val="00EC2D0F"/>
    <w:rsid w:val="00EC30B4"/>
    <w:rsid w:val="00EC4992"/>
    <w:rsid w:val="00EC4B9C"/>
    <w:rsid w:val="00EC526C"/>
    <w:rsid w:val="00EC6301"/>
    <w:rsid w:val="00EC680E"/>
    <w:rsid w:val="00EC7899"/>
    <w:rsid w:val="00ED0639"/>
    <w:rsid w:val="00ED0F5D"/>
    <w:rsid w:val="00ED1154"/>
    <w:rsid w:val="00ED1AC8"/>
    <w:rsid w:val="00ED250F"/>
    <w:rsid w:val="00ED533E"/>
    <w:rsid w:val="00ED61D7"/>
    <w:rsid w:val="00ED773E"/>
    <w:rsid w:val="00EE17BA"/>
    <w:rsid w:val="00EE5A49"/>
    <w:rsid w:val="00EE6068"/>
    <w:rsid w:val="00EF0949"/>
    <w:rsid w:val="00EF15C2"/>
    <w:rsid w:val="00EF4755"/>
    <w:rsid w:val="00EF5B49"/>
    <w:rsid w:val="00EF6918"/>
    <w:rsid w:val="00EF7135"/>
    <w:rsid w:val="00F00456"/>
    <w:rsid w:val="00F02442"/>
    <w:rsid w:val="00F027DB"/>
    <w:rsid w:val="00F03A7D"/>
    <w:rsid w:val="00F03C53"/>
    <w:rsid w:val="00F04E42"/>
    <w:rsid w:val="00F054FA"/>
    <w:rsid w:val="00F05C88"/>
    <w:rsid w:val="00F06372"/>
    <w:rsid w:val="00F11508"/>
    <w:rsid w:val="00F127BE"/>
    <w:rsid w:val="00F140A4"/>
    <w:rsid w:val="00F14A7A"/>
    <w:rsid w:val="00F14DE0"/>
    <w:rsid w:val="00F16AB6"/>
    <w:rsid w:val="00F213A9"/>
    <w:rsid w:val="00F22985"/>
    <w:rsid w:val="00F22D27"/>
    <w:rsid w:val="00F2326E"/>
    <w:rsid w:val="00F233FE"/>
    <w:rsid w:val="00F3097B"/>
    <w:rsid w:val="00F31A4D"/>
    <w:rsid w:val="00F33523"/>
    <w:rsid w:val="00F3383E"/>
    <w:rsid w:val="00F33EE9"/>
    <w:rsid w:val="00F34C8C"/>
    <w:rsid w:val="00F3563B"/>
    <w:rsid w:val="00F35841"/>
    <w:rsid w:val="00F35AFD"/>
    <w:rsid w:val="00F36794"/>
    <w:rsid w:val="00F36F20"/>
    <w:rsid w:val="00F40F78"/>
    <w:rsid w:val="00F422F4"/>
    <w:rsid w:val="00F424C3"/>
    <w:rsid w:val="00F44293"/>
    <w:rsid w:val="00F447E4"/>
    <w:rsid w:val="00F452F8"/>
    <w:rsid w:val="00F465A7"/>
    <w:rsid w:val="00F46909"/>
    <w:rsid w:val="00F50B7C"/>
    <w:rsid w:val="00F51766"/>
    <w:rsid w:val="00F51821"/>
    <w:rsid w:val="00F5214E"/>
    <w:rsid w:val="00F52548"/>
    <w:rsid w:val="00F54803"/>
    <w:rsid w:val="00F54A61"/>
    <w:rsid w:val="00F550E6"/>
    <w:rsid w:val="00F5625D"/>
    <w:rsid w:val="00F574F2"/>
    <w:rsid w:val="00F57B63"/>
    <w:rsid w:val="00F612AF"/>
    <w:rsid w:val="00F61AA0"/>
    <w:rsid w:val="00F61B60"/>
    <w:rsid w:val="00F61E11"/>
    <w:rsid w:val="00F62031"/>
    <w:rsid w:val="00F62502"/>
    <w:rsid w:val="00F63AD6"/>
    <w:rsid w:val="00F65184"/>
    <w:rsid w:val="00F6572D"/>
    <w:rsid w:val="00F65FA6"/>
    <w:rsid w:val="00F66553"/>
    <w:rsid w:val="00F66852"/>
    <w:rsid w:val="00F70E53"/>
    <w:rsid w:val="00F74345"/>
    <w:rsid w:val="00F75FC1"/>
    <w:rsid w:val="00F7750E"/>
    <w:rsid w:val="00F803E2"/>
    <w:rsid w:val="00F80A0A"/>
    <w:rsid w:val="00F82B19"/>
    <w:rsid w:val="00F83DAD"/>
    <w:rsid w:val="00F84001"/>
    <w:rsid w:val="00F8607A"/>
    <w:rsid w:val="00F863B2"/>
    <w:rsid w:val="00F90E25"/>
    <w:rsid w:val="00F91A5B"/>
    <w:rsid w:val="00F91FAA"/>
    <w:rsid w:val="00F9212D"/>
    <w:rsid w:val="00F93282"/>
    <w:rsid w:val="00F93838"/>
    <w:rsid w:val="00F95B68"/>
    <w:rsid w:val="00F965DA"/>
    <w:rsid w:val="00F968EA"/>
    <w:rsid w:val="00FA17D3"/>
    <w:rsid w:val="00FA406A"/>
    <w:rsid w:val="00FA673A"/>
    <w:rsid w:val="00FA6F2B"/>
    <w:rsid w:val="00FA72C6"/>
    <w:rsid w:val="00FB38C4"/>
    <w:rsid w:val="00FB4BE4"/>
    <w:rsid w:val="00FB503A"/>
    <w:rsid w:val="00FB50FA"/>
    <w:rsid w:val="00FB516C"/>
    <w:rsid w:val="00FB5447"/>
    <w:rsid w:val="00FB7CD2"/>
    <w:rsid w:val="00FC05F3"/>
    <w:rsid w:val="00FC12B8"/>
    <w:rsid w:val="00FC2E92"/>
    <w:rsid w:val="00FC3959"/>
    <w:rsid w:val="00FC39AB"/>
    <w:rsid w:val="00FD0236"/>
    <w:rsid w:val="00FD06A6"/>
    <w:rsid w:val="00FD18F4"/>
    <w:rsid w:val="00FD23AB"/>
    <w:rsid w:val="00FD4DEE"/>
    <w:rsid w:val="00FD54DB"/>
    <w:rsid w:val="00FD619F"/>
    <w:rsid w:val="00FE1AC9"/>
    <w:rsid w:val="00FE380A"/>
    <w:rsid w:val="00FF0086"/>
    <w:rsid w:val="00FF375F"/>
    <w:rsid w:val="00FF39FA"/>
    <w:rsid w:val="00FF4438"/>
    <w:rsid w:val="00FF46AA"/>
    <w:rsid w:val="00FF50B5"/>
    <w:rsid w:val="00FF573C"/>
    <w:rsid w:val="00FF6DC3"/>
    <w:rsid w:val="00FF73FD"/>
    <w:rsid w:val="01290F7E"/>
    <w:rsid w:val="015D1E09"/>
    <w:rsid w:val="020A26B0"/>
    <w:rsid w:val="02697903"/>
    <w:rsid w:val="02F96569"/>
    <w:rsid w:val="03EA7B21"/>
    <w:rsid w:val="03FF5A4D"/>
    <w:rsid w:val="040524AF"/>
    <w:rsid w:val="05F83EAE"/>
    <w:rsid w:val="063E7D85"/>
    <w:rsid w:val="07293586"/>
    <w:rsid w:val="07295285"/>
    <w:rsid w:val="07636392"/>
    <w:rsid w:val="07770C56"/>
    <w:rsid w:val="092217DD"/>
    <w:rsid w:val="093A7294"/>
    <w:rsid w:val="09CB63EF"/>
    <w:rsid w:val="0A263993"/>
    <w:rsid w:val="0A2D3AC2"/>
    <w:rsid w:val="0AA755DF"/>
    <w:rsid w:val="0B120D44"/>
    <w:rsid w:val="0B33210E"/>
    <w:rsid w:val="0BD27BF6"/>
    <w:rsid w:val="0C2A7A8F"/>
    <w:rsid w:val="0C3B3C7D"/>
    <w:rsid w:val="0C842683"/>
    <w:rsid w:val="0CAB2EAE"/>
    <w:rsid w:val="0D5E49EF"/>
    <w:rsid w:val="0D621C7D"/>
    <w:rsid w:val="0D9B44BB"/>
    <w:rsid w:val="0E73034D"/>
    <w:rsid w:val="0EF222E4"/>
    <w:rsid w:val="0F13775A"/>
    <w:rsid w:val="0F3A2138"/>
    <w:rsid w:val="0F5F45FE"/>
    <w:rsid w:val="0F9A112B"/>
    <w:rsid w:val="106D2F64"/>
    <w:rsid w:val="10B63710"/>
    <w:rsid w:val="10F10820"/>
    <w:rsid w:val="111C2F7A"/>
    <w:rsid w:val="11665CA1"/>
    <w:rsid w:val="13951726"/>
    <w:rsid w:val="14396509"/>
    <w:rsid w:val="14DD2C3C"/>
    <w:rsid w:val="15070AEA"/>
    <w:rsid w:val="151B08BC"/>
    <w:rsid w:val="16087E1D"/>
    <w:rsid w:val="17701D14"/>
    <w:rsid w:val="17735226"/>
    <w:rsid w:val="18365593"/>
    <w:rsid w:val="189F624C"/>
    <w:rsid w:val="192E4DF4"/>
    <w:rsid w:val="19D03922"/>
    <w:rsid w:val="1A1C66C0"/>
    <w:rsid w:val="1A42393B"/>
    <w:rsid w:val="1AAD45DE"/>
    <w:rsid w:val="1B046F80"/>
    <w:rsid w:val="1B3267B5"/>
    <w:rsid w:val="1B40161D"/>
    <w:rsid w:val="1B441859"/>
    <w:rsid w:val="1B6606B1"/>
    <w:rsid w:val="1C5E7925"/>
    <w:rsid w:val="1CFD070F"/>
    <w:rsid w:val="1CFE2A44"/>
    <w:rsid w:val="1D5F6196"/>
    <w:rsid w:val="1D6132A5"/>
    <w:rsid w:val="1D8E56D5"/>
    <w:rsid w:val="1E7A43DA"/>
    <w:rsid w:val="1FE7539E"/>
    <w:rsid w:val="20671BE0"/>
    <w:rsid w:val="20963CB8"/>
    <w:rsid w:val="20A81A1B"/>
    <w:rsid w:val="20B07FB6"/>
    <w:rsid w:val="20B646FB"/>
    <w:rsid w:val="213B74B1"/>
    <w:rsid w:val="215A2310"/>
    <w:rsid w:val="216B0DDC"/>
    <w:rsid w:val="21911D3F"/>
    <w:rsid w:val="21DE318A"/>
    <w:rsid w:val="21EF5B80"/>
    <w:rsid w:val="22576990"/>
    <w:rsid w:val="22F47480"/>
    <w:rsid w:val="23DE1C48"/>
    <w:rsid w:val="23F35F7C"/>
    <w:rsid w:val="240210CD"/>
    <w:rsid w:val="24BF09F7"/>
    <w:rsid w:val="252D53FE"/>
    <w:rsid w:val="25B21B8A"/>
    <w:rsid w:val="25EC2D81"/>
    <w:rsid w:val="266F14F8"/>
    <w:rsid w:val="27352F3B"/>
    <w:rsid w:val="277057A2"/>
    <w:rsid w:val="278E2A94"/>
    <w:rsid w:val="27C22AD9"/>
    <w:rsid w:val="29195759"/>
    <w:rsid w:val="29206EB8"/>
    <w:rsid w:val="29595666"/>
    <w:rsid w:val="29874881"/>
    <w:rsid w:val="29E325E0"/>
    <w:rsid w:val="2A452503"/>
    <w:rsid w:val="2A832011"/>
    <w:rsid w:val="2B4438B3"/>
    <w:rsid w:val="2BA936A8"/>
    <w:rsid w:val="2C105635"/>
    <w:rsid w:val="2C315A5A"/>
    <w:rsid w:val="2C4B1C25"/>
    <w:rsid w:val="2D9E56F5"/>
    <w:rsid w:val="2E667F96"/>
    <w:rsid w:val="2E8226AB"/>
    <w:rsid w:val="2EBD79D7"/>
    <w:rsid w:val="2F51669F"/>
    <w:rsid w:val="2FD065E6"/>
    <w:rsid w:val="2FD96870"/>
    <w:rsid w:val="30580BC9"/>
    <w:rsid w:val="311E2ED7"/>
    <w:rsid w:val="315619EE"/>
    <w:rsid w:val="315C449C"/>
    <w:rsid w:val="31B82709"/>
    <w:rsid w:val="31D05482"/>
    <w:rsid w:val="32400B34"/>
    <w:rsid w:val="329E6876"/>
    <w:rsid w:val="333015F2"/>
    <w:rsid w:val="334B6320"/>
    <w:rsid w:val="335136C4"/>
    <w:rsid w:val="33D934D4"/>
    <w:rsid w:val="33FE2F6A"/>
    <w:rsid w:val="340E07E5"/>
    <w:rsid w:val="3420627F"/>
    <w:rsid w:val="34235BF7"/>
    <w:rsid w:val="342866FA"/>
    <w:rsid w:val="358C5FA8"/>
    <w:rsid w:val="35C15DF1"/>
    <w:rsid w:val="36074A7F"/>
    <w:rsid w:val="36923549"/>
    <w:rsid w:val="36B75FBF"/>
    <w:rsid w:val="36BD0C45"/>
    <w:rsid w:val="36E36908"/>
    <w:rsid w:val="378E255D"/>
    <w:rsid w:val="37E00298"/>
    <w:rsid w:val="38B302F9"/>
    <w:rsid w:val="38F12CD3"/>
    <w:rsid w:val="38F94775"/>
    <w:rsid w:val="392971ED"/>
    <w:rsid w:val="39325651"/>
    <w:rsid w:val="3A374345"/>
    <w:rsid w:val="3A872856"/>
    <w:rsid w:val="3B3763D1"/>
    <w:rsid w:val="3C2F6E1E"/>
    <w:rsid w:val="3C4F64BA"/>
    <w:rsid w:val="3CDA245A"/>
    <w:rsid w:val="3D176DCE"/>
    <w:rsid w:val="3D1E06B7"/>
    <w:rsid w:val="3D8842A0"/>
    <w:rsid w:val="3EDA0523"/>
    <w:rsid w:val="3FE44C7D"/>
    <w:rsid w:val="40021659"/>
    <w:rsid w:val="407A6407"/>
    <w:rsid w:val="40991196"/>
    <w:rsid w:val="41F45FB5"/>
    <w:rsid w:val="4200449D"/>
    <w:rsid w:val="423A3BCC"/>
    <w:rsid w:val="424E57D2"/>
    <w:rsid w:val="42B26C49"/>
    <w:rsid w:val="433A6FE6"/>
    <w:rsid w:val="43480868"/>
    <w:rsid w:val="4350713C"/>
    <w:rsid w:val="436653E0"/>
    <w:rsid w:val="43C4431A"/>
    <w:rsid w:val="44B951CC"/>
    <w:rsid w:val="44CD14E0"/>
    <w:rsid w:val="44F20B0B"/>
    <w:rsid w:val="452E5F4C"/>
    <w:rsid w:val="453C43AB"/>
    <w:rsid w:val="45612018"/>
    <w:rsid w:val="458946E9"/>
    <w:rsid w:val="45A47C0E"/>
    <w:rsid w:val="46577FD6"/>
    <w:rsid w:val="4671080D"/>
    <w:rsid w:val="46D955A7"/>
    <w:rsid w:val="47133957"/>
    <w:rsid w:val="474927B8"/>
    <w:rsid w:val="47795A3C"/>
    <w:rsid w:val="47A07E0C"/>
    <w:rsid w:val="4870272E"/>
    <w:rsid w:val="49DC7715"/>
    <w:rsid w:val="4A023139"/>
    <w:rsid w:val="4A7B576F"/>
    <w:rsid w:val="4AF561A9"/>
    <w:rsid w:val="4C4A0649"/>
    <w:rsid w:val="4C7E5ECA"/>
    <w:rsid w:val="4C876AA5"/>
    <w:rsid w:val="4C8813BC"/>
    <w:rsid w:val="4D0E00FB"/>
    <w:rsid w:val="4D176606"/>
    <w:rsid w:val="4DEC4FB0"/>
    <w:rsid w:val="4E075D8A"/>
    <w:rsid w:val="4EC00FAD"/>
    <w:rsid w:val="4F9843DC"/>
    <w:rsid w:val="4FC62A8C"/>
    <w:rsid w:val="4FE20F0D"/>
    <w:rsid w:val="4FE51552"/>
    <w:rsid w:val="50504C4B"/>
    <w:rsid w:val="509C6E7C"/>
    <w:rsid w:val="5146315B"/>
    <w:rsid w:val="5162104E"/>
    <w:rsid w:val="53A039CC"/>
    <w:rsid w:val="53A1505A"/>
    <w:rsid w:val="54063E08"/>
    <w:rsid w:val="543437E8"/>
    <w:rsid w:val="54F73313"/>
    <w:rsid w:val="54F80955"/>
    <w:rsid w:val="555170A7"/>
    <w:rsid w:val="5587536D"/>
    <w:rsid w:val="559B174B"/>
    <w:rsid w:val="55CE0CF4"/>
    <w:rsid w:val="56B22A9C"/>
    <w:rsid w:val="57B72A76"/>
    <w:rsid w:val="57C3426C"/>
    <w:rsid w:val="57CE1F93"/>
    <w:rsid w:val="588743D1"/>
    <w:rsid w:val="5887701A"/>
    <w:rsid w:val="59C0439F"/>
    <w:rsid w:val="5ABE2233"/>
    <w:rsid w:val="5B5048DF"/>
    <w:rsid w:val="5BDF5D95"/>
    <w:rsid w:val="5BFE7528"/>
    <w:rsid w:val="5E1C4EDB"/>
    <w:rsid w:val="5E2467F1"/>
    <w:rsid w:val="5F1A2B43"/>
    <w:rsid w:val="5F6F5E33"/>
    <w:rsid w:val="5FB837BB"/>
    <w:rsid w:val="60CC405A"/>
    <w:rsid w:val="61E215D8"/>
    <w:rsid w:val="621B3775"/>
    <w:rsid w:val="62364782"/>
    <w:rsid w:val="637F0554"/>
    <w:rsid w:val="6394356A"/>
    <w:rsid w:val="63C61B2C"/>
    <w:rsid w:val="63D40BE9"/>
    <w:rsid w:val="63DC5FE8"/>
    <w:rsid w:val="64102431"/>
    <w:rsid w:val="64A5243A"/>
    <w:rsid w:val="64F531DE"/>
    <w:rsid w:val="65373578"/>
    <w:rsid w:val="65DE0660"/>
    <w:rsid w:val="671F124A"/>
    <w:rsid w:val="677A33C6"/>
    <w:rsid w:val="67E67D35"/>
    <w:rsid w:val="681F6961"/>
    <w:rsid w:val="68610A2F"/>
    <w:rsid w:val="68805514"/>
    <w:rsid w:val="689B0EF8"/>
    <w:rsid w:val="69316E2F"/>
    <w:rsid w:val="694E2071"/>
    <w:rsid w:val="69766163"/>
    <w:rsid w:val="697A3B33"/>
    <w:rsid w:val="697E5632"/>
    <w:rsid w:val="69876FDF"/>
    <w:rsid w:val="69CB37D4"/>
    <w:rsid w:val="69D44760"/>
    <w:rsid w:val="6A520EC7"/>
    <w:rsid w:val="6AF87E20"/>
    <w:rsid w:val="6B322639"/>
    <w:rsid w:val="6B865CEB"/>
    <w:rsid w:val="6BB67B6C"/>
    <w:rsid w:val="6C636C38"/>
    <w:rsid w:val="6D003AEF"/>
    <w:rsid w:val="6DB34098"/>
    <w:rsid w:val="6DB545B6"/>
    <w:rsid w:val="6DE02FB4"/>
    <w:rsid w:val="6E514CED"/>
    <w:rsid w:val="6EB563D5"/>
    <w:rsid w:val="6ED92677"/>
    <w:rsid w:val="6F225983"/>
    <w:rsid w:val="6FCA1E38"/>
    <w:rsid w:val="6FFC5590"/>
    <w:rsid w:val="706D1DD0"/>
    <w:rsid w:val="70856B87"/>
    <w:rsid w:val="70D527EE"/>
    <w:rsid w:val="715B5300"/>
    <w:rsid w:val="71D27F8A"/>
    <w:rsid w:val="72553024"/>
    <w:rsid w:val="73122968"/>
    <w:rsid w:val="731F5D5E"/>
    <w:rsid w:val="73C51AD5"/>
    <w:rsid w:val="741E793C"/>
    <w:rsid w:val="745E3944"/>
    <w:rsid w:val="74A24CDF"/>
    <w:rsid w:val="7635099D"/>
    <w:rsid w:val="77762421"/>
    <w:rsid w:val="77B56B1F"/>
    <w:rsid w:val="780F09F4"/>
    <w:rsid w:val="78132BA5"/>
    <w:rsid w:val="78A90480"/>
    <w:rsid w:val="7A364017"/>
    <w:rsid w:val="7A8265E1"/>
    <w:rsid w:val="7B686D42"/>
    <w:rsid w:val="7B825CBD"/>
    <w:rsid w:val="7B841746"/>
    <w:rsid w:val="7C6C5AC7"/>
    <w:rsid w:val="7CC6544B"/>
    <w:rsid w:val="7D0239FF"/>
    <w:rsid w:val="7D5E40CD"/>
    <w:rsid w:val="7DCD56F2"/>
    <w:rsid w:val="7E3E7017"/>
    <w:rsid w:val="7EEF5417"/>
    <w:rsid w:val="7F001CE7"/>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qFormat="1"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99" w:semiHidden="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semiHidden="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unhideWhenUsed="0" w:uiPriority="0" w:semiHidden="0" w:name="Body Text First Indent" w:locked="1"/>
    <w:lsdException w:unhideWhenUsed="0" w:uiPriority="0" w:semiHidden="0" w:name="Body Text First Indent 2" w:locked="1"/>
    <w:lsdException w:unhideWhenUsed="0" w:uiPriority="0" w:semiHidden="0" w:name="Note Heading" w:locked="1"/>
    <w:lsdException w:qFormat="1" w:unhideWhenUsed="0" w:uiPriority="0" w:semiHidden="0" w:name="Body Text 2" w:locked="1"/>
    <w:lsdException w:unhideWhenUsed="0" w:uiPriority="0" w:semiHidden="0" w:name="Body Text 3" w:locked="1"/>
    <w:lsdException w:qFormat="1" w:uiPriority="99" w:semiHidden="0" w:name="Body Text Indent 2" w:locked="1"/>
    <w:lsdException w:unhideWhenUsed="0" w:uiPriority="0" w:semiHidden="0" w:name="Body Text Indent 3" w:locked="1"/>
    <w:lsdException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unhideWhenUsed="0" w:uiPriority="0" w:semiHidden="0" w:name="Plain Text" w:locked="1"/>
    <w:lsdException w:unhideWhenUsed="0" w:uiPriority="0" w:semiHidden="0" w:name="E-mail Signature" w:locked="1"/>
    <w:lsdException w:qFormat="1" w:unhideWhenUsed="0" w:uiPriority="99"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iPriority="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0" w:semiHidden="0" w:name="Table Grid"/>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5">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6">
    <w:name w:val="heading 2"/>
    <w:basedOn w:val="1"/>
    <w:next w:val="1"/>
    <w:link w:val="66"/>
    <w:semiHidden/>
    <w:unhideWhenUsed/>
    <w:qFormat/>
    <w:locked/>
    <w:uiPriority w:val="0"/>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7">
    <w:name w:val="heading 3"/>
    <w:basedOn w:val="1"/>
    <w:next w:val="1"/>
    <w:link w:val="45"/>
    <w:semiHidden/>
    <w:unhideWhenUsed/>
    <w:qFormat/>
    <w:locked/>
    <w:uiPriority w:val="0"/>
    <w:pPr>
      <w:keepNext/>
      <w:keepLines/>
      <w:spacing w:before="260" w:after="260" w:line="416" w:lineRule="auto"/>
      <w:outlineLvl w:val="2"/>
    </w:pPr>
    <w:rPr>
      <w:b/>
      <w:bCs/>
      <w:sz w:val="32"/>
      <w:szCs w:val="32"/>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customStyle="1" w:styleId="2">
    <w:name w:val="样式 样式 样式 四号 左侧:  1.53 厘米 + 首行缩进:  2 字符 + 居中 左侧:  2 字符 首行缩进:  2..."/>
    <w:basedOn w:val="3"/>
    <w:next w:val="1"/>
    <w:qFormat/>
    <w:uiPriority w:val="0"/>
    <w:pPr>
      <w:spacing w:line="360" w:lineRule="auto"/>
      <w:jc w:val="center"/>
    </w:pPr>
  </w:style>
  <w:style w:type="paragraph" w:customStyle="1" w:styleId="3">
    <w:name w:val="样式 样式 四号 左侧:  1.53 厘米 + 首行缩进:  2 字符"/>
    <w:basedOn w:val="4"/>
    <w:qFormat/>
    <w:uiPriority w:val="99"/>
    <w:pPr>
      <w:ind w:left="200" w:leftChars="200"/>
    </w:pPr>
    <w:rPr>
      <w:szCs w:val="20"/>
    </w:rPr>
  </w:style>
  <w:style w:type="paragraph" w:customStyle="1" w:styleId="4">
    <w:name w:val="样式 四号 左侧:  1.53 厘米"/>
    <w:basedOn w:val="1"/>
    <w:qFormat/>
    <w:uiPriority w:val="99"/>
    <w:rPr>
      <w:w w:val="90"/>
      <w:sz w:val="28"/>
      <w:szCs w:val="28"/>
    </w:rPr>
  </w:style>
  <w:style w:type="paragraph" w:styleId="8">
    <w:name w:val="Normal Indent"/>
    <w:basedOn w:val="1"/>
    <w:autoRedefine/>
    <w:qFormat/>
    <w:locked/>
    <w:uiPriority w:val="0"/>
    <w:pPr>
      <w:ind w:firstLine="420"/>
    </w:pPr>
    <w:rPr>
      <w:rFonts w:hAnsiTheme="minorHAnsi" w:eastAsiaTheme="minorEastAsia" w:cstheme="minorBidi"/>
      <w:sz w:val="28"/>
    </w:rPr>
  </w:style>
  <w:style w:type="paragraph" w:styleId="9">
    <w:name w:val="annotation text"/>
    <w:basedOn w:val="1"/>
    <w:link w:val="34"/>
    <w:qFormat/>
    <w:uiPriority w:val="99"/>
    <w:pPr>
      <w:jc w:val="left"/>
    </w:pPr>
    <w:rPr>
      <w:kern w:val="0"/>
      <w:sz w:val="24"/>
      <w:szCs w:val="20"/>
    </w:rPr>
  </w:style>
  <w:style w:type="paragraph" w:styleId="10">
    <w:name w:val="Body Text"/>
    <w:basedOn w:val="1"/>
    <w:link w:val="33"/>
    <w:qFormat/>
    <w:uiPriority w:val="0"/>
    <w:pPr>
      <w:widowControl/>
      <w:snapToGrid w:val="0"/>
      <w:spacing w:before="60" w:after="160" w:line="259" w:lineRule="auto"/>
      <w:ind w:right="113"/>
    </w:pPr>
    <w:rPr>
      <w:kern w:val="0"/>
      <w:sz w:val="18"/>
      <w:szCs w:val="20"/>
    </w:rPr>
  </w:style>
  <w:style w:type="paragraph" w:styleId="11">
    <w:name w:val="Body Text Indent"/>
    <w:basedOn w:val="1"/>
    <w:link w:val="42"/>
    <w:qFormat/>
    <w:uiPriority w:val="0"/>
    <w:pPr>
      <w:spacing w:after="120"/>
      <w:ind w:left="420" w:leftChars="200"/>
    </w:pPr>
    <w:rPr>
      <w:kern w:val="0"/>
      <w:sz w:val="24"/>
      <w:szCs w:val="20"/>
    </w:rPr>
  </w:style>
  <w:style w:type="paragraph" w:styleId="12">
    <w:name w:val="Date"/>
    <w:basedOn w:val="1"/>
    <w:next w:val="1"/>
    <w:link w:val="29"/>
    <w:qFormat/>
    <w:uiPriority w:val="0"/>
    <w:pPr>
      <w:ind w:left="100" w:leftChars="2500"/>
    </w:pPr>
    <w:rPr>
      <w:kern w:val="0"/>
      <w:sz w:val="24"/>
      <w:szCs w:val="20"/>
    </w:rPr>
  </w:style>
  <w:style w:type="paragraph" w:styleId="13">
    <w:name w:val="Body Text Indent 2"/>
    <w:basedOn w:val="1"/>
    <w:next w:val="1"/>
    <w:unhideWhenUsed/>
    <w:qFormat/>
    <w:locked/>
    <w:uiPriority w:val="99"/>
    <w:pPr>
      <w:spacing w:after="120" w:line="480" w:lineRule="auto"/>
      <w:ind w:left="420" w:leftChars="200"/>
    </w:pPr>
  </w:style>
  <w:style w:type="paragraph" w:styleId="14">
    <w:name w:val="Balloon Text"/>
    <w:basedOn w:val="1"/>
    <w:link w:val="38"/>
    <w:semiHidden/>
    <w:qFormat/>
    <w:uiPriority w:val="0"/>
    <w:rPr>
      <w:kern w:val="0"/>
      <w:sz w:val="18"/>
      <w:szCs w:val="20"/>
    </w:rPr>
  </w:style>
  <w:style w:type="paragraph" w:styleId="15">
    <w:name w:val="footer"/>
    <w:basedOn w:val="1"/>
    <w:link w:val="28"/>
    <w:qFormat/>
    <w:uiPriority w:val="99"/>
    <w:pPr>
      <w:tabs>
        <w:tab w:val="center" w:pos="4153"/>
        <w:tab w:val="right" w:pos="8306"/>
      </w:tabs>
      <w:snapToGrid w:val="0"/>
      <w:jc w:val="left"/>
    </w:pPr>
    <w:rPr>
      <w:kern w:val="0"/>
      <w:sz w:val="18"/>
      <w:szCs w:val="20"/>
    </w:rPr>
  </w:style>
  <w:style w:type="paragraph" w:styleId="16">
    <w:name w:val="header"/>
    <w:basedOn w:val="1"/>
    <w:link w:val="40"/>
    <w:qFormat/>
    <w:uiPriority w:val="0"/>
    <w:pPr>
      <w:pBdr>
        <w:bottom w:val="single" w:color="auto" w:sz="6" w:space="1"/>
      </w:pBdr>
      <w:tabs>
        <w:tab w:val="center" w:pos="4153"/>
        <w:tab w:val="right" w:pos="8306"/>
      </w:tabs>
      <w:snapToGrid w:val="0"/>
      <w:jc w:val="center"/>
    </w:pPr>
    <w:rPr>
      <w:kern w:val="0"/>
      <w:sz w:val="18"/>
      <w:szCs w:val="20"/>
    </w:rPr>
  </w:style>
  <w:style w:type="paragraph" w:styleId="17">
    <w:name w:val="toc 2"/>
    <w:basedOn w:val="1"/>
    <w:next w:val="1"/>
    <w:qFormat/>
    <w:locked/>
    <w:uiPriority w:val="0"/>
    <w:pPr>
      <w:keepNext w:val="0"/>
      <w:keepLines w:val="0"/>
      <w:widowControl/>
      <w:suppressLineNumbers w:val="0"/>
      <w:spacing w:before="0" w:beforeAutospacing="0" w:after="0" w:afterAutospacing="0"/>
      <w:ind w:left="420" w:leftChars="200" w:right="0"/>
      <w:jc w:val="left"/>
    </w:pPr>
    <w:rPr>
      <w:rFonts w:hint="eastAsia" w:ascii="宋体" w:hAnsi="宋体" w:eastAsia="宋体" w:cs="宋体"/>
      <w:kern w:val="0"/>
      <w:sz w:val="24"/>
      <w:szCs w:val="24"/>
      <w:lang w:val="en-US" w:eastAsia="zh-CN" w:bidi="ar"/>
    </w:rPr>
  </w:style>
  <w:style w:type="paragraph" w:styleId="18">
    <w:name w:val="Body Text 2"/>
    <w:basedOn w:val="1"/>
    <w:link w:val="73"/>
    <w:qFormat/>
    <w:locked/>
    <w:uiPriority w:val="0"/>
    <w:pPr>
      <w:spacing w:after="120" w:line="480" w:lineRule="auto"/>
    </w:pPr>
  </w:style>
  <w:style w:type="paragraph" w:styleId="19">
    <w:name w:val="Normal (Web)"/>
    <w:basedOn w:val="1"/>
    <w:link w:val="31"/>
    <w:qFormat/>
    <w:uiPriority w:val="99"/>
    <w:pPr>
      <w:widowControl/>
      <w:spacing w:before="100" w:beforeAutospacing="1" w:after="100" w:afterAutospacing="1"/>
      <w:jc w:val="left"/>
    </w:pPr>
    <w:rPr>
      <w:rFonts w:ascii="宋体" w:hAnsi="宋体"/>
      <w:kern w:val="0"/>
      <w:sz w:val="24"/>
      <w:szCs w:val="20"/>
    </w:rPr>
  </w:style>
  <w:style w:type="paragraph" w:styleId="20">
    <w:name w:val="annotation subject"/>
    <w:basedOn w:val="9"/>
    <w:next w:val="9"/>
    <w:link w:val="39"/>
    <w:semiHidden/>
    <w:qFormat/>
    <w:uiPriority w:val="0"/>
    <w:rPr>
      <w:b/>
    </w:rPr>
  </w:style>
  <w:style w:type="table" w:styleId="22">
    <w:name w:val="Table Grid"/>
    <w:basedOn w:val="21"/>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page number"/>
    <w:basedOn w:val="23"/>
    <w:qFormat/>
    <w:locked/>
    <w:uiPriority w:val="0"/>
  </w:style>
  <w:style w:type="character" w:styleId="25">
    <w:name w:val="Emphasis"/>
    <w:autoRedefine/>
    <w:qFormat/>
    <w:locked/>
    <w:uiPriority w:val="0"/>
    <w:rPr>
      <w:b/>
      <w:sz w:val="21"/>
      <w:szCs w:val="21"/>
    </w:rPr>
  </w:style>
  <w:style w:type="character" w:styleId="26">
    <w:name w:val="Hyperlink"/>
    <w:basedOn w:val="23"/>
    <w:qFormat/>
    <w:locked/>
    <w:uiPriority w:val="0"/>
    <w:rPr>
      <w:color w:val="0563C1" w:themeColor="hyperlink"/>
      <w:u w:val="single"/>
      <w14:textFill>
        <w14:solidFill>
          <w14:schemeClr w14:val="hlink"/>
        </w14:solidFill>
      </w14:textFill>
    </w:rPr>
  </w:style>
  <w:style w:type="character" w:styleId="27">
    <w:name w:val="annotation reference"/>
    <w:qFormat/>
    <w:uiPriority w:val="0"/>
    <w:rPr>
      <w:sz w:val="21"/>
    </w:rPr>
  </w:style>
  <w:style w:type="character" w:customStyle="1" w:styleId="28">
    <w:name w:val="页脚 字符1"/>
    <w:link w:val="15"/>
    <w:qFormat/>
    <w:locked/>
    <w:uiPriority w:val="99"/>
    <w:rPr>
      <w:sz w:val="18"/>
    </w:rPr>
  </w:style>
  <w:style w:type="character" w:customStyle="1" w:styleId="29">
    <w:name w:val="日期 字符1"/>
    <w:link w:val="12"/>
    <w:qFormat/>
    <w:locked/>
    <w:uiPriority w:val="0"/>
    <w:rPr>
      <w:rFonts w:ascii="Times New Roman" w:hAnsi="Times New Roman" w:eastAsia="宋体"/>
      <w:sz w:val="24"/>
    </w:rPr>
  </w:style>
  <w:style w:type="character" w:customStyle="1" w:styleId="30">
    <w:name w:val="页脚 字符"/>
    <w:basedOn w:val="23"/>
    <w:qFormat/>
    <w:uiPriority w:val="99"/>
  </w:style>
  <w:style w:type="character" w:customStyle="1" w:styleId="31">
    <w:name w:val="普通(网站) 字符"/>
    <w:link w:val="19"/>
    <w:qFormat/>
    <w:locked/>
    <w:uiPriority w:val="0"/>
    <w:rPr>
      <w:rFonts w:ascii="宋体" w:hAnsi="宋体" w:eastAsia="宋体"/>
      <w:sz w:val="24"/>
    </w:rPr>
  </w:style>
  <w:style w:type="character" w:customStyle="1" w:styleId="32">
    <w:name w:val="正文文本 字符1"/>
    <w:semiHidden/>
    <w:qFormat/>
    <w:uiPriority w:val="0"/>
    <w:rPr>
      <w:rFonts w:ascii="Times New Roman" w:hAnsi="Times New Roman" w:eastAsia="宋体"/>
      <w:sz w:val="24"/>
    </w:rPr>
  </w:style>
  <w:style w:type="character" w:customStyle="1" w:styleId="33">
    <w:name w:val="正文文本 字符"/>
    <w:link w:val="10"/>
    <w:qFormat/>
    <w:locked/>
    <w:uiPriority w:val="0"/>
    <w:rPr>
      <w:sz w:val="18"/>
    </w:rPr>
  </w:style>
  <w:style w:type="character" w:customStyle="1" w:styleId="34">
    <w:name w:val="批注文字 字符"/>
    <w:link w:val="9"/>
    <w:qFormat/>
    <w:locked/>
    <w:uiPriority w:val="99"/>
    <w:rPr>
      <w:rFonts w:ascii="Times New Roman" w:hAnsi="Times New Roman" w:eastAsia="宋体"/>
      <w:sz w:val="24"/>
    </w:rPr>
  </w:style>
  <w:style w:type="character" w:customStyle="1" w:styleId="35">
    <w:name w:val="表格 Char"/>
    <w:link w:val="36"/>
    <w:qFormat/>
    <w:locked/>
    <w:uiPriority w:val="0"/>
    <w:rPr>
      <w:rFonts w:ascii="宋体"/>
      <w:sz w:val="21"/>
    </w:rPr>
  </w:style>
  <w:style w:type="paragraph" w:customStyle="1" w:styleId="36">
    <w:name w:val="表格"/>
    <w:basedOn w:val="1"/>
    <w:next w:val="1"/>
    <w:link w:val="35"/>
    <w:qFormat/>
    <w:uiPriority w:val="0"/>
    <w:pPr>
      <w:adjustRightInd w:val="0"/>
      <w:snapToGrid w:val="0"/>
      <w:spacing w:beforeLines="10" w:afterLines="10" w:line="259" w:lineRule="auto"/>
      <w:jc w:val="center"/>
    </w:pPr>
    <w:rPr>
      <w:rFonts w:ascii="宋体"/>
      <w:kern w:val="0"/>
      <w:szCs w:val="20"/>
    </w:rPr>
  </w:style>
  <w:style w:type="character" w:customStyle="1" w:styleId="37">
    <w:name w:val="日期 字符"/>
    <w:semiHidden/>
    <w:qFormat/>
    <w:uiPriority w:val="0"/>
    <w:rPr>
      <w:rFonts w:ascii="Times New Roman" w:hAnsi="Times New Roman" w:eastAsia="宋体"/>
      <w:sz w:val="24"/>
    </w:rPr>
  </w:style>
  <w:style w:type="character" w:customStyle="1" w:styleId="38">
    <w:name w:val="批注框文本 字符"/>
    <w:link w:val="14"/>
    <w:semiHidden/>
    <w:qFormat/>
    <w:locked/>
    <w:uiPriority w:val="0"/>
    <w:rPr>
      <w:rFonts w:ascii="Times New Roman" w:hAnsi="Times New Roman" w:eastAsia="宋体"/>
      <w:sz w:val="18"/>
    </w:rPr>
  </w:style>
  <w:style w:type="character" w:customStyle="1" w:styleId="39">
    <w:name w:val="批注主题 字符"/>
    <w:link w:val="20"/>
    <w:semiHidden/>
    <w:qFormat/>
    <w:locked/>
    <w:uiPriority w:val="0"/>
    <w:rPr>
      <w:rFonts w:ascii="Times New Roman" w:hAnsi="Times New Roman" w:eastAsia="宋体"/>
      <w:b/>
      <w:kern w:val="2"/>
      <w:sz w:val="24"/>
    </w:rPr>
  </w:style>
  <w:style w:type="character" w:customStyle="1" w:styleId="40">
    <w:name w:val="页眉 字符"/>
    <w:link w:val="16"/>
    <w:qFormat/>
    <w:locked/>
    <w:uiPriority w:val="0"/>
    <w:rPr>
      <w:sz w:val="18"/>
    </w:rPr>
  </w:style>
  <w:style w:type="character" w:customStyle="1" w:styleId="41">
    <w:name w:val="批注文字 字符1"/>
    <w:semiHidden/>
    <w:qFormat/>
    <w:uiPriority w:val="0"/>
    <w:rPr>
      <w:rFonts w:ascii="Times New Roman" w:hAnsi="Times New Roman" w:eastAsia="宋体"/>
      <w:sz w:val="24"/>
    </w:rPr>
  </w:style>
  <w:style w:type="character" w:customStyle="1" w:styleId="42">
    <w:name w:val="正文文本缩进 字符"/>
    <w:link w:val="11"/>
    <w:semiHidden/>
    <w:qFormat/>
    <w:locked/>
    <w:uiPriority w:val="0"/>
    <w:rPr>
      <w:rFonts w:ascii="Times New Roman" w:hAnsi="Times New Roman" w:eastAsia="宋体"/>
      <w:sz w:val="24"/>
    </w:rPr>
  </w:style>
  <w:style w:type="paragraph" w:customStyle="1" w:styleId="43">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44">
    <w:name w:val="普通(网站)2"/>
    <w:basedOn w:val="1"/>
    <w:qFormat/>
    <w:uiPriority w:val="0"/>
    <w:pPr>
      <w:widowControl/>
      <w:spacing w:before="100" w:beforeAutospacing="1" w:after="100" w:afterAutospacing="1"/>
      <w:jc w:val="left"/>
    </w:pPr>
    <w:rPr>
      <w:rFonts w:ascii="宋体" w:hAnsi="宋体"/>
      <w:sz w:val="24"/>
      <w:szCs w:val="20"/>
    </w:rPr>
  </w:style>
  <w:style w:type="character" w:customStyle="1" w:styleId="45">
    <w:name w:val="标题 3 字符"/>
    <w:basedOn w:val="23"/>
    <w:link w:val="7"/>
    <w:semiHidden/>
    <w:qFormat/>
    <w:uiPriority w:val="0"/>
    <w:rPr>
      <w:b/>
      <w:bCs/>
      <w:kern w:val="2"/>
      <w:sz w:val="32"/>
      <w:szCs w:val="32"/>
    </w:rPr>
  </w:style>
  <w:style w:type="character" w:customStyle="1" w:styleId="46">
    <w:name w:val="0表-序号 Char"/>
    <w:link w:val="47"/>
    <w:qFormat/>
    <w:uiPriority w:val="0"/>
    <w:rPr>
      <w:rFonts w:eastAsia="黑体"/>
      <w:sz w:val="21"/>
    </w:rPr>
  </w:style>
  <w:style w:type="paragraph" w:customStyle="1" w:styleId="47">
    <w:name w:val="0表-序号"/>
    <w:next w:val="1"/>
    <w:link w:val="46"/>
    <w:qFormat/>
    <w:uiPriority w:val="0"/>
    <w:pPr>
      <w:tabs>
        <w:tab w:val="left" w:pos="0"/>
      </w:tabs>
      <w:adjustRightInd w:val="0"/>
      <w:snapToGrid w:val="0"/>
      <w:jc w:val="center"/>
    </w:pPr>
    <w:rPr>
      <w:rFonts w:ascii="Times New Roman" w:hAnsi="Times New Roman" w:eastAsia="黑体" w:cs="Times New Roman"/>
      <w:sz w:val="21"/>
      <w:lang w:val="en-US" w:eastAsia="zh-CN" w:bidi="ar-SA"/>
    </w:rPr>
  </w:style>
  <w:style w:type="paragraph" w:styleId="48">
    <w:name w:val="List Paragraph"/>
    <w:basedOn w:val="1"/>
    <w:qFormat/>
    <w:uiPriority w:val="34"/>
    <w:pPr>
      <w:widowControl/>
      <w:adjustRightInd w:val="0"/>
      <w:snapToGrid w:val="0"/>
      <w:ind w:firstLine="420" w:firstLineChars="200"/>
    </w:pPr>
    <w:rPr>
      <w:rFonts w:ascii="Tahoma" w:hAnsi="Tahoma" w:eastAsia="楷体_GB2312"/>
      <w:kern w:val="0"/>
      <w:sz w:val="24"/>
      <w:szCs w:val="22"/>
    </w:rPr>
  </w:style>
  <w:style w:type="paragraph" w:customStyle="1" w:styleId="49">
    <w:name w:val="表头"/>
    <w:basedOn w:val="1"/>
    <w:next w:val="1"/>
    <w:qFormat/>
    <w:uiPriority w:val="0"/>
    <w:pPr>
      <w:tabs>
        <w:tab w:val="left" w:pos="7380"/>
      </w:tabs>
      <w:autoSpaceDE w:val="0"/>
      <w:autoSpaceDN w:val="0"/>
      <w:adjustRightInd w:val="0"/>
      <w:snapToGrid w:val="0"/>
      <w:spacing w:before="80" w:after="80" w:line="480" w:lineRule="exact"/>
      <w:jc w:val="center"/>
      <w:outlineLvl w:val="2"/>
    </w:pPr>
    <w:rPr>
      <w:b/>
      <w:color w:val="000000"/>
      <w:kern w:val="32"/>
      <w:sz w:val="24"/>
      <w:szCs w:val="20"/>
      <w:lang w:val="de-DE"/>
    </w:rPr>
  </w:style>
  <w:style w:type="paragraph" w:customStyle="1" w:styleId="50">
    <w:name w:val="0序号（1）"/>
    <w:basedOn w:val="1"/>
    <w:next w:val="1"/>
    <w:link w:val="53"/>
    <w:qFormat/>
    <w:uiPriority w:val="0"/>
    <w:pPr>
      <w:tabs>
        <w:tab w:val="left" w:pos="0"/>
        <w:tab w:val="left" w:pos="420"/>
        <w:tab w:val="left" w:pos="846"/>
      </w:tabs>
      <w:adjustRightInd w:val="0"/>
      <w:snapToGrid w:val="0"/>
      <w:spacing w:line="360" w:lineRule="auto"/>
      <w:ind w:left="426"/>
    </w:pPr>
    <w:rPr>
      <w:sz w:val="24"/>
    </w:rPr>
  </w:style>
  <w:style w:type="character" w:customStyle="1" w:styleId="51">
    <w:name w:val="000序号（1） Char"/>
    <w:link w:val="52"/>
    <w:qFormat/>
    <w:uiPriority w:val="0"/>
  </w:style>
  <w:style w:type="paragraph" w:customStyle="1" w:styleId="52">
    <w:name w:val="000序号（1）"/>
    <w:basedOn w:val="1"/>
    <w:link w:val="51"/>
    <w:qFormat/>
    <w:uiPriority w:val="0"/>
    <w:pPr>
      <w:numPr>
        <w:ilvl w:val="3"/>
        <w:numId w:val="1"/>
      </w:numPr>
      <w:adjustRightInd w:val="0"/>
      <w:snapToGrid w:val="0"/>
      <w:spacing w:line="360" w:lineRule="auto"/>
    </w:pPr>
    <w:rPr>
      <w:kern w:val="0"/>
      <w:sz w:val="20"/>
      <w:szCs w:val="20"/>
    </w:rPr>
  </w:style>
  <w:style w:type="character" w:customStyle="1" w:styleId="53">
    <w:name w:val="0序号（1） Char"/>
    <w:link w:val="50"/>
    <w:qFormat/>
    <w:uiPriority w:val="0"/>
    <w:rPr>
      <w:kern w:val="2"/>
      <w:sz w:val="24"/>
      <w:szCs w:val="24"/>
    </w:rPr>
  </w:style>
  <w:style w:type="paragraph" w:customStyle="1" w:styleId="54">
    <w:name w:val="我的表格文字"/>
    <w:basedOn w:val="1"/>
    <w:qFormat/>
    <w:uiPriority w:val="0"/>
    <w:pPr>
      <w:widowControl/>
      <w:adjustRightInd w:val="0"/>
      <w:snapToGrid w:val="0"/>
      <w:jc w:val="center"/>
      <w:textAlignment w:val="center"/>
    </w:pPr>
    <w:rPr>
      <w:color w:val="FF0000"/>
      <w:kern w:val="0"/>
      <w:sz w:val="24"/>
      <w:szCs w:val="21"/>
    </w:rPr>
  </w:style>
  <w:style w:type="paragraph" w:customStyle="1" w:styleId="55">
    <w:name w:val="Table Paragraph"/>
    <w:basedOn w:val="1"/>
    <w:qFormat/>
    <w:uiPriority w:val="1"/>
    <w:pPr>
      <w:autoSpaceDE w:val="0"/>
      <w:autoSpaceDN w:val="0"/>
      <w:jc w:val="left"/>
    </w:pPr>
    <w:rPr>
      <w:rFonts w:ascii="宋体" w:hAnsi="宋体" w:cs="宋体"/>
      <w:kern w:val="0"/>
      <w:sz w:val="22"/>
      <w:szCs w:val="22"/>
      <w:lang w:val="zh-CN" w:bidi="zh-CN"/>
    </w:rPr>
  </w:style>
  <w:style w:type="paragraph" w:customStyle="1" w:styleId="56">
    <w:name w:val="书表格内"/>
    <w:basedOn w:val="1"/>
    <w:link w:val="58"/>
    <w:qFormat/>
    <w:uiPriority w:val="0"/>
    <w:pPr>
      <w:spacing w:line="0" w:lineRule="atLeast"/>
      <w:jc w:val="center"/>
    </w:pPr>
    <w:rPr>
      <w:szCs w:val="21"/>
    </w:rPr>
  </w:style>
  <w:style w:type="paragraph" w:customStyle="1" w:styleId="57">
    <w:name w:val="000表格正文"/>
    <w:basedOn w:val="1"/>
    <w:next w:val="1"/>
    <w:link w:val="61"/>
    <w:qFormat/>
    <w:uiPriority w:val="0"/>
    <w:pPr>
      <w:jc w:val="center"/>
    </w:pPr>
    <w:rPr>
      <w:szCs w:val="21"/>
    </w:rPr>
  </w:style>
  <w:style w:type="character" w:customStyle="1" w:styleId="58">
    <w:name w:val="书表格内 Char"/>
    <w:link w:val="56"/>
    <w:qFormat/>
    <w:uiPriority w:val="0"/>
    <w:rPr>
      <w:kern w:val="2"/>
      <w:sz w:val="21"/>
      <w:szCs w:val="21"/>
    </w:rPr>
  </w:style>
  <w:style w:type="paragraph" w:customStyle="1" w:styleId="59">
    <w:name w:val="0表格正文"/>
    <w:basedOn w:val="1"/>
    <w:next w:val="1"/>
    <w:qFormat/>
    <w:uiPriority w:val="0"/>
    <w:pPr>
      <w:pBdr>
        <w:top w:val="none" w:color="auto" w:sz="0" w:space="1"/>
        <w:left w:val="none" w:color="auto" w:sz="0" w:space="4"/>
        <w:bottom w:val="none" w:color="auto" w:sz="0" w:space="1"/>
        <w:right w:val="none" w:color="auto" w:sz="0" w:space="4"/>
      </w:pBdr>
      <w:jc w:val="center"/>
    </w:pPr>
    <w:rPr>
      <w:rFonts w:ascii="宋体" w:hAnsi="宋体"/>
      <w:kern w:val="0"/>
      <w:szCs w:val="20"/>
    </w:rPr>
  </w:style>
  <w:style w:type="paragraph" w:customStyle="1" w:styleId="60">
    <w:name w:val="表中文字"/>
    <w:basedOn w:val="1"/>
    <w:qFormat/>
    <w:uiPriority w:val="0"/>
    <w:pPr>
      <w:adjustRightInd w:val="0"/>
      <w:snapToGrid w:val="0"/>
      <w:spacing w:line="240" w:lineRule="atLeast"/>
      <w:jc w:val="center"/>
    </w:pPr>
    <w:rPr>
      <w:lang w:val="zh-CN"/>
    </w:rPr>
  </w:style>
  <w:style w:type="character" w:customStyle="1" w:styleId="61">
    <w:name w:val="000表格正文 Char"/>
    <w:link w:val="57"/>
    <w:qFormat/>
    <w:locked/>
    <w:uiPriority w:val="99"/>
    <w:rPr>
      <w:kern w:val="2"/>
      <w:sz w:val="21"/>
      <w:szCs w:val="21"/>
    </w:rPr>
  </w:style>
  <w:style w:type="table" w:customStyle="1" w:styleId="62">
    <w:name w:val="Table Normal"/>
    <w:unhideWhenUsed/>
    <w:qFormat/>
    <w:uiPriority w:val="2"/>
    <w:pPr>
      <w:widowControl w:val="0"/>
    </w:pPr>
    <w:rPr>
      <w:rFonts w:asciiTheme="minorHAnsi" w:hAnsiTheme="minorHAnsi" w:eastAsiaTheme="minorEastAsia" w:cstheme="minorBidi"/>
      <w:sz w:val="22"/>
      <w:szCs w:val="22"/>
      <w:lang w:eastAsia="en-US"/>
    </w:rPr>
    <w:tblPr>
      <w:tblCellMar>
        <w:top w:w="0" w:type="dxa"/>
        <w:left w:w="0" w:type="dxa"/>
        <w:bottom w:w="0" w:type="dxa"/>
        <w:right w:w="0" w:type="dxa"/>
      </w:tblCellMar>
    </w:tblPr>
  </w:style>
  <w:style w:type="paragraph" w:customStyle="1" w:styleId="63">
    <w:name w:val="Table Text"/>
    <w:basedOn w:val="1"/>
    <w:semiHidden/>
    <w:qFormat/>
    <w:uiPriority w:val="0"/>
    <w:pPr>
      <w:widowControl/>
      <w:kinsoku w:val="0"/>
      <w:autoSpaceDE w:val="0"/>
      <w:autoSpaceDN w:val="0"/>
      <w:adjustRightInd w:val="0"/>
      <w:snapToGrid w:val="0"/>
      <w:jc w:val="left"/>
      <w:textAlignment w:val="baseline"/>
    </w:pPr>
    <w:rPr>
      <w:rFonts w:ascii="宋体" w:hAnsi="宋体" w:cs="宋体"/>
      <w:snapToGrid w:val="0"/>
      <w:color w:val="000000"/>
      <w:kern w:val="0"/>
      <w:sz w:val="20"/>
      <w:szCs w:val="20"/>
      <w:lang w:eastAsia="en-US"/>
    </w:rPr>
  </w:style>
  <w:style w:type="character" w:customStyle="1" w:styleId="64">
    <w:name w:val="表格文本 Char"/>
    <w:link w:val="65"/>
    <w:qFormat/>
    <w:uiPriority w:val="0"/>
    <w:rPr>
      <w:sz w:val="21"/>
      <w:szCs w:val="21"/>
    </w:rPr>
  </w:style>
  <w:style w:type="paragraph" w:customStyle="1" w:styleId="65">
    <w:name w:val="表格文本"/>
    <w:basedOn w:val="1"/>
    <w:link w:val="64"/>
    <w:qFormat/>
    <w:uiPriority w:val="0"/>
    <w:pPr>
      <w:snapToGrid w:val="0"/>
      <w:jc w:val="center"/>
    </w:pPr>
    <w:rPr>
      <w:kern w:val="0"/>
      <w:szCs w:val="21"/>
    </w:rPr>
  </w:style>
  <w:style w:type="character" w:customStyle="1" w:styleId="66">
    <w:name w:val="标题 2 字符"/>
    <w:basedOn w:val="23"/>
    <w:link w:val="6"/>
    <w:semiHidden/>
    <w:qFormat/>
    <w:uiPriority w:val="0"/>
    <w:rPr>
      <w:rFonts w:asciiTheme="majorHAnsi" w:hAnsiTheme="majorHAnsi" w:eastAsiaTheme="majorEastAsia" w:cstheme="majorBidi"/>
      <w:b/>
      <w:bCs/>
      <w:kern w:val="2"/>
      <w:sz w:val="32"/>
      <w:szCs w:val="32"/>
    </w:rPr>
  </w:style>
  <w:style w:type="paragraph" w:customStyle="1" w:styleId="67">
    <w:name w:val="Default"/>
    <w:basedOn w:val="68"/>
    <w:next w:val="69"/>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customStyle="1" w:styleId="68">
    <w:name w:val="纯文本1"/>
    <w:basedOn w:val="1"/>
    <w:autoRedefine/>
    <w:qFormat/>
    <w:uiPriority w:val="99"/>
    <w:rPr>
      <w:rFonts w:ascii="宋体" w:hAnsi="Courier New" w:cs="Courier New"/>
      <w:szCs w:val="21"/>
    </w:rPr>
  </w:style>
  <w:style w:type="paragraph" w:customStyle="1" w:styleId="69">
    <w:name w:val="样式1"/>
    <w:basedOn w:val="1"/>
    <w:next w:val="1"/>
    <w:qFormat/>
    <w:uiPriority w:val="0"/>
    <w:pPr>
      <w:snapToGrid w:val="0"/>
      <w:spacing w:line="540" w:lineRule="atLeast"/>
      <w:ind w:firstLine="510"/>
      <w:jc w:val="left"/>
    </w:pPr>
    <w:rPr>
      <w:rFonts w:ascii="宋体"/>
      <w:sz w:val="28"/>
      <w:szCs w:val="20"/>
    </w:rPr>
  </w:style>
  <w:style w:type="paragraph" w:customStyle="1" w:styleId="70">
    <w:name w:val="+正文"/>
    <w:basedOn w:val="1"/>
    <w:autoRedefine/>
    <w:qFormat/>
    <w:uiPriority w:val="0"/>
    <w:pPr>
      <w:spacing w:line="360" w:lineRule="auto"/>
    </w:pPr>
    <w:rPr>
      <w:rFonts w:asciiTheme="minorHAnsi" w:hAnsiTheme="minorHAnsi" w:eastAsiaTheme="minorEastAsia" w:cstheme="minorBidi"/>
      <w:sz w:val="28"/>
      <w:szCs w:val="28"/>
    </w:rPr>
  </w:style>
  <w:style w:type="paragraph" w:customStyle="1" w:styleId="71">
    <w:name w:val="正文001"/>
    <w:basedOn w:val="1"/>
    <w:autoRedefine/>
    <w:qFormat/>
    <w:uiPriority w:val="0"/>
    <w:pPr>
      <w:adjustRightInd w:val="0"/>
      <w:spacing w:before="120" w:after="120" w:line="540" w:lineRule="exact"/>
      <w:ind w:firstLine="567"/>
      <w:textAlignment w:val="baseline"/>
    </w:pPr>
    <w:rPr>
      <w:rFonts w:ascii="宋体" w:hAnsi="宋体" w:cs="宋体" w:eastAsiaTheme="minorEastAsia"/>
      <w:kern w:val="21"/>
      <w:sz w:val="28"/>
      <w:szCs w:val="28"/>
    </w:rPr>
  </w:style>
  <w:style w:type="paragraph" w:customStyle="1" w:styleId="72">
    <w:name w:val="（真）表格内容"/>
    <w:autoRedefine/>
    <w:qFormat/>
    <w:uiPriority w:val="0"/>
    <w:pPr>
      <w:adjustRightInd w:val="0"/>
      <w:snapToGrid w:val="0"/>
      <w:jc w:val="center"/>
    </w:pPr>
    <w:rPr>
      <w:rFonts w:ascii="Times New Roman" w:hAnsi="Times New Roman" w:eastAsia="宋体" w:cs="宋体"/>
      <w:sz w:val="21"/>
      <w:szCs w:val="21"/>
      <w:lang w:val="en-US" w:eastAsia="zh-CN" w:bidi="ar-SA"/>
    </w:rPr>
  </w:style>
  <w:style w:type="character" w:customStyle="1" w:styleId="73">
    <w:name w:val="正文文本 2 字符"/>
    <w:basedOn w:val="23"/>
    <w:link w:val="18"/>
    <w:qFormat/>
    <w:uiPriority w:val="0"/>
    <w:rPr>
      <w:kern w:val="2"/>
      <w:sz w:val="21"/>
      <w:szCs w:val="24"/>
    </w:rPr>
  </w:style>
  <w:style w:type="paragraph" w:customStyle="1" w:styleId="74">
    <w:name w:val="Char5"/>
    <w:basedOn w:val="1"/>
    <w:autoRedefine/>
    <w:qFormat/>
    <w:uiPriority w:val="0"/>
    <w:pPr>
      <w:spacing w:line="360" w:lineRule="auto"/>
    </w:pPr>
    <w:rPr>
      <w:rFonts w:ascii="宋体" w:hAnsi="宋体" w:cs="宋体" w:eastAsiaTheme="minorEastAsia"/>
    </w:rPr>
  </w:style>
  <w:style w:type="paragraph" w:customStyle="1" w:styleId="75">
    <w:name w:val="常用"/>
    <w:basedOn w:val="1"/>
    <w:qFormat/>
    <w:uiPriority w:val="0"/>
    <w:pPr>
      <w:spacing w:line="360" w:lineRule="auto"/>
      <w:ind w:firstLine="420"/>
      <w:jc w:val="left"/>
    </w:pPr>
    <w:rPr>
      <w:szCs w:val="22"/>
    </w:rPr>
  </w:style>
  <w:style w:type="paragraph" w:customStyle="1" w:styleId="76">
    <w:name w:val="图表标题"/>
    <w:basedOn w:val="1"/>
    <w:qFormat/>
    <w:uiPriority w:val="0"/>
    <w:pPr>
      <w:spacing w:line="360" w:lineRule="auto"/>
      <w:jc w:val="center"/>
    </w:pPr>
    <w:rPr>
      <w:rFonts w:ascii="Times New Roman" w:hAnsi="Times New Roman" w:eastAsia="宋体"/>
      <w:b/>
      <w:szCs w:val="21"/>
    </w:rPr>
  </w:style>
  <w:style w:type="paragraph" w:customStyle="1" w:styleId="77">
    <w:name w:val="Body text|1"/>
    <w:basedOn w:val="1"/>
    <w:qFormat/>
    <w:uiPriority w:val="0"/>
    <w:pPr>
      <w:widowControl w:val="0"/>
      <w:shd w:val="clear" w:color="auto" w:fill="auto"/>
      <w:spacing w:line="425" w:lineRule="auto"/>
      <w:ind w:firstLine="400"/>
    </w:pPr>
    <w:rPr>
      <w:rFonts w:ascii="宋体" w:hAnsi="宋体" w:eastAsia="宋体" w:cs="宋体"/>
      <w:sz w:val="34"/>
      <w:szCs w:val="34"/>
      <w:u w:val="none"/>
      <w:shd w:val="clear" w:color="auto" w:fill="auto"/>
      <w:lang w:val="zh-TW" w:eastAsia="zh-TW" w:bidi="zh-TW"/>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8" Type="http://schemas.openxmlformats.org/officeDocument/2006/relationships/fontTable" Target="fontTable.xml"/><Relationship Id="rId77" Type="http://schemas.openxmlformats.org/officeDocument/2006/relationships/numbering" Target="numbering.xml"/><Relationship Id="rId76" Type="http://schemas.openxmlformats.org/officeDocument/2006/relationships/customXml" Target="../customXml/item1.xml"/><Relationship Id="rId75" Type="http://schemas.openxmlformats.org/officeDocument/2006/relationships/image" Target="media/image67.png"/><Relationship Id="rId74" Type="http://schemas.openxmlformats.org/officeDocument/2006/relationships/image" Target="media/image66.png"/><Relationship Id="rId73" Type="http://schemas.openxmlformats.org/officeDocument/2006/relationships/image" Target="media/image65.png"/><Relationship Id="rId72" Type="http://schemas.openxmlformats.org/officeDocument/2006/relationships/image" Target="media/image64.png"/><Relationship Id="rId71" Type="http://schemas.openxmlformats.org/officeDocument/2006/relationships/image" Target="media/image63.png"/><Relationship Id="rId70" Type="http://schemas.openxmlformats.org/officeDocument/2006/relationships/image" Target="media/image62.png"/><Relationship Id="rId7" Type="http://schemas.openxmlformats.org/officeDocument/2006/relationships/theme" Target="theme/theme1.xml"/><Relationship Id="rId69" Type="http://schemas.openxmlformats.org/officeDocument/2006/relationships/image" Target="media/image61.png"/><Relationship Id="rId68" Type="http://schemas.openxmlformats.org/officeDocument/2006/relationships/image" Target="media/image60.png"/><Relationship Id="rId67" Type="http://schemas.openxmlformats.org/officeDocument/2006/relationships/image" Target="media/image59.png"/><Relationship Id="rId66" Type="http://schemas.openxmlformats.org/officeDocument/2006/relationships/image" Target="media/image58.png"/><Relationship Id="rId65" Type="http://schemas.openxmlformats.org/officeDocument/2006/relationships/image" Target="media/image57.png"/><Relationship Id="rId64" Type="http://schemas.openxmlformats.org/officeDocument/2006/relationships/image" Target="media/image56.png"/><Relationship Id="rId63" Type="http://schemas.openxmlformats.org/officeDocument/2006/relationships/image" Target="media/image55.png"/><Relationship Id="rId62" Type="http://schemas.openxmlformats.org/officeDocument/2006/relationships/image" Target="media/image54.png"/><Relationship Id="rId61" Type="http://schemas.openxmlformats.org/officeDocument/2006/relationships/image" Target="media/image53.png"/><Relationship Id="rId60" Type="http://schemas.openxmlformats.org/officeDocument/2006/relationships/image" Target="media/image52.png"/><Relationship Id="rId6" Type="http://schemas.openxmlformats.org/officeDocument/2006/relationships/footer" Target="footer4.xml"/><Relationship Id="rId59" Type="http://schemas.openxmlformats.org/officeDocument/2006/relationships/image" Target="media/image51.png"/><Relationship Id="rId58" Type="http://schemas.openxmlformats.org/officeDocument/2006/relationships/image" Target="media/image50.png"/><Relationship Id="rId57" Type="http://schemas.openxmlformats.org/officeDocument/2006/relationships/image" Target="media/image49.png"/><Relationship Id="rId56" Type="http://schemas.openxmlformats.org/officeDocument/2006/relationships/image" Target="media/image48.png"/><Relationship Id="rId55" Type="http://schemas.openxmlformats.org/officeDocument/2006/relationships/image" Target="media/image47.png"/><Relationship Id="rId54" Type="http://schemas.openxmlformats.org/officeDocument/2006/relationships/image" Target="media/image46.png"/><Relationship Id="rId53" Type="http://schemas.openxmlformats.org/officeDocument/2006/relationships/image" Target="media/image45.png"/><Relationship Id="rId52" Type="http://schemas.openxmlformats.org/officeDocument/2006/relationships/image" Target="media/image44.png"/><Relationship Id="rId51" Type="http://schemas.openxmlformats.org/officeDocument/2006/relationships/image" Target="media/image43.png"/><Relationship Id="rId50" Type="http://schemas.openxmlformats.org/officeDocument/2006/relationships/image" Target="media/image42.png"/><Relationship Id="rId5" Type="http://schemas.openxmlformats.org/officeDocument/2006/relationships/footer" Target="footer3.xml"/><Relationship Id="rId49" Type="http://schemas.openxmlformats.org/officeDocument/2006/relationships/image" Target="media/image41.png"/><Relationship Id="rId48" Type="http://schemas.openxmlformats.org/officeDocument/2006/relationships/image" Target="media/image40.png"/><Relationship Id="rId47" Type="http://schemas.openxmlformats.org/officeDocument/2006/relationships/image" Target="media/image39.png"/><Relationship Id="rId46" Type="http://schemas.openxmlformats.org/officeDocument/2006/relationships/image" Target="media/image38.png"/><Relationship Id="rId45" Type="http://schemas.openxmlformats.org/officeDocument/2006/relationships/image" Target="media/image37.png"/><Relationship Id="rId44" Type="http://schemas.openxmlformats.org/officeDocument/2006/relationships/image" Target="media/image36.png"/><Relationship Id="rId43" Type="http://schemas.openxmlformats.org/officeDocument/2006/relationships/image" Target="media/image35.png"/><Relationship Id="rId42" Type="http://schemas.openxmlformats.org/officeDocument/2006/relationships/image" Target="media/image34.png"/><Relationship Id="rId41" Type="http://schemas.openxmlformats.org/officeDocument/2006/relationships/image" Target="media/image33.png"/><Relationship Id="rId40" Type="http://schemas.openxmlformats.org/officeDocument/2006/relationships/image" Target="media/image32.png"/><Relationship Id="rId4" Type="http://schemas.openxmlformats.org/officeDocument/2006/relationships/footer" Target="footer2.xml"/><Relationship Id="rId39" Type="http://schemas.openxmlformats.org/officeDocument/2006/relationships/image" Target="media/image31.png"/><Relationship Id="rId38" Type="http://schemas.openxmlformats.org/officeDocument/2006/relationships/image" Target="media/image30.png"/><Relationship Id="rId37" Type="http://schemas.openxmlformats.org/officeDocument/2006/relationships/image" Target="media/image29.png"/><Relationship Id="rId36" Type="http://schemas.openxmlformats.org/officeDocument/2006/relationships/image" Target="media/image28.png"/><Relationship Id="rId35" Type="http://schemas.openxmlformats.org/officeDocument/2006/relationships/image" Target="media/image27.png"/><Relationship Id="rId34" Type="http://schemas.openxmlformats.org/officeDocument/2006/relationships/image" Target="media/image26.png"/><Relationship Id="rId33" Type="http://schemas.openxmlformats.org/officeDocument/2006/relationships/image" Target="media/image25.png"/><Relationship Id="rId32" Type="http://schemas.openxmlformats.org/officeDocument/2006/relationships/image" Target="media/image24.png"/><Relationship Id="rId31" Type="http://schemas.openxmlformats.org/officeDocument/2006/relationships/image" Target="media/image23.png"/><Relationship Id="rId30" Type="http://schemas.openxmlformats.org/officeDocument/2006/relationships/image" Target="media/image22.jpeg"/><Relationship Id="rId3" Type="http://schemas.openxmlformats.org/officeDocument/2006/relationships/footer" Target="footer1.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wmf"/><Relationship Id="rId22" Type="http://schemas.openxmlformats.org/officeDocument/2006/relationships/image" Target="media/image14.wmf"/><Relationship Id="rId21" Type="http://schemas.openxmlformats.org/officeDocument/2006/relationships/image" Target="media/image13.wmf"/><Relationship Id="rId20" Type="http://schemas.openxmlformats.org/officeDocument/2006/relationships/image" Target="media/image12.wmf"/><Relationship Id="rId2" Type="http://schemas.openxmlformats.org/officeDocument/2006/relationships/settings" Target="settings.xml"/><Relationship Id="rId19" Type="http://schemas.openxmlformats.org/officeDocument/2006/relationships/image" Target="media/image11.wmf"/><Relationship Id="rId18" Type="http://schemas.openxmlformats.org/officeDocument/2006/relationships/oleObject" Target="embeddings/oleObject1.bin"/><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jpeg"/><Relationship Id="rId11" Type="http://schemas.openxmlformats.org/officeDocument/2006/relationships/image" Target="media/image4.png"/><Relationship Id="rId10" Type="http://schemas.openxmlformats.org/officeDocument/2006/relationships/image" Target="media/image3.jpe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extobjs>
    <extobj name="ECB019B1-382A-4266-B25C-5B523AA43C14-1">
      <extobjdata type="ECB019B1-382A-4266-B25C-5B523AA43C14" data="ewoJIkZpbGVJZCIgOiAiMzQyOTEyOTY3MzQzIiwKCSJHcm91cElkIiA6ICIxNTg0NDAzNDM0IiwKCSJJbWFnZSIgOiAiaVZCT1J3MEtHZ29BQUFBTlNVaEVVZ0FBQmtZQUFBR0lDQVlBQUFBVURseTNBQUFBQVhOU1IwSUFyczRjNlFBQUlBQkpSRUZVZUp6czNYZDhWRlgrLy9IM21YUTZDQ2pWcURRQms1bEVRRVZXck9zdXlzK0dqYldCSXVwYVVBRkZrYTZpWWtGd1FRVTdMc29xSWk0V0JBV1JyMkptSmlFZ1RZb2dVa0lQSVdWbXp1OFBNck1KbVRRSUpJSFg4N0g3eU9TZWM4ODlGK1RPdWVkemlnU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RnlpL3dOczhPS05hWEZrVVFBQUFBQkpSVTVFcmtKZ2dnPT0iLAoJIlRoZW1lIiA6ICIiLAoJIlR5cGUiIDogImZsb3ciLAoJIlZlcnNpb24iIDogIjM3Igp9Cg=="/>
    </extobj>
    <extobj name="ECB019B1-382A-4266-B25C-5B523AA43C14-2">
      <extobjdata type="ECB019B1-382A-4266-B25C-5B523AA43C14" data="ewoJIkZpbGVJZCIgOiAiMzQ1MjY5MDUwMTQ5IiwKCSJHcm91cElkIiA6ICIxNTg0NDAzNDM0IiwKCSJJbWFnZSIgOiAiaVZCT1J3MEtHZ29BQUFBTlNVaEVVZ0FBQTFJQUFBS1BDQVlBQUFCbjhmdENBQUFBQVhOU1IwSUFyczRjNlFBQUlBQkpSRUZVZUp6czNYbDhVMVg2UC9EUGM1TjBnOWFDTE9WclZVQVVyTFRKdlJuY2R4RUVCUmtYZEZCeEdkd1ZGNXdCeEdWVW5KRUJVVWZGSDQ0aUlpNG9tNHJMcUFNcWJzQTBOMjJocklNZ2RVQUtzcmRwMnR6eit5TTNJVW5URGRCQy9ieGZMMTQwNTU1Nzdra29TWjU3em5rT1F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SUE2OHY5ZWZqSDIzcy83endBQUFBQkpSVTVFcmtKZ2dnPT0iLAoJIlRoZW1lIiA6ICIiLAoJIlR5cGUiIDogImZsb3ciLAoJIlZlcnNpb24iIDogIjIwIgp9Cg=="/>
    </extobj>
    <extobj name="ECB019B1-382A-4266-B25C-5B523AA43C14-3">
      <extobjdata type="ECB019B1-382A-4266-B25C-5B523AA43C14" data="ewoJIkZpbGVJZCIgOiAiMzQyOTM0NzI4Njk1IiwKCSJHcm91cElkIiA6ICIxNTg0NDAzNDM0IiwKCSJJbWFnZSIgOiAiaVZCT1J3MEtHZ29BQUFBTlNVaEVVZ0FBQWw0QUFBRzNDQVlBQUFCbGdsdFJBQUFBQVhOU1IwSUFyczRjNlFBQUlBQkpSRUZVZUp6czNYbFlWUFhpQnZEM0RETXdnQXR1dUlTS2FKcGVOM0RYekRWTks3cFpMbWx1SlpyaXZtYWJ1U3VLQ3k1cHQ5dFZNMDFNTVVwTVJGRk1UVkVRVU13ZEZCRURaWWNCWnViOC9xQTVQNFpaSVIzVTNzL3o5Q1JuL1E0Y09PLzViZ2Nn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xQmIvRDRMZ2U5ZU5SNW03QUFBQUFFbEZUa1N1UW1DQyIsCgkiVGhlbWUiIDogIiIsCgkiVHlwZSIgOiAiZmxvdyIsCgkiVmVyc2lvbiIgOiAiMTMiCn0K"/>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wdzx97.dot</Template>
  <Company>微软中国</Company>
  <Pages>148</Pages>
  <Words>22475</Words>
  <Characters>23578</Characters>
  <Lines>473</Lines>
  <Paragraphs>133</Paragraphs>
  <TotalTime>1</TotalTime>
  <ScaleCrop>false</ScaleCrop>
  <LinksUpToDate>false</LinksUpToDate>
  <CharactersWithSpaces>23578</CharactersWithSpaces>
  <Application>WPS Office_12.1.0.18912_F1E327BC-269C-435d-A152-05C5408002CA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2021-03-16T04:26:00Z</dcterms:created>
  <dc:creator>lhj</dc:creator>
  <cp:lastModifiedBy>如意</cp:lastModifiedBy>
  <cp:lastPrinted>2024-05-28T03:09:00Z</cp:lastPrinted>
  <dcterms:modified xsi:type="dcterms:W3CDTF">2024-11-29T06:21:51Z</dcterms:modified>
  <dc:title>附件2</dc:title>
  <cp:revision>953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2052-12.1.0.18912</vt:lpwstr>
  </property>
  <property fmtid="{D5CDD505-2E9C-101B-9397-08002B2CF9AE}" pid="3" name="ICV">
    <vt:lpwstr>ED810AB80BB646B99BD6DFA0BCF591AD</vt:lpwstr>
  </property>
</Properties>
</file>