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EBE7A5">
      <w:pPr>
        <w:ind w:firstLine="420" w:firstLineChars="0"/>
        <w:rPr>
          <w:rFonts w:hint="default" w:ascii="Times New Roman" w:hAnsi="Times New Roman" w:eastAsia="仿宋_GB2312" w:cs="Times New Roman"/>
          <w:color w:val="000000" w:themeColor="text1"/>
          <w:sz w:val="36"/>
          <w:szCs w:val="36"/>
          <w:highlight w:val="none"/>
          <w14:textFill>
            <w14:solidFill>
              <w14:schemeClr w14:val="tx1"/>
            </w14:solidFill>
          </w14:textFill>
        </w:rPr>
      </w:pPr>
      <w:bookmarkStart w:id="0" w:name="_Hlk57883707"/>
    </w:p>
    <w:p w14:paraId="60C476D4">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bookmarkEnd w:id="0"/>
    <w:p w14:paraId="2CB162EC">
      <w:pPr>
        <w:adjustRightInd w:val="0"/>
        <w:snapToGrid w:val="0"/>
        <w:jc w:val="center"/>
        <w:outlineLvl w:val="0"/>
        <w:rPr>
          <w:rFonts w:hint="default" w:ascii="Times New Roman" w:hAnsi="Times New Roman" w:eastAsia="方正小标宋_GBK" w:cs="Times New Roman"/>
          <w:bCs/>
          <w:color w:val="000000" w:themeColor="text1"/>
          <w:sz w:val="72"/>
          <w:szCs w:val="72"/>
          <w:highlight w:val="none"/>
          <w14:textFill>
            <w14:solidFill>
              <w14:schemeClr w14:val="tx1"/>
            </w14:solidFill>
          </w14:textFill>
        </w:rPr>
      </w:pPr>
      <w:bookmarkStart w:id="1" w:name="_Toc9868"/>
      <w:bookmarkStart w:id="2" w:name="_Toc21885"/>
      <w:bookmarkStart w:id="3" w:name="_Toc740"/>
      <w:bookmarkStart w:id="4" w:name="_Toc6644"/>
      <w:bookmarkStart w:id="5" w:name="_Toc21254"/>
      <w:r>
        <w:rPr>
          <w:rFonts w:hint="default" w:ascii="Times New Roman" w:hAnsi="Times New Roman" w:eastAsia="方正小标宋_GBK" w:cs="Times New Roman"/>
          <w:bCs/>
          <w:color w:val="000000" w:themeColor="text1"/>
          <w:sz w:val="72"/>
          <w:szCs w:val="72"/>
          <w:highlight w:val="none"/>
          <w14:textFill>
            <w14:solidFill>
              <w14:schemeClr w14:val="tx1"/>
            </w14:solidFill>
          </w14:textFill>
        </w:rPr>
        <w:t>建设项目环境影响报告表</w:t>
      </w:r>
      <w:bookmarkEnd w:id="1"/>
      <w:bookmarkEnd w:id="2"/>
      <w:bookmarkEnd w:id="3"/>
      <w:bookmarkEnd w:id="4"/>
      <w:bookmarkEnd w:id="5"/>
    </w:p>
    <w:p w14:paraId="12A930C6">
      <w:pPr>
        <w:adjustRightInd w:val="0"/>
        <w:snapToGrid w:val="0"/>
        <w:spacing w:before="192" w:beforeLines="80"/>
        <w:jc w:val="center"/>
        <w:rPr>
          <w:rFonts w:hint="default" w:ascii="Times New Roman" w:hAnsi="Times New Roman" w:eastAsia="楷体_GB2312" w:cs="Times New Roman"/>
          <w:bCs/>
          <w:color w:val="000000" w:themeColor="text1"/>
          <w:sz w:val="48"/>
          <w:szCs w:val="48"/>
          <w:highlight w:val="none"/>
          <w14:textFill>
            <w14:solidFill>
              <w14:schemeClr w14:val="tx1"/>
            </w14:solidFill>
          </w14:textFill>
        </w:rPr>
      </w:pPr>
      <w:r>
        <w:rPr>
          <w:rFonts w:hint="default" w:ascii="Times New Roman" w:hAnsi="Times New Roman" w:eastAsia="楷体_GB2312" w:cs="Times New Roman"/>
          <w:bCs/>
          <w:color w:val="000000" w:themeColor="text1"/>
          <w:sz w:val="48"/>
          <w:szCs w:val="48"/>
          <w:highlight w:val="none"/>
          <w14:textFill>
            <w14:solidFill>
              <w14:schemeClr w14:val="tx1"/>
            </w14:solidFill>
          </w14:textFill>
        </w:rPr>
        <w:t>（生态影响类）</w:t>
      </w:r>
    </w:p>
    <w:p w14:paraId="385EF17B">
      <w:pPr>
        <w:adjustRightInd w:val="0"/>
        <w:snapToGrid w:val="0"/>
        <w:spacing w:line="288" w:lineRule="auto"/>
        <w:jc w:val="center"/>
        <w:outlineLvl w:val="9"/>
        <w:rPr>
          <w:rFonts w:hint="default" w:ascii="Times New Roman" w:hAnsi="Times New Roman" w:eastAsia="华文仿宋" w:cs="Times New Roman"/>
          <w:color w:val="000000" w:themeColor="text1"/>
          <w:kern w:val="44"/>
          <w:sz w:val="44"/>
          <w:szCs w:val="44"/>
          <w:highlight w:val="none"/>
          <w14:textFill>
            <w14:solidFill>
              <w14:schemeClr w14:val="tx1"/>
            </w14:solidFill>
          </w14:textFill>
        </w:rPr>
      </w:pPr>
      <w:bookmarkStart w:id="6" w:name="_Hlk57883728"/>
    </w:p>
    <w:p w14:paraId="4C9FE6B4">
      <w:pPr>
        <w:jc w:val="center"/>
        <w:rPr>
          <w:rFonts w:hint="default" w:ascii="Times New Roman" w:hAnsi="Times New Roman" w:eastAsia="仿宋" w:cs="Times New Roman"/>
          <w:color w:val="000000" w:themeColor="text1"/>
          <w:sz w:val="52"/>
          <w:szCs w:val="52"/>
          <w:highlight w:val="none"/>
          <w14:textFill>
            <w14:solidFill>
              <w14:schemeClr w14:val="tx1"/>
            </w14:solidFill>
          </w14:textFill>
        </w:rPr>
      </w:pPr>
    </w:p>
    <w:p w14:paraId="0554667C">
      <w:pPr>
        <w:jc w:val="center"/>
        <w:rPr>
          <w:rFonts w:hint="default" w:ascii="Times New Roman" w:hAnsi="Times New Roman" w:eastAsia="仿宋" w:cs="Times New Roman"/>
          <w:color w:val="000000" w:themeColor="text1"/>
          <w:sz w:val="52"/>
          <w:szCs w:val="52"/>
          <w:highlight w:val="none"/>
          <w14:textFill>
            <w14:solidFill>
              <w14:schemeClr w14:val="tx1"/>
            </w14:solidFill>
          </w14:textFill>
        </w:rPr>
      </w:pPr>
    </w:p>
    <w:p w14:paraId="6E412755">
      <w:pPr>
        <w:rPr>
          <w:rFonts w:hint="default" w:ascii="Times New Roman" w:hAnsi="Times New Roman" w:eastAsia="仿宋" w:cs="Times New Roman"/>
          <w:color w:val="000000" w:themeColor="text1"/>
          <w:sz w:val="44"/>
          <w:szCs w:val="44"/>
          <w:highlight w:val="none"/>
          <w14:textFill>
            <w14:solidFill>
              <w14:schemeClr w14:val="tx1"/>
            </w14:solidFill>
          </w14:textFill>
        </w:rPr>
      </w:pPr>
    </w:p>
    <w:p w14:paraId="27E631BC">
      <w:pPr>
        <w:ind w:firstLine="1040"/>
        <w:rPr>
          <w:rFonts w:hint="default" w:ascii="Times New Roman" w:hAnsi="Times New Roman" w:eastAsia="仿宋" w:cs="Times New Roman"/>
          <w:color w:val="000000" w:themeColor="text1"/>
          <w:sz w:val="44"/>
          <w:szCs w:val="44"/>
          <w:highlight w:val="none"/>
          <w14:textFill>
            <w14:solidFill>
              <w14:schemeClr w14:val="tx1"/>
            </w14:solidFill>
          </w14:textFill>
        </w:rPr>
      </w:pPr>
    </w:p>
    <w:bookmarkEnd w:id="6"/>
    <w:p w14:paraId="2A32B418">
      <w:pPr>
        <w:adjustRightInd w:val="0"/>
        <w:snapToGrid w:val="0"/>
        <w:spacing w:line="360" w:lineRule="auto"/>
        <w:ind w:left="2159" w:leftChars="171" w:hanging="1800" w:hangingChars="500"/>
        <w:jc w:val="left"/>
        <w:rPr>
          <w:rFonts w:hint="default" w:ascii="Times New Roman" w:hAnsi="Times New Roman" w:eastAsia="仿宋_GB2312" w:cs="Times New Roman"/>
          <w:color w:val="000000" w:themeColor="text1"/>
          <w:kern w:val="21"/>
          <w:sz w:val="36"/>
          <w:szCs w:val="36"/>
          <w:highlight w:val="none"/>
          <w:u w:val="single"/>
          <w:lang w:val="en-US" w:eastAsia="zh-CN"/>
          <w14:textFill>
            <w14:solidFill>
              <w14:schemeClr w14:val="tx1"/>
            </w14:solidFill>
          </w14:textFill>
        </w:rPr>
      </w:pPr>
      <w:r>
        <w:rPr>
          <w:rFonts w:hint="default" w:ascii="Times New Roman" w:hAnsi="Times New Roman" w:eastAsia="仿宋_GB2312" w:cs="Times New Roman"/>
          <w:color w:val="000000" w:themeColor="text1"/>
          <w:kern w:val="21"/>
          <w:sz w:val="36"/>
          <w:szCs w:val="36"/>
          <w:highlight w:val="none"/>
          <w14:textFill>
            <w14:solidFill>
              <w14:schemeClr w14:val="tx1"/>
            </w14:solidFill>
          </w14:textFill>
        </w:rPr>
        <w:t>项目名称：</w:t>
      </w:r>
      <w:r>
        <w:rPr>
          <w:rFonts w:hint="default" w:ascii="Times New Roman" w:hAnsi="Times New Roman" w:eastAsia="仿宋_GB2312" w:cs="Times New Roman"/>
          <w:color w:val="000000" w:themeColor="text1"/>
          <w:kern w:val="21"/>
          <w:sz w:val="36"/>
          <w:szCs w:val="36"/>
          <w:highlight w:val="none"/>
          <w:u w:val="single"/>
          <w14:textFill>
            <w14:solidFill>
              <w14:schemeClr w14:val="tx1"/>
            </w14:solidFill>
          </w14:textFill>
        </w:rPr>
        <w:t>华能围场“风光储氢热一体化”项目（风电200MW）项目220kV送出线路工程</w:t>
      </w:r>
    </w:p>
    <w:p w14:paraId="427D0735">
      <w:pPr>
        <w:adjustRightInd w:val="0"/>
        <w:snapToGrid w:val="0"/>
        <w:spacing w:line="360" w:lineRule="auto"/>
        <w:ind w:left="2159" w:leftChars="171" w:hanging="1800" w:hangingChars="500"/>
        <w:jc w:val="left"/>
        <w:rPr>
          <w:rFonts w:hint="default" w:ascii="Times New Roman" w:hAnsi="Times New Roman" w:eastAsia="仿宋_GB2312" w:cs="Times New Roman"/>
          <w:color w:val="000000" w:themeColor="text1"/>
          <w:sz w:val="36"/>
          <w:szCs w:val="36"/>
          <w:highlight w:val="none"/>
          <w:u w:val="single"/>
          <w14:textFill>
            <w14:solidFill>
              <w14:schemeClr w14:val="tx1"/>
            </w14:solidFill>
          </w14:textFill>
        </w:rPr>
      </w:pPr>
      <w:r>
        <w:rPr>
          <w:rFonts w:hint="default" w:ascii="Times New Roman" w:hAnsi="Times New Roman" w:eastAsia="仿宋_GB2312" w:cs="Times New Roman"/>
          <w:color w:val="000000" w:themeColor="text1"/>
          <w:kern w:val="21"/>
          <w:sz w:val="36"/>
          <w:szCs w:val="36"/>
          <w:highlight w:val="none"/>
          <w14:textFill>
            <w14:solidFill>
              <w14:schemeClr w14:val="tx1"/>
            </w14:solidFill>
          </w14:textFill>
        </w:rPr>
        <w:t>建设单位（盖章）：</w:t>
      </w:r>
      <w:r>
        <w:rPr>
          <w:rFonts w:hint="default" w:ascii="Times New Roman" w:hAnsi="Times New Roman" w:eastAsia="仿宋_GB2312" w:cs="Times New Roman"/>
          <w:color w:val="000000" w:themeColor="text1"/>
          <w:sz w:val="36"/>
          <w:szCs w:val="36"/>
          <w:highlight w:val="none"/>
          <w:u w:val="single"/>
          <w:lang w:eastAsia="zh-CN"/>
          <w14:textFill>
            <w14:solidFill>
              <w14:schemeClr w14:val="tx1"/>
            </w14:solidFill>
          </w14:textFill>
        </w:rPr>
        <w:t>围场满族蒙古族自治县阳洁</w:t>
      </w:r>
      <w:r>
        <w:rPr>
          <w:rFonts w:hint="eastAsia" w:eastAsia="仿宋_GB2312" w:cs="Times New Roman"/>
          <w:color w:val="000000" w:themeColor="text1"/>
          <w:sz w:val="36"/>
          <w:szCs w:val="36"/>
          <w:highlight w:val="none"/>
          <w:u w:val="single"/>
          <w:lang w:eastAsia="zh-CN"/>
          <w14:textFill>
            <w14:solidFill>
              <w14:schemeClr w14:val="tx1"/>
            </w14:solidFill>
          </w14:textFill>
        </w:rPr>
        <w:t>光伏</w:t>
      </w:r>
      <w:r>
        <w:rPr>
          <w:rFonts w:hint="default" w:ascii="Times New Roman" w:hAnsi="Times New Roman" w:eastAsia="仿宋_GB2312" w:cs="Times New Roman"/>
          <w:color w:val="000000" w:themeColor="text1"/>
          <w:sz w:val="36"/>
          <w:szCs w:val="36"/>
          <w:highlight w:val="none"/>
          <w:u w:val="single"/>
          <w:lang w:eastAsia="zh-CN"/>
          <w14:textFill>
            <w14:solidFill>
              <w14:schemeClr w14:val="tx1"/>
            </w14:solidFill>
          </w14:textFill>
        </w:rPr>
        <w:t>发电有限责任公司</w:t>
      </w:r>
      <w:bookmarkStart w:id="116" w:name="_GoBack"/>
      <w:bookmarkEnd w:id="116"/>
    </w:p>
    <w:p w14:paraId="54231724">
      <w:pPr>
        <w:adjustRightInd w:val="0"/>
        <w:snapToGrid w:val="0"/>
        <w:spacing w:line="360" w:lineRule="auto"/>
        <w:ind w:firstLine="360" w:firstLineChars="100"/>
        <w:jc w:val="left"/>
        <w:rPr>
          <w:rFonts w:hint="default" w:ascii="Times New Roman" w:hAnsi="Times New Roman" w:eastAsia="仿宋_GB2312" w:cs="Times New Roman"/>
          <w:color w:val="000000" w:themeColor="text1"/>
          <w:sz w:val="36"/>
          <w:szCs w:val="36"/>
          <w:highlight w:val="none"/>
          <w:u w:val="single"/>
          <w14:textFill>
            <w14:solidFill>
              <w14:schemeClr w14:val="tx1"/>
            </w14:solidFill>
          </w14:textFill>
        </w:rPr>
      </w:pPr>
    </w:p>
    <w:p w14:paraId="0A3F9620">
      <w:pPr>
        <w:adjustRightInd w:val="0"/>
        <w:snapToGrid w:val="0"/>
        <w:spacing w:line="360" w:lineRule="auto"/>
        <w:ind w:firstLine="360" w:firstLineChars="100"/>
        <w:jc w:val="left"/>
        <w:rPr>
          <w:rFonts w:hint="default" w:ascii="Times New Roman" w:hAnsi="Times New Roman" w:eastAsia="仿宋_GB2312" w:cs="Times New Roman"/>
          <w:color w:val="000000" w:themeColor="text1"/>
          <w:sz w:val="36"/>
          <w:szCs w:val="36"/>
          <w:highlight w:val="none"/>
          <w:u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highlight w:val="none"/>
          <w:u w:val="none"/>
          <w:lang w:val="en-US" w:eastAsia="zh-CN"/>
          <w14:textFill>
            <w14:solidFill>
              <w14:schemeClr w14:val="tx1"/>
            </w14:solidFill>
          </w14:textFill>
        </w:rPr>
        <w:t>编制单位：</w:t>
      </w:r>
      <w:bookmarkStart w:id="7" w:name="OLE_LINK3"/>
      <w:r>
        <w:rPr>
          <w:rFonts w:hint="default" w:ascii="Times New Roman" w:hAnsi="Times New Roman" w:eastAsia="仿宋_GB2312" w:cs="Times New Roman"/>
          <w:color w:val="000000" w:themeColor="text1"/>
          <w:sz w:val="36"/>
          <w:szCs w:val="36"/>
          <w:highlight w:val="none"/>
          <w:u w:val="single"/>
          <w14:textFill>
            <w14:solidFill>
              <w14:schemeClr w14:val="tx1"/>
            </w14:solidFill>
          </w14:textFill>
        </w:rPr>
        <w:t>河北海润工程勘察设计有限公司</w:t>
      </w:r>
      <w:bookmarkEnd w:id="7"/>
    </w:p>
    <w:p w14:paraId="1A841613">
      <w:pPr>
        <w:adjustRightInd w:val="0"/>
        <w:snapToGrid w:val="0"/>
        <w:spacing w:line="360" w:lineRule="auto"/>
        <w:ind w:firstLine="360" w:firstLineChars="100"/>
        <w:jc w:val="left"/>
        <w:rPr>
          <w:rFonts w:hint="default" w:ascii="Times New Roman" w:hAnsi="Times New Roman" w:eastAsia="仿宋_GB2312" w:cs="Times New Roman"/>
          <w:color w:val="000000" w:themeColor="text1"/>
          <w:sz w:val="36"/>
          <w:szCs w:val="36"/>
          <w:highlight w:val="none"/>
          <w:u w:val="single"/>
          <w14:textFill>
            <w14:solidFill>
              <w14:schemeClr w14:val="tx1"/>
            </w14:solidFill>
          </w14:textFill>
        </w:rPr>
      </w:pPr>
      <w:r>
        <w:rPr>
          <w:rFonts w:hint="default" w:ascii="Times New Roman" w:hAnsi="Times New Roman" w:eastAsia="仿宋_GB2312" w:cs="Times New Roman"/>
          <w:color w:val="000000" w:themeColor="text1"/>
          <w:kern w:val="21"/>
          <w:sz w:val="36"/>
          <w:szCs w:val="36"/>
          <w:highlight w:val="none"/>
          <w14:textFill>
            <w14:solidFill>
              <w14:schemeClr w14:val="tx1"/>
            </w14:solidFill>
          </w14:textFill>
        </w:rPr>
        <w:t>编制日期：</w:t>
      </w:r>
      <w:r>
        <w:rPr>
          <w:rFonts w:hint="default" w:ascii="Times New Roman" w:hAnsi="Times New Roman" w:eastAsia="仿宋_GB2312" w:cs="Times New Roman"/>
          <w:color w:val="000000" w:themeColor="text1"/>
          <w:kern w:val="21"/>
          <w:sz w:val="36"/>
          <w:szCs w:val="36"/>
          <w:highlight w:val="none"/>
          <w:u w:val="single"/>
          <w14:textFill>
            <w14:solidFill>
              <w14:schemeClr w14:val="tx1"/>
            </w14:solidFill>
          </w14:textFill>
        </w:rPr>
        <w:t>二</w:t>
      </w:r>
      <w:r>
        <w:rPr>
          <w:rFonts w:hint="default" w:ascii="Times New Roman" w:hAnsi="Times New Roman" w:eastAsia="仿宋_GB2312" w:cs="Times New Roman"/>
          <w:color w:val="000000" w:themeColor="text1"/>
          <w:kern w:val="21"/>
          <w:sz w:val="36"/>
          <w:szCs w:val="36"/>
          <w:highlight w:val="none"/>
          <w:u w:val="single"/>
          <w:lang w:val="en-US" w:eastAsia="zh-CN"/>
          <w14:textFill>
            <w14:solidFill>
              <w14:schemeClr w14:val="tx1"/>
            </w14:solidFill>
          </w14:textFill>
        </w:rPr>
        <w:t>零</w:t>
      </w:r>
      <w:r>
        <w:rPr>
          <w:rFonts w:hint="default" w:ascii="Times New Roman" w:hAnsi="Times New Roman" w:eastAsia="仿宋_GB2312" w:cs="Times New Roman"/>
          <w:color w:val="000000" w:themeColor="text1"/>
          <w:kern w:val="21"/>
          <w:sz w:val="36"/>
          <w:szCs w:val="36"/>
          <w:highlight w:val="none"/>
          <w:u w:val="single"/>
          <w14:textFill>
            <w14:solidFill>
              <w14:schemeClr w14:val="tx1"/>
            </w14:solidFill>
          </w14:textFill>
        </w:rPr>
        <w:t>二</w:t>
      </w:r>
      <w:r>
        <w:rPr>
          <w:rFonts w:hint="default" w:ascii="Times New Roman" w:hAnsi="Times New Roman" w:eastAsia="仿宋_GB2312" w:cs="Times New Roman"/>
          <w:color w:val="000000" w:themeColor="text1"/>
          <w:kern w:val="21"/>
          <w:sz w:val="36"/>
          <w:szCs w:val="36"/>
          <w:highlight w:val="none"/>
          <w:u w:val="single"/>
          <w:lang w:val="en-US" w:eastAsia="zh-CN"/>
          <w14:textFill>
            <w14:solidFill>
              <w14:schemeClr w14:val="tx1"/>
            </w14:solidFill>
          </w14:textFill>
        </w:rPr>
        <w:t>四</w:t>
      </w:r>
      <w:r>
        <w:rPr>
          <w:rFonts w:hint="default" w:ascii="Times New Roman" w:hAnsi="Times New Roman" w:eastAsia="仿宋_GB2312" w:cs="Times New Roman"/>
          <w:color w:val="000000" w:themeColor="text1"/>
          <w:kern w:val="21"/>
          <w:sz w:val="36"/>
          <w:szCs w:val="36"/>
          <w:highlight w:val="none"/>
          <w:u w:val="single"/>
          <w14:textFill>
            <w14:solidFill>
              <w14:schemeClr w14:val="tx1"/>
            </w14:solidFill>
          </w14:textFill>
        </w:rPr>
        <w:t>年</w:t>
      </w:r>
      <w:r>
        <w:rPr>
          <w:rFonts w:hint="eastAsia" w:eastAsia="仿宋_GB2312" w:cs="Times New Roman"/>
          <w:color w:val="000000" w:themeColor="text1"/>
          <w:kern w:val="21"/>
          <w:sz w:val="36"/>
          <w:szCs w:val="36"/>
          <w:highlight w:val="none"/>
          <w:u w:val="single"/>
          <w:lang w:val="en-US" w:eastAsia="zh-CN"/>
          <w14:textFill>
            <w14:solidFill>
              <w14:schemeClr w14:val="tx1"/>
            </w14:solidFill>
          </w14:textFill>
        </w:rPr>
        <w:t>十</w:t>
      </w:r>
      <w:r>
        <w:rPr>
          <w:rFonts w:hint="default" w:ascii="Times New Roman" w:hAnsi="Times New Roman" w:eastAsia="仿宋_GB2312" w:cs="Times New Roman"/>
          <w:color w:val="000000" w:themeColor="text1"/>
          <w:kern w:val="21"/>
          <w:sz w:val="36"/>
          <w:szCs w:val="36"/>
          <w:highlight w:val="none"/>
          <w:u w:val="single"/>
          <w14:textFill>
            <w14:solidFill>
              <w14:schemeClr w14:val="tx1"/>
            </w14:solidFill>
          </w14:textFill>
        </w:rPr>
        <w:t>月</w:t>
      </w:r>
    </w:p>
    <w:p w14:paraId="67EFC2F9">
      <w:pPr>
        <w:adjustRightInd w:val="0"/>
        <w:snapToGrid w:val="0"/>
        <w:spacing w:line="288" w:lineRule="auto"/>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19C5DDED">
      <w:pPr>
        <w:adjustRightInd w:val="0"/>
        <w:snapToGrid w:val="0"/>
        <w:spacing w:line="288" w:lineRule="auto"/>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7DD66D9B">
      <w:pPr>
        <w:adjustRightInd w:val="0"/>
        <w:snapToGrid w:val="0"/>
        <w:spacing w:line="288" w:lineRule="auto"/>
        <w:jc w:val="center"/>
        <w:outlineLvl w:val="0"/>
        <w:rPr>
          <w:rFonts w:hint="default" w:ascii="Times New Roman" w:hAnsi="Times New Roman" w:eastAsia="楷体_GB2312" w:cs="Times New Roman"/>
          <w:color w:val="000000" w:themeColor="text1"/>
          <w:sz w:val="36"/>
          <w:szCs w:val="36"/>
          <w:highlight w:val="none"/>
          <w14:textFill>
            <w14:solidFill>
              <w14:schemeClr w14:val="tx1"/>
            </w14:solidFill>
          </w14:textFill>
        </w:rPr>
      </w:pPr>
      <w:bookmarkStart w:id="8" w:name="_Toc28160"/>
      <w:bookmarkStart w:id="9" w:name="_Toc18431"/>
      <w:bookmarkStart w:id="10" w:name="_Toc14734"/>
      <w:bookmarkStart w:id="11" w:name="_Toc25049"/>
      <w:bookmarkStart w:id="12" w:name="_Toc29790"/>
      <w:r>
        <w:rPr>
          <w:rFonts w:hint="default" w:ascii="Times New Roman" w:hAnsi="Times New Roman" w:eastAsia="楷体_GB2312" w:cs="Times New Roman"/>
          <w:color w:val="000000" w:themeColor="text1"/>
          <w:sz w:val="36"/>
          <w:szCs w:val="36"/>
          <w:highlight w:val="none"/>
          <w14:textFill>
            <w14:solidFill>
              <w14:schemeClr w14:val="tx1"/>
            </w14:solidFill>
          </w14:textFill>
        </w:rPr>
        <w:t>中华人民共和国生态环境部制</w:t>
      </w:r>
      <w:bookmarkEnd w:id="8"/>
      <w:bookmarkEnd w:id="9"/>
      <w:bookmarkEnd w:id="10"/>
      <w:bookmarkEnd w:id="11"/>
      <w:bookmarkEnd w:id="12"/>
    </w:p>
    <w:p w14:paraId="56AAB5FD">
      <w:pPr>
        <w:pStyle w:val="16"/>
        <w:rPr>
          <w:rFonts w:hint="default" w:ascii="Times New Roman" w:hAnsi="Times New Roman" w:eastAsia="楷体_GB2312" w:cs="Times New Roman"/>
          <w:color w:val="000000" w:themeColor="text1"/>
          <w:sz w:val="36"/>
          <w:szCs w:val="36"/>
          <w:highlight w:val="none"/>
          <w14:textFill>
            <w14:solidFill>
              <w14:schemeClr w14:val="tx1"/>
            </w14:solidFill>
          </w14:textFill>
        </w:rPr>
      </w:pPr>
    </w:p>
    <w:p w14:paraId="52C5ACBB">
      <w:pPr>
        <w:keepNext w:val="0"/>
        <w:keepLines w:val="0"/>
        <w:widowControl/>
        <w:suppressLineNumbers w:val="0"/>
        <w:jc w:val="left"/>
        <w:rPr>
          <w:rFonts w:hint="default" w:ascii="Times New Roman" w:hAnsi="Times New Roman" w:cs="Times New Roman"/>
          <w:color w:val="000000" w:themeColor="text1"/>
          <w:highlight w:val="none"/>
          <w14:textFill>
            <w14:solidFill>
              <w14:schemeClr w14:val="tx1"/>
            </w14:solidFill>
          </w14:textFill>
        </w:rPr>
      </w:pPr>
    </w:p>
    <w:p w14:paraId="5DF9793E">
      <w:pPr>
        <w:rPr>
          <w:rFonts w:hint="default" w:ascii="Times New Roman" w:hAnsi="Times New Roman" w:eastAsia="黑体" w:cs="Times New Roman"/>
          <w:b/>
          <w:bCs/>
          <w:color w:val="000000" w:themeColor="text1"/>
          <w:sz w:val="32"/>
          <w:szCs w:val="32"/>
          <w:highlight w:val="none"/>
          <w14:textFill>
            <w14:solidFill>
              <w14:schemeClr w14:val="tx1"/>
            </w14:solidFill>
          </w14:textFill>
        </w:rPr>
      </w:pPr>
      <w:r>
        <w:rPr>
          <w:rFonts w:hint="default" w:ascii="Times New Roman" w:hAnsi="Times New Roman" w:eastAsia="黑体" w:cs="Times New Roman"/>
          <w:b/>
          <w:bCs/>
          <w:color w:val="000000" w:themeColor="text1"/>
          <w:sz w:val="32"/>
          <w:szCs w:val="32"/>
          <w:highlight w:val="none"/>
          <w14:textFill>
            <w14:solidFill>
              <w14:schemeClr w14:val="tx1"/>
            </w14:solidFill>
          </w14:textFill>
        </w:rPr>
        <w:br w:type="page"/>
      </w:r>
    </w:p>
    <w:p w14:paraId="0EFCF187">
      <w:pPr>
        <w:spacing w:before="0" w:beforeLines="0" w:after="0" w:afterLines="0" w:line="240" w:lineRule="auto"/>
        <w:ind w:left="0" w:leftChars="0" w:right="0" w:rightChars="0" w:firstLine="0" w:firstLineChars="0"/>
        <w:jc w:val="center"/>
        <w:rPr>
          <w:rFonts w:hint="default" w:ascii="Times New Roman" w:hAnsi="Times New Roman" w:eastAsia="黑体" w:cs="Times New Roman"/>
          <w:b/>
          <w:bCs/>
          <w:color w:val="000000" w:themeColor="text1"/>
          <w:sz w:val="32"/>
          <w:szCs w:val="32"/>
          <w:highlight w:val="none"/>
          <w14:textFill>
            <w14:solidFill>
              <w14:schemeClr w14:val="tx1"/>
            </w14:solidFill>
          </w14:textFill>
        </w:rPr>
      </w:pPr>
      <w:r>
        <w:rPr>
          <w:rFonts w:hint="default" w:ascii="Times New Roman" w:hAnsi="Times New Roman" w:eastAsia="黑体" w:cs="Times New Roman"/>
          <w:b/>
          <w:bCs/>
          <w:color w:val="000000" w:themeColor="text1"/>
          <w:sz w:val="32"/>
          <w:szCs w:val="32"/>
          <w:highlight w:val="none"/>
          <w14:textFill>
            <w14:solidFill>
              <w14:schemeClr w14:val="tx1"/>
            </w14:solidFill>
          </w14:textFill>
        </w:rPr>
        <w:t>目录</w:t>
      </w:r>
    </w:p>
    <w:p w14:paraId="23A97244">
      <w:pPr>
        <w:pStyle w:val="15"/>
        <w:tabs>
          <w:tab w:val="right" w:leader="dot" w:pos="8845"/>
        </w:tabs>
      </w:pPr>
      <w:r>
        <w:rPr>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begin"/>
      </w:r>
      <w:r>
        <w:rPr>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TOC \o "1-1" \h \u </w:instrText>
      </w:r>
      <w:r>
        <w:rPr>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separate"/>
      </w:r>
    </w:p>
    <w:p w14:paraId="1EA7E562">
      <w:pPr>
        <w:pStyle w:val="15"/>
        <w:tabs>
          <w:tab w:val="right" w:leader="dot" w:pos="8845"/>
        </w:tabs>
        <w:spacing w:line="480" w:lineRule="auto"/>
        <w:rPr>
          <w:b/>
          <w:bCs/>
          <w:sz w:val="32"/>
          <w:szCs w:val="32"/>
        </w:rPr>
      </w:pPr>
      <w:r>
        <w:rPr>
          <w:rFonts w:hint="default" w:ascii="Times New Roman" w:hAnsi="Times New Roman" w:eastAsia="黑体" w:cs="Times New Roman"/>
          <w:b/>
          <w:bCs/>
          <w:color w:val="000000" w:themeColor="text1"/>
          <w:sz w:val="32"/>
          <w:szCs w:val="32"/>
          <w:highlight w:val="none"/>
          <w14:textFill>
            <w14:solidFill>
              <w14:schemeClr w14:val="tx1"/>
            </w14:solidFill>
          </w14:textFill>
        </w:rPr>
        <w:fldChar w:fldCharType="begin"/>
      </w:r>
      <w:r>
        <w:rPr>
          <w:rFonts w:hint="default" w:ascii="Times New Roman" w:hAnsi="Times New Roman" w:eastAsia="黑体" w:cs="Times New Roman"/>
          <w:b/>
          <w:bCs/>
          <w:sz w:val="32"/>
          <w:szCs w:val="32"/>
          <w:highlight w:val="none"/>
        </w:rPr>
        <w:instrText xml:space="preserve"> HYPERLINK \l _Toc25899 </w:instrText>
      </w:r>
      <w:r>
        <w:rPr>
          <w:rFonts w:hint="default" w:ascii="Times New Roman" w:hAnsi="Times New Roman" w:eastAsia="黑体" w:cs="Times New Roman"/>
          <w:b/>
          <w:bCs/>
          <w:sz w:val="32"/>
          <w:szCs w:val="32"/>
          <w:highlight w:val="none"/>
        </w:rPr>
        <w:fldChar w:fldCharType="separate"/>
      </w:r>
      <w:r>
        <w:rPr>
          <w:rFonts w:ascii="黑体" w:hAnsi="黑体" w:eastAsia="黑体" w:cs="黑体"/>
          <w:b/>
          <w:bCs/>
          <w:spacing w:val="-3"/>
          <w:sz w:val="32"/>
          <w:szCs w:val="32"/>
        </w:rPr>
        <w:t>一、建设项目基本情况</w:t>
      </w:r>
      <w:r>
        <w:rPr>
          <w:b/>
          <w:bCs/>
          <w:sz w:val="32"/>
          <w:szCs w:val="32"/>
        </w:rPr>
        <w:tab/>
      </w:r>
      <w:r>
        <w:rPr>
          <w:b/>
          <w:bCs/>
          <w:sz w:val="32"/>
          <w:szCs w:val="32"/>
        </w:rPr>
        <w:fldChar w:fldCharType="begin"/>
      </w:r>
      <w:r>
        <w:rPr>
          <w:b/>
          <w:bCs/>
          <w:sz w:val="32"/>
          <w:szCs w:val="32"/>
        </w:rPr>
        <w:instrText xml:space="preserve"> PAGEREF _Toc25899 \h </w:instrText>
      </w:r>
      <w:r>
        <w:rPr>
          <w:b/>
          <w:bCs/>
          <w:sz w:val="32"/>
          <w:szCs w:val="32"/>
        </w:rPr>
        <w:fldChar w:fldCharType="separate"/>
      </w:r>
      <w:r>
        <w:rPr>
          <w:b/>
          <w:bCs/>
          <w:sz w:val="32"/>
          <w:szCs w:val="32"/>
        </w:rPr>
        <w:t>1</w:t>
      </w:r>
      <w:r>
        <w:rPr>
          <w:b/>
          <w:bCs/>
          <w:sz w:val="32"/>
          <w:szCs w:val="32"/>
        </w:rPr>
        <w:fldChar w:fldCharType="end"/>
      </w:r>
      <w:r>
        <w:rPr>
          <w:rFonts w:hint="default" w:ascii="Times New Roman" w:hAnsi="Times New Roman" w:eastAsia="黑体" w:cs="Times New Roman"/>
          <w:b/>
          <w:bCs/>
          <w:color w:val="000000" w:themeColor="text1"/>
          <w:sz w:val="32"/>
          <w:szCs w:val="32"/>
          <w:highlight w:val="none"/>
          <w14:textFill>
            <w14:solidFill>
              <w14:schemeClr w14:val="tx1"/>
            </w14:solidFill>
          </w14:textFill>
        </w:rPr>
        <w:fldChar w:fldCharType="end"/>
      </w:r>
    </w:p>
    <w:p w14:paraId="4E26EF91">
      <w:pPr>
        <w:pStyle w:val="15"/>
        <w:tabs>
          <w:tab w:val="right" w:leader="dot" w:pos="8845"/>
        </w:tabs>
        <w:spacing w:line="480" w:lineRule="auto"/>
        <w:rPr>
          <w:b/>
          <w:bCs/>
          <w:sz w:val="32"/>
          <w:szCs w:val="32"/>
        </w:rPr>
      </w:pPr>
      <w:r>
        <w:rPr>
          <w:rFonts w:hint="default" w:ascii="Times New Roman" w:hAnsi="Times New Roman" w:eastAsia="黑体" w:cs="Times New Roman"/>
          <w:b/>
          <w:bCs/>
          <w:color w:val="000000" w:themeColor="text1"/>
          <w:sz w:val="32"/>
          <w:szCs w:val="32"/>
          <w:highlight w:val="none"/>
          <w14:textFill>
            <w14:solidFill>
              <w14:schemeClr w14:val="tx1"/>
            </w14:solidFill>
          </w14:textFill>
        </w:rPr>
        <w:fldChar w:fldCharType="begin"/>
      </w:r>
      <w:r>
        <w:rPr>
          <w:rFonts w:hint="default" w:ascii="Times New Roman" w:hAnsi="Times New Roman" w:eastAsia="黑体" w:cs="Times New Roman"/>
          <w:b/>
          <w:bCs/>
          <w:sz w:val="32"/>
          <w:szCs w:val="32"/>
          <w:highlight w:val="none"/>
        </w:rPr>
        <w:instrText xml:space="preserve"> HYPERLINK \l _Toc5658 </w:instrText>
      </w:r>
      <w:r>
        <w:rPr>
          <w:rFonts w:hint="default" w:ascii="Times New Roman" w:hAnsi="Times New Roman" w:eastAsia="黑体" w:cs="Times New Roman"/>
          <w:b/>
          <w:bCs/>
          <w:sz w:val="32"/>
          <w:szCs w:val="32"/>
          <w:highlight w:val="none"/>
        </w:rPr>
        <w:fldChar w:fldCharType="separate"/>
      </w:r>
      <w:r>
        <w:rPr>
          <w:rFonts w:ascii="黑体" w:hAnsi="黑体" w:eastAsia="黑体" w:cs="黑体"/>
          <w:b/>
          <w:bCs/>
          <w:spacing w:val="-3"/>
          <w:sz w:val="32"/>
          <w:szCs w:val="32"/>
        </w:rPr>
        <w:t>二、建设内容</w:t>
      </w:r>
      <w:r>
        <w:rPr>
          <w:b/>
          <w:bCs/>
          <w:sz w:val="32"/>
          <w:szCs w:val="32"/>
        </w:rPr>
        <w:tab/>
      </w:r>
      <w:r>
        <w:rPr>
          <w:b/>
          <w:bCs/>
          <w:sz w:val="32"/>
          <w:szCs w:val="32"/>
        </w:rPr>
        <w:fldChar w:fldCharType="begin"/>
      </w:r>
      <w:r>
        <w:rPr>
          <w:b/>
          <w:bCs/>
          <w:sz w:val="32"/>
          <w:szCs w:val="32"/>
        </w:rPr>
        <w:instrText xml:space="preserve"> PAGEREF _Toc5658 \h </w:instrText>
      </w:r>
      <w:r>
        <w:rPr>
          <w:b/>
          <w:bCs/>
          <w:sz w:val="32"/>
          <w:szCs w:val="32"/>
        </w:rPr>
        <w:fldChar w:fldCharType="separate"/>
      </w:r>
      <w:r>
        <w:rPr>
          <w:b/>
          <w:bCs/>
          <w:sz w:val="32"/>
          <w:szCs w:val="32"/>
        </w:rPr>
        <w:t>33</w:t>
      </w:r>
      <w:r>
        <w:rPr>
          <w:b/>
          <w:bCs/>
          <w:sz w:val="32"/>
          <w:szCs w:val="32"/>
        </w:rPr>
        <w:fldChar w:fldCharType="end"/>
      </w:r>
      <w:r>
        <w:rPr>
          <w:rFonts w:hint="default" w:ascii="Times New Roman" w:hAnsi="Times New Roman" w:eastAsia="黑体" w:cs="Times New Roman"/>
          <w:b/>
          <w:bCs/>
          <w:color w:val="000000" w:themeColor="text1"/>
          <w:sz w:val="32"/>
          <w:szCs w:val="32"/>
          <w:highlight w:val="none"/>
          <w14:textFill>
            <w14:solidFill>
              <w14:schemeClr w14:val="tx1"/>
            </w14:solidFill>
          </w14:textFill>
        </w:rPr>
        <w:fldChar w:fldCharType="end"/>
      </w:r>
    </w:p>
    <w:p w14:paraId="1023D6E6">
      <w:pPr>
        <w:pStyle w:val="15"/>
        <w:tabs>
          <w:tab w:val="right" w:leader="dot" w:pos="8845"/>
        </w:tabs>
        <w:spacing w:line="480" w:lineRule="auto"/>
        <w:rPr>
          <w:b/>
          <w:bCs/>
          <w:sz w:val="32"/>
          <w:szCs w:val="32"/>
        </w:rPr>
      </w:pPr>
      <w:r>
        <w:rPr>
          <w:rFonts w:hint="default" w:ascii="Times New Roman" w:hAnsi="Times New Roman" w:eastAsia="黑体" w:cs="Times New Roman"/>
          <w:b/>
          <w:bCs/>
          <w:color w:val="000000" w:themeColor="text1"/>
          <w:sz w:val="32"/>
          <w:szCs w:val="32"/>
          <w:highlight w:val="none"/>
          <w14:textFill>
            <w14:solidFill>
              <w14:schemeClr w14:val="tx1"/>
            </w14:solidFill>
          </w14:textFill>
        </w:rPr>
        <w:fldChar w:fldCharType="begin"/>
      </w:r>
      <w:r>
        <w:rPr>
          <w:rFonts w:hint="default" w:ascii="Times New Roman" w:hAnsi="Times New Roman" w:eastAsia="黑体" w:cs="Times New Roman"/>
          <w:b/>
          <w:bCs/>
          <w:sz w:val="32"/>
          <w:szCs w:val="32"/>
          <w:highlight w:val="none"/>
        </w:rPr>
        <w:instrText xml:space="preserve"> HYPERLINK \l _Toc9973 </w:instrText>
      </w:r>
      <w:r>
        <w:rPr>
          <w:rFonts w:hint="default" w:ascii="Times New Roman" w:hAnsi="Times New Roman" w:eastAsia="黑体" w:cs="Times New Roman"/>
          <w:b/>
          <w:bCs/>
          <w:sz w:val="32"/>
          <w:szCs w:val="32"/>
          <w:highlight w:val="none"/>
        </w:rPr>
        <w:fldChar w:fldCharType="separate"/>
      </w:r>
      <w:r>
        <w:rPr>
          <w:rFonts w:hint="default" w:ascii="Times New Roman" w:hAnsi="Times New Roman" w:eastAsia="黑体" w:cs="Times New Roman"/>
          <w:b/>
          <w:bCs/>
          <w:snapToGrid w:val="0"/>
          <w:sz w:val="32"/>
          <w:szCs w:val="32"/>
          <w:highlight w:val="none"/>
        </w:rPr>
        <w:t>三、生态环境现状、保护目标及评价标准</w:t>
      </w:r>
      <w:r>
        <w:rPr>
          <w:b/>
          <w:bCs/>
          <w:sz w:val="32"/>
          <w:szCs w:val="32"/>
        </w:rPr>
        <w:tab/>
      </w:r>
      <w:r>
        <w:rPr>
          <w:b/>
          <w:bCs/>
          <w:sz w:val="32"/>
          <w:szCs w:val="32"/>
        </w:rPr>
        <w:fldChar w:fldCharType="begin"/>
      </w:r>
      <w:r>
        <w:rPr>
          <w:b/>
          <w:bCs/>
          <w:sz w:val="32"/>
          <w:szCs w:val="32"/>
        </w:rPr>
        <w:instrText xml:space="preserve"> PAGEREF _Toc9973 \h </w:instrText>
      </w:r>
      <w:r>
        <w:rPr>
          <w:b/>
          <w:bCs/>
          <w:sz w:val="32"/>
          <w:szCs w:val="32"/>
        </w:rPr>
        <w:fldChar w:fldCharType="separate"/>
      </w:r>
      <w:r>
        <w:rPr>
          <w:b/>
          <w:bCs/>
          <w:sz w:val="32"/>
          <w:szCs w:val="32"/>
        </w:rPr>
        <w:t>52</w:t>
      </w:r>
      <w:r>
        <w:rPr>
          <w:b/>
          <w:bCs/>
          <w:sz w:val="32"/>
          <w:szCs w:val="32"/>
        </w:rPr>
        <w:fldChar w:fldCharType="end"/>
      </w:r>
      <w:r>
        <w:rPr>
          <w:rFonts w:hint="default" w:ascii="Times New Roman" w:hAnsi="Times New Roman" w:eastAsia="黑体" w:cs="Times New Roman"/>
          <w:b/>
          <w:bCs/>
          <w:color w:val="000000" w:themeColor="text1"/>
          <w:sz w:val="32"/>
          <w:szCs w:val="32"/>
          <w:highlight w:val="none"/>
          <w14:textFill>
            <w14:solidFill>
              <w14:schemeClr w14:val="tx1"/>
            </w14:solidFill>
          </w14:textFill>
        </w:rPr>
        <w:fldChar w:fldCharType="end"/>
      </w:r>
    </w:p>
    <w:p w14:paraId="5D826172">
      <w:pPr>
        <w:pStyle w:val="15"/>
        <w:tabs>
          <w:tab w:val="right" w:leader="dot" w:pos="8845"/>
        </w:tabs>
        <w:spacing w:line="480" w:lineRule="auto"/>
        <w:rPr>
          <w:b/>
          <w:bCs/>
          <w:sz w:val="32"/>
          <w:szCs w:val="32"/>
        </w:rPr>
      </w:pPr>
      <w:r>
        <w:rPr>
          <w:rFonts w:hint="default" w:ascii="Times New Roman" w:hAnsi="Times New Roman" w:eastAsia="黑体" w:cs="Times New Roman"/>
          <w:b/>
          <w:bCs/>
          <w:color w:val="000000" w:themeColor="text1"/>
          <w:sz w:val="32"/>
          <w:szCs w:val="32"/>
          <w:highlight w:val="none"/>
          <w14:textFill>
            <w14:solidFill>
              <w14:schemeClr w14:val="tx1"/>
            </w14:solidFill>
          </w14:textFill>
        </w:rPr>
        <w:fldChar w:fldCharType="begin"/>
      </w:r>
      <w:r>
        <w:rPr>
          <w:rFonts w:hint="default" w:ascii="Times New Roman" w:hAnsi="Times New Roman" w:eastAsia="黑体" w:cs="Times New Roman"/>
          <w:b/>
          <w:bCs/>
          <w:sz w:val="32"/>
          <w:szCs w:val="32"/>
          <w:highlight w:val="none"/>
        </w:rPr>
        <w:instrText xml:space="preserve"> HYPERLINK \l _Toc20878 </w:instrText>
      </w:r>
      <w:r>
        <w:rPr>
          <w:rFonts w:hint="default" w:ascii="Times New Roman" w:hAnsi="Times New Roman" w:eastAsia="黑体" w:cs="Times New Roman"/>
          <w:b/>
          <w:bCs/>
          <w:sz w:val="32"/>
          <w:szCs w:val="32"/>
          <w:highlight w:val="none"/>
        </w:rPr>
        <w:fldChar w:fldCharType="separate"/>
      </w:r>
      <w:r>
        <w:rPr>
          <w:rFonts w:hint="default" w:ascii="Times New Roman" w:hAnsi="Times New Roman" w:eastAsia="黑体" w:cs="Times New Roman"/>
          <w:b/>
          <w:bCs/>
          <w:snapToGrid w:val="0"/>
          <w:sz w:val="32"/>
          <w:szCs w:val="32"/>
          <w:highlight w:val="none"/>
        </w:rPr>
        <w:t>四、生态环境影响分析</w:t>
      </w:r>
      <w:r>
        <w:rPr>
          <w:b/>
          <w:bCs/>
          <w:sz w:val="32"/>
          <w:szCs w:val="32"/>
        </w:rPr>
        <w:tab/>
      </w:r>
      <w:r>
        <w:rPr>
          <w:b/>
          <w:bCs/>
          <w:sz w:val="32"/>
          <w:szCs w:val="32"/>
        </w:rPr>
        <w:fldChar w:fldCharType="begin"/>
      </w:r>
      <w:r>
        <w:rPr>
          <w:b/>
          <w:bCs/>
          <w:sz w:val="32"/>
          <w:szCs w:val="32"/>
        </w:rPr>
        <w:instrText xml:space="preserve"> PAGEREF _Toc20878 \h </w:instrText>
      </w:r>
      <w:r>
        <w:rPr>
          <w:b/>
          <w:bCs/>
          <w:sz w:val="32"/>
          <w:szCs w:val="32"/>
        </w:rPr>
        <w:fldChar w:fldCharType="separate"/>
      </w:r>
      <w:r>
        <w:rPr>
          <w:b/>
          <w:bCs/>
          <w:sz w:val="32"/>
          <w:szCs w:val="32"/>
        </w:rPr>
        <w:t>65</w:t>
      </w:r>
      <w:r>
        <w:rPr>
          <w:b/>
          <w:bCs/>
          <w:sz w:val="32"/>
          <w:szCs w:val="32"/>
        </w:rPr>
        <w:fldChar w:fldCharType="end"/>
      </w:r>
      <w:r>
        <w:rPr>
          <w:rFonts w:hint="default" w:ascii="Times New Roman" w:hAnsi="Times New Roman" w:eastAsia="黑体" w:cs="Times New Roman"/>
          <w:b/>
          <w:bCs/>
          <w:color w:val="000000" w:themeColor="text1"/>
          <w:sz w:val="32"/>
          <w:szCs w:val="32"/>
          <w:highlight w:val="none"/>
          <w14:textFill>
            <w14:solidFill>
              <w14:schemeClr w14:val="tx1"/>
            </w14:solidFill>
          </w14:textFill>
        </w:rPr>
        <w:fldChar w:fldCharType="end"/>
      </w:r>
    </w:p>
    <w:p w14:paraId="27C881AB">
      <w:pPr>
        <w:pStyle w:val="15"/>
        <w:tabs>
          <w:tab w:val="right" w:leader="dot" w:pos="8845"/>
        </w:tabs>
        <w:spacing w:line="480" w:lineRule="auto"/>
        <w:rPr>
          <w:b/>
          <w:bCs/>
          <w:sz w:val="32"/>
          <w:szCs w:val="32"/>
        </w:rPr>
      </w:pPr>
      <w:r>
        <w:rPr>
          <w:rFonts w:hint="default" w:ascii="Times New Roman" w:hAnsi="Times New Roman" w:eastAsia="黑体" w:cs="Times New Roman"/>
          <w:b/>
          <w:bCs/>
          <w:color w:val="000000" w:themeColor="text1"/>
          <w:sz w:val="32"/>
          <w:szCs w:val="32"/>
          <w:highlight w:val="none"/>
          <w14:textFill>
            <w14:solidFill>
              <w14:schemeClr w14:val="tx1"/>
            </w14:solidFill>
          </w14:textFill>
        </w:rPr>
        <w:fldChar w:fldCharType="begin"/>
      </w:r>
      <w:r>
        <w:rPr>
          <w:rFonts w:hint="default" w:ascii="Times New Roman" w:hAnsi="Times New Roman" w:eastAsia="黑体" w:cs="Times New Roman"/>
          <w:b/>
          <w:bCs/>
          <w:sz w:val="32"/>
          <w:szCs w:val="32"/>
          <w:highlight w:val="none"/>
        </w:rPr>
        <w:instrText xml:space="preserve"> HYPERLINK \l _Toc22457 </w:instrText>
      </w:r>
      <w:r>
        <w:rPr>
          <w:rFonts w:hint="default" w:ascii="Times New Roman" w:hAnsi="Times New Roman" w:eastAsia="黑体" w:cs="Times New Roman"/>
          <w:b/>
          <w:bCs/>
          <w:sz w:val="32"/>
          <w:szCs w:val="32"/>
          <w:highlight w:val="none"/>
        </w:rPr>
        <w:fldChar w:fldCharType="separate"/>
      </w:r>
      <w:r>
        <w:rPr>
          <w:rFonts w:hint="default" w:ascii="Times New Roman" w:hAnsi="Times New Roman" w:eastAsia="黑体" w:cs="Times New Roman"/>
          <w:b/>
          <w:bCs/>
          <w:snapToGrid w:val="0"/>
          <w:sz w:val="32"/>
          <w:szCs w:val="32"/>
          <w:highlight w:val="none"/>
        </w:rPr>
        <w:t>五、主要生态环境保护措施</w:t>
      </w:r>
      <w:r>
        <w:rPr>
          <w:b/>
          <w:bCs/>
          <w:sz w:val="32"/>
          <w:szCs w:val="32"/>
        </w:rPr>
        <w:tab/>
      </w:r>
      <w:r>
        <w:rPr>
          <w:b/>
          <w:bCs/>
          <w:sz w:val="32"/>
          <w:szCs w:val="32"/>
        </w:rPr>
        <w:fldChar w:fldCharType="begin"/>
      </w:r>
      <w:r>
        <w:rPr>
          <w:b/>
          <w:bCs/>
          <w:sz w:val="32"/>
          <w:szCs w:val="32"/>
        </w:rPr>
        <w:instrText xml:space="preserve"> PAGEREF _Toc22457 \h </w:instrText>
      </w:r>
      <w:r>
        <w:rPr>
          <w:b/>
          <w:bCs/>
          <w:sz w:val="32"/>
          <w:szCs w:val="32"/>
        </w:rPr>
        <w:fldChar w:fldCharType="separate"/>
      </w:r>
      <w:r>
        <w:rPr>
          <w:b/>
          <w:bCs/>
          <w:sz w:val="32"/>
          <w:szCs w:val="32"/>
        </w:rPr>
        <w:t>78</w:t>
      </w:r>
      <w:r>
        <w:rPr>
          <w:b/>
          <w:bCs/>
          <w:sz w:val="32"/>
          <w:szCs w:val="32"/>
        </w:rPr>
        <w:fldChar w:fldCharType="end"/>
      </w:r>
      <w:r>
        <w:rPr>
          <w:rFonts w:hint="default" w:ascii="Times New Roman" w:hAnsi="Times New Roman" w:eastAsia="黑体" w:cs="Times New Roman"/>
          <w:b/>
          <w:bCs/>
          <w:color w:val="000000" w:themeColor="text1"/>
          <w:sz w:val="32"/>
          <w:szCs w:val="32"/>
          <w:highlight w:val="none"/>
          <w14:textFill>
            <w14:solidFill>
              <w14:schemeClr w14:val="tx1"/>
            </w14:solidFill>
          </w14:textFill>
        </w:rPr>
        <w:fldChar w:fldCharType="end"/>
      </w:r>
    </w:p>
    <w:p w14:paraId="07DCC9CE">
      <w:pPr>
        <w:pStyle w:val="15"/>
        <w:tabs>
          <w:tab w:val="right" w:leader="dot" w:pos="8845"/>
        </w:tabs>
        <w:spacing w:line="480" w:lineRule="auto"/>
        <w:rPr>
          <w:b/>
          <w:bCs/>
          <w:sz w:val="32"/>
          <w:szCs w:val="32"/>
        </w:rPr>
      </w:pPr>
      <w:r>
        <w:rPr>
          <w:rFonts w:hint="default" w:ascii="Times New Roman" w:hAnsi="Times New Roman" w:eastAsia="黑体" w:cs="Times New Roman"/>
          <w:b/>
          <w:bCs/>
          <w:color w:val="000000" w:themeColor="text1"/>
          <w:sz w:val="32"/>
          <w:szCs w:val="32"/>
          <w:highlight w:val="none"/>
          <w14:textFill>
            <w14:solidFill>
              <w14:schemeClr w14:val="tx1"/>
            </w14:solidFill>
          </w14:textFill>
        </w:rPr>
        <w:fldChar w:fldCharType="begin"/>
      </w:r>
      <w:r>
        <w:rPr>
          <w:rFonts w:hint="default" w:ascii="Times New Roman" w:hAnsi="Times New Roman" w:eastAsia="黑体" w:cs="Times New Roman"/>
          <w:b/>
          <w:bCs/>
          <w:sz w:val="32"/>
          <w:szCs w:val="32"/>
          <w:highlight w:val="none"/>
        </w:rPr>
        <w:instrText xml:space="preserve"> HYPERLINK \l _Toc6916 </w:instrText>
      </w:r>
      <w:r>
        <w:rPr>
          <w:rFonts w:hint="default" w:ascii="Times New Roman" w:hAnsi="Times New Roman" w:eastAsia="黑体" w:cs="Times New Roman"/>
          <w:b/>
          <w:bCs/>
          <w:sz w:val="32"/>
          <w:szCs w:val="32"/>
          <w:highlight w:val="none"/>
        </w:rPr>
        <w:fldChar w:fldCharType="separate"/>
      </w:r>
      <w:r>
        <w:rPr>
          <w:rFonts w:hint="default" w:ascii="Times New Roman" w:hAnsi="Times New Roman" w:eastAsia="黑体" w:cs="Times New Roman"/>
          <w:b/>
          <w:bCs/>
          <w:snapToGrid w:val="0"/>
          <w:sz w:val="32"/>
          <w:szCs w:val="32"/>
          <w:highlight w:val="none"/>
        </w:rPr>
        <w:t>六、生态环境保护措施监督检查清单</w:t>
      </w:r>
      <w:r>
        <w:rPr>
          <w:b/>
          <w:bCs/>
          <w:sz w:val="32"/>
          <w:szCs w:val="32"/>
        </w:rPr>
        <w:tab/>
      </w:r>
      <w:r>
        <w:rPr>
          <w:b/>
          <w:bCs/>
          <w:sz w:val="32"/>
          <w:szCs w:val="32"/>
        </w:rPr>
        <w:fldChar w:fldCharType="begin"/>
      </w:r>
      <w:r>
        <w:rPr>
          <w:b/>
          <w:bCs/>
          <w:sz w:val="32"/>
          <w:szCs w:val="32"/>
        </w:rPr>
        <w:instrText xml:space="preserve"> PAGEREF _Toc6916 \h </w:instrText>
      </w:r>
      <w:r>
        <w:rPr>
          <w:b/>
          <w:bCs/>
          <w:sz w:val="32"/>
          <w:szCs w:val="32"/>
        </w:rPr>
        <w:fldChar w:fldCharType="separate"/>
      </w:r>
      <w:r>
        <w:rPr>
          <w:b/>
          <w:bCs/>
          <w:sz w:val="32"/>
          <w:szCs w:val="32"/>
        </w:rPr>
        <w:t>90</w:t>
      </w:r>
      <w:r>
        <w:rPr>
          <w:b/>
          <w:bCs/>
          <w:sz w:val="32"/>
          <w:szCs w:val="32"/>
        </w:rPr>
        <w:fldChar w:fldCharType="end"/>
      </w:r>
      <w:r>
        <w:rPr>
          <w:rFonts w:hint="default" w:ascii="Times New Roman" w:hAnsi="Times New Roman" w:eastAsia="黑体" w:cs="Times New Roman"/>
          <w:b/>
          <w:bCs/>
          <w:color w:val="000000" w:themeColor="text1"/>
          <w:sz w:val="32"/>
          <w:szCs w:val="32"/>
          <w:highlight w:val="none"/>
          <w14:textFill>
            <w14:solidFill>
              <w14:schemeClr w14:val="tx1"/>
            </w14:solidFill>
          </w14:textFill>
        </w:rPr>
        <w:fldChar w:fldCharType="end"/>
      </w:r>
    </w:p>
    <w:p w14:paraId="34002EF8">
      <w:pPr>
        <w:pStyle w:val="15"/>
        <w:tabs>
          <w:tab w:val="right" w:leader="dot" w:pos="8845"/>
        </w:tabs>
        <w:spacing w:line="480" w:lineRule="auto"/>
        <w:rPr>
          <w:b/>
          <w:bCs/>
        </w:rPr>
      </w:pPr>
      <w:r>
        <w:rPr>
          <w:rFonts w:hint="default" w:ascii="Times New Roman" w:hAnsi="Times New Roman" w:eastAsia="黑体" w:cs="Times New Roman"/>
          <w:b/>
          <w:bCs/>
          <w:color w:val="000000" w:themeColor="text1"/>
          <w:sz w:val="32"/>
          <w:szCs w:val="32"/>
          <w:highlight w:val="none"/>
          <w14:textFill>
            <w14:solidFill>
              <w14:schemeClr w14:val="tx1"/>
            </w14:solidFill>
          </w14:textFill>
        </w:rPr>
        <w:fldChar w:fldCharType="begin"/>
      </w:r>
      <w:r>
        <w:rPr>
          <w:rFonts w:hint="default" w:ascii="Times New Roman" w:hAnsi="Times New Roman" w:eastAsia="黑体" w:cs="Times New Roman"/>
          <w:b/>
          <w:bCs/>
          <w:sz w:val="32"/>
          <w:szCs w:val="32"/>
          <w:highlight w:val="none"/>
        </w:rPr>
        <w:instrText xml:space="preserve"> HYPERLINK \l _Toc17537 </w:instrText>
      </w:r>
      <w:r>
        <w:rPr>
          <w:rFonts w:hint="default" w:ascii="Times New Roman" w:hAnsi="Times New Roman" w:eastAsia="黑体" w:cs="Times New Roman"/>
          <w:b/>
          <w:bCs/>
          <w:sz w:val="32"/>
          <w:szCs w:val="32"/>
          <w:highlight w:val="none"/>
        </w:rPr>
        <w:fldChar w:fldCharType="separate"/>
      </w:r>
      <w:r>
        <w:rPr>
          <w:rFonts w:hint="default" w:ascii="Times New Roman" w:hAnsi="Times New Roman" w:eastAsia="黑体" w:cs="Times New Roman"/>
          <w:b/>
          <w:bCs/>
          <w:snapToGrid w:val="0"/>
          <w:sz w:val="32"/>
          <w:szCs w:val="32"/>
          <w:highlight w:val="none"/>
        </w:rPr>
        <w:t>七、结论</w:t>
      </w:r>
      <w:r>
        <w:rPr>
          <w:b/>
          <w:bCs/>
          <w:sz w:val="32"/>
          <w:szCs w:val="32"/>
        </w:rPr>
        <w:tab/>
      </w:r>
      <w:r>
        <w:rPr>
          <w:b/>
          <w:bCs/>
          <w:sz w:val="32"/>
          <w:szCs w:val="32"/>
        </w:rPr>
        <w:fldChar w:fldCharType="begin"/>
      </w:r>
      <w:r>
        <w:rPr>
          <w:b/>
          <w:bCs/>
          <w:sz w:val="32"/>
          <w:szCs w:val="32"/>
        </w:rPr>
        <w:instrText xml:space="preserve"> PAGEREF _Toc17537 \h </w:instrText>
      </w:r>
      <w:r>
        <w:rPr>
          <w:b/>
          <w:bCs/>
          <w:sz w:val="32"/>
          <w:szCs w:val="32"/>
        </w:rPr>
        <w:fldChar w:fldCharType="separate"/>
      </w:r>
      <w:r>
        <w:rPr>
          <w:b/>
          <w:bCs/>
          <w:sz w:val="32"/>
          <w:szCs w:val="32"/>
        </w:rPr>
        <w:t>92</w:t>
      </w:r>
      <w:r>
        <w:rPr>
          <w:b/>
          <w:bCs/>
          <w:sz w:val="32"/>
          <w:szCs w:val="32"/>
        </w:rPr>
        <w:fldChar w:fldCharType="end"/>
      </w:r>
      <w:r>
        <w:rPr>
          <w:rFonts w:hint="default" w:ascii="Times New Roman" w:hAnsi="Times New Roman" w:eastAsia="黑体" w:cs="Times New Roman"/>
          <w:b/>
          <w:bCs/>
          <w:color w:val="000000" w:themeColor="text1"/>
          <w:sz w:val="32"/>
          <w:szCs w:val="32"/>
          <w:highlight w:val="none"/>
          <w14:textFill>
            <w14:solidFill>
              <w14:schemeClr w14:val="tx1"/>
            </w14:solidFill>
          </w14:textFill>
        </w:rPr>
        <w:fldChar w:fldCharType="end"/>
      </w:r>
    </w:p>
    <w:p w14:paraId="039BDFF8">
      <w:pPr>
        <w:keepNext w:val="0"/>
        <w:keepLines w:val="0"/>
        <w:widowControl/>
        <w:suppressLineNumbers w:val="0"/>
        <w:spacing w:line="240" w:lineRule="auto"/>
        <w:jc w:val="left"/>
        <w:rPr>
          <w:rFonts w:hint="default" w:ascii="Times New Roman" w:hAnsi="Times New Roman" w:eastAsia="黑体" w:cs="Times New Roman"/>
          <w:bCs/>
          <w:color w:val="000000" w:themeColor="text1"/>
          <w:szCs w:val="28"/>
          <w:highlight w:val="none"/>
          <w14:textFill>
            <w14:solidFill>
              <w14:schemeClr w14:val="tx1"/>
            </w14:solidFill>
          </w14:textFill>
        </w:rPr>
      </w:pPr>
      <w:r>
        <w:rPr>
          <w:rFonts w:hint="default" w:ascii="Times New Roman" w:hAnsi="Times New Roman" w:eastAsia="黑体" w:cs="Times New Roman"/>
          <w:bCs/>
          <w:color w:val="000000" w:themeColor="text1"/>
          <w:szCs w:val="28"/>
          <w:highlight w:val="none"/>
          <w14:textFill>
            <w14:solidFill>
              <w14:schemeClr w14:val="tx1"/>
            </w14:solidFill>
          </w14:textFill>
        </w:rPr>
        <w:fldChar w:fldCharType="end"/>
      </w:r>
    </w:p>
    <w:p w14:paraId="77399A9F">
      <w:pPr>
        <w:keepNext w:val="0"/>
        <w:keepLines w:val="0"/>
        <w:widowControl/>
        <w:suppressLineNumbers w:val="0"/>
        <w:spacing w:line="240" w:lineRule="auto"/>
        <w:jc w:val="left"/>
        <w:rPr>
          <w:rFonts w:hint="default" w:ascii="Times New Roman" w:hAnsi="Times New Roman" w:eastAsia="黑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
          <w:bCs/>
          <w:color w:val="000000" w:themeColor="text1"/>
          <w:sz w:val="24"/>
          <w:szCs w:val="24"/>
          <w:highlight w:val="none"/>
          <w:lang w:val="en-US" w:eastAsia="zh-CN"/>
          <w14:textFill>
            <w14:solidFill>
              <w14:schemeClr w14:val="tx1"/>
            </w14:solidFill>
          </w14:textFill>
        </w:rPr>
        <w:t>附图附件：</w:t>
      </w:r>
    </w:p>
    <w:p w14:paraId="75B42ABB">
      <w:pPr>
        <w:keepNext w:val="0"/>
        <w:keepLines w:val="0"/>
        <w:widowControl/>
        <w:suppressLineNumbers w:val="0"/>
        <w:spacing w:line="240" w:lineRule="auto"/>
        <w:jc w:val="left"/>
        <w:rPr>
          <w:rFonts w:hint="default" w:ascii="Times New Roman" w:hAnsi="Times New Roman" w:eastAsia="黑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
          <w:bCs/>
          <w:color w:val="000000" w:themeColor="text1"/>
          <w:sz w:val="24"/>
          <w:szCs w:val="24"/>
          <w:highlight w:val="none"/>
          <w:lang w:val="en-US" w:eastAsia="zh-CN"/>
          <w14:textFill>
            <w14:solidFill>
              <w14:schemeClr w14:val="tx1"/>
            </w14:solidFill>
          </w14:textFill>
        </w:rPr>
        <w:t>附图：</w:t>
      </w:r>
    </w:p>
    <w:p w14:paraId="12BCCBD2">
      <w:pPr>
        <w:keepNext w:val="0"/>
        <w:keepLines w:val="0"/>
        <w:widowControl/>
        <w:suppressLineNumbers w:val="0"/>
        <w:spacing w:line="240" w:lineRule="auto"/>
        <w:jc w:val="left"/>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附图1 本项目地理位置图</w:t>
      </w:r>
    </w:p>
    <w:p w14:paraId="5ED4BA4A">
      <w:pPr>
        <w:keepNext w:val="0"/>
        <w:keepLines w:val="0"/>
        <w:widowControl/>
        <w:suppressLineNumbers w:val="0"/>
        <w:spacing w:line="240" w:lineRule="auto"/>
        <w:jc w:val="left"/>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附图2 本项目路径及监测布点图</w:t>
      </w:r>
    </w:p>
    <w:p w14:paraId="5F9EAC6E">
      <w:pPr>
        <w:keepNext w:val="0"/>
        <w:keepLines w:val="0"/>
        <w:widowControl/>
        <w:suppressLineNumbers w:val="0"/>
        <w:spacing w:line="240" w:lineRule="auto"/>
        <w:jc w:val="left"/>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附图3 本项目与承德市“三线一单”位置关系图</w:t>
      </w:r>
    </w:p>
    <w:p w14:paraId="014D1995">
      <w:pPr>
        <w:keepNext w:val="0"/>
        <w:keepLines w:val="0"/>
        <w:widowControl/>
        <w:suppressLineNumbers w:val="0"/>
        <w:spacing w:line="240" w:lineRule="auto"/>
        <w:jc w:val="left"/>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附图4 本项目与沙区位置关系图</w:t>
      </w:r>
    </w:p>
    <w:p w14:paraId="0491D74C">
      <w:pPr>
        <w:keepNext w:val="0"/>
        <w:keepLines w:val="0"/>
        <w:widowControl/>
        <w:suppressLineNumbers w:val="0"/>
        <w:spacing w:line="240" w:lineRule="auto"/>
        <w:jc w:val="left"/>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附图5 本项目与饮用水源保护区位置关系图</w:t>
      </w:r>
    </w:p>
    <w:p w14:paraId="578406AC">
      <w:pPr>
        <w:keepNext w:val="0"/>
        <w:keepLines w:val="0"/>
        <w:widowControl/>
        <w:suppressLineNumbers w:val="0"/>
        <w:spacing w:line="240" w:lineRule="auto"/>
        <w:jc w:val="left"/>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 xml:space="preserve">附图6 本项目与自然保护区位置关系图 </w:t>
      </w:r>
    </w:p>
    <w:p w14:paraId="02EA39F5">
      <w:pPr>
        <w:keepNext w:val="0"/>
        <w:keepLines w:val="0"/>
        <w:widowControl/>
        <w:suppressLineNumbers w:val="0"/>
        <w:spacing w:line="240" w:lineRule="auto"/>
        <w:jc w:val="left"/>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附图7  本项目与生态保护红线位置关系图</w:t>
      </w:r>
    </w:p>
    <w:p w14:paraId="33C7E5BC">
      <w:pPr>
        <w:keepNext w:val="0"/>
        <w:keepLines w:val="0"/>
        <w:widowControl/>
        <w:suppressLineNumbers w:val="0"/>
        <w:spacing w:line="240" w:lineRule="auto"/>
        <w:jc w:val="left"/>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 xml:space="preserve">附图8  本项目与基本农田位置关系图 </w:t>
      </w:r>
    </w:p>
    <w:p w14:paraId="25F6C459">
      <w:pPr>
        <w:keepNext w:val="0"/>
        <w:keepLines w:val="0"/>
        <w:widowControl/>
        <w:suppressLineNumbers w:val="0"/>
        <w:spacing w:line="240" w:lineRule="auto"/>
        <w:jc w:val="left"/>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附图9  本项目位置关系图</w:t>
      </w:r>
    </w:p>
    <w:p w14:paraId="71B8FDEE">
      <w:pPr>
        <w:keepNext w:val="0"/>
        <w:keepLines w:val="0"/>
        <w:widowControl/>
        <w:suppressLineNumbers w:val="0"/>
        <w:spacing w:line="240" w:lineRule="auto"/>
        <w:jc w:val="left"/>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 xml:space="preserve">附图10 本项目与河北省主体功能区划图相对位置关系图  </w:t>
      </w:r>
    </w:p>
    <w:p w14:paraId="3FF26EB6">
      <w:pPr>
        <w:keepNext w:val="0"/>
        <w:keepLines w:val="0"/>
        <w:widowControl/>
        <w:suppressLineNumbers w:val="0"/>
        <w:spacing w:line="240" w:lineRule="auto"/>
        <w:jc w:val="left"/>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附图11 本项目与河北省生态功能区划分位置关系图</w:t>
      </w:r>
    </w:p>
    <w:p w14:paraId="352CB6BB">
      <w:pPr>
        <w:keepNext w:val="0"/>
        <w:keepLines w:val="0"/>
        <w:widowControl/>
        <w:suppressLineNumbers w:val="0"/>
        <w:spacing w:line="240" w:lineRule="auto"/>
        <w:jc w:val="left"/>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附图12 本项目铁塔基础一览表</w:t>
      </w:r>
    </w:p>
    <w:p w14:paraId="7AD327DD">
      <w:pPr>
        <w:keepNext w:val="0"/>
        <w:keepLines w:val="0"/>
        <w:widowControl/>
        <w:suppressLineNumbers w:val="0"/>
        <w:spacing w:line="240" w:lineRule="auto"/>
        <w:jc w:val="left"/>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附图13 本项目塔型图</w:t>
      </w:r>
    </w:p>
    <w:p w14:paraId="2CE5863C">
      <w:pPr>
        <w:keepNext w:val="0"/>
        <w:keepLines w:val="0"/>
        <w:widowControl/>
        <w:suppressLineNumbers w:val="0"/>
        <w:spacing w:line="240" w:lineRule="auto"/>
        <w:jc w:val="left"/>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附图14 牵张场地施工现场布置及生态环境保护措施</w:t>
      </w:r>
    </w:p>
    <w:p w14:paraId="0008378A">
      <w:pPr>
        <w:keepNext w:val="0"/>
        <w:keepLines w:val="0"/>
        <w:widowControl/>
        <w:suppressLineNumbers w:val="0"/>
        <w:spacing w:line="240" w:lineRule="auto"/>
        <w:jc w:val="left"/>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附图15 塔基区施工现场布置及生态环境保护措施</w:t>
      </w:r>
    </w:p>
    <w:p w14:paraId="331348D1">
      <w:pPr>
        <w:keepNext w:val="0"/>
        <w:keepLines w:val="0"/>
        <w:widowControl/>
        <w:suppressLineNumbers w:val="0"/>
        <w:spacing w:line="240" w:lineRule="auto"/>
        <w:jc w:val="left"/>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附图16 水土保持措施</w:t>
      </w:r>
    </w:p>
    <w:p w14:paraId="593E2531">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附件：</w:t>
      </w:r>
    </w:p>
    <w:p w14:paraId="4BBE62A8">
      <w:pPr>
        <w:rPr>
          <w:b w:val="0"/>
          <w:bCs w:val="0"/>
        </w:rPr>
      </w:pPr>
      <w:r>
        <w:rPr>
          <w:rFonts w:hint="eastAsia" w:ascii="黑体" w:hAnsi="黑体" w:eastAsia="黑体" w:cs="黑体"/>
          <w:b w:val="0"/>
          <w:bCs w:val="0"/>
          <w:sz w:val="24"/>
          <w:szCs w:val="24"/>
          <w:lang w:val="en-US" w:eastAsia="zh-CN"/>
        </w:rPr>
        <w:t>附件1 营业执照</w:t>
      </w:r>
    </w:p>
    <w:p w14:paraId="4173AC6A">
      <w:pP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附件2 核准的批复</w:t>
      </w:r>
    </w:p>
    <w:p w14:paraId="0B7D5A1E">
      <w:pP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附件3 不可避让生态保护红线的审查意见</w:t>
      </w:r>
    </w:p>
    <w:p w14:paraId="1B19BC55">
      <w:r>
        <w:rPr>
          <w:rFonts w:hint="eastAsia" w:ascii="黑体" w:hAnsi="黑体" w:eastAsia="黑体" w:cs="黑体"/>
          <w:b w:val="0"/>
          <w:bCs w:val="0"/>
          <w:sz w:val="24"/>
          <w:szCs w:val="24"/>
          <w:lang w:val="en-US" w:eastAsia="zh-CN"/>
        </w:rPr>
        <w:t>附件4 围场满族蒙古族自治县自然资源和规划局自关于工程塔基用地的的情况说明</w:t>
      </w:r>
    </w:p>
    <w:p w14:paraId="2E9B8FB6">
      <w:pP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附件5 旅游和文化广电局选址意见</w:t>
      </w:r>
    </w:p>
    <w:p w14:paraId="749BC0EE">
      <w:pP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附件6 河北省木兰围场国有林场复合路径的意见</w:t>
      </w:r>
    </w:p>
    <w:p w14:paraId="6E147179">
      <w:pP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附件7 水务局关于路径征求意见的复函</w:t>
      </w:r>
    </w:p>
    <w:p w14:paraId="32188898">
      <w:pP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附件8 租地协议</w:t>
      </w:r>
    </w:p>
    <w:p w14:paraId="74509B3A">
      <w:pP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附件9 围场满族蒙古族自治县自然资源和规划局关于本工程路径的说明</w:t>
      </w:r>
    </w:p>
    <w:p w14:paraId="787B9C63">
      <w:pP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附件10 监测报告</w:t>
      </w:r>
    </w:p>
    <w:p w14:paraId="745BD900">
      <w:pPr>
        <w:rPr>
          <w:rFonts w:hint="default"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附件11 无违法证明</w:t>
      </w:r>
    </w:p>
    <w:p w14:paraId="06485512">
      <w:pPr>
        <w:rPr>
          <w:rFonts w:hint="default"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附件12 不宜公开信息的说明</w:t>
      </w:r>
    </w:p>
    <w:p w14:paraId="57BFC1C9">
      <w:pP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附件13 建设单位委托书</w:t>
      </w:r>
    </w:p>
    <w:p w14:paraId="6B05D634">
      <w:pPr>
        <w:rPr>
          <w:rFonts w:hint="default" w:ascii="黑体" w:hAnsi="黑体" w:eastAsia="黑体" w:cs="黑体"/>
          <w:b w:val="0"/>
          <w:bCs w:val="0"/>
          <w:sz w:val="24"/>
          <w:szCs w:val="24"/>
          <w:lang w:val="en-US" w:eastAsia="zh-CN"/>
        </w:rPr>
        <w:sectPr>
          <w:footerReference r:id="rId3" w:type="default"/>
          <w:pgSz w:w="11907" w:h="16839"/>
          <w:pgMar w:top="1701" w:right="1531" w:bottom="1701" w:left="1531" w:header="0" w:footer="922" w:gutter="0"/>
          <w:pgBorders>
            <w:top w:val="none" w:sz="0" w:space="0"/>
            <w:left w:val="none" w:sz="0" w:space="0"/>
            <w:bottom w:val="none" w:sz="0" w:space="0"/>
            <w:right w:val="none" w:sz="0" w:space="0"/>
          </w:pgBorders>
          <w:cols w:space="720" w:num="1"/>
        </w:sectPr>
      </w:pPr>
      <w:r>
        <w:rPr>
          <w:rFonts w:hint="eastAsia" w:ascii="黑体" w:hAnsi="黑体" w:eastAsia="黑体" w:cs="黑体"/>
          <w:b w:val="0"/>
          <w:bCs w:val="0"/>
          <w:sz w:val="24"/>
          <w:szCs w:val="24"/>
          <w:lang w:val="en-US" w:eastAsia="zh-CN"/>
        </w:rPr>
        <w:t>附件14 建设单位承诺书</w:t>
      </w:r>
    </w:p>
    <w:p w14:paraId="13B1D260">
      <w:pPr>
        <w:spacing w:before="98" w:line="222" w:lineRule="auto"/>
        <w:ind w:left="2946"/>
        <w:outlineLvl w:val="0"/>
        <w:rPr>
          <w:rFonts w:ascii="黑体" w:hAnsi="黑体" w:eastAsia="黑体" w:cs="黑体"/>
          <w:sz w:val="30"/>
          <w:szCs w:val="30"/>
        </w:rPr>
      </w:pPr>
      <w:bookmarkStart w:id="13" w:name="_Toc25899"/>
      <w:bookmarkStart w:id="14" w:name="_Toc28876"/>
      <w:r>
        <w:rPr>
          <w:rFonts w:ascii="黑体" w:hAnsi="黑体" w:eastAsia="黑体" w:cs="黑体"/>
          <w:spacing w:val="-3"/>
          <w:sz w:val="30"/>
          <w:szCs w:val="30"/>
        </w:rPr>
        <w:t>一、建设项目基本情况</w:t>
      </w:r>
      <w:bookmarkEnd w:id="13"/>
      <w:bookmarkEnd w:id="14"/>
    </w:p>
    <w:p w14:paraId="5D4684ED">
      <w:pPr>
        <w:spacing w:before="20"/>
      </w:pPr>
    </w:p>
    <w:tbl>
      <w:tblPr>
        <w:tblStyle w:val="25"/>
        <w:tblpPr w:leftFromText="180" w:rightFromText="180" w:vertAnchor="text" w:tblpX="7" w:tblpY="1"/>
        <w:tblOverlap w:val="never"/>
        <w:tblW w:w="9042"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34"/>
        <w:gridCol w:w="2140"/>
        <w:gridCol w:w="2032"/>
        <w:gridCol w:w="20"/>
        <w:gridCol w:w="2916"/>
      </w:tblGrid>
      <w:tr w14:paraId="52C2E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934" w:type="dxa"/>
            <w:tcBorders>
              <w:top w:val="single" w:color="000000" w:sz="6" w:space="0"/>
              <w:left w:val="single" w:color="000000" w:sz="6" w:space="0"/>
            </w:tcBorders>
            <w:vAlign w:val="center"/>
          </w:tcPr>
          <w:p w14:paraId="366DEDC8">
            <w:pPr>
              <w:pStyle w:val="24"/>
              <w:spacing w:before="96" w:line="221"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建设项目名称</w:t>
            </w:r>
          </w:p>
        </w:tc>
        <w:tc>
          <w:tcPr>
            <w:tcW w:w="7108" w:type="dxa"/>
            <w:gridSpan w:val="4"/>
            <w:tcBorders>
              <w:top w:val="single" w:color="000000" w:sz="6" w:space="0"/>
              <w:right w:val="single" w:color="000000" w:sz="6" w:space="0"/>
            </w:tcBorders>
            <w:vAlign w:val="center"/>
          </w:tcPr>
          <w:p w14:paraId="127874E7">
            <w:pPr>
              <w:pStyle w:val="24"/>
              <w:spacing w:before="96" w:line="220" w:lineRule="auto"/>
              <w:jc w:val="both"/>
              <w:outlineLvl w:val="0"/>
              <w:rPr>
                <w:rFonts w:hint="default" w:ascii="Times New Roman" w:hAnsi="Times New Roman" w:eastAsia="宋体" w:cs="Times New Roman"/>
                <w:sz w:val="24"/>
                <w:szCs w:val="24"/>
                <w:highlight w:val="none"/>
              </w:rPr>
            </w:pPr>
            <w:bookmarkStart w:id="15" w:name="_Toc15154"/>
            <w:bookmarkStart w:id="16" w:name="_Toc29149"/>
            <w:bookmarkStart w:id="17" w:name="_Toc22768"/>
            <w:r>
              <w:rPr>
                <w:rFonts w:hint="default" w:ascii="Times New Roman" w:hAnsi="Times New Roman" w:eastAsia="宋体" w:cs="Times New Roman"/>
                <w:sz w:val="24"/>
                <w:szCs w:val="24"/>
                <w:highlight w:val="none"/>
              </w:rPr>
              <w:t>华能围场“风光储氢热一体化”项目（风电200MW）项目220kV送出线路工程</w:t>
            </w:r>
            <w:bookmarkEnd w:id="15"/>
            <w:bookmarkEnd w:id="16"/>
            <w:bookmarkEnd w:id="17"/>
          </w:p>
        </w:tc>
      </w:tr>
      <w:tr w14:paraId="44C90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934" w:type="dxa"/>
            <w:tcBorders>
              <w:left w:val="single" w:color="000000" w:sz="6" w:space="0"/>
            </w:tcBorders>
            <w:vAlign w:val="center"/>
          </w:tcPr>
          <w:p w14:paraId="38535F19">
            <w:pPr>
              <w:pStyle w:val="24"/>
              <w:spacing w:before="82" w:line="221"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项目代码</w:t>
            </w:r>
          </w:p>
        </w:tc>
        <w:tc>
          <w:tcPr>
            <w:tcW w:w="7108" w:type="dxa"/>
            <w:gridSpan w:val="4"/>
            <w:tcBorders>
              <w:right w:val="single" w:color="000000" w:sz="6" w:space="0"/>
            </w:tcBorders>
            <w:vAlign w:val="center"/>
          </w:tcPr>
          <w:p w14:paraId="1924D19C">
            <w:pPr>
              <w:spacing w:before="121" w:line="187" w:lineRule="auto"/>
              <w:ind w:left="2521"/>
              <w:jc w:val="both"/>
              <w:rPr>
                <w:rFonts w:hint="default" w:ascii="Times New Roman" w:hAnsi="Times New Roman" w:eastAsia="宋体" w:cs="Times New Roman"/>
                <w:sz w:val="24"/>
                <w:szCs w:val="24"/>
                <w:highlight w:val="yellow"/>
              </w:rPr>
            </w:pPr>
            <w:r>
              <w:rPr>
                <w:rFonts w:hint="default" w:ascii="Times New Roman" w:hAnsi="Times New Roman" w:eastAsia="宋体" w:cs="Times New Roman"/>
                <w:sz w:val="24"/>
                <w:szCs w:val="24"/>
                <w:highlight w:val="none"/>
              </w:rPr>
              <w:t>2405-130800-89-01-798150</w:t>
            </w:r>
          </w:p>
        </w:tc>
      </w:tr>
      <w:tr w14:paraId="43D93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934" w:type="dxa"/>
            <w:tcBorders>
              <w:left w:val="single" w:color="000000" w:sz="6" w:space="0"/>
            </w:tcBorders>
            <w:vAlign w:val="center"/>
          </w:tcPr>
          <w:p w14:paraId="2B04DB9D">
            <w:pPr>
              <w:pStyle w:val="24"/>
              <w:spacing w:before="89" w:line="221" w:lineRule="auto"/>
              <w:ind w:left="72"/>
              <w:jc w:val="center"/>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建设单位联系人</w:t>
            </w:r>
          </w:p>
        </w:tc>
        <w:tc>
          <w:tcPr>
            <w:tcW w:w="2140" w:type="dxa"/>
            <w:vAlign w:val="center"/>
          </w:tcPr>
          <w:p w14:paraId="0ED718DB">
            <w:pPr>
              <w:pStyle w:val="24"/>
              <w:spacing w:before="96" w:line="220" w:lineRule="auto"/>
              <w:jc w:val="center"/>
              <w:outlineLvl w:val="0"/>
              <w:rPr>
                <w:rFonts w:hint="default" w:ascii="Times New Roman" w:hAnsi="Times New Roman" w:eastAsia="宋体" w:cs="Times New Roman"/>
                <w:sz w:val="24"/>
                <w:szCs w:val="24"/>
                <w:highlight w:val="none"/>
              </w:rPr>
            </w:pPr>
            <w:bookmarkStart w:id="18" w:name="_Toc3671"/>
            <w:bookmarkStart w:id="19" w:name="_Toc25114"/>
            <w:bookmarkStart w:id="20" w:name="_Toc2338"/>
            <w:r>
              <w:rPr>
                <w:rFonts w:hint="default" w:ascii="Times New Roman" w:hAnsi="Times New Roman" w:eastAsia="宋体" w:cs="Times New Roman"/>
                <w:sz w:val="24"/>
                <w:szCs w:val="24"/>
                <w:highlight w:val="none"/>
              </w:rPr>
              <w:t>董新飞</w:t>
            </w:r>
            <w:bookmarkEnd w:id="18"/>
            <w:bookmarkEnd w:id="19"/>
            <w:bookmarkEnd w:id="20"/>
          </w:p>
        </w:tc>
        <w:tc>
          <w:tcPr>
            <w:tcW w:w="2052" w:type="dxa"/>
            <w:gridSpan w:val="2"/>
            <w:vAlign w:val="center"/>
          </w:tcPr>
          <w:p w14:paraId="1947352B">
            <w:pPr>
              <w:pStyle w:val="24"/>
              <w:spacing w:before="96" w:line="220" w:lineRule="auto"/>
              <w:jc w:val="center"/>
              <w:outlineLvl w:val="0"/>
              <w:rPr>
                <w:rFonts w:hint="default" w:ascii="Times New Roman" w:hAnsi="Times New Roman" w:eastAsia="宋体" w:cs="Times New Roman"/>
                <w:sz w:val="24"/>
                <w:szCs w:val="24"/>
                <w:highlight w:val="none"/>
              </w:rPr>
            </w:pPr>
            <w:bookmarkStart w:id="21" w:name="_Toc17816"/>
            <w:bookmarkStart w:id="22" w:name="_Toc7772"/>
            <w:bookmarkStart w:id="23" w:name="_Toc26470"/>
            <w:r>
              <w:rPr>
                <w:rFonts w:hint="default" w:ascii="Times New Roman" w:hAnsi="Times New Roman" w:eastAsia="宋体" w:cs="Times New Roman"/>
                <w:sz w:val="24"/>
                <w:szCs w:val="24"/>
                <w:highlight w:val="none"/>
              </w:rPr>
              <w:t>联系方式</w:t>
            </w:r>
            <w:bookmarkEnd w:id="21"/>
            <w:bookmarkEnd w:id="22"/>
            <w:bookmarkEnd w:id="23"/>
          </w:p>
        </w:tc>
        <w:tc>
          <w:tcPr>
            <w:tcW w:w="2916" w:type="dxa"/>
            <w:tcBorders>
              <w:right w:val="single" w:color="000000" w:sz="6" w:space="0"/>
            </w:tcBorders>
            <w:vAlign w:val="center"/>
          </w:tcPr>
          <w:p w14:paraId="734CE103">
            <w:pPr>
              <w:pStyle w:val="24"/>
              <w:spacing w:before="96" w:line="220" w:lineRule="auto"/>
              <w:jc w:val="center"/>
              <w:outlineLvl w:val="0"/>
              <w:rPr>
                <w:rFonts w:hint="default" w:ascii="Times New Roman" w:hAnsi="Times New Roman" w:eastAsia="宋体" w:cs="Times New Roman"/>
                <w:sz w:val="24"/>
                <w:szCs w:val="24"/>
                <w:highlight w:val="none"/>
              </w:rPr>
            </w:pPr>
            <w:bookmarkStart w:id="24" w:name="_Toc20174"/>
            <w:bookmarkStart w:id="25" w:name="_Toc22769"/>
            <w:bookmarkStart w:id="26" w:name="_Toc12437"/>
            <w:r>
              <w:rPr>
                <w:rFonts w:hint="default" w:ascii="Times New Roman" w:hAnsi="Times New Roman" w:eastAsia="宋体" w:cs="Times New Roman"/>
                <w:sz w:val="24"/>
                <w:szCs w:val="24"/>
                <w:highlight w:val="none"/>
              </w:rPr>
              <w:t>15032753073</w:t>
            </w:r>
            <w:bookmarkEnd w:id="24"/>
            <w:bookmarkEnd w:id="25"/>
            <w:bookmarkEnd w:id="26"/>
          </w:p>
        </w:tc>
      </w:tr>
      <w:tr w14:paraId="5F4E3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934" w:type="dxa"/>
            <w:tcBorders>
              <w:left w:val="single" w:color="000000" w:sz="6" w:space="0"/>
            </w:tcBorders>
            <w:vAlign w:val="center"/>
          </w:tcPr>
          <w:p w14:paraId="57E8D449">
            <w:pPr>
              <w:pStyle w:val="24"/>
              <w:spacing w:before="98" w:line="222"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建设地点</w:t>
            </w:r>
          </w:p>
        </w:tc>
        <w:tc>
          <w:tcPr>
            <w:tcW w:w="7108" w:type="dxa"/>
            <w:gridSpan w:val="4"/>
            <w:tcBorders>
              <w:right w:val="single" w:color="000000" w:sz="6" w:space="0"/>
            </w:tcBorders>
            <w:vAlign w:val="center"/>
          </w:tcPr>
          <w:p w14:paraId="7B336192">
            <w:pPr>
              <w:pStyle w:val="24"/>
              <w:spacing w:before="97" w:line="221" w:lineRule="auto"/>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线路位于河北省承德市围场满族蒙古族自治县城子</w:t>
            </w:r>
            <w:r>
              <w:rPr>
                <w:rFonts w:hint="eastAsia" w:ascii="Times New Roman" w:hAnsi="Times New Roman" w:cs="Times New Roman"/>
                <w:sz w:val="24"/>
                <w:szCs w:val="24"/>
                <w:highlight w:val="none"/>
                <w:lang w:val="en-US" w:eastAsia="zh-CN"/>
              </w:rPr>
              <w:t>镇</w:t>
            </w:r>
            <w:r>
              <w:rPr>
                <w:rFonts w:hint="default" w:ascii="Times New Roman" w:hAnsi="Times New Roman" w:eastAsia="宋体" w:cs="Times New Roman"/>
                <w:sz w:val="24"/>
                <w:szCs w:val="24"/>
                <w:highlight w:val="none"/>
              </w:rPr>
              <w:t>、牌楼乡、燕格柏乡和半截塔镇。</w:t>
            </w:r>
          </w:p>
        </w:tc>
      </w:tr>
      <w:tr w14:paraId="67038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8" w:hRule="atLeast"/>
        </w:trPr>
        <w:tc>
          <w:tcPr>
            <w:tcW w:w="1934" w:type="dxa"/>
            <w:tcBorders>
              <w:left w:val="single" w:color="000000" w:sz="6" w:space="0"/>
            </w:tcBorders>
            <w:vAlign w:val="center"/>
          </w:tcPr>
          <w:p w14:paraId="3B13AF99">
            <w:pPr>
              <w:spacing w:line="264" w:lineRule="auto"/>
              <w:jc w:val="center"/>
              <w:rPr>
                <w:rFonts w:hint="default" w:ascii="Times New Roman" w:hAnsi="Times New Roman" w:eastAsia="宋体" w:cs="Times New Roman"/>
                <w:sz w:val="24"/>
                <w:szCs w:val="24"/>
              </w:rPr>
            </w:pPr>
          </w:p>
          <w:p w14:paraId="5411E66E">
            <w:pPr>
              <w:pStyle w:val="24"/>
              <w:spacing w:before="68" w:line="221"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地理坐标</w:t>
            </w:r>
          </w:p>
        </w:tc>
        <w:tc>
          <w:tcPr>
            <w:tcW w:w="7108" w:type="dxa"/>
            <w:gridSpan w:val="4"/>
            <w:tcBorders>
              <w:right w:val="single" w:color="000000" w:sz="6" w:space="0"/>
            </w:tcBorders>
            <w:vAlign w:val="center"/>
          </w:tcPr>
          <w:p w14:paraId="5341AD71">
            <w:pPr>
              <w:pStyle w:val="24"/>
              <w:spacing w:before="55" w:line="220" w:lineRule="auto"/>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华能围场“风光储氢热一体化”项目（风电200MW）项目220kV送出线路工程线路起点华能风电220kV升压站，中心坐标为：东经117°11′43.646″，北纬41°58′8.019″；终点牌楼500kV变电站，中心地理坐标为：东经117°28′50.248″，北纬41°56′10.521″。</w:t>
            </w:r>
          </w:p>
        </w:tc>
      </w:tr>
      <w:tr w14:paraId="00799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1934" w:type="dxa"/>
            <w:tcBorders>
              <w:left w:val="single" w:color="000000" w:sz="6" w:space="0"/>
            </w:tcBorders>
            <w:vAlign w:val="center"/>
          </w:tcPr>
          <w:p w14:paraId="7CE5327E">
            <w:pPr>
              <w:pStyle w:val="24"/>
              <w:spacing w:before="187" w:line="229" w:lineRule="auto"/>
              <w:ind w:right="381"/>
              <w:jc w:val="center"/>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建设项目</w:t>
            </w:r>
          </w:p>
          <w:p w14:paraId="27E19125">
            <w:pPr>
              <w:pStyle w:val="24"/>
              <w:spacing w:before="187" w:line="229" w:lineRule="auto"/>
              <w:ind w:right="381"/>
              <w:jc w:val="center"/>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行业类别</w:t>
            </w:r>
          </w:p>
        </w:tc>
        <w:tc>
          <w:tcPr>
            <w:tcW w:w="2140" w:type="dxa"/>
            <w:vAlign w:val="center"/>
          </w:tcPr>
          <w:p w14:paraId="5033ECB4">
            <w:pPr>
              <w:pStyle w:val="24"/>
              <w:spacing w:before="186" w:line="230" w:lineRule="auto"/>
              <w:ind w:left="723" w:hanging="714"/>
              <w:jc w:val="center"/>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五十五、核与辐射</w:t>
            </w:r>
          </w:p>
          <w:p w14:paraId="715E0758">
            <w:pPr>
              <w:pStyle w:val="24"/>
              <w:spacing w:before="186" w:line="230" w:lineRule="auto"/>
              <w:ind w:left="723" w:hanging="714"/>
              <w:jc w:val="center"/>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161输</w:t>
            </w:r>
            <w:r>
              <w:rPr>
                <w:rFonts w:hint="default" w:ascii="Times New Roman" w:hAnsi="Times New Roman" w:eastAsia="宋体" w:cs="Times New Roman"/>
                <w:spacing w:val="-2"/>
                <w:sz w:val="24"/>
                <w:szCs w:val="24"/>
              </w:rPr>
              <w:t>变电工程</w:t>
            </w:r>
          </w:p>
        </w:tc>
        <w:tc>
          <w:tcPr>
            <w:tcW w:w="2032" w:type="dxa"/>
            <w:vAlign w:val="center"/>
          </w:tcPr>
          <w:p w14:paraId="17F28A55">
            <w:pPr>
              <w:pStyle w:val="24"/>
              <w:spacing w:before="186" w:line="230" w:lineRule="auto"/>
              <w:ind w:left="486" w:hanging="475"/>
              <w:jc w:val="center"/>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用地（用海）面积（m</w:t>
            </w:r>
            <w:r>
              <w:rPr>
                <w:rFonts w:hint="default" w:ascii="Times New Roman" w:hAnsi="Times New Roman" w:eastAsia="宋体" w:cs="Times New Roman"/>
                <w:spacing w:val="1"/>
                <w:position w:val="6"/>
                <w:sz w:val="24"/>
                <w:szCs w:val="24"/>
                <w:vertAlign w:val="superscript"/>
              </w:rPr>
              <w:t>2</w:t>
            </w:r>
            <w:r>
              <w:rPr>
                <w:rFonts w:hint="default" w:ascii="Times New Roman" w:hAnsi="Times New Roman" w:eastAsia="宋体" w:cs="Times New Roman"/>
                <w:spacing w:val="-22"/>
                <w:sz w:val="24"/>
                <w:szCs w:val="24"/>
              </w:rPr>
              <w:t>）</w:t>
            </w:r>
            <w:r>
              <w:rPr>
                <w:rFonts w:hint="default" w:ascii="Times New Roman" w:hAnsi="Times New Roman" w:eastAsia="宋体" w:cs="Times New Roman"/>
                <w:spacing w:val="-7"/>
                <w:sz w:val="24"/>
                <w:szCs w:val="24"/>
              </w:rPr>
              <w:t>/长度（km）</w:t>
            </w:r>
          </w:p>
        </w:tc>
        <w:tc>
          <w:tcPr>
            <w:tcW w:w="2936" w:type="dxa"/>
            <w:gridSpan w:val="2"/>
            <w:tcBorders>
              <w:right w:val="single" w:color="000000" w:sz="6" w:space="0"/>
            </w:tcBorders>
            <w:vAlign w:val="center"/>
          </w:tcPr>
          <w:p w14:paraId="17DF3FBE">
            <w:pPr>
              <w:pStyle w:val="24"/>
              <w:spacing w:before="20" w:line="206" w:lineRule="auto"/>
              <w:ind w:left="2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线路长29.9km，</w:t>
            </w:r>
          </w:p>
          <w:p w14:paraId="69168403">
            <w:pPr>
              <w:pStyle w:val="24"/>
              <w:spacing w:before="20" w:line="206" w:lineRule="auto"/>
              <w:ind w:left="20"/>
              <w:jc w:val="both"/>
              <w:rPr>
                <w:rFonts w:hint="default" w:ascii="Times New Roman" w:hAnsi="Times New Roman" w:eastAsia="宋体" w:cs="Times New Roman"/>
                <w:sz w:val="24"/>
                <w:szCs w:val="24"/>
                <w:vertAlign w:val="superscript"/>
                <w:lang w:val="en-US" w:eastAsia="zh-CN"/>
              </w:rPr>
            </w:pPr>
            <w:r>
              <w:rPr>
                <w:rFonts w:hint="default" w:ascii="Times New Roman" w:hAnsi="Times New Roman" w:eastAsia="宋体" w:cs="Times New Roman"/>
                <w:sz w:val="24"/>
                <w:szCs w:val="24"/>
                <w:lang w:val="en-US" w:eastAsia="zh-CN"/>
              </w:rPr>
              <w:t>总占地面积87915m</w:t>
            </w:r>
            <w:r>
              <w:rPr>
                <w:rFonts w:hint="default" w:ascii="Times New Roman" w:hAnsi="Times New Roman" w:eastAsia="宋体" w:cs="Times New Roman"/>
                <w:sz w:val="24"/>
                <w:szCs w:val="24"/>
                <w:vertAlign w:val="superscript"/>
                <w:lang w:val="en-US" w:eastAsia="zh-CN"/>
              </w:rPr>
              <w:t>2</w:t>
            </w:r>
          </w:p>
          <w:p w14:paraId="31A3AAED">
            <w:pPr>
              <w:pStyle w:val="24"/>
              <w:spacing w:before="20" w:line="206" w:lineRule="auto"/>
              <w:ind w:left="2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（永久占地21375m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w:t>
            </w:r>
          </w:p>
          <w:p w14:paraId="3DB6F6B7">
            <w:pPr>
              <w:pStyle w:val="24"/>
              <w:spacing w:before="20" w:line="206" w:lineRule="auto"/>
              <w:ind w:left="2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临时占地66540m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w:t>
            </w:r>
          </w:p>
        </w:tc>
      </w:tr>
      <w:tr w14:paraId="50C8C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1934" w:type="dxa"/>
            <w:tcBorders>
              <w:left w:val="single" w:color="000000" w:sz="6" w:space="0"/>
            </w:tcBorders>
            <w:vAlign w:val="center"/>
          </w:tcPr>
          <w:p w14:paraId="011C3F54">
            <w:pPr>
              <w:pStyle w:val="24"/>
              <w:spacing w:before="68" w:line="221"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建设性质</w:t>
            </w:r>
          </w:p>
        </w:tc>
        <w:tc>
          <w:tcPr>
            <w:tcW w:w="2140" w:type="dxa"/>
            <w:vAlign w:val="center"/>
          </w:tcPr>
          <w:p w14:paraId="1379595B">
            <w:pPr>
              <w:pStyle w:val="24"/>
              <w:spacing w:before="7" w:line="248" w:lineRule="auto"/>
              <w:ind w:left="27" w:right="742" w:firstLine="4"/>
              <w:jc w:val="center"/>
              <w:rPr>
                <w:rFonts w:hint="default" w:ascii="Times New Roman" w:hAnsi="Times New Roman" w:eastAsia="宋体" w:cs="Times New Roman"/>
                <w:spacing w:val="1"/>
                <w:sz w:val="24"/>
                <w:szCs w:val="24"/>
                <w:lang w:eastAsia="zh-CN"/>
              </w:rPr>
            </w:pPr>
            <w:r>
              <w:rPr>
                <w:rFonts w:hint="default"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rPr>
              <w:t>新建（迁建）</w:t>
            </w:r>
          </w:p>
          <w:p w14:paraId="3DF6AD6F">
            <w:pPr>
              <w:pStyle w:val="24"/>
              <w:spacing w:before="7" w:line="248" w:lineRule="auto"/>
              <w:ind w:left="27" w:right="742" w:firstLine="4"/>
              <w:jc w:val="both"/>
              <w:rPr>
                <w:rFonts w:hint="default" w:ascii="Times New Roman" w:hAnsi="Times New Roman" w:eastAsia="宋体" w:cs="Times New Roman"/>
                <w:sz w:val="24"/>
                <w:szCs w:val="24"/>
              </w:rPr>
            </w:pPr>
            <w:r>
              <w:rPr>
                <w:rFonts w:hint="eastAsia" w:ascii="Times New Roman" w:hAnsi="Times New Roman" w:eastAsia="宋体" w:cs="Times New Roman"/>
                <w:spacing w:val="-9"/>
                <w:sz w:val="24"/>
                <w:szCs w:val="24"/>
                <w:lang w:eastAsia="zh-CN"/>
              </w:rPr>
              <w:t>□</w:t>
            </w:r>
            <w:r>
              <w:rPr>
                <w:rFonts w:hint="default" w:ascii="Times New Roman" w:hAnsi="Times New Roman" w:eastAsia="宋体" w:cs="Times New Roman"/>
                <w:spacing w:val="-9"/>
                <w:sz w:val="24"/>
                <w:szCs w:val="24"/>
              </w:rPr>
              <w:t>改建</w:t>
            </w:r>
          </w:p>
          <w:p w14:paraId="02BBAEB6">
            <w:pPr>
              <w:pStyle w:val="24"/>
              <w:spacing w:before="23" w:line="221" w:lineRule="auto"/>
              <w:ind w:left="27"/>
              <w:jc w:val="both"/>
              <w:rPr>
                <w:rFonts w:hint="default" w:ascii="Times New Roman" w:hAnsi="Times New Roman" w:eastAsia="宋体" w:cs="Times New Roman"/>
                <w:sz w:val="24"/>
                <w:szCs w:val="24"/>
              </w:rPr>
            </w:pPr>
            <w:r>
              <w:rPr>
                <w:rFonts w:hint="eastAsia" w:ascii="Times New Roman" w:hAnsi="Times New Roman" w:eastAsia="宋体" w:cs="Times New Roman"/>
                <w:spacing w:val="-9"/>
                <w:sz w:val="24"/>
                <w:szCs w:val="24"/>
                <w:lang w:eastAsia="zh-CN"/>
              </w:rPr>
              <w:t>□</w:t>
            </w:r>
            <w:r>
              <w:rPr>
                <w:rFonts w:hint="default" w:ascii="Times New Roman" w:hAnsi="Times New Roman" w:eastAsia="宋体" w:cs="Times New Roman"/>
                <w:spacing w:val="-9"/>
                <w:sz w:val="24"/>
                <w:szCs w:val="24"/>
              </w:rPr>
              <w:t>扩建</w:t>
            </w:r>
          </w:p>
          <w:p w14:paraId="6416D565">
            <w:pPr>
              <w:pStyle w:val="24"/>
              <w:spacing w:before="19" w:line="212" w:lineRule="auto"/>
              <w:ind w:left="27"/>
              <w:jc w:val="both"/>
              <w:rPr>
                <w:rFonts w:hint="default" w:ascii="Times New Roman" w:hAnsi="Times New Roman" w:eastAsia="宋体" w:cs="Times New Roman"/>
                <w:sz w:val="24"/>
                <w:szCs w:val="24"/>
              </w:rPr>
            </w:pPr>
            <w:r>
              <w:rPr>
                <w:rFonts w:hint="eastAsia"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rPr>
              <w:t>技术改造</w:t>
            </w:r>
          </w:p>
        </w:tc>
        <w:tc>
          <w:tcPr>
            <w:tcW w:w="2032" w:type="dxa"/>
            <w:vAlign w:val="center"/>
          </w:tcPr>
          <w:p w14:paraId="0641F347">
            <w:pPr>
              <w:pStyle w:val="24"/>
              <w:spacing w:before="68" w:line="229" w:lineRule="auto"/>
              <w:ind w:right="679"/>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w:t>
            </w:r>
          </w:p>
          <w:p w14:paraId="57CDF04B">
            <w:pPr>
              <w:pStyle w:val="24"/>
              <w:spacing w:before="68" w:line="229" w:lineRule="auto"/>
              <w:ind w:right="679"/>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申报情形</w:t>
            </w:r>
          </w:p>
        </w:tc>
        <w:tc>
          <w:tcPr>
            <w:tcW w:w="2936" w:type="dxa"/>
            <w:gridSpan w:val="2"/>
            <w:tcBorders>
              <w:right w:val="single" w:color="000000" w:sz="6" w:space="0"/>
            </w:tcBorders>
            <w:vAlign w:val="center"/>
          </w:tcPr>
          <w:p w14:paraId="40E38F4D">
            <w:pPr>
              <w:pStyle w:val="24"/>
              <w:spacing w:before="8" w:line="306" w:lineRule="exact"/>
              <w:ind w:left="47"/>
              <w:jc w:val="both"/>
              <w:rPr>
                <w:rFonts w:hint="default" w:ascii="Times New Roman" w:hAnsi="Times New Roman" w:eastAsia="宋体" w:cs="Times New Roman"/>
                <w:sz w:val="24"/>
                <w:szCs w:val="24"/>
              </w:rPr>
            </w:pPr>
            <w:r>
              <w:rPr>
                <w:rFonts w:hint="default" w:ascii="Times New Roman" w:hAnsi="Times New Roman" w:eastAsia="宋体" w:cs="Times New Roman"/>
                <w:spacing w:val="-5"/>
                <w:position w:val="2"/>
                <w:sz w:val="24"/>
                <w:szCs w:val="24"/>
                <w:lang w:eastAsia="zh-CN"/>
              </w:rPr>
              <w:t>☑</w:t>
            </w:r>
            <w:r>
              <w:rPr>
                <w:rFonts w:hint="default" w:ascii="Times New Roman" w:hAnsi="Times New Roman" w:eastAsia="宋体" w:cs="Times New Roman"/>
                <w:spacing w:val="-5"/>
                <w:position w:val="2"/>
                <w:sz w:val="24"/>
                <w:szCs w:val="24"/>
              </w:rPr>
              <w:t>首次申报项目</w:t>
            </w:r>
          </w:p>
          <w:p w14:paraId="63DF3AAF">
            <w:pPr>
              <w:pStyle w:val="24"/>
              <w:spacing w:before="20" w:line="221" w:lineRule="auto"/>
              <w:ind w:left="43"/>
              <w:jc w:val="both"/>
              <w:rPr>
                <w:rFonts w:hint="default" w:ascii="Times New Roman" w:hAnsi="Times New Roman" w:eastAsia="宋体" w:cs="Times New Roman"/>
                <w:sz w:val="24"/>
                <w:szCs w:val="24"/>
              </w:rPr>
            </w:pPr>
            <w:r>
              <w:rPr>
                <w:rFonts w:hint="eastAsia"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rPr>
              <w:t>不予批准后再次申报项目</w:t>
            </w:r>
          </w:p>
          <w:p w14:paraId="47B38712">
            <w:pPr>
              <w:pStyle w:val="24"/>
              <w:spacing w:before="22" w:line="221" w:lineRule="auto"/>
              <w:ind w:left="43"/>
              <w:jc w:val="both"/>
              <w:rPr>
                <w:rFonts w:hint="default" w:ascii="Times New Roman" w:hAnsi="Times New Roman" w:eastAsia="宋体" w:cs="Times New Roman"/>
                <w:sz w:val="24"/>
                <w:szCs w:val="24"/>
              </w:rPr>
            </w:pPr>
            <w:r>
              <w:rPr>
                <w:rFonts w:hint="eastAsia"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rPr>
              <w:t>超五年重新审核项目</w:t>
            </w:r>
          </w:p>
          <w:p w14:paraId="0DD403FE">
            <w:pPr>
              <w:pStyle w:val="24"/>
              <w:spacing w:before="20" w:line="212" w:lineRule="auto"/>
              <w:ind w:left="43"/>
              <w:jc w:val="both"/>
              <w:rPr>
                <w:rFonts w:hint="default" w:ascii="Times New Roman" w:hAnsi="Times New Roman" w:eastAsia="宋体" w:cs="Times New Roman"/>
                <w:sz w:val="24"/>
                <w:szCs w:val="24"/>
              </w:rPr>
            </w:pPr>
            <w:r>
              <w:rPr>
                <w:rFonts w:hint="eastAsia"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rPr>
              <w:t>重大变动重新报批项目</w:t>
            </w:r>
          </w:p>
        </w:tc>
      </w:tr>
      <w:tr w14:paraId="5059C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934" w:type="dxa"/>
            <w:tcBorders>
              <w:left w:val="single" w:color="000000" w:sz="6" w:space="0"/>
            </w:tcBorders>
            <w:vAlign w:val="center"/>
          </w:tcPr>
          <w:p w14:paraId="26F33DDD">
            <w:pPr>
              <w:pStyle w:val="24"/>
              <w:spacing w:before="41" w:line="221" w:lineRule="auto"/>
              <w:ind w:left="44"/>
              <w:jc w:val="center"/>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项目审批（核准/</w:t>
            </w:r>
            <w:r>
              <w:rPr>
                <w:rFonts w:hint="default" w:ascii="Times New Roman" w:hAnsi="Times New Roman" w:eastAsia="宋体" w:cs="Times New Roman"/>
                <w:spacing w:val="-3"/>
                <w:sz w:val="24"/>
                <w:szCs w:val="24"/>
              </w:rPr>
              <w:t>备案）部门（选</w:t>
            </w:r>
            <w:r>
              <w:rPr>
                <w:rFonts w:hint="default" w:ascii="Times New Roman" w:hAnsi="Times New Roman" w:eastAsia="宋体" w:cs="Times New Roman"/>
                <w:spacing w:val="-6"/>
                <w:sz w:val="24"/>
                <w:szCs w:val="24"/>
              </w:rPr>
              <w:t>填）</w:t>
            </w:r>
          </w:p>
        </w:tc>
        <w:tc>
          <w:tcPr>
            <w:tcW w:w="2140" w:type="dxa"/>
            <w:vAlign w:val="center"/>
          </w:tcPr>
          <w:p w14:paraId="4E5DF0AC">
            <w:pPr>
              <w:pStyle w:val="24"/>
              <w:spacing w:before="178" w:line="231" w:lineRule="auto"/>
              <w:ind w:right="89"/>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
                <w:sz w:val="24"/>
                <w:szCs w:val="24"/>
                <w:highlight w:val="none"/>
              </w:rPr>
              <w:t>承德市数据和政务服务</w:t>
            </w:r>
            <w:r>
              <w:rPr>
                <w:rFonts w:hint="default" w:ascii="Times New Roman" w:hAnsi="Times New Roman" w:eastAsia="宋体" w:cs="Times New Roman"/>
                <w:sz w:val="24"/>
                <w:szCs w:val="24"/>
                <w:highlight w:val="none"/>
              </w:rPr>
              <w:t>局</w:t>
            </w:r>
          </w:p>
        </w:tc>
        <w:tc>
          <w:tcPr>
            <w:tcW w:w="2032" w:type="dxa"/>
            <w:vAlign w:val="center"/>
          </w:tcPr>
          <w:p w14:paraId="3FEDC5A8">
            <w:pPr>
              <w:pStyle w:val="24"/>
              <w:spacing w:before="177" w:line="231" w:lineRule="auto"/>
              <w:ind w:right="168"/>
              <w:jc w:val="center"/>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项目审批（核准/</w:t>
            </w:r>
            <w:r>
              <w:rPr>
                <w:rFonts w:hint="default" w:ascii="Times New Roman" w:hAnsi="Times New Roman" w:eastAsia="宋体" w:cs="Times New Roman"/>
                <w:spacing w:val="-3"/>
                <w:sz w:val="24"/>
                <w:szCs w:val="24"/>
              </w:rPr>
              <w:t>备案）文号（选填）</w:t>
            </w:r>
          </w:p>
        </w:tc>
        <w:tc>
          <w:tcPr>
            <w:tcW w:w="2936" w:type="dxa"/>
            <w:gridSpan w:val="2"/>
            <w:tcBorders>
              <w:right w:val="single" w:color="000000" w:sz="6" w:space="0"/>
            </w:tcBorders>
            <w:vAlign w:val="center"/>
          </w:tcPr>
          <w:p w14:paraId="1F90EE56">
            <w:pPr>
              <w:pStyle w:val="24"/>
              <w:spacing w:before="68" w:line="213" w:lineRule="auto"/>
              <w:jc w:val="both"/>
              <w:rPr>
                <w:rFonts w:hint="default" w:ascii="Times New Roman" w:hAnsi="Times New Roman" w:eastAsia="宋体" w:cs="Times New Roman"/>
                <w:sz w:val="24"/>
                <w:szCs w:val="24"/>
                <w:highlight w:val="yellow"/>
              </w:rPr>
            </w:pPr>
            <w:r>
              <w:rPr>
                <w:rFonts w:hint="default" w:ascii="Times New Roman" w:hAnsi="Times New Roman" w:eastAsia="宋体" w:cs="Times New Roman"/>
                <w:spacing w:val="-1"/>
                <w:sz w:val="24"/>
                <w:szCs w:val="24"/>
                <w:highlight w:val="none"/>
              </w:rPr>
              <w:t>承数政核字</w:t>
            </w:r>
            <w:r>
              <w:rPr>
                <w:rFonts w:hint="default" w:ascii="Times New Roman" w:hAnsi="Times New Roman" w:eastAsia="宋体" w:cs="Times New Roman"/>
                <w:color w:val="auto"/>
                <w:kern w:val="21"/>
                <w:sz w:val="24"/>
                <w:szCs w:val="24"/>
                <w:highlight w:val="none"/>
                <w:lang w:val="en-US" w:eastAsia="zh-CN"/>
              </w:rPr>
              <w:t>〔2024〕</w:t>
            </w:r>
            <w:r>
              <w:rPr>
                <w:rFonts w:hint="eastAsia" w:ascii="Times New Roman" w:hAnsi="Times New Roman" w:cs="Times New Roman"/>
                <w:spacing w:val="-1"/>
                <w:sz w:val="24"/>
                <w:szCs w:val="24"/>
                <w:highlight w:val="none"/>
                <w:lang w:val="en-US" w:eastAsia="zh-CN"/>
              </w:rPr>
              <w:t>10</w:t>
            </w:r>
            <w:r>
              <w:rPr>
                <w:rFonts w:hint="default" w:ascii="Times New Roman" w:hAnsi="Times New Roman" w:eastAsia="宋体" w:cs="Times New Roman"/>
                <w:spacing w:val="-1"/>
                <w:sz w:val="24"/>
                <w:szCs w:val="24"/>
                <w:highlight w:val="none"/>
              </w:rPr>
              <w:t>号</w:t>
            </w:r>
          </w:p>
        </w:tc>
      </w:tr>
      <w:tr w14:paraId="7DC27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934" w:type="dxa"/>
            <w:tcBorders>
              <w:left w:val="single" w:color="000000" w:sz="6" w:space="0"/>
            </w:tcBorders>
            <w:vAlign w:val="center"/>
          </w:tcPr>
          <w:p w14:paraId="5B095340">
            <w:pPr>
              <w:pStyle w:val="24"/>
              <w:spacing w:before="39" w:line="213"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总投资（万元）</w:t>
            </w:r>
          </w:p>
        </w:tc>
        <w:tc>
          <w:tcPr>
            <w:tcW w:w="2140" w:type="dxa"/>
            <w:vAlign w:val="center"/>
          </w:tcPr>
          <w:p w14:paraId="36C779AA">
            <w:pPr>
              <w:spacing w:before="77" w:line="187" w:lineRule="auto"/>
              <w:ind w:left="948"/>
              <w:jc w:val="both"/>
              <w:rPr>
                <w:rFonts w:hint="default" w:ascii="Times New Roman" w:hAnsi="Times New Roman" w:eastAsia="宋体" w:cs="Times New Roman"/>
                <w:sz w:val="24"/>
                <w:szCs w:val="24"/>
                <w:highlight w:val="none"/>
                <w:lang w:val="en-US" w:eastAsia="zh-CN"/>
              </w:rPr>
            </w:pPr>
            <w:r>
              <w:rPr>
                <w:rFonts w:hint="eastAsia" w:cs="Times New Roman"/>
                <w:spacing w:val="-5"/>
                <w:sz w:val="24"/>
                <w:szCs w:val="24"/>
                <w:highlight w:val="none"/>
                <w:lang w:val="en-US" w:eastAsia="zh-CN"/>
              </w:rPr>
              <w:t>7075</w:t>
            </w:r>
          </w:p>
        </w:tc>
        <w:tc>
          <w:tcPr>
            <w:tcW w:w="2032" w:type="dxa"/>
            <w:vAlign w:val="center"/>
          </w:tcPr>
          <w:p w14:paraId="47BE535D">
            <w:pPr>
              <w:pStyle w:val="24"/>
              <w:spacing w:before="39" w:line="213"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环保投资（万元）</w:t>
            </w:r>
          </w:p>
        </w:tc>
        <w:tc>
          <w:tcPr>
            <w:tcW w:w="2936" w:type="dxa"/>
            <w:gridSpan w:val="2"/>
            <w:tcBorders>
              <w:right w:val="single" w:color="000000" w:sz="6" w:space="0"/>
            </w:tcBorders>
            <w:vAlign w:val="center"/>
          </w:tcPr>
          <w:p w14:paraId="6F50BF64">
            <w:pPr>
              <w:spacing w:before="77" w:line="187" w:lineRule="auto"/>
              <w:ind w:left="1372"/>
              <w:jc w:val="both"/>
              <w:rPr>
                <w:rFonts w:hint="default" w:ascii="Times New Roman" w:hAnsi="Times New Roman" w:eastAsia="宋体" w:cs="Times New Roman"/>
                <w:sz w:val="24"/>
                <w:szCs w:val="24"/>
                <w:highlight w:val="yellow"/>
                <w:lang w:val="en-US" w:eastAsia="zh-CN"/>
              </w:rPr>
            </w:pPr>
            <w:r>
              <w:rPr>
                <w:rFonts w:hint="eastAsia" w:cs="Times New Roman"/>
                <w:spacing w:val="-3"/>
                <w:sz w:val="24"/>
                <w:szCs w:val="24"/>
                <w:highlight w:val="none"/>
                <w:lang w:val="en-US" w:eastAsia="zh-CN"/>
              </w:rPr>
              <w:t>70</w:t>
            </w:r>
          </w:p>
        </w:tc>
      </w:tr>
      <w:tr w14:paraId="14BA0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934" w:type="dxa"/>
            <w:tcBorders>
              <w:left w:val="single" w:color="000000" w:sz="6" w:space="0"/>
            </w:tcBorders>
            <w:vAlign w:val="center"/>
          </w:tcPr>
          <w:p w14:paraId="352E898A">
            <w:pPr>
              <w:pStyle w:val="24"/>
              <w:spacing w:before="40" w:line="221"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环保投资占比</w:t>
            </w:r>
          </w:p>
          <w:p w14:paraId="341376D3">
            <w:pPr>
              <w:pStyle w:val="24"/>
              <w:spacing w:before="19" w:line="217"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w:t>
            </w:r>
          </w:p>
        </w:tc>
        <w:tc>
          <w:tcPr>
            <w:tcW w:w="2140" w:type="dxa"/>
            <w:vAlign w:val="center"/>
          </w:tcPr>
          <w:p w14:paraId="51A42981">
            <w:pPr>
              <w:spacing w:before="215" w:line="187" w:lineRule="auto"/>
              <w:ind w:left="954"/>
              <w:jc w:val="both"/>
              <w:rPr>
                <w:rFonts w:hint="default" w:ascii="Times New Roman" w:hAnsi="Times New Roman" w:eastAsia="宋体" w:cs="Times New Roman"/>
                <w:sz w:val="24"/>
                <w:szCs w:val="24"/>
                <w:highlight w:val="yellow"/>
                <w:lang w:val="en-US" w:eastAsia="zh-CN"/>
              </w:rPr>
            </w:pPr>
            <w:r>
              <w:rPr>
                <w:rFonts w:hint="eastAsia" w:cs="Times New Roman"/>
                <w:spacing w:val="-1"/>
                <w:sz w:val="24"/>
                <w:szCs w:val="24"/>
                <w:highlight w:val="none"/>
                <w:lang w:val="en-US" w:eastAsia="zh-CN"/>
              </w:rPr>
              <w:t>0.99</w:t>
            </w:r>
          </w:p>
        </w:tc>
        <w:tc>
          <w:tcPr>
            <w:tcW w:w="2032" w:type="dxa"/>
            <w:vAlign w:val="center"/>
          </w:tcPr>
          <w:p w14:paraId="217FE5EC">
            <w:pPr>
              <w:pStyle w:val="24"/>
              <w:spacing w:before="176" w:line="221"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施工工期</w:t>
            </w:r>
          </w:p>
        </w:tc>
        <w:tc>
          <w:tcPr>
            <w:tcW w:w="2936" w:type="dxa"/>
            <w:gridSpan w:val="2"/>
            <w:tcBorders>
              <w:right w:val="single" w:color="000000" w:sz="6" w:space="0"/>
            </w:tcBorders>
            <w:vAlign w:val="center"/>
          </w:tcPr>
          <w:p w14:paraId="2D7D9901">
            <w:pPr>
              <w:pStyle w:val="24"/>
              <w:spacing w:before="176" w:line="221" w:lineRule="auto"/>
              <w:ind w:left="1182"/>
              <w:jc w:val="both"/>
              <w:rPr>
                <w:rFonts w:hint="default" w:ascii="Times New Roman" w:hAnsi="Times New Roman" w:eastAsia="宋体" w:cs="Times New Roman"/>
                <w:sz w:val="24"/>
                <w:szCs w:val="24"/>
              </w:rPr>
            </w:pPr>
            <w:r>
              <w:rPr>
                <w:rFonts w:hint="eastAsia" w:ascii="Times New Roman" w:hAnsi="Times New Roman" w:cs="Times New Roman"/>
                <w:spacing w:val="-3"/>
                <w:sz w:val="24"/>
                <w:szCs w:val="24"/>
                <w:highlight w:val="none"/>
                <w:lang w:val="en-US" w:eastAsia="zh-CN"/>
              </w:rPr>
              <w:t>8</w:t>
            </w:r>
            <w:r>
              <w:rPr>
                <w:rFonts w:hint="default" w:ascii="Times New Roman" w:hAnsi="Times New Roman" w:eastAsia="宋体" w:cs="Times New Roman"/>
                <w:spacing w:val="-3"/>
                <w:sz w:val="24"/>
                <w:szCs w:val="24"/>
                <w:highlight w:val="none"/>
              </w:rPr>
              <w:t>个月</w:t>
            </w:r>
          </w:p>
        </w:tc>
      </w:tr>
      <w:tr w14:paraId="61CBA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934" w:type="dxa"/>
            <w:tcBorders>
              <w:left w:val="single" w:color="000000" w:sz="6" w:space="0"/>
            </w:tcBorders>
            <w:vAlign w:val="center"/>
          </w:tcPr>
          <w:p w14:paraId="57693F28">
            <w:pPr>
              <w:pStyle w:val="24"/>
              <w:spacing w:before="139" w:line="231" w:lineRule="auto"/>
              <w:ind w:right="64"/>
              <w:jc w:val="center"/>
              <w:rPr>
                <w:rFonts w:hint="eastAsia" w:ascii="Times New Roman" w:hAnsi="Times New Roman" w:eastAsia="宋体" w:cs="Times New Roman"/>
                <w:spacing w:val="-1"/>
                <w:sz w:val="24"/>
                <w:szCs w:val="24"/>
                <w:lang w:val="en-US" w:eastAsia="zh-CN"/>
              </w:rPr>
            </w:pPr>
            <w:r>
              <w:rPr>
                <w:rFonts w:hint="eastAsia" w:ascii="Times New Roman" w:hAnsi="Times New Roman" w:eastAsia="宋体" w:cs="Times New Roman"/>
                <w:spacing w:val="-1"/>
                <w:sz w:val="24"/>
                <w:szCs w:val="24"/>
                <w:lang w:val="en-US" w:eastAsia="zh-CN"/>
              </w:rPr>
              <w:t>是否开工建设</w:t>
            </w:r>
          </w:p>
        </w:tc>
        <w:tc>
          <w:tcPr>
            <w:tcW w:w="7108" w:type="dxa"/>
            <w:gridSpan w:val="4"/>
            <w:tcBorders>
              <w:right w:val="single" w:color="000000" w:sz="6" w:space="0"/>
            </w:tcBorders>
            <w:vAlign w:val="center"/>
          </w:tcPr>
          <w:p w14:paraId="767CF28D">
            <w:pPr>
              <w:pStyle w:val="26"/>
              <w:spacing w:line="240" w:lineRule="auto"/>
              <w:ind w:right="79"/>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否</w:t>
            </w:r>
          </w:p>
          <w:p w14:paraId="23B48F85">
            <w:pPr>
              <w:pStyle w:val="26"/>
              <w:spacing w:line="240" w:lineRule="auto"/>
              <w:ind w:right="79"/>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是：</w:t>
            </w:r>
          </w:p>
        </w:tc>
      </w:tr>
      <w:tr w14:paraId="0FE23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934" w:type="dxa"/>
            <w:tcBorders>
              <w:left w:val="single" w:color="000000" w:sz="6" w:space="0"/>
            </w:tcBorders>
            <w:vAlign w:val="center"/>
          </w:tcPr>
          <w:p w14:paraId="62E91106">
            <w:pPr>
              <w:pStyle w:val="24"/>
              <w:spacing w:before="139" w:line="231" w:lineRule="auto"/>
              <w:ind w:right="64"/>
              <w:jc w:val="center"/>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专项评价设置情</w:t>
            </w:r>
            <w:r>
              <w:rPr>
                <w:rFonts w:hint="default" w:ascii="Times New Roman" w:hAnsi="Times New Roman" w:eastAsia="宋体" w:cs="Times New Roman"/>
                <w:sz w:val="24"/>
                <w:szCs w:val="24"/>
              </w:rPr>
              <w:t>况</w:t>
            </w:r>
          </w:p>
        </w:tc>
        <w:tc>
          <w:tcPr>
            <w:tcW w:w="7108" w:type="dxa"/>
            <w:gridSpan w:val="4"/>
            <w:tcBorders>
              <w:right w:val="single" w:color="000000" w:sz="6" w:space="0"/>
            </w:tcBorders>
            <w:vAlign w:val="center"/>
          </w:tcPr>
          <w:p w14:paraId="46601AF0">
            <w:pPr>
              <w:pStyle w:val="26"/>
              <w:spacing w:line="240" w:lineRule="auto"/>
              <w:ind w:right="79"/>
              <w:rPr>
                <w:rFonts w:hint="default" w:ascii="Times New Roman" w:hAnsi="Times New Roman" w:eastAsia="宋体" w:cs="Times New Roman"/>
                <w:sz w:val="24"/>
                <w:szCs w:val="24"/>
              </w:rPr>
            </w:pPr>
            <w:r>
              <w:rPr>
                <w:rFonts w:ascii="Times New Roman" w:hAnsi="Times New Roman" w:eastAsia="宋体" w:cs="Times New Roman"/>
                <w:sz w:val="24"/>
                <w:szCs w:val="24"/>
                <w:highlight w:val="none"/>
              </w:rPr>
              <w:t>电磁辐射影响专题评价。根据《环境影响评价技术导则输变电》（HJ24-2020）附录B.2.1要求，输变电建设项目环境影响报告表应设电磁环境影响专题评价，其评价等级、评价内容及格式按照导则有关电磁环境影响评价要求进行。</w:t>
            </w:r>
          </w:p>
        </w:tc>
      </w:tr>
      <w:tr w14:paraId="789F3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934" w:type="dxa"/>
            <w:tcBorders>
              <w:left w:val="single" w:color="000000" w:sz="6" w:space="0"/>
            </w:tcBorders>
            <w:vAlign w:val="center"/>
          </w:tcPr>
          <w:p w14:paraId="1248780C">
            <w:pPr>
              <w:pStyle w:val="24"/>
              <w:spacing w:before="137" w:line="221"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规划情况</w:t>
            </w:r>
          </w:p>
        </w:tc>
        <w:tc>
          <w:tcPr>
            <w:tcW w:w="7108" w:type="dxa"/>
            <w:gridSpan w:val="4"/>
            <w:tcBorders>
              <w:right w:val="single" w:color="000000" w:sz="6" w:space="0"/>
            </w:tcBorders>
            <w:vAlign w:val="center"/>
          </w:tcPr>
          <w:p w14:paraId="3B5A5901">
            <w:pPr>
              <w:pStyle w:val="24"/>
              <w:spacing w:before="137" w:line="221" w:lineRule="auto"/>
              <w:ind w:left="19"/>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无</w:t>
            </w:r>
          </w:p>
        </w:tc>
      </w:tr>
      <w:tr w14:paraId="7D0CA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934" w:type="dxa"/>
            <w:tcBorders>
              <w:left w:val="single" w:color="000000" w:sz="6" w:space="0"/>
            </w:tcBorders>
            <w:vAlign w:val="center"/>
          </w:tcPr>
          <w:p w14:paraId="21127CA0">
            <w:pPr>
              <w:pStyle w:val="24"/>
              <w:spacing w:before="81" w:line="212" w:lineRule="auto"/>
              <w:ind w:right="170"/>
              <w:jc w:val="center"/>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规划环境影响</w:t>
            </w:r>
            <w:r>
              <w:rPr>
                <w:rFonts w:hint="default" w:ascii="Times New Roman" w:hAnsi="Times New Roman" w:eastAsia="宋体" w:cs="Times New Roman"/>
                <w:spacing w:val="-1"/>
                <w:sz w:val="24"/>
                <w:szCs w:val="24"/>
              </w:rPr>
              <w:t>评价情况</w:t>
            </w:r>
          </w:p>
        </w:tc>
        <w:tc>
          <w:tcPr>
            <w:tcW w:w="7108" w:type="dxa"/>
            <w:gridSpan w:val="4"/>
            <w:tcBorders>
              <w:right w:val="single" w:color="000000" w:sz="6" w:space="0"/>
            </w:tcBorders>
            <w:vAlign w:val="center"/>
          </w:tcPr>
          <w:p w14:paraId="3EC2FD87">
            <w:pPr>
              <w:pStyle w:val="24"/>
              <w:spacing w:before="215" w:line="221" w:lineRule="auto"/>
              <w:ind w:left="19"/>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无</w:t>
            </w:r>
          </w:p>
        </w:tc>
      </w:tr>
      <w:tr w14:paraId="32B9A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1934" w:type="dxa"/>
            <w:tcBorders>
              <w:left w:val="single" w:color="000000" w:sz="6" w:space="0"/>
            </w:tcBorders>
            <w:vAlign w:val="center"/>
          </w:tcPr>
          <w:p w14:paraId="4E9F763C">
            <w:pPr>
              <w:pStyle w:val="24"/>
              <w:spacing w:before="77" w:line="221"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规划及规划环境影响评价符合性</w:t>
            </w:r>
            <w:r>
              <w:rPr>
                <w:rFonts w:hint="default" w:ascii="Times New Roman" w:hAnsi="Times New Roman" w:eastAsia="宋体" w:cs="Times New Roman"/>
                <w:spacing w:val="-3"/>
                <w:sz w:val="24"/>
                <w:szCs w:val="24"/>
              </w:rPr>
              <w:t>分析</w:t>
            </w:r>
          </w:p>
        </w:tc>
        <w:tc>
          <w:tcPr>
            <w:tcW w:w="7108" w:type="dxa"/>
            <w:gridSpan w:val="4"/>
            <w:tcBorders>
              <w:right w:val="single" w:color="000000" w:sz="6" w:space="0"/>
            </w:tcBorders>
            <w:vAlign w:val="center"/>
          </w:tcPr>
          <w:p w14:paraId="53D864C1">
            <w:pPr>
              <w:spacing w:line="279" w:lineRule="auto"/>
              <w:jc w:val="center"/>
              <w:rPr>
                <w:rFonts w:hint="default" w:ascii="Times New Roman" w:hAnsi="Times New Roman" w:eastAsia="宋体" w:cs="Times New Roman"/>
                <w:sz w:val="24"/>
                <w:szCs w:val="24"/>
              </w:rPr>
            </w:pPr>
          </w:p>
          <w:p w14:paraId="4C3E3BBB">
            <w:pPr>
              <w:pStyle w:val="24"/>
              <w:spacing w:before="68" w:line="221" w:lineRule="auto"/>
              <w:ind w:left="19"/>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无</w:t>
            </w:r>
          </w:p>
        </w:tc>
      </w:tr>
    </w:tbl>
    <w:p w14:paraId="64092E9D">
      <w:pPr>
        <w:pStyle w:val="24"/>
        <w:spacing w:before="69" w:line="221" w:lineRule="auto"/>
        <w:jc w:val="center"/>
        <w:rPr>
          <w:rFonts w:hint="default" w:ascii="Times New Roman" w:hAnsi="Times New Roman" w:eastAsia="宋体" w:cs="Times New Roman"/>
          <w:spacing w:val="-1"/>
          <w:sz w:val="24"/>
          <w:szCs w:val="24"/>
        </w:rPr>
      </w:pPr>
      <w:r>
        <w:rPr>
          <w:rFonts w:hint="default" w:ascii="Times New Roman" w:hAnsi="Times New Roman" w:eastAsia="宋体" w:cs="Times New Roman"/>
          <w:spacing w:val="-1"/>
          <w:sz w:val="24"/>
          <w:szCs w:val="24"/>
        </w:rPr>
        <w:br w:type="page"/>
      </w:r>
    </w:p>
    <w:tbl>
      <w:tblPr>
        <w:tblStyle w:val="25"/>
        <w:tblpPr w:leftFromText="180" w:rightFromText="180" w:vertAnchor="text" w:tblpX="7" w:tblpY="1"/>
        <w:tblOverlap w:val="never"/>
        <w:tblW w:w="9042"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211"/>
      </w:tblGrid>
      <w:tr w14:paraId="2DE2D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8" w:hRule="atLeast"/>
        </w:trPr>
        <w:tc>
          <w:tcPr>
            <w:tcW w:w="831" w:type="dxa"/>
            <w:tcBorders>
              <w:left w:val="single" w:color="000000" w:sz="6" w:space="0"/>
              <w:bottom w:val="single" w:color="000000" w:sz="6" w:space="0"/>
            </w:tcBorders>
            <w:vAlign w:val="center"/>
          </w:tcPr>
          <w:p w14:paraId="5DD69097">
            <w:pPr>
              <w:pStyle w:val="24"/>
              <w:spacing w:before="69" w:line="221"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其他符合性分析</w:t>
            </w:r>
          </w:p>
        </w:tc>
        <w:tc>
          <w:tcPr>
            <w:tcW w:w="8211" w:type="dxa"/>
            <w:tcBorders>
              <w:bottom w:val="single" w:color="000000" w:sz="6" w:space="0"/>
              <w:right w:val="single" w:color="000000" w:sz="6" w:space="0"/>
            </w:tcBorders>
            <w:vAlign w:val="center"/>
          </w:tcPr>
          <w:p w14:paraId="2EB134A1">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outlineLvl w:val="9"/>
              <w:rPr>
                <w:rFonts w:hint="default"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en-US" w:eastAsia="zh-CN"/>
              </w:rPr>
              <w:t>1</w:t>
            </w:r>
            <w:r>
              <w:rPr>
                <w:rFonts w:hint="default" w:ascii="Times New Roman" w:hAnsi="Times New Roman" w:eastAsia="宋体" w:cs="Times New Roman"/>
                <w:b/>
                <w:bCs/>
                <w:color w:val="auto"/>
                <w:kern w:val="21"/>
                <w:sz w:val="24"/>
                <w:szCs w:val="24"/>
                <w:highlight w:val="none"/>
                <w:lang w:val="en-US" w:eastAsia="zh-CN"/>
              </w:rPr>
              <w:t>、产业政策符合性分析</w:t>
            </w:r>
          </w:p>
          <w:p w14:paraId="3469F9A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highlight w:val="none"/>
                <w:lang w:val="en-US" w:eastAsia="zh-CN"/>
              </w:rPr>
            </w:pPr>
            <w:bookmarkStart w:id="27" w:name="OLE_LINK2"/>
            <w:r>
              <w:rPr>
                <w:rFonts w:hint="default" w:ascii="Times New Roman" w:hAnsi="Times New Roman" w:eastAsia="宋体" w:cs="Times New Roman"/>
                <w:color w:val="auto"/>
                <w:kern w:val="21"/>
                <w:sz w:val="24"/>
                <w:szCs w:val="24"/>
                <w:highlight w:val="none"/>
                <w:lang w:val="en-US" w:eastAsia="zh-CN"/>
              </w:rPr>
              <w:t>本工程为</w:t>
            </w:r>
            <w:bookmarkEnd w:id="27"/>
            <w:r>
              <w:rPr>
                <w:rFonts w:hint="default" w:ascii="Times New Roman" w:hAnsi="Times New Roman" w:eastAsia="宋体" w:cs="Times New Roman"/>
                <w:sz w:val="24"/>
                <w:szCs w:val="24"/>
                <w:highlight w:val="none"/>
              </w:rPr>
              <w:t>输变电工程</w:t>
            </w:r>
            <w:r>
              <w:rPr>
                <w:rFonts w:hint="default" w:ascii="Times New Roman" w:hAnsi="Times New Roman" w:eastAsia="宋体" w:cs="Times New Roman"/>
                <w:color w:val="auto"/>
                <w:sz w:val="24"/>
                <w:szCs w:val="24"/>
                <w:highlight w:val="none"/>
              </w:rPr>
              <w:t>中的线路工程</w:t>
            </w:r>
            <w:r>
              <w:rPr>
                <w:rFonts w:hint="default" w:ascii="Times New Roman" w:hAnsi="Times New Roman" w:eastAsia="宋体" w:cs="Times New Roman"/>
                <w:color w:val="auto"/>
                <w:kern w:val="21"/>
                <w:sz w:val="24"/>
                <w:szCs w:val="24"/>
                <w:highlight w:val="none"/>
                <w:lang w:val="en-US" w:eastAsia="zh-CN"/>
              </w:rPr>
              <w:t>，根据</w:t>
            </w:r>
            <w:r>
              <w:rPr>
                <w:rFonts w:hint="default" w:ascii="Times New Roman" w:hAnsi="Times New Roman" w:eastAsia="宋体" w:cs="Times New Roman"/>
                <w:sz w:val="24"/>
                <w:szCs w:val="24"/>
                <w:highlight w:val="none"/>
                <w:lang w:val="en-US" w:eastAsia="zh-CN"/>
              </w:rPr>
              <w:t>中华人民共和国国家发展和改革委员会令第7号令发布的《产业结构调整指导目录(2024年本)》，本项目不属于鼓励类、限制类和淘汰类，允许建设。</w:t>
            </w:r>
          </w:p>
          <w:p w14:paraId="3E1E68B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根据《市场准入负面清单（2022年版）》及《河北省禁止投资的产业目录》，本工程不属于其中禁止准入类，允许建设。</w:t>
            </w:r>
          </w:p>
          <w:p w14:paraId="427E157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根据《环境保护综合名录》，本工程不属于其中“高污染、高风险”产品加工项目，允许建设。</w:t>
            </w:r>
          </w:p>
          <w:p w14:paraId="3A323B6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本项目于2024年5月21日已取得承德市数据和政务服务局出具的《关于华能围场“风光储氢热一体化”项目（风电200MW）项目220kV送出线路工程项目核准的批复》，核准文号：</w:t>
            </w:r>
            <w:r>
              <w:rPr>
                <w:rFonts w:hint="default" w:ascii="Times New Roman" w:hAnsi="Times New Roman" w:eastAsia="宋体" w:cs="Times New Roman"/>
                <w:spacing w:val="-1"/>
                <w:sz w:val="24"/>
                <w:szCs w:val="24"/>
                <w:highlight w:val="none"/>
              </w:rPr>
              <w:t>承数政核字</w:t>
            </w:r>
            <w:r>
              <w:rPr>
                <w:rFonts w:hint="default" w:ascii="Times New Roman" w:hAnsi="Times New Roman" w:eastAsia="宋体" w:cs="Times New Roman"/>
                <w:color w:val="auto"/>
                <w:kern w:val="21"/>
                <w:sz w:val="24"/>
                <w:szCs w:val="24"/>
                <w:highlight w:val="none"/>
                <w:lang w:val="en-US" w:eastAsia="zh-CN"/>
              </w:rPr>
              <w:t>〔2024〕</w:t>
            </w:r>
            <w:r>
              <w:rPr>
                <w:rFonts w:hint="eastAsia" w:ascii="Times New Roman" w:hAnsi="Times New Roman" w:cs="Times New Roman"/>
                <w:spacing w:val="-1"/>
                <w:sz w:val="24"/>
                <w:szCs w:val="24"/>
                <w:highlight w:val="none"/>
                <w:lang w:val="en-US" w:eastAsia="zh-CN"/>
              </w:rPr>
              <w:t>10</w:t>
            </w:r>
            <w:r>
              <w:rPr>
                <w:rFonts w:hint="default" w:ascii="Times New Roman" w:hAnsi="Times New Roman" w:eastAsia="宋体" w:cs="Times New Roman"/>
                <w:spacing w:val="-1"/>
                <w:sz w:val="24"/>
                <w:szCs w:val="24"/>
                <w:highlight w:val="none"/>
              </w:rPr>
              <w:t>号</w:t>
            </w:r>
            <w:r>
              <w:rPr>
                <w:rFonts w:hint="default" w:ascii="Times New Roman" w:hAnsi="Times New Roman" w:eastAsia="宋体" w:cs="Times New Roman"/>
                <w:color w:val="auto"/>
                <w:kern w:val="21"/>
                <w:sz w:val="24"/>
                <w:szCs w:val="24"/>
                <w:highlight w:val="none"/>
                <w:lang w:val="en-US" w:eastAsia="zh-CN"/>
              </w:rPr>
              <w:t>。</w:t>
            </w:r>
          </w:p>
          <w:p w14:paraId="2A3818D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kern w:val="21"/>
                <w:sz w:val="24"/>
                <w:szCs w:val="24"/>
                <w:highlight w:val="none"/>
              </w:rPr>
            </w:pPr>
            <w:r>
              <w:rPr>
                <w:rFonts w:hint="default" w:ascii="Times New Roman" w:hAnsi="Times New Roman" w:eastAsia="宋体" w:cs="Times New Roman"/>
                <w:color w:val="auto"/>
                <w:kern w:val="21"/>
                <w:sz w:val="24"/>
                <w:szCs w:val="24"/>
                <w:highlight w:val="none"/>
              </w:rPr>
              <w:t>因此，</w:t>
            </w:r>
            <w:r>
              <w:rPr>
                <w:rFonts w:hint="default" w:ascii="Times New Roman" w:hAnsi="Times New Roman" w:eastAsia="宋体" w:cs="Times New Roman"/>
                <w:color w:val="auto"/>
                <w:kern w:val="21"/>
                <w:sz w:val="24"/>
                <w:szCs w:val="24"/>
                <w:highlight w:val="none"/>
                <w:lang w:eastAsia="zh-CN"/>
              </w:rPr>
              <w:t>本工程</w:t>
            </w:r>
            <w:r>
              <w:rPr>
                <w:rFonts w:hint="default" w:ascii="Times New Roman" w:hAnsi="Times New Roman" w:eastAsia="宋体" w:cs="Times New Roman"/>
                <w:color w:val="auto"/>
                <w:kern w:val="21"/>
                <w:sz w:val="24"/>
                <w:szCs w:val="24"/>
                <w:highlight w:val="none"/>
              </w:rPr>
              <w:t>的建设符合国家和地方现行产业政策。</w:t>
            </w:r>
          </w:p>
          <w:p w14:paraId="4527B06C">
            <w:pPr>
              <w:pStyle w:val="2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pacing w:val="0"/>
                <w:w w:val="100"/>
                <w:sz w:val="24"/>
                <w:szCs w:val="24"/>
                <w:highlight w:val="none"/>
                <w:lang w:val="en-US" w:eastAsia="zh-CN"/>
              </w:rPr>
            </w:pPr>
            <w:r>
              <w:rPr>
                <w:rFonts w:hint="eastAsia" w:ascii="Times New Roman" w:hAnsi="Times New Roman" w:eastAsia="宋体" w:cs="Times New Roman"/>
                <w:b/>
                <w:bCs/>
                <w:color w:val="auto"/>
                <w:spacing w:val="0"/>
                <w:w w:val="100"/>
                <w:sz w:val="24"/>
                <w:szCs w:val="24"/>
                <w:highlight w:val="none"/>
                <w:lang w:val="en-US" w:eastAsia="zh-CN"/>
              </w:rPr>
              <w:t>2</w:t>
            </w:r>
            <w:r>
              <w:rPr>
                <w:rFonts w:hint="default" w:ascii="Times New Roman" w:hAnsi="Times New Roman" w:eastAsia="宋体" w:cs="Times New Roman"/>
                <w:b/>
                <w:bCs/>
                <w:color w:val="auto"/>
                <w:spacing w:val="0"/>
                <w:w w:val="100"/>
                <w:sz w:val="24"/>
                <w:szCs w:val="24"/>
                <w:highlight w:val="none"/>
                <w:lang w:val="en-US" w:eastAsia="zh-CN"/>
              </w:rPr>
              <w:t>、《输变电建设项目环境保护技术要求》(HJ1113-2020)的符合性分析</w:t>
            </w:r>
          </w:p>
          <w:p w14:paraId="46DF1C3D">
            <w:pPr>
              <w:pStyle w:val="2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pacing w:val="0"/>
                <w:w w:val="100"/>
                <w:sz w:val="24"/>
                <w:szCs w:val="24"/>
                <w:highlight w:val="none"/>
                <w:lang w:val="en-US" w:eastAsia="zh-CN"/>
              </w:rPr>
            </w:pPr>
            <w:r>
              <w:rPr>
                <w:rFonts w:hint="default" w:ascii="Times New Roman" w:hAnsi="Times New Roman" w:eastAsia="宋体" w:cs="Times New Roman"/>
                <w:b w:val="0"/>
                <w:bCs w:val="0"/>
                <w:color w:val="auto"/>
                <w:spacing w:val="0"/>
                <w:w w:val="100"/>
                <w:sz w:val="24"/>
                <w:szCs w:val="24"/>
                <w:highlight w:val="none"/>
                <w:lang w:val="en-US" w:eastAsia="zh-CN"/>
              </w:rPr>
              <w:t>本工程与《输变电建设项目环境保护技术要求》(HJ1113-2020)的符合性分析见下表：</w:t>
            </w:r>
          </w:p>
          <w:p w14:paraId="78803698">
            <w:pPr>
              <w:pStyle w:val="2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pacing w:val="0"/>
                <w:w w:val="100"/>
                <w:sz w:val="24"/>
                <w:szCs w:val="24"/>
                <w:highlight w:val="none"/>
                <w:lang w:val="en-US" w:eastAsia="zh-CN"/>
              </w:rPr>
            </w:pPr>
            <w:r>
              <w:rPr>
                <w:rFonts w:hint="default" w:ascii="Times New Roman" w:hAnsi="Times New Roman" w:eastAsia="宋体" w:cs="Times New Roman"/>
                <w:b/>
                <w:bCs/>
                <w:color w:val="auto"/>
                <w:spacing w:val="0"/>
                <w:w w:val="100"/>
                <w:sz w:val="24"/>
                <w:szCs w:val="24"/>
                <w:highlight w:val="none"/>
                <w:lang w:val="en-US" w:eastAsia="zh-CN"/>
              </w:rPr>
              <w:t>表1-1与输变电建设项目环境保护技术要求》(HJ1113-2020)</w:t>
            </w:r>
          </w:p>
          <w:p w14:paraId="03565BAB">
            <w:pPr>
              <w:pStyle w:val="2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pacing w:val="0"/>
                <w:w w:val="100"/>
                <w:sz w:val="24"/>
                <w:szCs w:val="24"/>
                <w:highlight w:val="none"/>
                <w:lang w:val="en-US" w:eastAsia="zh-CN"/>
              </w:rPr>
            </w:pPr>
            <w:r>
              <w:rPr>
                <w:rFonts w:hint="default" w:ascii="Times New Roman" w:hAnsi="Times New Roman" w:eastAsia="宋体" w:cs="Times New Roman"/>
                <w:b/>
                <w:bCs/>
                <w:color w:val="auto"/>
                <w:spacing w:val="0"/>
                <w:w w:val="100"/>
                <w:sz w:val="24"/>
                <w:szCs w:val="24"/>
                <w:highlight w:val="none"/>
                <w:lang w:val="en-US" w:eastAsia="zh-CN"/>
              </w:rPr>
              <w:t>符合性分析一览表</w:t>
            </w:r>
          </w:p>
          <w:tbl>
            <w:tblPr>
              <w:tblStyle w:val="1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83"/>
              <w:gridCol w:w="741"/>
              <w:gridCol w:w="739"/>
              <w:gridCol w:w="2532"/>
              <w:gridCol w:w="2532"/>
              <w:gridCol w:w="1100"/>
            </w:tblGrid>
            <w:tr w14:paraId="756FD1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28F6803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序号</w:t>
                  </w:r>
                </w:p>
              </w:tc>
              <w:tc>
                <w:tcPr>
                  <w:tcW w:w="1480" w:type="dxa"/>
                  <w:gridSpan w:val="2"/>
                  <w:tcBorders>
                    <w:tl2br w:val="nil"/>
                    <w:tr2bl w:val="nil"/>
                  </w:tcBorders>
                  <w:noWrap/>
                  <w:vAlign w:val="center"/>
                </w:tcPr>
                <w:p w14:paraId="456CE52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内容</w:t>
                  </w:r>
                </w:p>
              </w:tc>
              <w:tc>
                <w:tcPr>
                  <w:tcW w:w="2532" w:type="dxa"/>
                  <w:tcBorders>
                    <w:tl2br w:val="nil"/>
                    <w:tr2bl w:val="nil"/>
                  </w:tcBorders>
                  <w:noWrap/>
                  <w:vAlign w:val="center"/>
                </w:tcPr>
                <w:p w14:paraId="07C843E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具体要求</w:t>
                  </w:r>
                </w:p>
              </w:tc>
              <w:tc>
                <w:tcPr>
                  <w:tcW w:w="2532" w:type="dxa"/>
                  <w:tcBorders>
                    <w:tl2br w:val="nil"/>
                    <w:tr2bl w:val="nil"/>
                  </w:tcBorders>
                  <w:noWrap/>
                  <w:vAlign w:val="center"/>
                </w:tcPr>
                <w:p w14:paraId="08B2443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本工程情况</w:t>
                  </w:r>
                </w:p>
              </w:tc>
              <w:tc>
                <w:tcPr>
                  <w:tcW w:w="1100" w:type="dxa"/>
                  <w:tcBorders>
                    <w:tl2br w:val="nil"/>
                    <w:tr2bl w:val="nil"/>
                  </w:tcBorders>
                  <w:noWrap/>
                  <w:vAlign w:val="center"/>
                </w:tcPr>
                <w:p w14:paraId="119834B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符合性</w:t>
                  </w:r>
                </w:p>
              </w:tc>
            </w:tr>
            <w:tr w14:paraId="4CDE94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0B19202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480" w:type="dxa"/>
                  <w:gridSpan w:val="2"/>
                  <w:vMerge w:val="restart"/>
                  <w:tcBorders>
                    <w:tl2br w:val="nil"/>
                    <w:tr2bl w:val="nil"/>
                  </w:tcBorders>
                  <w:noWrap/>
                  <w:vAlign w:val="center"/>
                </w:tcPr>
                <w:p w14:paraId="1131F55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基本规定</w:t>
                  </w:r>
                </w:p>
              </w:tc>
              <w:tc>
                <w:tcPr>
                  <w:tcW w:w="2532" w:type="dxa"/>
                  <w:tcBorders>
                    <w:tl2br w:val="nil"/>
                    <w:tr2bl w:val="nil"/>
                  </w:tcBorders>
                  <w:noWrap w:val="0"/>
                  <w:vAlign w:val="center"/>
                </w:tcPr>
                <w:p w14:paraId="77EFA9A2">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输变电建设项目环境保护应坚持保护优先、预防为主、综合治理、公众参与、损害担责的原则，对可能产生的电磁、声、生态、水、大气等不利环境影响和环境风险进行防治，在确保满足各项环境标准的基础上持续不断改善环境质量。</w:t>
                  </w:r>
                </w:p>
              </w:tc>
              <w:tc>
                <w:tcPr>
                  <w:tcW w:w="2532" w:type="dxa"/>
                  <w:tcBorders>
                    <w:tl2br w:val="nil"/>
                    <w:tr2bl w:val="nil"/>
                  </w:tcBorders>
                  <w:noWrap w:val="0"/>
                  <w:vAlign w:val="center"/>
                </w:tcPr>
                <w:p w14:paraId="231C7522">
                  <w:pPr>
                    <w:pStyle w:val="26"/>
                    <w:adjustRightInd w:val="0"/>
                    <w:snapToGrid w:val="0"/>
                    <w:jc w:val="center"/>
                    <w:rPr>
                      <w:rFonts w:hint="eastAsia"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本工程运营过程不产生废气、废水；</w:t>
                  </w:r>
                  <w:r>
                    <w:rPr>
                      <w:rFonts w:hint="eastAsia" w:ascii="Times New Roman" w:hAnsi="Times New Roman" w:cs="Times New Roman"/>
                      <w:color w:val="000000" w:themeColor="text1"/>
                      <w:szCs w:val="21"/>
                      <w:highlight w:val="none"/>
                      <w:lang w:eastAsia="zh-CN"/>
                      <w14:textFill>
                        <w14:solidFill>
                          <w14:schemeClr w14:val="tx1"/>
                        </w14:solidFill>
                      </w14:textFill>
                    </w:rPr>
                    <w:t>运营期</w:t>
                  </w:r>
                  <w:r>
                    <w:rPr>
                      <w:rFonts w:hint="default" w:ascii="Times New Roman" w:hAnsi="Times New Roman" w:eastAsia="宋体" w:cs="Times New Roman"/>
                      <w:color w:val="000000" w:themeColor="text1"/>
                      <w:szCs w:val="21"/>
                      <w:highlight w:val="none"/>
                      <w14:textFill>
                        <w14:solidFill>
                          <w14:schemeClr w14:val="tx1"/>
                        </w14:solidFill>
                      </w14:textFill>
                    </w:rPr>
                    <w:t>主要通过增加运维和检查等措施降低电磁、噪声影响，经预测电磁和噪声分别满足相应环境质量标准要求</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p>
              </w:tc>
              <w:tc>
                <w:tcPr>
                  <w:tcW w:w="1100" w:type="dxa"/>
                  <w:tcBorders>
                    <w:tl2br w:val="nil"/>
                    <w:tr2bl w:val="nil"/>
                  </w:tcBorders>
                  <w:noWrap/>
                  <w:vAlign w:val="center"/>
                </w:tcPr>
                <w:p w14:paraId="7943CD1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50D64E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1E1CDAC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480" w:type="dxa"/>
                  <w:gridSpan w:val="2"/>
                  <w:vMerge w:val="continue"/>
                  <w:tcBorders>
                    <w:tl2br w:val="nil"/>
                    <w:tr2bl w:val="nil"/>
                  </w:tcBorders>
                  <w:noWrap/>
                  <w:vAlign w:val="center"/>
                </w:tcPr>
                <w:p w14:paraId="5AE83F3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32" w:type="dxa"/>
                  <w:tcBorders>
                    <w:tl2br w:val="nil"/>
                    <w:tr2bl w:val="nil"/>
                  </w:tcBorders>
                  <w:noWrap w:val="0"/>
                  <w:vAlign w:val="center"/>
                </w:tcPr>
                <w:p w14:paraId="0E6539D8">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依法依规开展规划环境影响评价工作，加强规划环境影响评价与建设项目环境影响评价的联动。</w:t>
                  </w:r>
                </w:p>
              </w:tc>
              <w:tc>
                <w:tcPr>
                  <w:tcW w:w="2532" w:type="dxa"/>
                  <w:tcBorders>
                    <w:tl2br w:val="nil"/>
                    <w:tr2bl w:val="nil"/>
                  </w:tcBorders>
                  <w:noWrap w:val="0"/>
                  <w:vAlign w:val="center"/>
                </w:tcPr>
                <w:p w14:paraId="56FD5069">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本项目区域内无规划情况，本项目依法依规进行建设项目环境影响评价</w:t>
                  </w:r>
                </w:p>
              </w:tc>
              <w:tc>
                <w:tcPr>
                  <w:tcW w:w="1100" w:type="dxa"/>
                  <w:tcBorders>
                    <w:tl2br w:val="nil"/>
                    <w:tr2bl w:val="nil"/>
                  </w:tcBorders>
                  <w:noWrap/>
                  <w:vAlign w:val="center"/>
                </w:tcPr>
                <w:p w14:paraId="4480DBAD">
                  <w:pPr>
                    <w:pStyle w:val="26"/>
                    <w:adjustRightInd w:val="0"/>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0780F7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42D61AB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480" w:type="dxa"/>
                  <w:gridSpan w:val="2"/>
                  <w:vMerge w:val="continue"/>
                  <w:tcBorders>
                    <w:tl2br w:val="nil"/>
                    <w:tr2bl w:val="nil"/>
                  </w:tcBorders>
                  <w:noWrap/>
                  <w:vAlign w:val="center"/>
                </w:tcPr>
                <w:p w14:paraId="40C6B93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32" w:type="dxa"/>
                  <w:tcBorders>
                    <w:tl2br w:val="nil"/>
                    <w:tr2bl w:val="nil"/>
                  </w:tcBorders>
                  <w:noWrap w:val="0"/>
                  <w:vAlign w:val="center"/>
                </w:tcPr>
                <w:p w14:paraId="12157719">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输变电建设项目在开工建设前应依法依规进行建设项目环境影响评价。建设项目构成重大变动的，应当依法依规重新进行环境影响评价。</w:t>
                  </w:r>
                </w:p>
              </w:tc>
              <w:tc>
                <w:tcPr>
                  <w:tcW w:w="2532" w:type="dxa"/>
                  <w:tcBorders>
                    <w:tl2br w:val="nil"/>
                    <w:tr2bl w:val="nil"/>
                  </w:tcBorders>
                  <w:noWrap w:val="0"/>
                  <w:vAlign w:val="center"/>
                </w:tcPr>
                <w:p w14:paraId="723F7D79">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lang w:val="en-US"/>
                      <w14:textFill>
                        <w14:solidFill>
                          <w14:schemeClr w14:val="tx1"/>
                        </w14:solidFill>
                      </w14:textFill>
                    </w:rPr>
                    <w:t>本项目</w:t>
                  </w:r>
                  <w:r>
                    <w:rPr>
                      <w:rFonts w:hint="default" w:ascii="Times New Roman" w:hAnsi="Times New Roman" w:eastAsia="宋体" w:cs="Times New Roman"/>
                      <w:color w:val="000000" w:themeColor="text1"/>
                      <w:szCs w:val="24"/>
                      <w:highlight w:val="none"/>
                      <w14:textFill>
                        <w14:solidFill>
                          <w14:schemeClr w14:val="tx1"/>
                        </w14:solidFill>
                      </w14:textFill>
                    </w:rPr>
                    <w:t>按照《建设项目环境影响评价分类管理名录》的有关规定，本工程220kV送出线路工程，类别属于“五十五、核与辐射”中“161输变电工程”中“其他(100千伏以下除外)”，</w:t>
                  </w:r>
                  <w:r>
                    <w:rPr>
                      <w:rFonts w:hint="default" w:ascii="Times New Roman" w:hAnsi="Times New Roman" w:eastAsia="宋体" w:cs="Times New Roman"/>
                      <w:color w:val="000000" w:themeColor="text1"/>
                      <w:spacing w:val="8"/>
                      <w:szCs w:val="21"/>
                      <w:highlight w:val="none"/>
                      <w14:textFill>
                        <w14:solidFill>
                          <w14:schemeClr w14:val="tx1"/>
                        </w14:solidFill>
                      </w14:textFill>
                    </w:rPr>
                    <w:t>进行建设项目环境影响评价</w:t>
                  </w:r>
                  <w:r>
                    <w:rPr>
                      <w:rFonts w:hint="default" w:ascii="Times New Roman" w:hAnsi="Times New Roman" w:eastAsia="宋体" w:cs="Times New Roman"/>
                      <w:color w:val="000000" w:themeColor="text1"/>
                      <w:szCs w:val="24"/>
                      <w:highlight w:val="none"/>
                      <w14:textFill>
                        <w14:solidFill>
                          <w14:schemeClr w14:val="tx1"/>
                        </w14:solidFill>
                      </w14:textFill>
                    </w:rPr>
                    <w:t>。</w:t>
                  </w:r>
                  <w:r>
                    <w:rPr>
                      <w:rFonts w:hint="default" w:ascii="Times New Roman" w:hAnsi="Times New Roman" w:eastAsia="宋体" w:cs="Times New Roman"/>
                      <w:color w:val="000000" w:themeColor="text1"/>
                      <w:spacing w:val="8"/>
                      <w:szCs w:val="21"/>
                      <w:highlight w:val="none"/>
                      <w14:textFill>
                        <w14:solidFill>
                          <w14:schemeClr w14:val="tx1"/>
                        </w14:solidFill>
                      </w14:textFill>
                    </w:rPr>
                    <w:t>建设项目构成重大变动的，应当依法依规重新进行环境影响评价。</w:t>
                  </w:r>
                </w:p>
              </w:tc>
              <w:tc>
                <w:tcPr>
                  <w:tcW w:w="1100" w:type="dxa"/>
                  <w:tcBorders>
                    <w:tl2br w:val="nil"/>
                    <w:tr2bl w:val="nil"/>
                  </w:tcBorders>
                  <w:noWrap/>
                  <w:vAlign w:val="center"/>
                </w:tcPr>
                <w:p w14:paraId="31173678">
                  <w:pPr>
                    <w:pStyle w:val="26"/>
                    <w:adjustRightInd w:val="0"/>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7B731A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6320827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1480" w:type="dxa"/>
                  <w:gridSpan w:val="2"/>
                  <w:vMerge w:val="continue"/>
                  <w:tcBorders>
                    <w:tl2br w:val="nil"/>
                    <w:tr2bl w:val="nil"/>
                  </w:tcBorders>
                  <w:noWrap/>
                  <w:vAlign w:val="center"/>
                </w:tcPr>
                <w:p w14:paraId="386242E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32" w:type="dxa"/>
                  <w:tcBorders>
                    <w:tl2br w:val="nil"/>
                    <w:tr2bl w:val="nil"/>
                  </w:tcBorders>
                  <w:noWrap w:val="0"/>
                  <w:vAlign w:val="center"/>
                </w:tcPr>
                <w:p w14:paraId="7DB2CC39">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输变电建设项目需要配套建设的环境保护设施，必须与主体工程同时设计、同时施工、同时投产使用。建设单位应当将环境保护设施纳入施工合同，保证环境保护设施建设进度和资金，并在项目建设过程中同时组织实施环境影响评价文件及其审批部门审批决定中提出的环境保护对策措施</w:t>
                  </w:r>
                </w:p>
              </w:tc>
              <w:tc>
                <w:tcPr>
                  <w:tcW w:w="2532" w:type="dxa"/>
                  <w:tcBorders>
                    <w:tl2br w:val="nil"/>
                    <w:tr2bl w:val="nil"/>
                  </w:tcBorders>
                  <w:noWrap w:val="0"/>
                  <w:vAlign w:val="center"/>
                </w:tcPr>
                <w:p w14:paraId="7CCCDB62">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本工程环境保护措施，与主体工程同时设计、同时施工、同时投产使用</w:t>
                  </w:r>
                </w:p>
              </w:tc>
              <w:tc>
                <w:tcPr>
                  <w:tcW w:w="1100" w:type="dxa"/>
                  <w:tcBorders>
                    <w:tl2br w:val="nil"/>
                    <w:tr2bl w:val="nil"/>
                  </w:tcBorders>
                  <w:noWrap/>
                  <w:vAlign w:val="center"/>
                </w:tcPr>
                <w:p w14:paraId="0A0B7DAA">
                  <w:pPr>
                    <w:pStyle w:val="26"/>
                    <w:adjustRightInd w:val="0"/>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73C28F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442A488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1480" w:type="dxa"/>
                  <w:gridSpan w:val="2"/>
                  <w:vMerge w:val="continue"/>
                  <w:tcBorders>
                    <w:tl2br w:val="nil"/>
                    <w:tr2bl w:val="nil"/>
                  </w:tcBorders>
                  <w:noWrap/>
                  <w:vAlign w:val="center"/>
                </w:tcPr>
                <w:p w14:paraId="6A1E82D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32" w:type="dxa"/>
                  <w:tcBorders>
                    <w:tl2br w:val="nil"/>
                    <w:tr2bl w:val="nil"/>
                  </w:tcBorders>
                  <w:noWrap w:val="0"/>
                  <w:vAlign w:val="center"/>
                </w:tcPr>
                <w:p w14:paraId="786DF9A6">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输变电建设项目竣工时，建设单位应当按照规定的标准和程序，开展竣工环境保护验收工作。</w:t>
                  </w:r>
                </w:p>
              </w:tc>
              <w:tc>
                <w:tcPr>
                  <w:tcW w:w="2532" w:type="dxa"/>
                  <w:tcBorders>
                    <w:tl2br w:val="nil"/>
                    <w:tr2bl w:val="nil"/>
                  </w:tcBorders>
                  <w:noWrap w:val="0"/>
                  <w:vAlign w:val="center"/>
                </w:tcPr>
                <w:p w14:paraId="0D1118E8">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本项目竣工时，建设单位应当按照规定的标准和程序，开展竣工环境保护验收工作。</w:t>
                  </w:r>
                </w:p>
              </w:tc>
              <w:tc>
                <w:tcPr>
                  <w:tcW w:w="1100" w:type="dxa"/>
                  <w:tcBorders>
                    <w:tl2br w:val="nil"/>
                    <w:tr2bl w:val="nil"/>
                  </w:tcBorders>
                  <w:noWrap/>
                  <w:vAlign w:val="center"/>
                </w:tcPr>
                <w:p w14:paraId="014F1FB3">
                  <w:pPr>
                    <w:pStyle w:val="26"/>
                    <w:adjustRightInd w:val="0"/>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3A7956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6A0AE63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1480" w:type="dxa"/>
                  <w:gridSpan w:val="2"/>
                  <w:vMerge w:val="continue"/>
                  <w:tcBorders>
                    <w:tl2br w:val="nil"/>
                    <w:tr2bl w:val="nil"/>
                  </w:tcBorders>
                  <w:noWrap/>
                  <w:vAlign w:val="center"/>
                </w:tcPr>
                <w:p w14:paraId="13F4A75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32" w:type="dxa"/>
                  <w:tcBorders>
                    <w:tl2br w:val="nil"/>
                    <w:tr2bl w:val="nil"/>
                  </w:tcBorders>
                  <w:noWrap w:val="0"/>
                  <w:vAlign w:val="center"/>
                </w:tcPr>
                <w:p w14:paraId="7AEC4CC7">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加强建设项目及其环境保护工作的公开、透明，依法依规进行信息公开。</w:t>
                  </w:r>
                </w:p>
              </w:tc>
              <w:tc>
                <w:tcPr>
                  <w:tcW w:w="2532" w:type="dxa"/>
                  <w:tcBorders>
                    <w:tl2br w:val="nil"/>
                    <w:tr2bl w:val="nil"/>
                  </w:tcBorders>
                  <w:noWrap w:val="0"/>
                  <w:vAlign w:val="center"/>
                </w:tcPr>
                <w:p w14:paraId="5E156F9E">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建设项目依法依规进行信息公开</w:t>
                  </w:r>
                </w:p>
              </w:tc>
              <w:tc>
                <w:tcPr>
                  <w:tcW w:w="1100" w:type="dxa"/>
                  <w:tcBorders>
                    <w:tl2br w:val="nil"/>
                    <w:tr2bl w:val="nil"/>
                  </w:tcBorders>
                  <w:noWrap/>
                  <w:vAlign w:val="center"/>
                </w:tcPr>
                <w:p w14:paraId="49E07056">
                  <w:pPr>
                    <w:pStyle w:val="26"/>
                    <w:adjustRightInd w:val="0"/>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331865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4BC1538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1480" w:type="dxa"/>
                  <w:gridSpan w:val="2"/>
                  <w:vMerge w:val="restart"/>
                  <w:tcBorders>
                    <w:tl2br w:val="nil"/>
                    <w:tr2bl w:val="nil"/>
                  </w:tcBorders>
                  <w:noWrap/>
                  <w:vAlign w:val="center"/>
                </w:tcPr>
                <w:p w14:paraId="2E5EDD5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选址选线</w:t>
                  </w:r>
                </w:p>
              </w:tc>
              <w:tc>
                <w:tcPr>
                  <w:tcW w:w="2532" w:type="dxa"/>
                  <w:tcBorders>
                    <w:tl2br w:val="nil"/>
                    <w:tr2bl w:val="nil"/>
                  </w:tcBorders>
                  <w:noWrap/>
                  <w:vAlign w:val="center"/>
                </w:tcPr>
                <w:p w14:paraId="3DA60B62">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工程选址选线应符合规划环境影响评价文件的要求。</w:t>
                  </w:r>
                </w:p>
              </w:tc>
              <w:tc>
                <w:tcPr>
                  <w:tcW w:w="2532" w:type="dxa"/>
                  <w:tcBorders>
                    <w:tl2br w:val="nil"/>
                    <w:tr2bl w:val="nil"/>
                  </w:tcBorders>
                  <w:noWrap w:val="0"/>
                  <w:vAlign w:val="center"/>
                </w:tcPr>
                <w:p w14:paraId="60EB3630">
                  <w:pPr>
                    <w:pStyle w:val="26"/>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本项目选址已取得</w:t>
                  </w:r>
                  <w:r>
                    <w:rPr>
                      <w:rFonts w:hint="eastAsia" w:ascii="Times New Roman" w:hAnsi="Times New Roman" w:eastAsia="宋体" w:cs="Times New Roman"/>
                      <w:color w:val="000000" w:themeColor="text1"/>
                      <w:spacing w:val="8"/>
                      <w:szCs w:val="21"/>
                      <w:highlight w:val="none"/>
                      <w:lang w:val="en-US" w:eastAsia="zh-CN"/>
                      <w14:textFill>
                        <w14:solidFill>
                          <w14:schemeClr w14:val="tx1"/>
                        </w14:solidFill>
                      </w14:textFill>
                    </w:rPr>
                    <w:t>围场满族蒙古族自治县自然资源和规划局、围场满族蒙古族自治县河道事务中心</w:t>
                  </w:r>
                  <w:r>
                    <w:rPr>
                      <w:rFonts w:hint="default" w:ascii="Times New Roman" w:hAnsi="Times New Roman" w:eastAsia="宋体" w:cs="Times New Roman"/>
                      <w:snapToGrid w:val="0"/>
                      <w:color w:val="000000" w:themeColor="text1"/>
                      <w:szCs w:val="21"/>
                      <w:highlight w:val="none"/>
                      <w14:textFill>
                        <w14:solidFill>
                          <w14:schemeClr w14:val="tx1"/>
                        </w14:solidFill>
                      </w14:textFill>
                    </w:rPr>
                    <w:t>选址意见，</w:t>
                  </w:r>
                  <w:r>
                    <w:rPr>
                      <w:rFonts w:hint="default" w:ascii="Times New Roman" w:hAnsi="Times New Roman" w:eastAsia="宋体" w:cs="Times New Roman"/>
                      <w:snapToGrid w:val="0"/>
                      <w:color w:val="000000" w:themeColor="text1"/>
                      <w:szCs w:val="21"/>
                      <w:highlight w:val="none"/>
                      <w:lang w:val="en-US"/>
                      <w14:textFill>
                        <w14:solidFill>
                          <w14:schemeClr w14:val="tx1"/>
                        </w14:solidFill>
                      </w14:textFill>
                    </w:rPr>
                    <w:t>本项目</w:t>
                  </w:r>
                  <w:r>
                    <w:rPr>
                      <w:rFonts w:hint="default" w:ascii="Times New Roman" w:hAnsi="Times New Roman" w:eastAsia="宋体" w:cs="Times New Roman"/>
                      <w:color w:val="000000" w:themeColor="text1"/>
                      <w:spacing w:val="8"/>
                      <w:szCs w:val="21"/>
                      <w:highlight w:val="none"/>
                      <w14:textFill>
                        <w14:solidFill>
                          <w14:schemeClr w14:val="tx1"/>
                        </w14:solidFill>
                      </w14:textFill>
                    </w:rPr>
                    <w:t>选址符合《建设项目环境影响评价分类管理名录》要求。</w:t>
                  </w:r>
                </w:p>
              </w:tc>
              <w:tc>
                <w:tcPr>
                  <w:tcW w:w="1100" w:type="dxa"/>
                  <w:tcBorders>
                    <w:tl2br w:val="nil"/>
                    <w:tr2bl w:val="nil"/>
                  </w:tcBorders>
                  <w:noWrap/>
                  <w:vAlign w:val="center"/>
                </w:tcPr>
                <w:p w14:paraId="46D3B52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37A760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51CECA8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8</w:t>
                  </w:r>
                </w:p>
              </w:tc>
              <w:tc>
                <w:tcPr>
                  <w:tcW w:w="1480" w:type="dxa"/>
                  <w:gridSpan w:val="2"/>
                  <w:vMerge w:val="continue"/>
                  <w:tcBorders>
                    <w:tl2br w:val="nil"/>
                    <w:tr2bl w:val="nil"/>
                  </w:tcBorders>
                  <w:noWrap/>
                  <w:vAlign w:val="center"/>
                </w:tcPr>
                <w:p w14:paraId="1ABB791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32" w:type="dxa"/>
                  <w:tcBorders>
                    <w:tl2br w:val="nil"/>
                    <w:tr2bl w:val="nil"/>
                  </w:tcBorders>
                  <w:noWrap/>
                  <w:vAlign w:val="center"/>
                </w:tcPr>
                <w:p w14:paraId="0F64BA0F">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输变电建设项目选址选线应符合生态保护红线管控要求，避让自然保护区、饮用水水源保护区等环境敏感区。确实因自然条件等因素限制无法避让自然保护区实验区、饮用水水源二级保护区 等环境敏感区的输电线路，应在满足相关法律法规及管理要求的前提下对线路方案进行唯一性论证，并采取无害化方式通过。</w:t>
                  </w:r>
                </w:p>
              </w:tc>
              <w:tc>
                <w:tcPr>
                  <w:tcW w:w="2532" w:type="dxa"/>
                  <w:tcBorders>
                    <w:tl2br w:val="nil"/>
                    <w:tr2bl w:val="nil"/>
                  </w:tcBorders>
                  <w:noWrap w:val="0"/>
                  <w:vAlign w:val="center"/>
                </w:tcPr>
                <w:p w14:paraId="34C66B75">
                  <w:pPr>
                    <w:ind w:firstLine="420" w:firstLineChars="200"/>
                    <w:rPr>
                      <w:rFonts w:hint="default" w:ascii="Times New Roman" w:hAnsi="Times New Roman" w:eastAsia="宋体" w:cs="Times New Roman"/>
                      <w:highlight w:val="none"/>
                      <w:lang w:val="en-US" w:eastAsia="zh-CN"/>
                    </w:rPr>
                  </w:pPr>
                  <w:r>
                    <w:rPr>
                      <w:rFonts w:hint="eastAsia"/>
                    </w:rPr>
                    <w:t>本项目位于河北省承德市围场满族蒙古族自治县城子镇、牌楼乡、燕格柏乡和半截塔镇。根据围场满族蒙古族自治县自然资源和规划局于2024年4月7日出具的《关于围场满族蒙古族自治县阳洁光伏发电有限责任公司华能围场“风光储氢热一体化”项目（风电200MW）项目220KV送出线路工程塔基用地的情况说明》（STHXHS20240052号），本项目线路塔基范围不占永久基本农田，但部分线路塔基范围占生态保护红线（0.12公顷），占生态保护红线塔基分别为（21、23、26）；根据围场满族蒙古族自治县自然资源和规划局于2024年4月7日出具的《华能围场“风光储氢热一体化”项目（风电200MW）项目220KV送出线路工程不可避让生态保护红线报告》的审查意见，本项目建设占用生态保护红线不可避免，《报告》提出的项目用地占用和穿越生态保护红线的保护措施以及相关施工措施可行，同意通过论证；根据围场满族蒙古族自治县自然资源和规划局于2024年9月25日出具的《关于华能围场“风光储氢一体化”项目（风电200MW）项目220kV送出线路工程路径的说明》，该项目配套220kV送出线路工程路径经过围场县城子镇、牌楼乡、燕格柏乡、半截塔镇部分线路涉及穿越生态保护红线，按照《河北省自然资源厅河北省生态环境厅 河北省林业和草原局 关于加强生态保护红线管理的通知》(冀自然资发〔2024〕4号)编制了不可避让论证报告并通过专家论证，原则同意该线路预选址，后续按程序办理相关手续</w:t>
                  </w:r>
                  <w:r>
                    <w:rPr>
                      <w:rFonts w:hint="eastAsia"/>
                      <w:lang w:eastAsia="zh-CN"/>
                    </w:rPr>
                    <w:t>；</w:t>
                  </w:r>
                  <w:r>
                    <w:rPr>
                      <w:rFonts w:hint="eastAsia"/>
                    </w:rPr>
                    <w:t>根据围场满族蒙古族自治县河道事务中心于2024年3月27日出具的《关于华能围场“风光储氢热一体化”项目（风电200MW）项目220KV送出线路工程路径征求意见的复函》，本项目输电铁塔不在已划界河道管理范围内；依据附图可知，本项目不在饮用水源保护区内，不在自然保护区范围内。</w:t>
                  </w:r>
                </w:p>
              </w:tc>
              <w:tc>
                <w:tcPr>
                  <w:tcW w:w="1100" w:type="dxa"/>
                  <w:tcBorders>
                    <w:tl2br w:val="nil"/>
                    <w:tr2bl w:val="nil"/>
                  </w:tcBorders>
                  <w:noWrap/>
                  <w:vAlign w:val="center"/>
                </w:tcPr>
                <w:p w14:paraId="7F84BD0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0CA93E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70D528E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9</w:t>
                  </w:r>
                </w:p>
              </w:tc>
              <w:tc>
                <w:tcPr>
                  <w:tcW w:w="1480" w:type="dxa"/>
                  <w:gridSpan w:val="2"/>
                  <w:vMerge w:val="continue"/>
                  <w:tcBorders>
                    <w:tl2br w:val="nil"/>
                    <w:tr2bl w:val="nil"/>
                  </w:tcBorders>
                  <w:noWrap/>
                  <w:vAlign w:val="center"/>
                </w:tcPr>
                <w:p w14:paraId="035A5952">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32" w:type="dxa"/>
                  <w:tcBorders>
                    <w:tl2br w:val="nil"/>
                    <w:tr2bl w:val="nil"/>
                  </w:tcBorders>
                  <w:noWrap w:val="0"/>
                  <w:vAlign w:val="center"/>
                </w:tcPr>
                <w:p w14:paraId="4911DA23">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变电工程在选址时应按终期规模综合考虑进出线走廊规划，避免进出线进入自然保护区、饮用水水源保护区等敏感区。</w:t>
                  </w:r>
                </w:p>
              </w:tc>
              <w:tc>
                <w:tcPr>
                  <w:tcW w:w="2532" w:type="dxa"/>
                  <w:tcBorders>
                    <w:tl2br w:val="nil"/>
                    <w:tr2bl w:val="nil"/>
                  </w:tcBorders>
                  <w:noWrap w:val="0"/>
                  <w:vAlign w:val="center"/>
                </w:tcPr>
                <w:p w14:paraId="5E88F751">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本工程</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220kV送出线路</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选址时已按照终期出线规模进行规划出线走廊，不涉及自然保护区，饮用水源保护区等敏感区域。</w:t>
                  </w:r>
                </w:p>
              </w:tc>
              <w:tc>
                <w:tcPr>
                  <w:tcW w:w="1100" w:type="dxa"/>
                  <w:tcBorders>
                    <w:tl2br w:val="nil"/>
                    <w:tr2bl w:val="nil"/>
                  </w:tcBorders>
                  <w:noWrap/>
                  <w:vAlign w:val="center"/>
                </w:tcPr>
                <w:p w14:paraId="328AC55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2C881B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0267C67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10</w:t>
                  </w:r>
                </w:p>
              </w:tc>
              <w:tc>
                <w:tcPr>
                  <w:tcW w:w="1480" w:type="dxa"/>
                  <w:gridSpan w:val="2"/>
                  <w:vMerge w:val="continue"/>
                  <w:tcBorders>
                    <w:tl2br w:val="nil"/>
                    <w:tr2bl w:val="nil"/>
                  </w:tcBorders>
                  <w:noWrap/>
                  <w:vAlign w:val="center"/>
                </w:tcPr>
                <w:p w14:paraId="6BFDE689">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32" w:type="dxa"/>
                  <w:tcBorders>
                    <w:tl2br w:val="nil"/>
                    <w:tr2bl w:val="nil"/>
                  </w:tcBorders>
                  <w:noWrap w:val="0"/>
                  <w:vAlign w:val="center"/>
                </w:tcPr>
                <w:p w14:paraId="7EDB122B">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户外变电工程及规划架空进出线选线时，应关注以居住、医疗卫生</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、文化教育、科研、行政办公等为主要址选线时，应关注以居住、医疗卫生功能的区域，采取综合措施，减少电磁和声环境影响。</w:t>
                  </w:r>
                </w:p>
              </w:tc>
              <w:tc>
                <w:tcPr>
                  <w:tcW w:w="2532" w:type="dxa"/>
                  <w:tcBorders>
                    <w:tl2br w:val="nil"/>
                    <w:tr2bl w:val="nil"/>
                  </w:tcBorders>
                  <w:noWrap w:val="0"/>
                  <w:vAlign w:val="center"/>
                </w:tcPr>
                <w:p w14:paraId="753080D0">
                  <w:pPr>
                    <w:keepNext w:val="0"/>
                    <w:keepLines w:val="0"/>
                    <w:pageBreakBefore w:val="0"/>
                    <w:widowControl/>
                    <w:suppressLineNumbers w:val="0"/>
                    <w:kinsoku/>
                    <w:wordWrap/>
                    <w:overflowPunct/>
                    <w:topLinePunct w:val="0"/>
                    <w:autoSpaceDE/>
                    <w:autoSpaceDN/>
                    <w:bidi w:val="0"/>
                    <w:adjustRightInd/>
                    <w:snapToGrid/>
                    <w:spacing w:line="300" w:lineRule="exact"/>
                    <w:ind w:firstLine="388" w:firstLineChars="200"/>
                    <w:jc w:val="both"/>
                    <w:textAlignment w:val="center"/>
                    <w:outlineLvl w:val="9"/>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spacing w:val="-8"/>
                    </w:rPr>
                    <w:t>项目为输变电工程，新建</w:t>
                  </w:r>
                  <w:r>
                    <w:rPr>
                      <w:spacing w:val="-18"/>
                    </w:rPr>
                    <w:t xml:space="preserve"> </w:t>
                  </w:r>
                  <w:r>
                    <w:rPr>
                      <w:rFonts w:hint="eastAsia" w:cs="Times New Roman"/>
                      <w:spacing w:val="-8"/>
                      <w:lang w:val="en-US" w:eastAsia="zh-CN"/>
                    </w:rPr>
                    <w:t>29.9</w:t>
                  </w:r>
                  <w:r>
                    <w:rPr>
                      <w:rFonts w:ascii="Times New Roman" w:hAnsi="Times New Roman" w:eastAsia="Times New Roman" w:cs="Times New Roman"/>
                      <w:spacing w:val="-8"/>
                    </w:rPr>
                    <w:t>km</w:t>
                  </w:r>
                  <w:r>
                    <w:rPr>
                      <w:rFonts w:ascii="Times New Roman" w:hAnsi="Times New Roman" w:eastAsia="Times New Roman" w:cs="Times New Roman"/>
                    </w:rPr>
                    <w:t xml:space="preserve"> </w:t>
                  </w:r>
                  <w:r>
                    <w:rPr>
                      <w:spacing w:val="1"/>
                    </w:rPr>
                    <w:t>的架空输电线路。</w:t>
                  </w:r>
                  <w:r>
                    <w:rPr>
                      <w:rFonts w:hint="eastAsia" w:cs="Times New Roman"/>
                      <w:color w:val="auto"/>
                      <w:spacing w:val="8"/>
                      <w:sz w:val="21"/>
                      <w:szCs w:val="21"/>
                      <w:highlight w:val="none"/>
                      <w:lang w:val="en-US" w:eastAsia="zh-CN"/>
                    </w:rPr>
                    <w:t>本工程</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220kV送出线路</w:t>
                  </w:r>
                  <w:r>
                    <w:rPr>
                      <w:rFonts w:hint="eastAsia" w:cs="Times New Roman"/>
                      <w:color w:val="auto"/>
                      <w:spacing w:val="8"/>
                      <w:sz w:val="21"/>
                      <w:szCs w:val="21"/>
                      <w:highlight w:val="none"/>
                      <w:lang w:val="en-US" w:eastAsia="zh-CN"/>
                    </w:rPr>
                    <w:t>分别有4个电磁敏感目标和4个噪声敏感目标，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采取综合措施，减少电磁和声环境影响。</w:t>
                  </w:r>
                </w:p>
              </w:tc>
              <w:tc>
                <w:tcPr>
                  <w:tcW w:w="1100" w:type="dxa"/>
                  <w:tcBorders>
                    <w:tl2br w:val="nil"/>
                    <w:tr2bl w:val="nil"/>
                  </w:tcBorders>
                  <w:noWrap/>
                  <w:vAlign w:val="center"/>
                </w:tcPr>
                <w:p w14:paraId="7B740D5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16C60A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2AB74E9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11</w:t>
                  </w:r>
                </w:p>
              </w:tc>
              <w:tc>
                <w:tcPr>
                  <w:tcW w:w="1480" w:type="dxa"/>
                  <w:gridSpan w:val="2"/>
                  <w:vMerge w:val="continue"/>
                  <w:tcBorders>
                    <w:tl2br w:val="nil"/>
                    <w:tr2bl w:val="nil"/>
                  </w:tcBorders>
                  <w:noWrap/>
                  <w:vAlign w:val="center"/>
                </w:tcPr>
                <w:p w14:paraId="7D48EC49">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32" w:type="dxa"/>
                  <w:tcBorders>
                    <w:tl2br w:val="nil"/>
                    <w:tr2bl w:val="nil"/>
                  </w:tcBorders>
                  <w:noWrap w:val="0"/>
                  <w:vAlign w:val="center"/>
                </w:tcPr>
                <w:p w14:paraId="7B67F54F">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原则上避免在0类声环境功能区建设变电</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工程。</w:t>
                  </w:r>
                </w:p>
              </w:tc>
              <w:tc>
                <w:tcPr>
                  <w:tcW w:w="2532" w:type="dxa"/>
                  <w:tcBorders>
                    <w:tl2br w:val="nil"/>
                    <w:tr2bl w:val="nil"/>
                  </w:tcBorders>
                  <w:noWrap w:val="0"/>
                  <w:vAlign w:val="center"/>
                </w:tcPr>
                <w:p w14:paraId="52223D92">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本项目位于</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类</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、2类和4a类</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声环境功能区。</w:t>
                  </w:r>
                </w:p>
              </w:tc>
              <w:tc>
                <w:tcPr>
                  <w:tcW w:w="1100" w:type="dxa"/>
                  <w:tcBorders>
                    <w:tl2br w:val="nil"/>
                    <w:tr2bl w:val="nil"/>
                  </w:tcBorders>
                  <w:noWrap/>
                  <w:vAlign w:val="center"/>
                </w:tcPr>
                <w:p w14:paraId="405C337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00168B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567A366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12</w:t>
                  </w:r>
                </w:p>
              </w:tc>
              <w:tc>
                <w:tcPr>
                  <w:tcW w:w="1480" w:type="dxa"/>
                  <w:gridSpan w:val="2"/>
                  <w:vMerge w:val="continue"/>
                  <w:tcBorders>
                    <w:tl2br w:val="nil"/>
                    <w:tr2bl w:val="nil"/>
                  </w:tcBorders>
                  <w:noWrap/>
                  <w:vAlign w:val="center"/>
                </w:tcPr>
                <w:p w14:paraId="67864B3A">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32" w:type="dxa"/>
                  <w:tcBorders>
                    <w:tl2br w:val="nil"/>
                    <w:tr2bl w:val="nil"/>
                  </w:tcBorders>
                  <w:noWrap w:val="0"/>
                  <w:vAlign w:val="center"/>
                </w:tcPr>
                <w:p w14:paraId="618B1814">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变电工程选址时，应综合考虑减少土地占用、植被砍伐和弃土弃渣等，以减少对生态环境的不利影响。</w:t>
                  </w:r>
                </w:p>
              </w:tc>
              <w:tc>
                <w:tcPr>
                  <w:tcW w:w="2532" w:type="dxa"/>
                  <w:tcBorders>
                    <w:tl2br w:val="nil"/>
                    <w:tr2bl w:val="nil"/>
                  </w:tcBorders>
                  <w:noWrap w:val="0"/>
                  <w:vAlign w:val="center"/>
                </w:tcPr>
                <w:p w14:paraId="72E82811">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auto"/>
                      <w:spacing w:val="8"/>
                      <w:sz w:val="21"/>
                      <w:szCs w:val="21"/>
                      <w:highlight w:val="none"/>
                      <w:lang w:val="en-US" w:eastAsia="zh-CN"/>
                    </w:rPr>
                    <w:t>项目选址符合国土空间规划，用地为农用地</w:t>
                  </w:r>
                  <w:r>
                    <w:rPr>
                      <w:rFonts w:hint="eastAsia" w:ascii="Times New Roman" w:hAnsi="Times New Roman" w:eastAsia="宋体" w:cs="Times New Roman"/>
                      <w:color w:val="auto"/>
                      <w:spacing w:val="8"/>
                      <w:sz w:val="21"/>
                      <w:szCs w:val="21"/>
                      <w:highlight w:val="none"/>
                      <w:lang w:val="en-US" w:eastAsia="zh-CN"/>
                    </w:rPr>
                    <w:t>，</w:t>
                  </w:r>
                  <w:r>
                    <w:rPr>
                      <w:rFonts w:hint="default" w:ascii="Times New Roman" w:hAnsi="Times New Roman" w:eastAsia="宋体" w:cs="Times New Roman"/>
                      <w:color w:val="auto"/>
                      <w:spacing w:val="8"/>
                      <w:sz w:val="21"/>
                      <w:szCs w:val="21"/>
                      <w:highlight w:val="none"/>
                      <w:lang w:val="en-US" w:eastAsia="zh-CN"/>
                    </w:rPr>
                    <w:t>占地较小，对生态环境影响较小。</w:t>
                  </w:r>
                </w:p>
              </w:tc>
              <w:tc>
                <w:tcPr>
                  <w:tcW w:w="1100" w:type="dxa"/>
                  <w:tcBorders>
                    <w:tl2br w:val="nil"/>
                    <w:tr2bl w:val="nil"/>
                  </w:tcBorders>
                  <w:noWrap/>
                  <w:vAlign w:val="center"/>
                </w:tcPr>
                <w:p w14:paraId="11678BE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35ABD0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36D0A43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13</w:t>
                  </w:r>
                </w:p>
              </w:tc>
              <w:tc>
                <w:tcPr>
                  <w:tcW w:w="1480" w:type="dxa"/>
                  <w:gridSpan w:val="2"/>
                  <w:vMerge w:val="continue"/>
                  <w:tcBorders>
                    <w:tl2br w:val="nil"/>
                    <w:tr2bl w:val="nil"/>
                  </w:tcBorders>
                  <w:noWrap/>
                  <w:vAlign w:val="center"/>
                </w:tcPr>
                <w:p w14:paraId="6CE8BDEB">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32" w:type="dxa"/>
                  <w:tcBorders>
                    <w:tl2br w:val="nil"/>
                    <w:tr2bl w:val="nil"/>
                  </w:tcBorders>
                  <w:noWrap w:val="0"/>
                  <w:vAlign w:val="center"/>
                </w:tcPr>
                <w:p w14:paraId="3ADFCF84">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输电线路宜避让集中林区，以减少林木砍伐，保护生态环境。</w:t>
                  </w:r>
                </w:p>
              </w:tc>
              <w:tc>
                <w:tcPr>
                  <w:tcW w:w="2532" w:type="dxa"/>
                  <w:tcBorders>
                    <w:tl2br w:val="nil"/>
                    <w:tr2bl w:val="nil"/>
                  </w:tcBorders>
                  <w:noWrap w:val="0"/>
                  <w:vAlign w:val="center"/>
                </w:tcPr>
                <w:p w14:paraId="050D99E6">
                  <w:pPr>
                    <w:pStyle w:val="26"/>
                    <w:adjustRightInd w:val="0"/>
                    <w:snapToGrid w:val="0"/>
                    <w:jc w:val="both"/>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eastAsia" w:ascii="瀹嬩綋" w:hAnsi="瀹嬩綋" w:eastAsia="瀹嬩綋" w:cs="瀹嬩綋"/>
                      <w:color w:val="000000"/>
                      <w:kern w:val="0"/>
                      <w:sz w:val="21"/>
                      <w:szCs w:val="21"/>
                      <w:lang w:val="en-US" w:eastAsia="zh-CN" w:bidi="ar"/>
                    </w:rPr>
                    <w:t>本项目采用避让高大树木、高空架设等方式减少对林木的砍伐</w:t>
                  </w:r>
                </w:p>
              </w:tc>
              <w:tc>
                <w:tcPr>
                  <w:tcW w:w="1100" w:type="dxa"/>
                  <w:tcBorders>
                    <w:tl2br w:val="nil"/>
                    <w:tr2bl w:val="nil"/>
                  </w:tcBorders>
                  <w:noWrap/>
                  <w:vAlign w:val="center"/>
                </w:tcPr>
                <w:p w14:paraId="595A115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3437A5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6F78AD4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14</w:t>
                  </w:r>
                </w:p>
              </w:tc>
              <w:tc>
                <w:tcPr>
                  <w:tcW w:w="741" w:type="dxa"/>
                  <w:vMerge w:val="restart"/>
                  <w:tcBorders>
                    <w:tl2br w:val="nil"/>
                    <w:tr2bl w:val="nil"/>
                  </w:tcBorders>
                  <w:noWrap w:val="0"/>
                  <w:vAlign w:val="center"/>
                </w:tcPr>
                <w:p w14:paraId="40ABB82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设计</w:t>
                  </w:r>
                </w:p>
              </w:tc>
              <w:tc>
                <w:tcPr>
                  <w:tcW w:w="739" w:type="dxa"/>
                  <w:vMerge w:val="restart"/>
                  <w:tcBorders>
                    <w:tl2br w:val="nil"/>
                    <w:tr2bl w:val="nil"/>
                  </w:tcBorders>
                  <w:noWrap w:val="0"/>
                  <w:vAlign w:val="center"/>
                </w:tcPr>
                <w:p w14:paraId="78BC80F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总体要求</w:t>
                  </w:r>
                </w:p>
              </w:tc>
              <w:tc>
                <w:tcPr>
                  <w:tcW w:w="2532" w:type="dxa"/>
                  <w:tcBorders>
                    <w:tl2br w:val="nil"/>
                    <w:tr2bl w:val="nil"/>
                  </w:tcBorders>
                  <w:noWrap w:val="0"/>
                  <w:vAlign w:val="center"/>
                </w:tcPr>
                <w:p w14:paraId="1F1B4288">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输变电建设项目的初步设计、施工图设计文件中应包含相关的环境保护内容，编制环境保护篇章、开展环境保护专项设计，落实防治环境污染和生态破坏的措施、设施及相应资金。</w:t>
                  </w:r>
                </w:p>
              </w:tc>
              <w:tc>
                <w:tcPr>
                  <w:tcW w:w="2532" w:type="dxa"/>
                  <w:tcBorders>
                    <w:tl2br w:val="nil"/>
                    <w:tr2bl w:val="nil"/>
                  </w:tcBorders>
                  <w:noWrap w:val="0"/>
                  <w:vAlign w:val="center"/>
                </w:tcPr>
                <w:p w14:paraId="5D431301">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本项目在可行性研究报告和初设、施设报告中设置有环境保护专章，在初设阶段和施设中开展了环境保护专项设计和相应资金。</w:t>
                  </w:r>
                </w:p>
              </w:tc>
              <w:tc>
                <w:tcPr>
                  <w:tcW w:w="1100" w:type="dxa"/>
                  <w:tcBorders>
                    <w:tl2br w:val="nil"/>
                    <w:tr2bl w:val="nil"/>
                  </w:tcBorders>
                  <w:noWrap/>
                  <w:vAlign w:val="center"/>
                </w:tcPr>
                <w:p w14:paraId="6FB90E0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0B9929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4EB03DE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15</w:t>
                  </w:r>
                </w:p>
              </w:tc>
              <w:tc>
                <w:tcPr>
                  <w:tcW w:w="741" w:type="dxa"/>
                  <w:vMerge w:val="continue"/>
                  <w:tcBorders>
                    <w:tl2br w:val="nil"/>
                    <w:tr2bl w:val="nil"/>
                  </w:tcBorders>
                  <w:noWrap w:val="0"/>
                  <w:vAlign w:val="center"/>
                </w:tcPr>
                <w:p w14:paraId="7E5762A6">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39" w:type="dxa"/>
                  <w:vMerge w:val="continue"/>
                  <w:tcBorders>
                    <w:tl2br w:val="nil"/>
                    <w:tr2bl w:val="nil"/>
                  </w:tcBorders>
                  <w:noWrap w:val="0"/>
                  <w:vAlign w:val="center"/>
                </w:tcPr>
                <w:p w14:paraId="1743424B">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32" w:type="dxa"/>
                  <w:tcBorders>
                    <w:tl2br w:val="nil"/>
                    <w:tr2bl w:val="nil"/>
                  </w:tcBorders>
                  <w:noWrap w:val="0"/>
                  <w:vAlign w:val="center"/>
                </w:tcPr>
                <w:p w14:paraId="59E01C39">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改建、扩建输变电建设项目应采取措施，治理与该项目有关的原有环境污染和生态破坏。</w:t>
                  </w:r>
                </w:p>
              </w:tc>
              <w:tc>
                <w:tcPr>
                  <w:tcW w:w="2532" w:type="dxa"/>
                  <w:tcBorders>
                    <w:tl2br w:val="nil"/>
                    <w:tr2bl w:val="nil"/>
                  </w:tcBorders>
                  <w:noWrap w:val="0"/>
                  <w:vAlign w:val="center"/>
                </w:tcPr>
                <w:p w14:paraId="7674A91B">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本工程为新建项目，不涉及与该项目有关的原有污染和生态破坏</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0" w:type="dxa"/>
                  <w:tcBorders>
                    <w:tl2br w:val="nil"/>
                    <w:tr2bl w:val="nil"/>
                  </w:tcBorders>
                  <w:noWrap/>
                  <w:vAlign w:val="center"/>
                </w:tcPr>
                <w:p w14:paraId="3A824B8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30FA47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651F6F8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16</w:t>
                  </w:r>
                </w:p>
              </w:tc>
              <w:tc>
                <w:tcPr>
                  <w:tcW w:w="741" w:type="dxa"/>
                  <w:vMerge w:val="continue"/>
                  <w:tcBorders>
                    <w:tl2br w:val="nil"/>
                    <w:tr2bl w:val="nil"/>
                  </w:tcBorders>
                  <w:noWrap w:val="0"/>
                  <w:vAlign w:val="center"/>
                </w:tcPr>
                <w:p w14:paraId="17E8C643">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39" w:type="dxa"/>
                  <w:vMerge w:val="continue"/>
                  <w:tcBorders>
                    <w:tl2br w:val="nil"/>
                    <w:tr2bl w:val="nil"/>
                  </w:tcBorders>
                  <w:noWrap w:val="0"/>
                  <w:vAlign w:val="center"/>
                </w:tcPr>
                <w:p w14:paraId="4B69AA87">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32" w:type="dxa"/>
                  <w:tcBorders>
                    <w:tl2br w:val="nil"/>
                    <w:tr2bl w:val="nil"/>
                  </w:tcBorders>
                  <w:noWrap w:val="0"/>
                  <w:vAlign w:val="center"/>
                </w:tcPr>
                <w:p w14:paraId="7030CA88">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变电工程应设置足够容量的事故油池及其配套的拦截、防雨、防渗等措施和设施。一旦发生泄漏，应能及时进行拦截和处理，确保油及油水混合物全部收集、不外排。</w:t>
                  </w:r>
                </w:p>
              </w:tc>
              <w:tc>
                <w:tcPr>
                  <w:tcW w:w="2532" w:type="dxa"/>
                  <w:tcBorders>
                    <w:tl2br w:val="nil"/>
                    <w:tr2bl w:val="nil"/>
                  </w:tcBorders>
                  <w:noWrap w:val="0"/>
                  <w:vAlign w:val="center"/>
                </w:tcPr>
                <w:p w14:paraId="7BF0A136">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spacing w:val="-8"/>
                    </w:rPr>
                    <w:t>项目为输变电工程，新建</w:t>
                  </w:r>
                  <w:r>
                    <w:rPr>
                      <w:spacing w:val="-18"/>
                    </w:rPr>
                    <w:t xml:space="preserve"> </w:t>
                  </w:r>
                  <w:r>
                    <w:rPr>
                      <w:rFonts w:hint="eastAsia" w:cs="Times New Roman"/>
                      <w:spacing w:val="-8"/>
                      <w:lang w:val="en-US" w:eastAsia="zh-CN"/>
                    </w:rPr>
                    <w:t>29.9</w:t>
                  </w:r>
                  <w:r>
                    <w:rPr>
                      <w:rFonts w:ascii="Times New Roman" w:hAnsi="Times New Roman" w:eastAsia="Times New Roman" w:cs="Times New Roman"/>
                      <w:spacing w:val="-8"/>
                    </w:rPr>
                    <w:t>km</w:t>
                  </w:r>
                  <w:r>
                    <w:rPr>
                      <w:rFonts w:ascii="Times New Roman" w:hAnsi="Times New Roman" w:eastAsia="Times New Roman" w:cs="Times New Roman"/>
                    </w:rPr>
                    <w:t xml:space="preserve"> </w:t>
                  </w:r>
                  <w:r>
                    <w:rPr>
                      <w:spacing w:val="1"/>
                    </w:rPr>
                    <w:t>的架空输电线路</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，不涉及固体废物排放。</w:t>
                  </w:r>
                </w:p>
              </w:tc>
              <w:tc>
                <w:tcPr>
                  <w:tcW w:w="1100" w:type="dxa"/>
                  <w:tcBorders>
                    <w:tl2br w:val="nil"/>
                    <w:tr2bl w:val="nil"/>
                  </w:tcBorders>
                  <w:noWrap/>
                  <w:vAlign w:val="center"/>
                </w:tcPr>
                <w:p w14:paraId="7A93A0C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5989A1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22F9F68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17</w:t>
                  </w:r>
                </w:p>
              </w:tc>
              <w:tc>
                <w:tcPr>
                  <w:tcW w:w="741" w:type="dxa"/>
                  <w:vMerge w:val="continue"/>
                  <w:tcBorders>
                    <w:tl2br w:val="nil"/>
                    <w:tr2bl w:val="nil"/>
                  </w:tcBorders>
                  <w:noWrap/>
                  <w:vAlign w:val="center"/>
                </w:tcPr>
                <w:p w14:paraId="4FF37E8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39" w:type="dxa"/>
                  <w:vMerge w:val="restart"/>
                  <w:tcBorders>
                    <w:tl2br w:val="nil"/>
                    <w:tr2bl w:val="nil"/>
                  </w:tcBorders>
                  <w:noWrap/>
                  <w:vAlign w:val="center"/>
                </w:tcPr>
                <w:p w14:paraId="1764CB2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电磁环境</w:t>
                  </w:r>
                </w:p>
              </w:tc>
              <w:tc>
                <w:tcPr>
                  <w:tcW w:w="2532" w:type="dxa"/>
                  <w:tcBorders>
                    <w:tl2br w:val="nil"/>
                    <w:tr2bl w:val="nil"/>
                  </w:tcBorders>
                  <w:noWrap w:val="0"/>
                  <w:vAlign w:val="center"/>
                </w:tcPr>
                <w:p w14:paraId="1F9CC06E">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工程设计应对产生的工频电场、工频磁场等电磁环境影响因子进行验算，采取相应保护措施，确保电磁环境影响满足国家标准要求。</w:t>
                  </w:r>
                </w:p>
              </w:tc>
              <w:tc>
                <w:tcPr>
                  <w:tcW w:w="2532" w:type="dxa"/>
                  <w:tcBorders>
                    <w:tl2br w:val="nil"/>
                    <w:tr2bl w:val="nil"/>
                  </w:tcBorders>
                  <w:noWrap w:val="0"/>
                  <w:vAlign w:val="center"/>
                </w:tcPr>
                <w:p w14:paraId="1BBA98A1">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通过类比分析，项目建成后产生电磁环境影响满足国家标准要求。</w:t>
                  </w:r>
                </w:p>
              </w:tc>
              <w:tc>
                <w:tcPr>
                  <w:tcW w:w="1100" w:type="dxa"/>
                  <w:tcBorders>
                    <w:tl2br w:val="nil"/>
                    <w:tr2bl w:val="nil"/>
                  </w:tcBorders>
                  <w:noWrap/>
                  <w:vAlign w:val="center"/>
                </w:tcPr>
                <w:p w14:paraId="00B732D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0B7985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7825E18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18</w:t>
                  </w:r>
                </w:p>
              </w:tc>
              <w:tc>
                <w:tcPr>
                  <w:tcW w:w="741" w:type="dxa"/>
                  <w:vMerge w:val="continue"/>
                  <w:tcBorders>
                    <w:tl2br w:val="nil"/>
                    <w:tr2bl w:val="nil"/>
                  </w:tcBorders>
                  <w:noWrap/>
                  <w:vAlign w:val="center"/>
                </w:tcPr>
                <w:p w14:paraId="06ACFA70">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39" w:type="dxa"/>
                  <w:vMerge w:val="continue"/>
                  <w:tcBorders>
                    <w:tl2br w:val="nil"/>
                    <w:tr2bl w:val="nil"/>
                  </w:tcBorders>
                  <w:noWrap/>
                  <w:vAlign w:val="center"/>
                </w:tcPr>
                <w:p w14:paraId="781A7A8B">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32" w:type="dxa"/>
                  <w:tcBorders>
                    <w:tl2br w:val="nil"/>
                    <w:tr2bl w:val="nil"/>
                  </w:tcBorders>
                  <w:noWrap w:val="0"/>
                  <w:vAlign w:val="center"/>
                </w:tcPr>
                <w:p w14:paraId="15494319">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变电工程的布置设计应考虑进出线对周围电磁环境的影响。</w:t>
                  </w:r>
                </w:p>
              </w:tc>
              <w:tc>
                <w:tcPr>
                  <w:tcW w:w="2532" w:type="dxa"/>
                  <w:tcBorders>
                    <w:tl2br w:val="nil"/>
                    <w:tr2bl w:val="nil"/>
                  </w:tcBorders>
                  <w:noWrap w:val="0"/>
                  <w:vAlign w:val="center"/>
                </w:tcPr>
                <w:p w14:paraId="1C92B0C2">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本项目</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在设计过程中已根据周围环境及进出线情况进行了合理布置。</w:t>
                  </w:r>
                </w:p>
              </w:tc>
              <w:tc>
                <w:tcPr>
                  <w:tcW w:w="1100" w:type="dxa"/>
                  <w:tcBorders>
                    <w:tl2br w:val="nil"/>
                    <w:tr2bl w:val="nil"/>
                  </w:tcBorders>
                  <w:noWrap/>
                  <w:vAlign w:val="center"/>
                </w:tcPr>
                <w:p w14:paraId="6242310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35C86D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4474663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19</w:t>
                  </w:r>
                </w:p>
              </w:tc>
              <w:tc>
                <w:tcPr>
                  <w:tcW w:w="741" w:type="dxa"/>
                  <w:vMerge w:val="continue"/>
                  <w:tcBorders>
                    <w:tl2br w:val="nil"/>
                    <w:tr2bl w:val="nil"/>
                  </w:tcBorders>
                  <w:noWrap/>
                  <w:vAlign w:val="center"/>
                </w:tcPr>
                <w:p w14:paraId="5913F0F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39" w:type="dxa"/>
                  <w:tcBorders>
                    <w:tl2br w:val="nil"/>
                    <w:tr2bl w:val="nil"/>
                  </w:tcBorders>
                  <w:noWrap/>
                  <w:vAlign w:val="center"/>
                </w:tcPr>
                <w:p w14:paraId="62B8272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声环境保护</w:t>
                  </w:r>
                </w:p>
              </w:tc>
              <w:tc>
                <w:tcPr>
                  <w:tcW w:w="2532" w:type="dxa"/>
                  <w:tcBorders>
                    <w:tl2br w:val="nil"/>
                    <w:tr2bl w:val="nil"/>
                  </w:tcBorders>
                  <w:noWrap w:val="0"/>
                  <w:vAlign w:val="center"/>
                </w:tcPr>
                <w:p w14:paraId="41FD086F">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变电工程应采取降低低频噪声影响的防治措施，以减少噪声扰民。</w:t>
                  </w:r>
                </w:p>
              </w:tc>
              <w:tc>
                <w:tcPr>
                  <w:tcW w:w="2532" w:type="dxa"/>
                  <w:tcBorders>
                    <w:tl2br w:val="nil"/>
                    <w:tr2bl w:val="nil"/>
                  </w:tcBorders>
                  <w:noWrap w:val="0"/>
                  <w:vAlign w:val="center"/>
                </w:tcPr>
                <w:p w14:paraId="5AE1D87F">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kern w:val="2"/>
                      <w:sz w:val="21"/>
                      <w:szCs w:val="21"/>
                      <w:highlight w:val="yellow"/>
                      <w:u w:val="none"/>
                      <w:lang w:val="en-US" w:eastAsia="zh-CN" w:bidi="ar-SA"/>
                      <w14:textFill>
                        <w14:solidFill>
                          <w14:schemeClr w14:val="tx1"/>
                        </w14:solidFill>
                      </w14:textFill>
                    </w:rPr>
                  </w:pPr>
                  <w:r>
                    <w:rPr>
                      <w:spacing w:val="-8"/>
                    </w:rPr>
                    <w:t>项目为输变电工程，新建</w:t>
                  </w:r>
                  <w:r>
                    <w:rPr>
                      <w:spacing w:val="-18"/>
                    </w:rPr>
                    <w:t xml:space="preserve"> </w:t>
                  </w:r>
                  <w:r>
                    <w:rPr>
                      <w:rFonts w:hint="eastAsia" w:cs="Times New Roman"/>
                      <w:spacing w:val="-8"/>
                      <w:lang w:val="en-US" w:eastAsia="zh-CN"/>
                    </w:rPr>
                    <w:t>29.9</w:t>
                  </w:r>
                  <w:r>
                    <w:rPr>
                      <w:rFonts w:ascii="Times New Roman" w:hAnsi="Times New Roman" w:eastAsia="Times New Roman" w:cs="Times New Roman"/>
                      <w:spacing w:val="-8"/>
                    </w:rPr>
                    <w:t>km</w:t>
                  </w:r>
                  <w:r>
                    <w:rPr>
                      <w:rFonts w:ascii="Times New Roman" w:hAnsi="Times New Roman" w:eastAsia="Times New Roman" w:cs="Times New Roman"/>
                    </w:rPr>
                    <w:t xml:space="preserve"> </w:t>
                  </w:r>
                  <w:r>
                    <w:rPr>
                      <w:spacing w:val="1"/>
                    </w:rPr>
                    <w:t>的架空输电线路。</w:t>
                  </w:r>
                  <w:r>
                    <w:rPr>
                      <w:rFonts w:hint="eastAsia" w:cs="Times New Roman"/>
                      <w:color w:val="auto"/>
                      <w:spacing w:val="8"/>
                      <w:sz w:val="21"/>
                      <w:szCs w:val="21"/>
                      <w:highlight w:val="none"/>
                      <w:lang w:val="en-US" w:eastAsia="zh-CN"/>
                    </w:rPr>
                    <w:t>本工程</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220kV送出线路</w:t>
                  </w:r>
                  <w:r>
                    <w:rPr>
                      <w:rFonts w:hint="eastAsia" w:cs="Times New Roman"/>
                      <w:color w:val="auto"/>
                      <w:spacing w:val="8"/>
                      <w:sz w:val="21"/>
                      <w:szCs w:val="21"/>
                      <w:highlight w:val="none"/>
                      <w:lang w:val="en-US" w:eastAsia="zh-CN"/>
                    </w:rPr>
                    <w:t>分别有4个噪声敏感目标，</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采取综合措施，减少声环境影响。</w:t>
                  </w:r>
                </w:p>
              </w:tc>
              <w:tc>
                <w:tcPr>
                  <w:tcW w:w="1100" w:type="dxa"/>
                  <w:tcBorders>
                    <w:tl2br w:val="nil"/>
                    <w:tr2bl w:val="nil"/>
                  </w:tcBorders>
                  <w:noWrap/>
                  <w:vAlign w:val="center"/>
                </w:tcPr>
                <w:p w14:paraId="08CB6C1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2F65B9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2563C9D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25</w:t>
                  </w:r>
                </w:p>
              </w:tc>
              <w:tc>
                <w:tcPr>
                  <w:tcW w:w="741" w:type="dxa"/>
                  <w:vMerge w:val="continue"/>
                  <w:tcBorders>
                    <w:tl2br w:val="nil"/>
                    <w:tr2bl w:val="nil"/>
                  </w:tcBorders>
                  <w:noWrap/>
                  <w:vAlign w:val="center"/>
                </w:tcPr>
                <w:p w14:paraId="696E7CF5">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39" w:type="dxa"/>
                  <w:tcBorders>
                    <w:tl2br w:val="nil"/>
                    <w:tr2bl w:val="nil"/>
                  </w:tcBorders>
                  <w:noWrap/>
                  <w:vAlign w:val="center"/>
                </w:tcPr>
                <w:p w14:paraId="231CE6F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生态环境</w:t>
                  </w:r>
                </w:p>
              </w:tc>
              <w:tc>
                <w:tcPr>
                  <w:tcW w:w="2532" w:type="dxa"/>
                  <w:tcBorders>
                    <w:tl2br w:val="nil"/>
                    <w:tr2bl w:val="nil"/>
                  </w:tcBorders>
                  <w:noWrap w:val="0"/>
                  <w:vAlign w:val="center"/>
                </w:tcPr>
                <w:p w14:paraId="0E1D5FFA">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输变电建设项目在设计过程中应按照避让、减缓、恢复的次序提出生态影响防护与恢复的措施。</w:t>
                  </w:r>
                </w:p>
              </w:tc>
              <w:tc>
                <w:tcPr>
                  <w:tcW w:w="2532" w:type="dxa"/>
                  <w:tcBorders>
                    <w:tl2br w:val="nil"/>
                    <w:tr2bl w:val="nil"/>
                  </w:tcBorders>
                  <w:noWrap w:val="0"/>
                  <w:vAlign w:val="center"/>
                </w:tcPr>
                <w:p w14:paraId="3785BD2C">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本次评价提出相应的生态影响防护与恢复的措施。</w:t>
                  </w:r>
                </w:p>
              </w:tc>
              <w:tc>
                <w:tcPr>
                  <w:tcW w:w="1100" w:type="dxa"/>
                  <w:tcBorders>
                    <w:tl2br w:val="nil"/>
                    <w:tr2bl w:val="nil"/>
                  </w:tcBorders>
                  <w:noWrap/>
                  <w:vAlign w:val="center"/>
                </w:tcPr>
                <w:p w14:paraId="0CA33C7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002F6F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46831FA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26</w:t>
                  </w:r>
                </w:p>
              </w:tc>
              <w:tc>
                <w:tcPr>
                  <w:tcW w:w="741" w:type="dxa"/>
                  <w:vMerge w:val="continue"/>
                  <w:tcBorders>
                    <w:tl2br w:val="nil"/>
                    <w:tr2bl w:val="nil"/>
                  </w:tcBorders>
                  <w:noWrap/>
                  <w:vAlign w:val="center"/>
                </w:tcPr>
                <w:p w14:paraId="1F5766C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39" w:type="dxa"/>
                  <w:tcBorders>
                    <w:tl2br w:val="nil"/>
                    <w:tr2bl w:val="nil"/>
                  </w:tcBorders>
                  <w:noWrap/>
                  <w:vAlign w:val="center"/>
                </w:tcPr>
                <w:p w14:paraId="6EFBB77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水环境保护</w:t>
                  </w:r>
                </w:p>
              </w:tc>
              <w:tc>
                <w:tcPr>
                  <w:tcW w:w="2532" w:type="dxa"/>
                  <w:tcBorders>
                    <w:tl2br w:val="nil"/>
                    <w:tr2bl w:val="nil"/>
                  </w:tcBorders>
                  <w:noWrap w:val="0"/>
                  <w:vAlign w:val="center"/>
                </w:tcPr>
                <w:p w14:paraId="29567C6D">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变电工程应采取节水措施，加强水的重复利用，减少废(污)水排放。雨水和生活污水应采取分流制。</w:t>
                  </w:r>
                </w:p>
              </w:tc>
              <w:tc>
                <w:tcPr>
                  <w:tcW w:w="2532" w:type="dxa"/>
                  <w:tcBorders>
                    <w:tl2br w:val="nil"/>
                    <w:tr2bl w:val="nil"/>
                  </w:tcBorders>
                  <w:noWrap w:val="0"/>
                  <w:vAlign w:val="center"/>
                </w:tcPr>
                <w:p w14:paraId="26C58FA2">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8"/>
                      <w:szCs w:val="21"/>
                      <w:highlight w:val="none"/>
                      <w:lang w:val="en-US" w:eastAsia="zh-CN"/>
                      <w14:textFill>
                        <w14:solidFill>
                          <w14:schemeClr w14:val="tx1"/>
                        </w14:solidFill>
                      </w14:textFill>
                    </w:rPr>
                    <w:t>本项目无废水产生。</w:t>
                  </w:r>
                </w:p>
              </w:tc>
              <w:tc>
                <w:tcPr>
                  <w:tcW w:w="1100" w:type="dxa"/>
                  <w:tcBorders>
                    <w:tl2br w:val="nil"/>
                    <w:tr2bl w:val="nil"/>
                  </w:tcBorders>
                  <w:noWrap/>
                  <w:vAlign w:val="center"/>
                </w:tcPr>
                <w:p w14:paraId="1C47443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72BFF1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5E5208F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w:t>
                  </w:r>
                </w:p>
              </w:tc>
              <w:tc>
                <w:tcPr>
                  <w:tcW w:w="741" w:type="dxa"/>
                  <w:vMerge w:val="restart"/>
                  <w:tcBorders>
                    <w:tl2br w:val="nil"/>
                    <w:tr2bl w:val="nil"/>
                  </w:tcBorders>
                  <w:noWrap/>
                  <w:vAlign w:val="center"/>
                </w:tcPr>
                <w:p w14:paraId="3286781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施工</w:t>
                  </w:r>
                </w:p>
              </w:tc>
              <w:tc>
                <w:tcPr>
                  <w:tcW w:w="739" w:type="dxa"/>
                  <w:tcBorders>
                    <w:tl2br w:val="nil"/>
                    <w:tr2bl w:val="nil"/>
                  </w:tcBorders>
                  <w:noWrap/>
                  <w:vAlign w:val="center"/>
                </w:tcPr>
                <w:p w14:paraId="5FB4FC9A">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lang w:val="en-US"/>
                      <w14:textFill>
                        <w14:solidFill>
                          <w14:schemeClr w14:val="tx1"/>
                        </w14:solidFill>
                      </w14:textFill>
                    </w:rPr>
                    <w:t>总体要求</w:t>
                  </w:r>
                </w:p>
              </w:tc>
              <w:tc>
                <w:tcPr>
                  <w:tcW w:w="2532" w:type="dxa"/>
                  <w:tcBorders>
                    <w:tl2br w:val="nil"/>
                    <w:tr2bl w:val="nil"/>
                  </w:tcBorders>
                  <w:noWrap w:val="0"/>
                  <w:vAlign w:val="center"/>
                </w:tcPr>
                <w:p w14:paraId="42D1439A">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输变电建设项目施工应落实设计文件、环境影响评价文件及其审批部门审批决定中提出的环境保护要求。设备采购和施工合同中应明确环境保护要求，环境保护措施的实施和环境保护设施的施工安装质量应符合设计和技术协议书、相关标准的要求。</w:t>
                  </w:r>
                </w:p>
              </w:tc>
              <w:tc>
                <w:tcPr>
                  <w:tcW w:w="2532" w:type="dxa"/>
                  <w:tcBorders>
                    <w:tl2br w:val="nil"/>
                    <w:tr2bl w:val="nil"/>
                  </w:tcBorders>
                  <w:noWrap w:val="0"/>
                  <w:vAlign w:val="center"/>
                </w:tcPr>
                <w:p w14:paraId="1B2E267B">
                  <w:pPr>
                    <w:pStyle w:val="26"/>
                    <w:adjustRightInd w:val="0"/>
                    <w:snapToGrid w:val="0"/>
                    <w:jc w:val="both"/>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本次环评提出了施工期废气、废水、噪声、固废、生态措施，建设单位在施工过程中，严格落实设计文件、环境影响评价文件及其审批部门审批决定中提出的环境保护要求。</w:t>
                  </w:r>
                </w:p>
              </w:tc>
              <w:tc>
                <w:tcPr>
                  <w:tcW w:w="1100" w:type="dxa"/>
                  <w:tcBorders>
                    <w:tl2br w:val="nil"/>
                    <w:tr2bl w:val="nil"/>
                  </w:tcBorders>
                  <w:noWrap/>
                  <w:vAlign w:val="center"/>
                </w:tcPr>
                <w:p w14:paraId="634F2081">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053952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58DABFF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29</w:t>
                  </w:r>
                </w:p>
              </w:tc>
              <w:tc>
                <w:tcPr>
                  <w:tcW w:w="741" w:type="dxa"/>
                  <w:vMerge w:val="continue"/>
                  <w:tcBorders>
                    <w:tl2br w:val="nil"/>
                    <w:tr2bl w:val="nil"/>
                  </w:tcBorders>
                  <w:noWrap/>
                  <w:vAlign w:val="center"/>
                </w:tcPr>
                <w:p w14:paraId="62EB8A2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color w:val="000000" w:themeColor="text1"/>
                      <w:highlight w:val="none"/>
                      <w14:textFill>
                        <w14:solidFill>
                          <w14:schemeClr w14:val="tx1"/>
                        </w14:solidFill>
                      </w14:textFill>
                    </w:rPr>
                  </w:pPr>
                </w:p>
              </w:tc>
              <w:tc>
                <w:tcPr>
                  <w:tcW w:w="739" w:type="dxa"/>
                  <w:vMerge w:val="restart"/>
                  <w:tcBorders>
                    <w:tl2br w:val="nil"/>
                    <w:tr2bl w:val="nil"/>
                  </w:tcBorders>
                  <w:noWrap/>
                  <w:vAlign w:val="center"/>
                </w:tcPr>
                <w:p w14:paraId="7415D64A">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lang w:val="en-US"/>
                      <w14:textFill>
                        <w14:solidFill>
                          <w14:schemeClr w14:val="tx1"/>
                        </w14:solidFill>
                      </w14:textFill>
                    </w:rPr>
                    <w:t>声环境保护</w:t>
                  </w:r>
                </w:p>
              </w:tc>
              <w:tc>
                <w:tcPr>
                  <w:tcW w:w="2532" w:type="dxa"/>
                  <w:tcBorders>
                    <w:tl2br w:val="nil"/>
                    <w:tr2bl w:val="nil"/>
                  </w:tcBorders>
                  <w:noWrap w:val="0"/>
                  <w:vAlign w:val="center"/>
                </w:tcPr>
                <w:p w14:paraId="4282D6A7">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变电工程施工过程中场界环境噪声排放应满足 GB 12523中的要求。</w:t>
                  </w:r>
                </w:p>
              </w:tc>
              <w:tc>
                <w:tcPr>
                  <w:tcW w:w="2532" w:type="dxa"/>
                  <w:tcBorders>
                    <w:tl2br w:val="nil"/>
                    <w:tr2bl w:val="nil"/>
                  </w:tcBorders>
                  <w:noWrap w:val="0"/>
                  <w:vAlign w:val="center"/>
                </w:tcPr>
                <w:p w14:paraId="7661925E">
                  <w:pPr>
                    <w:pStyle w:val="26"/>
                    <w:adjustRightInd w:val="0"/>
                    <w:snapToGrid w:val="0"/>
                    <w:jc w:val="both"/>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本次评价提出了施工期噪声防治措施，场界噪声排放满足GB12523中要求。</w:t>
                  </w:r>
                </w:p>
              </w:tc>
              <w:tc>
                <w:tcPr>
                  <w:tcW w:w="1100" w:type="dxa"/>
                  <w:tcBorders>
                    <w:tl2br w:val="nil"/>
                    <w:tr2bl w:val="nil"/>
                  </w:tcBorders>
                  <w:noWrap/>
                  <w:vAlign w:val="center"/>
                </w:tcPr>
                <w:p w14:paraId="445F5179">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22F96F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1083996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30</w:t>
                  </w:r>
                </w:p>
              </w:tc>
              <w:tc>
                <w:tcPr>
                  <w:tcW w:w="741" w:type="dxa"/>
                  <w:vMerge w:val="continue"/>
                  <w:tcBorders>
                    <w:tl2br w:val="nil"/>
                    <w:tr2bl w:val="nil"/>
                  </w:tcBorders>
                  <w:noWrap/>
                  <w:vAlign w:val="center"/>
                </w:tcPr>
                <w:p w14:paraId="5B64A7B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color w:val="000000" w:themeColor="text1"/>
                      <w:highlight w:val="none"/>
                      <w14:textFill>
                        <w14:solidFill>
                          <w14:schemeClr w14:val="tx1"/>
                        </w14:solidFill>
                      </w14:textFill>
                    </w:rPr>
                  </w:pPr>
                </w:p>
              </w:tc>
              <w:tc>
                <w:tcPr>
                  <w:tcW w:w="739" w:type="dxa"/>
                  <w:vMerge w:val="continue"/>
                  <w:tcBorders>
                    <w:tl2br w:val="nil"/>
                    <w:tr2bl w:val="nil"/>
                  </w:tcBorders>
                  <w:noWrap/>
                  <w:vAlign w:val="center"/>
                </w:tcPr>
                <w:p w14:paraId="50A00952">
                  <w:pPr>
                    <w:pStyle w:val="26"/>
                    <w:adjustRightInd w:val="0"/>
                    <w:snapToGrid w:val="0"/>
                    <w:jc w:val="center"/>
                    <w:rPr>
                      <w:rFonts w:hint="default" w:ascii="Times New Roman" w:hAnsi="Times New Roman" w:eastAsia="宋体" w:cs="Times New Roman"/>
                      <w:color w:val="000000" w:themeColor="text1"/>
                      <w:spacing w:val="8"/>
                      <w:szCs w:val="21"/>
                      <w:highlight w:val="none"/>
                      <w:lang w:val="en-US"/>
                      <w14:textFill>
                        <w14:solidFill>
                          <w14:schemeClr w14:val="tx1"/>
                        </w14:solidFill>
                      </w14:textFill>
                    </w:rPr>
                  </w:pPr>
                </w:p>
              </w:tc>
              <w:tc>
                <w:tcPr>
                  <w:tcW w:w="2532" w:type="dxa"/>
                  <w:tcBorders>
                    <w:tl2br w:val="nil"/>
                    <w:tr2bl w:val="nil"/>
                  </w:tcBorders>
                  <w:noWrap w:val="0"/>
                  <w:vAlign w:val="center"/>
                </w:tcPr>
                <w:p w14:paraId="0E62FE32">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在城市市区噪声敏感建筑物集中区域内，禁止夜间进行产生环境噪声污染的建筑施工作业，但抢修、抢险作业和因生产工艺上要求或者特殊需要必须连续作业的除外。夜间作业必须公告附近居民。</w:t>
                  </w:r>
                </w:p>
              </w:tc>
              <w:tc>
                <w:tcPr>
                  <w:tcW w:w="2532" w:type="dxa"/>
                  <w:tcBorders>
                    <w:tl2br w:val="nil"/>
                    <w:tr2bl w:val="nil"/>
                  </w:tcBorders>
                  <w:noWrap w:val="0"/>
                  <w:vAlign w:val="center"/>
                </w:tcPr>
                <w:p w14:paraId="337D51FA">
                  <w:pPr>
                    <w:pStyle w:val="26"/>
                    <w:adjustRightInd w:val="0"/>
                    <w:snapToGrid w:val="0"/>
                    <w:jc w:val="both"/>
                    <w:rPr>
                      <w:rFonts w:hint="default" w:ascii="Times New Roman" w:hAnsi="Times New Roman" w:eastAsia="宋体" w:cs="Times New Roman"/>
                      <w:color w:val="000000" w:themeColor="text1"/>
                      <w:spacing w:val="8"/>
                      <w:ker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本项目位于河北省承德市围场满族蒙古族自治县城子镇、牌楼乡、燕格柏乡和半截塔镇，不属于城市市区噪声敏感建筑物集中区域</w:t>
                  </w:r>
                </w:p>
              </w:tc>
              <w:tc>
                <w:tcPr>
                  <w:tcW w:w="1100" w:type="dxa"/>
                  <w:tcBorders>
                    <w:tl2br w:val="nil"/>
                    <w:tr2bl w:val="nil"/>
                  </w:tcBorders>
                  <w:noWrap/>
                  <w:vAlign w:val="center"/>
                </w:tcPr>
                <w:p w14:paraId="3B0A0BC1">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3DC549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53408A1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w:t>
                  </w:r>
                </w:p>
              </w:tc>
              <w:tc>
                <w:tcPr>
                  <w:tcW w:w="741" w:type="dxa"/>
                  <w:vMerge w:val="continue"/>
                  <w:tcBorders>
                    <w:tl2br w:val="nil"/>
                    <w:tr2bl w:val="nil"/>
                  </w:tcBorders>
                  <w:noWrap/>
                  <w:vAlign w:val="center"/>
                </w:tcPr>
                <w:p w14:paraId="50B9C36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39" w:type="dxa"/>
                  <w:vMerge w:val="restart"/>
                  <w:tcBorders>
                    <w:tl2br w:val="nil"/>
                    <w:tr2bl w:val="nil"/>
                  </w:tcBorders>
                  <w:noWrap/>
                  <w:vAlign w:val="center"/>
                </w:tcPr>
                <w:p w14:paraId="2BDA58B0">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lang w:val="en-US"/>
                      <w14:textFill>
                        <w14:solidFill>
                          <w14:schemeClr w14:val="tx1"/>
                        </w14:solidFill>
                      </w14:textFill>
                    </w:rPr>
                    <w:t>生态环境保护</w:t>
                  </w:r>
                </w:p>
              </w:tc>
              <w:tc>
                <w:tcPr>
                  <w:tcW w:w="2532" w:type="dxa"/>
                  <w:tcBorders>
                    <w:tl2br w:val="nil"/>
                    <w:tr2bl w:val="nil"/>
                  </w:tcBorders>
                  <w:noWrap w:val="0"/>
                  <w:vAlign w:val="center"/>
                </w:tcPr>
                <w:p w14:paraId="649094D7">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输变电建设项目施工期临时用地应永临结合，优先利用荒地劣地。</w:t>
                  </w:r>
                </w:p>
              </w:tc>
              <w:tc>
                <w:tcPr>
                  <w:tcW w:w="2532" w:type="dxa"/>
                  <w:tcBorders>
                    <w:tl2br w:val="nil"/>
                    <w:tr2bl w:val="nil"/>
                  </w:tcBorders>
                  <w:noWrap w:val="0"/>
                  <w:vAlign w:val="center"/>
                </w:tcPr>
                <w:p w14:paraId="151E0E43">
                  <w:pPr>
                    <w:pStyle w:val="26"/>
                    <w:adjustRightInd w:val="0"/>
                    <w:snapToGrid w:val="0"/>
                    <w:jc w:val="both"/>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eastAsia"/>
                      <w:spacing w:val="-8"/>
                      <w:highlight w:val="none"/>
                      <w:lang w:val="en-US" w:eastAsia="zh-CN"/>
                    </w:rPr>
                    <w:t>本</w:t>
                  </w:r>
                  <w:r>
                    <w:rPr>
                      <w:spacing w:val="-8"/>
                      <w:highlight w:val="none"/>
                    </w:rPr>
                    <w:t>项目为输变电工程，新建</w:t>
                  </w:r>
                  <w:r>
                    <w:rPr>
                      <w:spacing w:val="-18"/>
                      <w:highlight w:val="none"/>
                    </w:rPr>
                    <w:t xml:space="preserve"> </w:t>
                  </w:r>
                  <w:r>
                    <w:rPr>
                      <w:rFonts w:hint="eastAsia" w:ascii="Times New Roman" w:hAnsi="Times New Roman" w:cs="Times New Roman"/>
                      <w:spacing w:val="-8"/>
                      <w:highlight w:val="none"/>
                      <w:lang w:val="en-US" w:eastAsia="zh-CN"/>
                    </w:rPr>
                    <w:t>29.9</w:t>
                  </w:r>
                  <w:r>
                    <w:rPr>
                      <w:rFonts w:ascii="Times New Roman" w:hAnsi="Times New Roman" w:eastAsia="Times New Roman" w:cs="Times New Roman"/>
                      <w:spacing w:val="-8"/>
                      <w:highlight w:val="none"/>
                    </w:rPr>
                    <w:t>km</w:t>
                  </w:r>
                  <w:r>
                    <w:rPr>
                      <w:rFonts w:ascii="Times New Roman" w:hAnsi="Times New Roman" w:eastAsia="Times New Roman" w:cs="Times New Roman"/>
                      <w:highlight w:val="none"/>
                    </w:rPr>
                    <w:t xml:space="preserve"> </w:t>
                  </w:r>
                  <w:r>
                    <w:rPr>
                      <w:spacing w:val="1"/>
                      <w:highlight w:val="none"/>
                    </w:rPr>
                    <w:t>的架空输电线路</w:t>
                  </w:r>
                  <w:r>
                    <w:rPr>
                      <w:rFonts w:hint="eastAsia" w:ascii="Times New Roman" w:hAnsi="Times New Roman" w:eastAsia="宋体" w:cs="Times New Roman"/>
                      <w:color w:val="000000" w:themeColor="text1"/>
                      <w:spacing w:val="8"/>
                      <w:szCs w:val="21"/>
                      <w:highlight w:val="none"/>
                      <w:lang w:val="en-US" w:eastAsia="zh-CN"/>
                      <w14:textFill>
                        <w14:solidFill>
                          <w14:schemeClr w14:val="tx1"/>
                        </w14:solidFill>
                      </w14:textFill>
                    </w:rPr>
                    <w:t>，</w:t>
                  </w:r>
                  <w:r>
                    <w:rPr>
                      <w:rFonts w:hint="eastAsia" w:ascii="Times New Roman" w:hAnsi="Times New Roman" w:cs="Times New Roman"/>
                      <w:color w:val="000000" w:themeColor="text1"/>
                      <w:spacing w:val="8"/>
                      <w:szCs w:val="21"/>
                      <w:highlight w:val="none"/>
                      <w:lang w:val="en-US" w:eastAsia="zh-CN"/>
                      <w14:textFill>
                        <w14:solidFill>
                          <w14:schemeClr w14:val="tx1"/>
                        </w14:solidFill>
                      </w14:textFill>
                    </w:rPr>
                    <w:t>不涉及临时用地。</w:t>
                  </w:r>
                </w:p>
              </w:tc>
              <w:tc>
                <w:tcPr>
                  <w:tcW w:w="1100" w:type="dxa"/>
                  <w:tcBorders>
                    <w:tl2br w:val="nil"/>
                    <w:tr2bl w:val="nil"/>
                  </w:tcBorders>
                  <w:noWrap/>
                  <w:vAlign w:val="center"/>
                </w:tcPr>
                <w:p w14:paraId="467C27A0">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378911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2C2BAB5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32</w:t>
                  </w:r>
                </w:p>
              </w:tc>
              <w:tc>
                <w:tcPr>
                  <w:tcW w:w="741" w:type="dxa"/>
                  <w:vMerge w:val="continue"/>
                  <w:tcBorders>
                    <w:tl2br w:val="nil"/>
                    <w:tr2bl w:val="nil"/>
                  </w:tcBorders>
                  <w:noWrap/>
                  <w:vAlign w:val="center"/>
                </w:tcPr>
                <w:p w14:paraId="5B92E08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39" w:type="dxa"/>
                  <w:vMerge w:val="continue"/>
                  <w:tcBorders>
                    <w:tl2br w:val="nil"/>
                    <w:tr2bl w:val="nil"/>
                  </w:tcBorders>
                  <w:noWrap/>
                  <w:vAlign w:val="center"/>
                </w:tcPr>
                <w:p w14:paraId="109F1CF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32" w:type="dxa"/>
                  <w:tcBorders>
                    <w:tl2br w:val="nil"/>
                    <w:tr2bl w:val="nil"/>
                  </w:tcBorders>
                  <w:noWrap w:val="0"/>
                  <w:vAlign w:val="center"/>
                </w:tcPr>
                <w:p w14:paraId="12E3734D">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输变电建设项目施工占用耕地、园地、林地和草地，应做好表土剥离、分类存放和回填利用。</w:t>
                  </w:r>
                </w:p>
              </w:tc>
              <w:tc>
                <w:tcPr>
                  <w:tcW w:w="2532" w:type="dxa"/>
                  <w:tcBorders>
                    <w:tl2br w:val="nil"/>
                    <w:tr2bl w:val="nil"/>
                  </w:tcBorders>
                  <w:noWrap w:val="0"/>
                  <w:vAlign w:val="center"/>
                </w:tcPr>
                <w:p w14:paraId="2CAE4BAD">
                  <w:pPr>
                    <w:pStyle w:val="26"/>
                    <w:adjustRightInd w:val="0"/>
                    <w:snapToGrid w:val="0"/>
                    <w:jc w:val="both"/>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本项目土方开挖时分层开挖、分层堆放、分层回填，开挖的表层土不得随意丢弃，合理保存，施工结束后及时采用收集的表层土选择当地适宜植物恢复绿化。</w:t>
                  </w:r>
                </w:p>
              </w:tc>
              <w:tc>
                <w:tcPr>
                  <w:tcW w:w="1100" w:type="dxa"/>
                  <w:tcBorders>
                    <w:tl2br w:val="nil"/>
                    <w:tr2bl w:val="nil"/>
                  </w:tcBorders>
                  <w:noWrap/>
                  <w:vAlign w:val="center"/>
                </w:tcPr>
                <w:p w14:paraId="680EBECD">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1AE9E6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0FE8554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33</w:t>
                  </w:r>
                </w:p>
              </w:tc>
              <w:tc>
                <w:tcPr>
                  <w:tcW w:w="741" w:type="dxa"/>
                  <w:vMerge w:val="continue"/>
                  <w:tcBorders>
                    <w:tl2br w:val="nil"/>
                    <w:tr2bl w:val="nil"/>
                  </w:tcBorders>
                  <w:noWrap/>
                  <w:vAlign w:val="center"/>
                </w:tcPr>
                <w:p w14:paraId="1CB9D95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39" w:type="dxa"/>
                  <w:vMerge w:val="continue"/>
                  <w:tcBorders>
                    <w:tl2br w:val="nil"/>
                    <w:tr2bl w:val="nil"/>
                  </w:tcBorders>
                  <w:noWrap/>
                  <w:vAlign w:val="center"/>
                </w:tcPr>
                <w:p w14:paraId="73C8376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32" w:type="dxa"/>
                  <w:tcBorders>
                    <w:tl2br w:val="nil"/>
                    <w:tr2bl w:val="nil"/>
                  </w:tcBorders>
                  <w:noWrap w:val="0"/>
                  <w:vAlign w:val="center"/>
                </w:tcPr>
                <w:p w14:paraId="04505A26">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施工临时道路应尽可能利用机耕路、林区小路等现有道路，新建道路应严格控制道路宽度，以减少临时工程对生态环境的影响。</w:t>
                  </w:r>
                </w:p>
              </w:tc>
              <w:tc>
                <w:tcPr>
                  <w:tcW w:w="2532" w:type="dxa"/>
                  <w:tcBorders>
                    <w:tl2br w:val="nil"/>
                    <w:tr2bl w:val="nil"/>
                  </w:tcBorders>
                  <w:noWrap w:val="0"/>
                  <w:vAlign w:val="center"/>
                </w:tcPr>
                <w:p w14:paraId="1FF081D0">
                  <w:pPr>
                    <w:pStyle w:val="26"/>
                    <w:adjustRightInd w:val="0"/>
                    <w:snapToGrid w:val="0"/>
                    <w:jc w:val="both"/>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本项目施工临时道路利用场区的现有道路。</w:t>
                  </w:r>
                </w:p>
              </w:tc>
              <w:tc>
                <w:tcPr>
                  <w:tcW w:w="1100" w:type="dxa"/>
                  <w:tcBorders>
                    <w:tl2br w:val="nil"/>
                    <w:tr2bl w:val="nil"/>
                  </w:tcBorders>
                  <w:noWrap/>
                  <w:vAlign w:val="center"/>
                </w:tcPr>
                <w:p w14:paraId="767E8F61">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1E4AD6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5A3EDB5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34</w:t>
                  </w:r>
                </w:p>
              </w:tc>
              <w:tc>
                <w:tcPr>
                  <w:tcW w:w="741" w:type="dxa"/>
                  <w:vMerge w:val="continue"/>
                  <w:tcBorders>
                    <w:tl2br w:val="nil"/>
                    <w:tr2bl w:val="nil"/>
                  </w:tcBorders>
                  <w:noWrap/>
                  <w:vAlign w:val="center"/>
                </w:tcPr>
                <w:p w14:paraId="518EAC4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39" w:type="dxa"/>
                  <w:vMerge w:val="continue"/>
                  <w:tcBorders>
                    <w:tl2br w:val="nil"/>
                    <w:tr2bl w:val="nil"/>
                  </w:tcBorders>
                  <w:noWrap/>
                  <w:vAlign w:val="center"/>
                </w:tcPr>
                <w:p w14:paraId="1A75FEE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32" w:type="dxa"/>
                  <w:tcBorders>
                    <w:tl2br w:val="nil"/>
                    <w:tr2bl w:val="nil"/>
                  </w:tcBorders>
                  <w:noWrap w:val="0"/>
                  <w:vAlign w:val="center"/>
                </w:tcPr>
                <w:p w14:paraId="0CFA860E">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施工现场使用带油料的机械器具，应采取措施防止油料跑、冒、滴、漏，防止对土壤和水体造成污染。</w:t>
                  </w:r>
                </w:p>
              </w:tc>
              <w:tc>
                <w:tcPr>
                  <w:tcW w:w="2532" w:type="dxa"/>
                  <w:tcBorders>
                    <w:tl2br w:val="nil"/>
                    <w:tr2bl w:val="nil"/>
                  </w:tcBorders>
                  <w:noWrap w:val="0"/>
                  <w:vAlign w:val="center"/>
                </w:tcPr>
                <w:p w14:paraId="25A92198">
                  <w:pPr>
                    <w:pStyle w:val="26"/>
                    <w:adjustRightInd w:val="0"/>
                    <w:snapToGrid w:val="0"/>
                    <w:jc w:val="both"/>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eastAsia"/>
                    </w:rPr>
                    <w:t>本项目施工采用专用机械并定期进行检查保养，保证良好运行状态。</w:t>
                  </w:r>
                </w:p>
              </w:tc>
              <w:tc>
                <w:tcPr>
                  <w:tcW w:w="1100" w:type="dxa"/>
                  <w:tcBorders>
                    <w:tl2br w:val="nil"/>
                    <w:tr2bl w:val="nil"/>
                  </w:tcBorders>
                  <w:noWrap/>
                  <w:vAlign w:val="center"/>
                </w:tcPr>
                <w:p w14:paraId="2D41042A">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65A477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6912B73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w:t>
                  </w:r>
                </w:p>
              </w:tc>
              <w:tc>
                <w:tcPr>
                  <w:tcW w:w="741" w:type="dxa"/>
                  <w:vMerge w:val="continue"/>
                  <w:tcBorders>
                    <w:tl2br w:val="nil"/>
                    <w:tr2bl w:val="nil"/>
                  </w:tcBorders>
                  <w:noWrap/>
                  <w:vAlign w:val="center"/>
                </w:tcPr>
                <w:p w14:paraId="285A58D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39" w:type="dxa"/>
                  <w:vMerge w:val="continue"/>
                  <w:tcBorders>
                    <w:tl2br w:val="nil"/>
                    <w:tr2bl w:val="nil"/>
                  </w:tcBorders>
                  <w:noWrap/>
                  <w:vAlign w:val="center"/>
                </w:tcPr>
                <w:p w14:paraId="7DEFD52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32" w:type="dxa"/>
                  <w:tcBorders>
                    <w:tl2br w:val="nil"/>
                    <w:tr2bl w:val="nil"/>
                  </w:tcBorders>
                  <w:noWrap w:val="0"/>
                  <w:vAlign w:val="center"/>
                </w:tcPr>
                <w:p w14:paraId="200410D1">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施工结束后，应及时清理施工现场，因地制宜进行土地功能恢复。</w:t>
                  </w:r>
                </w:p>
              </w:tc>
              <w:tc>
                <w:tcPr>
                  <w:tcW w:w="2532" w:type="dxa"/>
                  <w:tcBorders>
                    <w:tl2br w:val="nil"/>
                    <w:tr2bl w:val="nil"/>
                  </w:tcBorders>
                  <w:noWrap w:val="0"/>
                  <w:vAlign w:val="center"/>
                </w:tcPr>
                <w:p w14:paraId="2BB857AC">
                  <w:pPr>
                    <w:pStyle w:val="26"/>
                    <w:adjustRightInd w:val="0"/>
                    <w:snapToGrid w:val="0"/>
                    <w:jc w:val="both"/>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施工结束后，将混凝土余料和残渣及时清除，及时做好迹地清理工作，并进行土地功能的恢复。</w:t>
                  </w:r>
                </w:p>
              </w:tc>
              <w:tc>
                <w:tcPr>
                  <w:tcW w:w="1100" w:type="dxa"/>
                  <w:tcBorders>
                    <w:tl2br w:val="nil"/>
                    <w:tr2bl w:val="nil"/>
                  </w:tcBorders>
                  <w:noWrap/>
                  <w:vAlign w:val="center"/>
                </w:tcPr>
                <w:p w14:paraId="7DCF7F13">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09923D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59ED343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w:t>
                  </w:r>
                </w:p>
              </w:tc>
              <w:tc>
                <w:tcPr>
                  <w:tcW w:w="741" w:type="dxa"/>
                  <w:vMerge w:val="continue"/>
                  <w:tcBorders>
                    <w:tl2br w:val="nil"/>
                    <w:tr2bl w:val="nil"/>
                  </w:tcBorders>
                  <w:noWrap/>
                  <w:vAlign w:val="center"/>
                </w:tcPr>
                <w:p w14:paraId="26D8987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39" w:type="dxa"/>
                  <w:vMerge w:val="restart"/>
                  <w:tcBorders>
                    <w:tl2br w:val="nil"/>
                    <w:tr2bl w:val="nil"/>
                  </w:tcBorders>
                  <w:noWrap/>
                  <w:vAlign w:val="center"/>
                </w:tcPr>
                <w:p w14:paraId="0B55BEA1">
                  <w:pPr>
                    <w:pStyle w:val="26"/>
                    <w:adjustRightInd w:val="0"/>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8"/>
                      <w:szCs w:val="21"/>
                      <w:highlight w:val="none"/>
                      <w:lang w:val="en-US"/>
                      <w14:textFill>
                        <w14:solidFill>
                          <w14:schemeClr w14:val="tx1"/>
                        </w14:solidFill>
                      </w14:textFill>
                    </w:rPr>
                    <w:t>水环境保护</w:t>
                  </w:r>
                </w:p>
              </w:tc>
              <w:tc>
                <w:tcPr>
                  <w:tcW w:w="2532" w:type="dxa"/>
                  <w:tcBorders>
                    <w:tl2br w:val="nil"/>
                    <w:tr2bl w:val="nil"/>
                  </w:tcBorders>
                  <w:noWrap w:val="0"/>
                  <w:vAlign w:val="center"/>
                </w:tcPr>
                <w:p w14:paraId="28623033">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在饮用水水源保护区和其他水体保护区内或附近施工时，应加强管理，做好污水防治措施，确保水环境不受影响。</w:t>
                  </w:r>
                </w:p>
              </w:tc>
              <w:tc>
                <w:tcPr>
                  <w:tcW w:w="2532" w:type="dxa"/>
                  <w:vMerge w:val="restart"/>
                  <w:tcBorders>
                    <w:tl2br w:val="nil"/>
                    <w:tr2bl w:val="nil"/>
                  </w:tcBorders>
                  <w:noWrap w:val="0"/>
                  <w:vAlign w:val="center"/>
                </w:tcPr>
                <w:p w14:paraId="3772FF98">
                  <w:pPr>
                    <w:pStyle w:val="26"/>
                    <w:adjustRightInd w:val="0"/>
                    <w:snapToGrid w:val="0"/>
                    <w:jc w:val="both"/>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本项目站址</w:t>
                  </w:r>
                  <w:r>
                    <w:rPr>
                      <w:rFonts w:hint="default" w:ascii="Times New Roman" w:hAnsi="Times New Roman" w:eastAsia="宋体" w:cs="Times New Roman"/>
                      <w:color w:val="000000" w:themeColor="text1"/>
                      <w:spacing w:val="8"/>
                      <w:szCs w:val="21"/>
                      <w:highlight w:val="none"/>
                      <w:lang w:val="en-US" w:eastAsia="zh-CN"/>
                      <w14:textFill>
                        <w14:solidFill>
                          <w14:schemeClr w14:val="tx1"/>
                        </w14:solidFill>
                      </w14:textFill>
                    </w:rPr>
                    <w:t>不在</w:t>
                  </w:r>
                  <w:r>
                    <w:rPr>
                      <w:rFonts w:hint="default" w:ascii="Times New Roman" w:hAnsi="Times New Roman" w:eastAsia="宋体" w:cs="Times New Roman"/>
                      <w:color w:val="000000" w:themeColor="text1"/>
                      <w:spacing w:val="8"/>
                      <w:szCs w:val="21"/>
                      <w:highlight w:val="none"/>
                      <w14:textFill>
                        <w14:solidFill>
                          <w14:schemeClr w14:val="tx1"/>
                        </w14:solidFill>
                      </w14:textFill>
                    </w:rPr>
                    <w:t>地表水水源地保护区范围内，距东北侧的饮用水源保护区13442m</w:t>
                  </w:r>
                  <w:r>
                    <w:rPr>
                      <w:rFonts w:hint="eastAsia" w:ascii="Times New Roman" w:hAnsi="Times New Roman" w:eastAsia="宋体" w:cs="Times New Roman"/>
                      <w:color w:val="000000" w:themeColor="text1"/>
                      <w:spacing w:val="8"/>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8"/>
                      <w:szCs w:val="21"/>
                      <w:highlight w:val="none"/>
                      <w14:textFill>
                        <w14:solidFill>
                          <w14:schemeClr w14:val="tx1"/>
                        </w14:solidFill>
                      </w14:textFill>
                    </w:rPr>
                    <w:t>施工期间禁止向水体排放、倾倒垃圾、弃土、弃渣等。在施工期间，加强施工管理，确保</w:t>
                  </w:r>
                  <w:r>
                    <w:rPr>
                      <w:rFonts w:hint="default" w:ascii="Times New Roman" w:hAnsi="Times New Roman" w:eastAsia="宋体" w:cs="Times New Roman"/>
                      <w:color w:val="000000" w:themeColor="text1"/>
                      <w:spacing w:val="8"/>
                      <w:szCs w:val="21"/>
                      <w:highlight w:val="none"/>
                      <w:lang w:val="en-US" w:eastAsia="zh-CN"/>
                      <w14:textFill>
                        <w14:solidFill>
                          <w14:schemeClr w14:val="tx1"/>
                        </w14:solidFill>
                      </w14:textFill>
                    </w:rPr>
                    <w:t>南运河</w:t>
                  </w:r>
                  <w:r>
                    <w:rPr>
                      <w:rFonts w:hint="default" w:ascii="Times New Roman" w:hAnsi="Times New Roman" w:eastAsia="宋体" w:cs="Times New Roman"/>
                      <w:color w:val="000000" w:themeColor="text1"/>
                      <w:spacing w:val="8"/>
                      <w:szCs w:val="21"/>
                      <w:highlight w:val="none"/>
                      <w14:textFill>
                        <w14:solidFill>
                          <w14:schemeClr w14:val="tx1"/>
                        </w14:solidFill>
                      </w14:textFill>
                    </w:rPr>
                    <w:t>不受到本项目污染。</w:t>
                  </w:r>
                </w:p>
              </w:tc>
              <w:tc>
                <w:tcPr>
                  <w:tcW w:w="1100" w:type="dxa"/>
                  <w:tcBorders>
                    <w:tl2br w:val="nil"/>
                    <w:tr2bl w:val="nil"/>
                  </w:tcBorders>
                  <w:noWrap/>
                  <w:vAlign w:val="center"/>
                </w:tcPr>
                <w:p w14:paraId="0E1DD49E">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151BDC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715B386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37</w:t>
                  </w:r>
                </w:p>
              </w:tc>
              <w:tc>
                <w:tcPr>
                  <w:tcW w:w="741" w:type="dxa"/>
                  <w:vMerge w:val="continue"/>
                  <w:tcBorders>
                    <w:tl2br w:val="nil"/>
                    <w:tr2bl w:val="nil"/>
                  </w:tcBorders>
                  <w:noWrap/>
                  <w:vAlign w:val="center"/>
                </w:tcPr>
                <w:p w14:paraId="5108E95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39" w:type="dxa"/>
                  <w:vMerge w:val="continue"/>
                  <w:tcBorders>
                    <w:tl2br w:val="nil"/>
                    <w:tr2bl w:val="nil"/>
                  </w:tcBorders>
                  <w:noWrap/>
                  <w:vAlign w:val="center"/>
                </w:tcPr>
                <w:p w14:paraId="4A41C59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32" w:type="dxa"/>
                  <w:tcBorders>
                    <w:tl2br w:val="nil"/>
                    <w:tr2bl w:val="nil"/>
                  </w:tcBorders>
                  <w:noWrap w:val="0"/>
                  <w:vAlign w:val="center"/>
                </w:tcPr>
                <w:p w14:paraId="65EDD06C">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施工期间禁止向水体排放、倾倒垃圾、弃土、弃渣，禁止排放未经处理的钻浆等废弃物。</w:t>
                  </w:r>
                </w:p>
              </w:tc>
              <w:tc>
                <w:tcPr>
                  <w:tcW w:w="2532" w:type="dxa"/>
                  <w:vMerge w:val="continue"/>
                  <w:tcBorders>
                    <w:tl2br w:val="nil"/>
                    <w:tr2bl w:val="nil"/>
                  </w:tcBorders>
                  <w:noWrap w:val="0"/>
                  <w:vAlign w:val="center"/>
                </w:tcPr>
                <w:p w14:paraId="501C812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100" w:type="dxa"/>
                  <w:tcBorders>
                    <w:tl2br w:val="nil"/>
                    <w:tr2bl w:val="nil"/>
                  </w:tcBorders>
                  <w:noWrap/>
                  <w:vAlign w:val="center"/>
                </w:tcPr>
                <w:p w14:paraId="20544934">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6660E2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70DB7D0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38</w:t>
                  </w:r>
                </w:p>
              </w:tc>
              <w:tc>
                <w:tcPr>
                  <w:tcW w:w="741" w:type="dxa"/>
                  <w:vMerge w:val="continue"/>
                  <w:tcBorders>
                    <w:tl2br w:val="nil"/>
                    <w:tr2bl w:val="nil"/>
                  </w:tcBorders>
                  <w:noWrap/>
                  <w:vAlign w:val="center"/>
                </w:tcPr>
                <w:p w14:paraId="245AE55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39" w:type="dxa"/>
                  <w:vMerge w:val="continue"/>
                  <w:tcBorders>
                    <w:tl2br w:val="nil"/>
                    <w:tr2bl w:val="nil"/>
                  </w:tcBorders>
                  <w:noWrap/>
                  <w:vAlign w:val="center"/>
                </w:tcPr>
                <w:p w14:paraId="77ABD75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32" w:type="dxa"/>
                  <w:tcBorders>
                    <w:tl2br w:val="nil"/>
                    <w:tr2bl w:val="nil"/>
                  </w:tcBorders>
                  <w:noWrap w:val="0"/>
                  <w:vAlign w:val="center"/>
                </w:tcPr>
                <w:p w14:paraId="6DCF36BB">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变电工程施工现场临时厕所的化粪池应进行防渗处理。</w:t>
                  </w:r>
                </w:p>
              </w:tc>
              <w:tc>
                <w:tcPr>
                  <w:tcW w:w="2532" w:type="dxa"/>
                  <w:tcBorders>
                    <w:tl2br w:val="nil"/>
                    <w:tr2bl w:val="nil"/>
                  </w:tcBorders>
                  <w:noWrap w:val="0"/>
                  <w:vAlign w:val="center"/>
                </w:tcPr>
                <w:p w14:paraId="711667D3">
                  <w:pPr>
                    <w:pStyle w:val="26"/>
                    <w:adjustRightInd w:val="0"/>
                    <w:snapToGrid w:val="0"/>
                    <w:jc w:val="both"/>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eastAsia"/>
                    </w:rPr>
                    <w:t>本项目不涉及变电站工程。工程施工期施工人员使用当地劳力，施工人员生活污水依托当地的生活污水处理设施，线路施工过程中产生废水主要为基础养护废水，养护废水经沉淀池沉淀处理后用于施工场地抑尘。</w:t>
                  </w:r>
                </w:p>
              </w:tc>
              <w:tc>
                <w:tcPr>
                  <w:tcW w:w="1100" w:type="dxa"/>
                  <w:tcBorders>
                    <w:tl2br w:val="nil"/>
                    <w:tr2bl w:val="nil"/>
                  </w:tcBorders>
                  <w:noWrap/>
                  <w:vAlign w:val="center"/>
                </w:tcPr>
                <w:p w14:paraId="60C0D295">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2B4C85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085E546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w:t>
                  </w:r>
                </w:p>
              </w:tc>
              <w:tc>
                <w:tcPr>
                  <w:tcW w:w="741" w:type="dxa"/>
                  <w:vMerge w:val="continue"/>
                  <w:tcBorders>
                    <w:tl2br w:val="nil"/>
                    <w:tr2bl w:val="nil"/>
                  </w:tcBorders>
                  <w:noWrap/>
                  <w:vAlign w:val="center"/>
                </w:tcPr>
                <w:p w14:paraId="6C2B890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39" w:type="dxa"/>
                  <w:vMerge w:val="restart"/>
                  <w:tcBorders>
                    <w:tl2br w:val="nil"/>
                    <w:tr2bl w:val="nil"/>
                  </w:tcBorders>
                  <w:noWrap/>
                  <w:vAlign w:val="center"/>
                </w:tcPr>
                <w:p w14:paraId="10E31A5A">
                  <w:pPr>
                    <w:pStyle w:val="26"/>
                    <w:adjustRightInd w:val="0"/>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8"/>
                      <w:szCs w:val="21"/>
                      <w:highlight w:val="none"/>
                      <w:lang w:val="en-US"/>
                      <w14:textFill>
                        <w14:solidFill>
                          <w14:schemeClr w14:val="tx1"/>
                        </w14:solidFill>
                      </w14:textFill>
                    </w:rPr>
                    <w:t>大气环境保护</w:t>
                  </w:r>
                </w:p>
              </w:tc>
              <w:tc>
                <w:tcPr>
                  <w:tcW w:w="2532" w:type="dxa"/>
                  <w:tcBorders>
                    <w:tl2br w:val="nil"/>
                    <w:tr2bl w:val="nil"/>
                  </w:tcBorders>
                  <w:noWrap w:val="0"/>
                  <w:vAlign w:val="center"/>
                </w:tcPr>
                <w:p w14:paraId="2FCCBF90">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施工过程中，应当加强对施工现场和物料运输的管理，在施工工地设置硬质围挡，保持道路清洁，管控料堆和渣土堆放，防治扬尘污染。</w:t>
                  </w:r>
                </w:p>
              </w:tc>
              <w:tc>
                <w:tcPr>
                  <w:tcW w:w="2532" w:type="dxa"/>
                  <w:tcBorders>
                    <w:tl2br w:val="nil"/>
                    <w:tr2bl w:val="nil"/>
                  </w:tcBorders>
                  <w:noWrap w:val="0"/>
                  <w:vAlign w:val="center"/>
                </w:tcPr>
                <w:p w14:paraId="53CDF993">
                  <w:pPr>
                    <w:keepNext w:val="0"/>
                    <w:keepLines w:val="0"/>
                    <w:widowControl/>
                    <w:suppressLineNumbers w:val="0"/>
                    <w:jc w:val="left"/>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eastAsia" w:ascii="宋体" w:hAnsi="宋体" w:eastAsia="宋体" w:cs="宋体"/>
                      <w:color w:val="000000"/>
                      <w:kern w:val="0"/>
                      <w:sz w:val="20"/>
                      <w:szCs w:val="20"/>
                      <w:lang w:val="en-US" w:eastAsia="zh-CN" w:bidi="ar"/>
                    </w:rPr>
                    <w:t>本项目采用商品混凝土，不在现 场进行搅拌，施工物料及渣土进行苫盖。</w:t>
                  </w:r>
                </w:p>
              </w:tc>
              <w:tc>
                <w:tcPr>
                  <w:tcW w:w="1100" w:type="dxa"/>
                  <w:tcBorders>
                    <w:tl2br w:val="nil"/>
                    <w:tr2bl w:val="nil"/>
                  </w:tcBorders>
                  <w:noWrap/>
                  <w:vAlign w:val="center"/>
                </w:tcPr>
                <w:p w14:paraId="2726F54E">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02A1AE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74C4B2E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w:t>
                  </w:r>
                </w:p>
              </w:tc>
              <w:tc>
                <w:tcPr>
                  <w:tcW w:w="741" w:type="dxa"/>
                  <w:vMerge w:val="continue"/>
                  <w:tcBorders>
                    <w:tl2br w:val="nil"/>
                    <w:tr2bl w:val="nil"/>
                  </w:tcBorders>
                  <w:noWrap/>
                  <w:vAlign w:val="center"/>
                </w:tcPr>
                <w:p w14:paraId="548897B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39" w:type="dxa"/>
                  <w:vMerge w:val="continue"/>
                  <w:tcBorders>
                    <w:tl2br w:val="nil"/>
                    <w:tr2bl w:val="nil"/>
                  </w:tcBorders>
                  <w:noWrap/>
                  <w:vAlign w:val="center"/>
                </w:tcPr>
                <w:p w14:paraId="79055C5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32" w:type="dxa"/>
                  <w:tcBorders>
                    <w:tl2br w:val="nil"/>
                    <w:tr2bl w:val="nil"/>
                  </w:tcBorders>
                  <w:noWrap w:val="0"/>
                  <w:vAlign w:val="center"/>
                </w:tcPr>
                <w:p w14:paraId="002C594F">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施工过程中，对易起尘的临时堆土、运输过程中的土石方等应采用密闭式防尘布(网) 进行苫盖，施工面集中且有条件的地方宜采取洒水降尘等有效措施，减少易造成大气污染的施工作业。</w:t>
                  </w:r>
                </w:p>
              </w:tc>
              <w:tc>
                <w:tcPr>
                  <w:tcW w:w="2532" w:type="dxa"/>
                  <w:tcBorders>
                    <w:tl2br w:val="nil"/>
                    <w:tr2bl w:val="nil"/>
                  </w:tcBorders>
                  <w:noWrap w:val="0"/>
                  <w:vAlign w:val="center"/>
                </w:tcPr>
                <w:p w14:paraId="22562E68">
                  <w:pPr>
                    <w:keepNext w:val="0"/>
                    <w:keepLines w:val="0"/>
                    <w:widowControl/>
                    <w:suppressLineNumbers w:val="0"/>
                    <w:jc w:val="left"/>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eastAsia" w:ascii="宋体" w:hAnsi="宋体" w:eastAsia="宋体" w:cs="宋体"/>
                      <w:color w:val="000000"/>
                      <w:kern w:val="0"/>
                      <w:sz w:val="20"/>
                      <w:szCs w:val="20"/>
                      <w:lang w:val="en-US" w:eastAsia="zh-CN" w:bidi="ar"/>
                    </w:rPr>
                    <w:t>采用密闭型车辆进行运输，施工场地及时进行洒水抑尘。</w:t>
                  </w:r>
                </w:p>
              </w:tc>
              <w:tc>
                <w:tcPr>
                  <w:tcW w:w="1100" w:type="dxa"/>
                  <w:tcBorders>
                    <w:tl2br w:val="nil"/>
                    <w:tr2bl w:val="nil"/>
                  </w:tcBorders>
                  <w:noWrap/>
                  <w:vAlign w:val="center"/>
                </w:tcPr>
                <w:p w14:paraId="527AE574">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65CE0E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3EF0E70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41</w:t>
                  </w:r>
                </w:p>
              </w:tc>
              <w:tc>
                <w:tcPr>
                  <w:tcW w:w="741" w:type="dxa"/>
                  <w:vMerge w:val="continue"/>
                  <w:tcBorders>
                    <w:tl2br w:val="nil"/>
                    <w:tr2bl w:val="nil"/>
                  </w:tcBorders>
                  <w:noWrap/>
                  <w:vAlign w:val="center"/>
                </w:tcPr>
                <w:p w14:paraId="304141B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39" w:type="dxa"/>
                  <w:vMerge w:val="continue"/>
                  <w:tcBorders>
                    <w:tl2br w:val="nil"/>
                    <w:tr2bl w:val="nil"/>
                  </w:tcBorders>
                  <w:noWrap/>
                  <w:vAlign w:val="center"/>
                </w:tcPr>
                <w:p w14:paraId="64B0B58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32" w:type="dxa"/>
                  <w:tcBorders>
                    <w:tl2br w:val="nil"/>
                    <w:tr2bl w:val="nil"/>
                  </w:tcBorders>
                  <w:noWrap w:val="0"/>
                  <w:vAlign w:val="center"/>
                </w:tcPr>
                <w:p w14:paraId="495D1C1A">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施工过程中，建设单位应当对裸露地面进行覆盖；暂时不能开工的建设用地超过三个月的，应当进行绿化、铺装或者遮盖。</w:t>
                  </w:r>
                </w:p>
              </w:tc>
              <w:tc>
                <w:tcPr>
                  <w:tcW w:w="2532" w:type="dxa"/>
                  <w:tcBorders>
                    <w:tl2br w:val="nil"/>
                    <w:tr2bl w:val="nil"/>
                  </w:tcBorders>
                  <w:noWrap w:val="0"/>
                  <w:vAlign w:val="center"/>
                </w:tcPr>
                <w:p w14:paraId="35D3EB79">
                  <w:pPr>
                    <w:keepNext w:val="0"/>
                    <w:keepLines w:val="0"/>
                    <w:widowControl/>
                    <w:suppressLineNumbers w:val="0"/>
                    <w:jc w:val="left"/>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eastAsia" w:ascii="宋体" w:hAnsi="宋体" w:eastAsia="宋体" w:cs="宋体"/>
                      <w:color w:val="000000"/>
                      <w:kern w:val="0"/>
                      <w:sz w:val="20"/>
                      <w:szCs w:val="20"/>
                      <w:lang w:val="en-US" w:eastAsia="zh-CN" w:bidi="ar"/>
                    </w:rPr>
                    <w:t>施工中对裸露地表进行覆盖，减少扬尘污染及水土流失。</w:t>
                  </w:r>
                </w:p>
              </w:tc>
              <w:tc>
                <w:tcPr>
                  <w:tcW w:w="1100" w:type="dxa"/>
                  <w:tcBorders>
                    <w:tl2br w:val="nil"/>
                    <w:tr2bl w:val="nil"/>
                  </w:tcBorders>
                  <w:noWrap/>
                  <w:vAlign w:val="center"/>
                </w:tcPr>
                <w:p w14:paraId="78FC9253">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57D12C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5FDF32A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42</w:t>
                  </w:r>
                </w:p>
              </w:tc>
              <w:tc>
                <w:tcPr>
                  <w:tcW w:w="741" w:type="dxa"/>
                  <w:vMerge w:val="continue"/>
                  <w:tcBorders>
                    <w:tl2br w:val="nil"/>
                    <w:tr2bl w:val="nil"/>
                  </w:tcBorders>
                  <w:noWrap/>
                  <w:vAlign w:val="center"/>
                </w:tcPr>
                <w:p w14:paraId="4F4FF3A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39" w:type="dxa"/>
                  <w:vMerge w:val="continue"/>
                  <w:tcBorders>
                    <w:tl2br w:val="nil"/>
                    <w:tr2bl w:val="nil"/>
                  </w:tcBorders>
                  <w:noWrap/>
                  <w:vAlign w:val="center"/>
                </w:tcPr>
                <w:p w14:paraId="302503F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32" w:type="dxa"/>
                  <w:tcBorders>
                    <w:tl2br w:val="nil"/>
                    <w:tr2bl w:val="nil"/>
                  </w:tcBorders>
                  <w:noWrap w:val="0"/>
                  <w:vAlign w:val="center"/>
                </w:tcPr>
                <w:p w14:paraId="5028CCEA">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施工现场禁止将包装物、可燃垃圾等固体废弃物就地焚烧。</w:t>
                  </w:r>
                </w:p>
              </w:tc>
              <w:tc>
                <w:tcPr>
                  <w:tcW w:w="2532" w:type="dxa"/>
                  <w:tcBorders>
                    <w:tl2br w:val="nil"/>
                    <w:tr2bl w:val="nil"/>
                  </w:tcBorders>
                  <w:noWrap w:val="0"/>
                  <w:vAlign w:val="center"/>
                </w:tcPr>
                <w:p w14:paraId="07E1D5A0">
                  <w:pPr>
                    <w:keepNext w:val="0"/>
                    <w:keepLines w:val="0"/>
                    <w:widowControl/>
                    <w:suppressLineNumbers w:val="0"/>
                    <w:jc w:val="left"/>
                    <w:rPr>
                      <w:rFonts w:hint="default" w:ascii="Times New Roman" w:hAnsi="Times New Roman" w:eastAsia="宋体" w:cs="Times New Roman"/>
                      <w:color w:val="000000" w:themeColor="text1"/>
                      <w:spacing w:val="8"/>
                      <w:kern w:val="2"/>
                      <w:sz w:val="21"/>
                      <w:szCs w:val="21"/>
                      <w:highlight w:val="none"/>
                      <w:lang w:val="zh-CN" w:eastAsia="zh-CN" w:bidi="zh-CN"/>
                      <w14:textFill>
                        <w14:solidFill>
                          <w14:schemeClr w14:val="tx1"/>
                        </w14:solidFill>
                      </w14:textFill>
                    </w:rPr>
                  </w:pPr>
                  <w:r>
                    <w:rPr>
                      <w:rFonts w:hint="eastAsia" w:ascii="宋体" w:hAnsi="宋体" w:eastAsia="宋体" w:cs="宋体"/>
                      <w:color w:val="000000"/>
                      <w:kern w:val="0"/>
                      <w:sz w:val="20"/>
                      <w:szCs w:val="20"/>
                      <w:lang w:val="en-US" w:eastAsia="zh-CN" w:bidi="ar"/>
                    </w:rPr>
                    <w:t>施工包装物及施工垃圾及时进行清运，不进行焚烧。</w:t>
                  </w:r>
                </w:p>
              </w:tc>
              <w:tc>
                <w:tcPr>
                  <w:tcW w:w="1100" w:type="dxa"/>
                  <w:tcBorders>
                    <w:tl2br w:val="nil"/>
                    <w:tr2bl w:val="nil"/>
                  </w:tcBorders>
                  <w:noWrap/>
                  <w:vAlign w:val="center"/>
                </w:tcPr>
                <w:p w14:paraId="7A0F401D">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482550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6C01AC8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43</w:t>
                  </w:r>
                </w:p>
              </w:tc>
              <w:tc>
                <w:tcPr>
                  <w:tcW w:w="741" w:type="dxa"/>
                  <w:vMerge w:val="continue"/>
                  <w:tcBorders>
                    <w:tl2br w:val="nil"/>
                    <w:tr2bl w:val="nil"/>
                  </w:tcBorders>
                  <w:noWrap/>
                  <w:vAlign w:val="center"/>
                </w:tcPr>
                <w:p w14:paraId="586EC1F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39" w:type="dxa"/>
                  <w:vMerge w:val="continue"/>
                  <w:tcBorders>
                    <w:tl2br w:val="nil"/>
                    <w:tr2bl w:val="nil"/>
                  </w:tcBorders>
                  <w:noWrap/>
                  <w:vAlign w:val="center"/>
                </w:tcPr>
                <w:p w14:paraId="0161327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532" w:type="dxa"/>
                  <w:tcBorders>
                    <w:tl2br w:val="nil"/>
                    <w:tr2bl w:val="nil"/>
                  </w:tcBorders>
                  <w:noWrap w:val="0"/>
                  <w:vAlign w:val="center"/>
                </w:tcPr>
                <w:p w14:paraId="6CB0812B">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位于城市规划区内的输变电建设项目，施工扬尘污染的防治还应符合 HJ/T 393 的规定。</w:t>
                  </w:r>
                </w:p>
              </w:tc>
              <w:tc>
                <w:tcPr>
                  <w:tcW w:w="2532" w:type="dxa"/>
                  <w:tcBorders>
                    <w:tl2br w:val="nil"/>
                    <w:tr2bl w:val="nil"/>
                  </w:tcBorders>
                  <w:noWrap w:val="0"/>
                  <w:vAlign w:val="center"/>
                </w:tcPr>
                <w:p w14:paraId="3318F79B">
                  <w:pPr>
                    <w:pStyle w:val="26"/>
                    <w:adjustRightInd w:val="0"/>
                    <w:snapToGrid w:val="0"/>
                    <w:jc w:val="both"/>
                    <w:rPr>
                      <w:rFonts w:hint="default" w:ascii="Times New Roman" w:hAnsi="Times New Roman" w:eastAsia="宋体" w:cs="Times New Roman"/>
                      <w:color w:val="000000" w:themeColor="text1"/>
                      <w:spacing w:val="8"/>
                      <w:ker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本项目位于河北省承德市围场满族蒙古族自治县城子镇、牌楼乡、燕格柏乡和半截塔镇，不属于城市规划区</w:t>
                  </w:r>
                  <w:r>
                    <w:rPr>
                      <w:rFonts w:hint="default" w:ascii="Times New Roman" w:hAnsi="Times New Roman" w:eastAsia="宋体" w:cs="Times New Roman"/>
                      <w:color w:val="000000" w:themeColor="text1"/>
                      <w:spacing w:val="8"/>
                      <w:szCs w:val="21"/>
                      <w:highlight w:val="none"/>
                      <w:lang w:eastAsia="zh-CN"/>
                      <w14:textFill>
                        <w14:solidFill>
                          <w14:schemeClr w14:val="tx1"/>
                        </w14:solidFill>
                      </w14:textFill>
                    </w:rPr>
                    <w:t>。</w:t>
                  </w:r>
                </w:p>
              </w:tc>
              <w:tc>
                <w:tcPr>
                  <w:tcW w:w="1100" w:type="dxa"/>
                  <w:tcBorders>
                    <w:tl2br w:val="nil"/>
                    <w:tr2bl w:val="nil"/>
                  </w:tcBorders>
                  <w:noWrap/>
                  <w:vAlign w:val="center"/>
                </w:tcPr>
                <w:p w14:paraId="01B33B70">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7056F8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4616AA2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44</w:t>
                  </w:r>
                </w:p>
              </w:tc>
              <w:tc>
                <w:tcPr>
                  <w:tcW w:w="741" w:type="dxa"/>
                  <w:vMerge w:val="continue"/>
                  <w:tcBorders>
                    <w:tl2br w:val="nil"/>
                    <w:tr2bl w:val="nil"/>
                  </w:tcBorders>
                  <w:noWrap/>
                  <w:vAlign w:val="center"/>
                </w:tcPr>
                <w:p w14:paraId="6D1192D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39" w:type="dxa"/>
                  <w:vMerge w:val="restart"/>
                  <w:tcBorders>
                    <w:tl2br w:val="nil"/>
                    <w:tr2bl w:val="nil"/>
                  </w:tcBorders>
                  <w:noWrap/>
                  <w:vAlign w:val="center"/>
                </w:tcPr>
                <w:p w14:paraId="3467BE3A">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lang w:val="en-US"/>
                      <w14:textFill>
                        <w14:solidFill>
                          <w14:schemeClr w14:val="tx1"/>
                        </w14:solidFill>
                      </w14:textFill>
                    </w:rPr>
                    <w:t>固体废弃物处置</w:t>
                  </w:r>
                </w:p>
              </w:tc>
              <w:tc>
                <w:tcPr>
                  <w:tcW w:w="2532" w:type="dxa"/>
                  <w:tcBorders>
                    <w:tl2br w:val="nil"/>
                    <w:tr2bl w:val="nil"/>
                  </w:tcBorders>
                  <w:noWrap w:val="0"/>
                  <w:vAlign w:val="center"/>
                </w:tcPr>
                <w:p w14:paraId="5C9F9038">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施工过程中产生的土石方、建筑垃圾、生活垃圾应分类集中收集，并按国家和地方有关规定定期进行清运处置，施工完成后及时做好迹地清理工作。</w:t>
                  </w:r>
                </w:p>
              </w:tc>
              <w:tc>
                <w:tcPr>
                  <w:tcW w:w="2532" w:type="dxa"/>
                  <w:tcBorders>
                    <w:tl2br w:val="nil"/>
                    <w:tr2bl w:val="nil"/>
                  </w:tcBorders>
                  <w:noWrap w:val="0"/>
                  <w:vAlign w:val="center"/>
                </w:tcPr>
                <w:p w14:paraId="17D821A2">
                  <w:pPr>
                    <w:keepNext w:val="0"/>
                    <w:keepLines w:val="0"/>
                    <w:widowControl/>
                    <w:suppressLineNumbers w:val="0"/>
                    <w:jc w:val="left"/>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eastAsia" w:ascii="宋体" w:hAnsi="宋体" w:eastAsia="宋体" w:cs="宋体"/>
                      <w:color w:val="000000"/>
                      <w:kern w:val="0"/>
                      <w:sz w:val="20"/>
                      <w:szCs w:val="20"/>
                      <w:lang w:val="en-US" w:eastAsia="zh-CN" w:bidi="ar"/>
                    </w:rPr>
                    <w:t>施工过程中产生的土石方、建筑垃圾、生活垃圾应分类集中收集，并按国家和地方有关规定定期进行清运处置，施工结束后及时进行生态恢复。</w:t>
                  </w:r>
                </w:p>
              </w:tc>
              <w:tc>
                <w:tcPr>
                  <w:tcW w:w="1100" w:type="dxa"/>
                  <w:tcBorders>
                    <w:tl2br w:val="nil"/>
                    <w:tr2bl w:val="nil"/>
                  </w:tcBorders>
                  <w:noWrap/>
                  <w:vAlign w:val="center"/>
                </w:tcPr>
                <w:p w14:paraId="7E4318D7">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002CEB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3A905E9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741" w:type="dxa"/>
                  <w:vMerge w:val="continue"/>
                  <w:tcBorders>
                    <w:tl2br w:val="nil"/>
                    <w:tr2bl w:val="nil"/>
                  </w:tcBorders>
                  <w:noWrap/>
                  <w:vAlign w:val="center"/>
                </w:tcPr>
                <w:p w14:paraId="35225FE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39" w:type="dxa"/>
                  <w:vMerge w:val="continue"/>
                  <w:tcBorders>
                    <w:tl2br w:val="nil"/>
                    <w:tr2bl w:val="nil"/>
                  </w:tcBorders>
                  <w:noWrap/>
                  <w:vAlign w:val="center"/>
                </w:tcPr>
                <w:p w14:paraId="3C15BF74">
                  <w:pPr>
                    <w:pStyle w:val="26"/>
                    <w:adjustRightInd w:val="0"/>
                    <w:snapToGrid w:val="0"/>
                    <w:jc w:val="center"/>
                    <w:rPr>
                      <w:rFonts w:hint="default" w:ascii="Times New Roman" w:hAnsi="Times New Roman" w:eastAsia="宋体" w:cs="Times New Roman"/>
                      <w:color w:val="000000" w:themeColor="text1"/>
                      <w:spacing w:val="8"/>
                      <w:szCs w:val="21"/>
                      <w:highlight w:val="none"/>
                      <w:lang w:val="en-US"/>
                      <w14:textFill>
                        <w14:solidFill>
                          <w14:schemeClr w14:val="tx1"/>
                        </w14:solidFill>
                      </w14:textFill>
                    </w:rPr>
                  </w:pPr>
                </w:p>
              </w:tc>
              <w:tc>
                <w:tcPr>
                  <w:tcW w:w="2532" w:type="dxa"/>
                  <w:tcBorders>
                    <w:tl2br w:val="nil"/>
                    <w:tr2bl w:val="nil"/>
                  </w:tcBorders>
                  <w:noWrap w:val="0"/>
                  <w:vAlign w:val="center"/>
                </w:tcPr>
                <w:p w14:paraId="4899A258">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在农田和经济作物区施工时，施工临时占地宜采取隔离保护措施，施工结束后应将混凝土余料和残渣及时清除，以免影响后期土地功能的恢复。</w:t>
                  </w:r>
                </w:p>
              </w:tc>
              <w:tc>
                <w:tcPr>
                  <w:tcW w:w="2532" w:type="dxa"/>
                  <w:tcBorders>
                    <w:tl2br w:val="nil"/>
                    <w:tr2bl w:val="nil"/>
                  </w:tcBorders>
                  <w:noWrap w:val="0"/>
                  <w:vAlign w:val="center"/>
                </w:tcPr>
                <w:p w14:paraId="596E17AB">
                  <w:pPr>
                    <w:pStyle w:val="26"/>
                    <w:adjustRightInd w:val="0"/>
                    <w:snapToGrid w:val="0"/>
                    <w:jc w:val="both"/>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eastAsia"/>
                      <w:spacing w:val="-8"/>
                      <w:highlight w:val="none"/>
                      <w:lang w:val="en-US" w:eastAsia="zh-CN"/>
                    </w:rPr>
                    <w:t>本</w:t>
                  </w:r>
                  <w:r>
                    <w:rPr>
                      <w:spacing w:val="-8"/>
                      <w:highlight w:val="none"/>
                    </w:rPr>
                    <w:t>项目为输变电工程，新建</w:t>
                  </w:r>
                  <w:r>
                    <w:rPr>
                      <w:spacing w:val="-18"/>
                      <w:highlight w:val="none"/>
                    </w:rPr>
                    <w:t xml:space="preserve"> </w:t>
                  </w:r>
                  <w:r>
                    <w:rPr>
                      <w:rFonts w:hint="eastAsia" w:ascii="Times New Roman" w:hAnsi="Times New Roman" w:cs="Times New Roman"/>
                      <w:spacing w:val="-8"/>
                      <w:highlight w:val="none"/>
                      <w:lang w:val="en-US" w:eastAsia="zh-CN"/>
                    </w:rPr>
                    <w:t>29.9</w:t>
                  </w:r>
                  <w:r>
                    <w:rPr>
                      <w:rFonts w:ascii="Times New Roman" w:hAnsi="Times New Roman" w:eastAsia="Times New Roman" w:cs="Times New Roman"/>
                      <w:spacing w:val="-8"/>
                      <w:highlight w:val="none"/>
                    </w:rPr>
                    <w:t>km</w:t>
                  </w:r>
                  <w:r>
                    <w:rPr>
                      <w:rFonts w:ascii="Times New Roman" w:hAnsi="Times New Roman" w:eastAsia="Times New Roman" w:cs="Times New Roman"/>
                      <w:highlight w:val="none"/>
                    </w:rPr>
                    <w:t xml:space="preserve"> </w:t>
                  </w:r>
                  <w:r>
                    <w:rPr>
                      <w:spacing w:val="1"/>
                      <w:highlight w:val="none"/>
                    </w:rPr>
                    <w:t>的架空输电线路</w:t>
                  </w:r>
                  <w:r>
                    <w:rPr>
                      <w:rFonts w:hint="eastAsia" w:ascii="Times New Roman" w:hAnsi="Times New Roman" w:eastAsia="宋体" w:cs="Times New Roman"/>
                      <w:color w:val="000000" w:themeColor="text1"/>
                      <w:spacing w:val="8"/>
                      <w:szCs w:val="21"/>
                      <w:highlight w:val="none"/>
                      <w:lang w:val="en-US" w:eastAsia="zh-CN"/>
                      <w14:textFill>
                        <w14:solidFill>
                          <w14:schemeClr w14:val="tx1"/>
                        </w14:solidFill>
                      </w14:textFill>
                    </w:rPr>
                    <w:t>，</w:t>
                  </w:r>
                  <w:r>
                    <w:rPr>
                      <w:rFonts w:hint="eastAsia" w:ascii="Times New Roman" w:hAnsi="Times New Roman" w:cs="Times New Roman"/>
                      <w:color w:val="000000" w:themeColor="text1"/>
                      <w:spacing w:val="8"/>
                      <w:szCs w:val="21"/>
                      <w:highlight w:val="none"/>
                      <w:lang w:val="en-US" w:eastAsia="zh-CN"/>
                      <w14:textFill>
                        <w14:solidFill>
                          <w14:schemeClr w14:val="tx1"/>
                        </w14:solidFill>
                      </w14:textFill>
                    </w:rPr>
                    <w:t>不涉及临时用地。</w:t>
                  </w:r>
                </w:p>
              </w:tc>
              <w:tc>
                <w:tcPr>
                  <w:tcW w:w="1100" w:type="dxa"/>
                  <w:tcBorders>
                    <w:tl2br w:val="nil"/>
                    <w:tr2bl w:val="nil"/>
                  </w:tcBorders>
                  <w:noWrap/>
                  <w:vAlign w:val="center"/>
                </w:tcPr>
                <w:p w14:paraId="129EAC62">
                  <w:pPr>
                    <w:pStyle w:val="26"/>
                    <w:adjustRightInd w:val="0"/>
                    <w:snapToGrid w:val="0"/>
                    <w:jc w:val="center"/>
                    <w:rPr>
                      <w:rFonts w:hint="default" w:ascii="Times New Roman" w:hAnsi="Times New Roman" w:eastAsia="宋体" w:cs="Times New Roman"/>
                      <w:color w:val="000000" w:themeColor="text1"/>
                      <w:spacing w:val="8"/>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471FC6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6465172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w:t>
                  </w:r>
                </w:p>
              </w:tc>
              <w:tc>
                <w:tcPr>
                  <w:tcW w:w="1480" w:type="dxa"/>
                  <w:gridSpan w:val="2"/>
                  <w:vMerge w:val="restart"/>
                  <w:tcBorders>
                    <w:tl2br w:val="nil"/>
                    <w:tr2bl w:val="nil"/>
                  </w:tcBorders>
                  <w:noWrap/>
                  <w:vAlign w:val="center"/>
                </w:tcPr>
                <w:p w14:paraId="3E05387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运行</w:t>
                  </w:r>
                </w:p>
              </w:tc>
              <w:tc>
                <w:tcPr>
                  <w:tcW w:w="2532" w:type="dxa"/>
                  <w:tcBorders>
                    <w:tl2br w:val="nil"/>
                    <w:tr2bl w:val="nil"/>
                  </w:tcBorders>
                  <w:noWrap w:val="0"/>
                  <w:vAlign w:val="center"/>
                </w:tcPr>
                <w:p w14:paraId="28FF65AE">
                  <w:pPr>
                    <w:pStyle w:val="26"/>
                    <w:adjustRightInd w:val="0"/>
                    <w:snapToGrid w:val="0"/>
                    <w:jc w:val="center"/>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eastAsia" w:ascii="Times New Roman" w:hAnsi="Times New Roman" w:cs="Times New Roman"/>
                      <w:color w:val="000000" w:themeColor="text1"/>
                      <w:spacing w:val="8"/>
                      <w:szCs w:val="21"/>
                      <w:highlight w:val="none"/>
                      <w:lang w:eastAsia="zh-CN"/>
                      <w14:textFill>
                        <w14:solidFill>
                          <w14:schemeClr w14:val="tx1"/>
                        </w14:solidFill>
                      </w14:textFill>
                    </w:rPr>
                    <w:t>运营期</w:t>
                  </w:r>
                  <w:r>
                    <w:rPr>
                      <w:rFonts w:hint="default" w:ascii="Times New Roman" w:hAnsi="Times New Roman" w:eastAsia="宋体" w:cs="Times New Roman"/>
                      <w:color w:val="000000" w:themeColor="text1"/>
                      <w:spacing w:val="8"/>
                      <w:szCs w:val="21"/>
                      <w:highlight w:val="none"/>
                      <w14:textFill>
                        <w14:solidFill>
                          <w14:schemeClr w14:val="tx1"/>
                        </w14:solidFill>
                      </w14:textFill>
                    </w:rPr>
                    <w:t>做好环境保护设施的维护和运行管理，加强巡查和检查，保障发挥环境保护作用。定期开展环境监测，确保电磁、噪声、废水排放符合GB8702、GB12348、GB8978等国家标准要求，并及时解决公众合理的环境保护诉求。</w:t>
                  </w:r>
                </w:p>
              </w:tc>
              <w:tc>
                <w:tcPr>
                  <w:tcW w:w="2532" w:type="dxa"/>
                  <w:tcBorders>
                    <w:tl2br w:val="nil"/>
                    <w:tr2bl w:val="nil"/>
                  </w:tcBorders>
                  <w:noWrap w:val="0"/>
                  <w:vAlign w:val="center"/>
                </w:tcPr>
                <w:p w14:paraId="1954323E">
                  <w:pPr>
                    <w:pStyle w:val="26"/>
                    <w:adjustRightInd w:val="0"/>
                    <w:snapToGrid w:val="0"/>
                    <w:jc w:val="both"/>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eastAsia" w:ascii="Times New Roman" w:hAnsi="Times New Roman" w:cs="Times New Roman"/>
                      <w:color w:val="000000" w:themeColor="text1"/>
                      <w:spacing w:val="8"/>
                      <w:szCs w:val="21"/>
                      <w:highlight w:val="none"/>
                      <w:lang w:eastAsia="zh-CN"/>
                      <w14:textFill>
                        <w14:solidFill>
                          <w14:schemeClr w14:val="tx1"/>
                        </w14:solidFill>
                      </w14:textFill>
                    </w:rPr>
                    <w:t>运营期</w:t>
                  </w:r>
                  <w:r>
                    <w:rPr>
                      <w:rFonts w:hint="default" w:ascii="Times New Roman" w:hAnsi="Times New Roman" w:eastAsia="宋体" w:cs="Times New Roman"/>
                      <w:color w:val="000000" w:themeColor="text1"/>
                      <w:spacing w:val="8"/>
                      <w:szCs w:val="21"/>
                      <w:highlight w:val="none"/>
                      <w14:textFill>
                        <w14:solidFill>
                          <w14:schemeClr w14:val="tx1"/>
                        </w14:solidFill>
                      </w14:textFill>
                    </w:rPr>
                    <w:t>做好环境保护设施的维护和运行管理，加强巡查和检查，保障发挥环境保护作用。定期开展环境监测，确保电磁、噪声排放符合GB8702、GB12348等国家标准要求，并及时解决公众合理的环境保护诉求。</w:t>
                  </w:r>
                </w:p>
              </w:tc>
              <w:tc>
                <w:tcPr>
                  <w:tcW w:w="1100" w:type="dxa"/>
                  <w:tcBorders>
                    <w:tl2br w:val="nil"/>
                    <w:tr2bl w:val="nil"/>
                  </w:tcBorders>
                  <w:noWrap/>
                  <w:vAlign w:val="center"/>
                </w:tcPr>
                <w:p w14:paraId="7187316F">
                  <w:pPr>
                    <w:pStyle w:val="26"/>
                    <w:adjustRightInd w:val="0"/>
                    <w:snapToGrid w:val="0"/>
                    <w:jc w:val="center"/>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01171C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405C9A5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47</w:t>
                  </w:r>
                </w:p>
              </w:tc>
              <w:tc>
                <w:tcPr>
                  <w:tcW w:w="1480" w:type="dxa"/>
                  <w:gridSpan w:val="2"/>
                  <w:vMerge w:val="continue"/>
                  <w:tcBorders>
                    <w:tl2br w:val="nil"/>
                    <w:tr2bl w:val="nil"/>
                  </w:tcBorders>
                  <w:noWrap/>
                  <w:vAlign w:val="center"/>
                </w:tcPr>
                <w:p w14:paraId="15754AD8">
                  <w:pPr>
                    <w:pStyle w:val="26"/>
                    <w:adjustRightInd w:val="0"/>
                    <w:snapToGrid w:val="0"/>
                    <w:jc w:val="center"/>
                    <w:rPr>
                      <w:rFonts w:hint="default" w:ascii="Times New Roman" w:hAnsi="Times New Roman" w:eastAsia="宋体" w:cs="Times New Roman"/>
                      <w:color w:val="000000" w:themeColor="text1"/>
                      <w:spacing w:val="8"/>
                      <w:szCs w:val="21"/>
                      <w:highlight w:val="none"/>
                      <w:lang w:val="en-US"/>
                      <w14:textFill>
                        <w14:solidFill>
                          <w14:schemeClr w14:val="tx1"/>
                        </w14:solidFill>
                      </w14:textFill>
                    </w:rPr>
                  </w:pPr>
                </w:p>
              </w:tc>
              <w:tc>
                <w:tcPr>
                  <w:tcW w:w="2532" w:type="dxa"/>
                  <w:tcBorders>
                    <w:tl2br w:val="nil"/>
                    <w:tr2bl w:val="nil"/>
                  </w:tcBorders>
                  <w:noWrap w:val="0"/>
                  <w:vAlign w:val="center"/>
                </w:tcPr>
                <w:p w14:paraId="63E9F8D8">
                  <w:pPr>
                    <w:pStyle w:val="26"/>
                    <w:adjustRightInd w:val="0"/>
                    <w:snapToGrid w:val="0"/>
                    <w:jc w:val="center"/>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主要声源设备大修前后，应对变电工程厂界排放噪声和周围声环境敏感目标环境噪声进行监测，监测结果向社会公开。</w:t>
                  </w:r>
                </w:p>
              </w:tc>
              <w:tc>
                <w:tcPr>
                  <w:tcW w:w="2532" w:type="dxa"/>
                  <w:tcBorders>
                    <w:tl2br w:val="nil"/>
                    <w:tr2bl w:val="nil"/>
                  </w:tcBorders>
                  <w:noWrap w:val="0"/>
                  <w:vAlign w:val="center"/>
                </w:tcPr>
                <w:p w14:paraId="40081D06">
                  <w:pPr>
                    <w:pStyle w:val="26"/>
                    <w:adjustRightInd w:val="0"/>
                    <w:snapToGrid w:val="0"/>
                    <w:jc w:val="both"/>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主要声源设备大修前后，应对变电工程厂界排放噪声和周围声环境敏感目标环境噪声进行监测，监测结果向社会公开。</w:t>
                  </w:r>
                </w:p>
              </w:tc>
              <w:tc>
                <w:tcPr>
                  <w:tcW w:w="1100" w:type="dxa"/>
                  <w:tcBorders>
                    <w:tl2br w:val="nil"/>
                    <w:tr2bl w:val="nil"/>
                  </w:tcBorders>
                  <w:noWrap/>
                  <w:vAlign w:val="center"/>
                </w:tcPr>
                <w:p w14:paraId="3BA907CF">
                  <w:pPr>
                    <w:pStyle w:val="26"/>
                    <w:adjustRightInd w:val="0"/>
                    <w:snapToGrid w:val="0"/>
                    <w:jc w:val="center"/>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00082B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4E6FB16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48</w:t>
                  </w:r>
                </w:p>
              </w:tc>
              <w:tc>
                <w:tcPr>
                  <w:tcW w:w="1480" w:type="dxa"/>
                  <w:gridSpan w:val="2"/>
                  <w:vMerge w:val="continue"/>
                  <w:tcBorders>
                    <w:tl2br w:val="nil"/>
                    <w:tr2bl w:val="nil"/>
                  </w:tcBorders>
                  <w:noWrap/>
                  <w:vAlign w:val="center"/>
                </w:tcPr>
                <w:p w14:paraId="67EE46C8">
                  <w:pPr>
                    <w:pStyle w:val="26"/>
                    <w:adjustRightInd w:val="0"/>
                    <w:snapToGrid w:val="0"/>
                    <w:jc w:val="center"/>
                    <w:rPr>
                      <w:rFonts w:hint="default" w:ascii="Times New Roman" w:hAnsi="Times New Roman" w:eastAsia="宋体" w:cs="Times New Roman"/>
                      <w:color w:val="000000" w:themeColor="text1"/>
                      <w:spacing w:val="8"/>
                      <w:szCs w:val="21"/>
                      <w:highlight w:val="none"/>
                      <w:lang w:val="en-US"/>
                      <w14:textFill>
                        <w14:solidFill>
                          <w14:schemeClr w14:val="tx1"/>
                        </w14:solidFill>
                      </w14:textFill>
                    </w:rPr>
                  </w:pPr>
                </w:p>
              </w:tc>
              <w:tc>
                <w:tcPr>
                  <w:tcW w:w="2532" w:type="dxa"/>
                  <w:tcBorders>
                    <w:tl2br w:val="nil"/>
                    <w:tr2bl w:val="nil"/>
                  </w:tcBorders>
                  <w:noWrap w:val="0"/>
                  <w:vAlign w:val="center"/>
                </w:tcPr>
                <w:p w14:paraId="10594655">
                  <w:pPr>
                    <w:pStyle w:val="26"/>
                    <w:adjustRightInd w:val="0"/>
                    <w:snapToGrid w:val="0"/>
                    <w:jc w:val="center"/>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eastAsia" w:ascii="Times New Roman" w:hAnsi="Times New Roman" w:cs="Times New Roman"/>
                      <w:color w:val="000000" w:themeColor="text1"/>
                      <w:spacing w:val="8"/>
                      <w:szCs w:val="21"/>
                      <w:highlight w:val="none"/>
                      <w:lang w:eastAsia="zh-CN"/>
                      <w14:textFill>
                        <w14:solidFill>
                          <w14:schemeClr w14:val="tx1"/>
                        </w14:solidFill>
                      </w14:textFill>
                    </w:rPr>
                    <w:t>运营期</w:t>
                  </w:r>
                  <w:r>
                    <w:rPr>
                      <w:rFonts w:hint="default" w:ascii="Times New Roman" w:hAnsi="Times New Roman" w:eastAsia="宋体" w:cs="Times New Roman"/>
                      <w:color w:val="000000" w:themeColor="text1"/>
                      <w:spacing w:val="8"/>
                      <w:szCs w:val="21"/>
                      <w:highlight w:val="none"/>
                      <w14:textFill>
                        <w14:solidFill>
                          <w14:schemeClr w14:val="tx1"/>
                        </w14:solidFill>
                      </w14:textFill>
                    </w:rPr>
                    <w:t>应对事故油池的完好情况进行检查，确保无渗漏、无溢流。</w:t>
                  </w:r>
                </w:p>
              </w:tc>
              <w:tc>
                <w:tcPr>
                  <w:tcW w:w="2532" w:type="dxa"/>
                  <w:tcBorders>
                    <w:tl2br w:val="nil"/>
                    <w:tr2bl w:val="nil"/>
                  </w:tcBorders>
                  <w:noWrap w:val="0"/>
                  <w:vAlign w:val="center"/>
                </w:tcPr>
                <w:p w14:paraId="46E799FF">
                  <w:pPr>
                    <w:keepNext w:val="0"/>
                    <w:keepLines w:val="0"/>
                    <w:widowControl/>
                    <w:suppressLineNumbers w:val="0"/>
                    <w:jc w:val="left"/>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eastAsia" w:ascii="宋体" w:hAnsi="宋体" w:eastAsia="宋体" w:cs="宋体"/>
                      <w:color w:val="000000"/>
                      <w:kern w:val="0"/>
                      <w:sz w:val="20"/>
                      <w:szCs w:val="20"/>
                      <w:lang w:val="en-US" w:eastAsia="zh-CN" w:bidi="ar"/>
                    </w:rPr>
                    <w:t>本项目</w:t>
                  </w:r>
                  <w:r>
                    <w:rPr>
                      <w:rFonts w:hint="eastAsia" w:ascii="宋体" w:hAnsi="宋体" w:cs="宋体"/>
                      <w:color w:val="000000"/>
                      <w:kern w:val="0"/>
                      <w:sz w:val="20"/>
                      <w:szCs w:val="20"/>
                      <w:lang w:val="en-US" w:eastAsia="zh-CN" w:bidi="ar"/>
                    </w:rPr>
                    <w:t>运营期</w:t>
                  </w:r>
                  <w:r>
                    <w:rPr>
                      <w:rFonts w:hint="eastAsia" w:ascii="宋体" w:hAnsi="宋体" w:eastAsia="宋体" w:cs="宋体"/>
                      <w:color w:val="000000"/>
                      <w:kern w:val="0"/>
                      <w:sz w:val="20"/>
                      <w:szCs w:val="20"/>
                      <w:lang w:val="en-US" w:eastAsia="zh-CN" w:bidi="ar"/>
                    </w:rPr>
                    <w:t>不产生固体废物。</w:t>
                  </w:r>
                </w:p>
              </w:tc>
              <w:tc>
                <w:tcPr>
                  <w:tcW w:w="1100" w:type="dxa"/>
                  <w:tcBorders>
                    <w:tl2br w:val="nil"/>
                    <w:tr2bl w:val="nil"/>
                  </w:tcBorders>
                  <w:noWrap/>
                  <w:vAlign w:val="center"/>
                </w:tcPr>
                <w:p w14:paraId="0C2409C5">
                  <w:pPr>
                    <w:pStyle w:val="26"/>
                    <w:adjustRightInd w:val="0"/>
                    <w:snapToGrid w:val="0"/>
                    <w:jc w:val="center"/>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5EF503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3" w:type="dxa"/>
                  <w:tcBorders>
                    <w:tl2br w:val="nil"/>
                    <w:tr2bl w:val="nil"/>
                  </w:tcBorders>
                  <w:noWrap/>
                  <w:vAlign w:val="center"/>
                </w:tcPr>
                <w:p w14:paraId="2F41D4F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49</w:t>
                  </w:r>
                </w:p>
              </w:tc>
              <w:tc>
                <w:tcPr>
                  <w:tcW w:w="1480" w:type="dxa"/>
                  <w:gridSpan w:val="2"/>
                  <w:vMerge w:val="continue"/>
                  <w:tcBorders>
                    <w:tl2br w:val="nil"/>
                    <w:tr2bl w:val="nil"/>
                  </w:tcBorders>
                  <w:noWrap/>
                  <w:vAlign w:val="center"/>
                </w:tcPr>
                <w:p w14:paraId="7C696254">
                  <w:pPr>
                    <w:pStyle w:val="26"/>
                    <w:adjustRightInd w:val="0"/>
                    <w:snapToGrid w:val="0"/>
                    <w:jc w:val="center"/>
                    <w:rPr>
                      <w:rFonts w:hint="default" w:ascii="Times New Roman" w:hAnsi="Times New Roman" w:eastAsia="宋体" w:cs="Times New Roman"/>
                      <w:color w:val="000000" w:themeColor="text1"/>
                      <w:spacing w:val="8"/>
                      <w:szCs w:val="21"/>
                      <w:highlight w:val="none"/>
                      <w:lang w:val="en-US"/>
                      <w14:textFill>
                        <w14:solidFill>
                          <w14:schemeClr w14:val="tx1"/>
                        </w14:solidFill>
                      </w14:textFill>
                    </w:rPr>
                  </w:pPr>
                </w:p>
              </w:tc>
              <w:tc>
                <w:tcPr>
                  <w:tcW w:w="2532" w:type="dxa"/>
                  <w:tcBorders>
                    <w:tl2br w:val="nil"/>
                    <w:tr2bl w:val="nil"/>
                  </w:tcBorders>
                  <w:noWrap w:val="0"/>
                  <w:vAlign w:val="center"/>
                </w:tcPr>
                <w:p w14:paraId="02AD711A">
                  <w:pPr>
                    <w:pStyle w:val="26"/>
                    <w:adjustRightInd w:val="0"/>
                    <w:snapToGrid w:val="0"/>
                    <w:jc w:val="center"/>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eastAsia" w:ascii="Times New Roman" w:hAnsi="Times New Roman" w:cs="Times New Roman"/>
                      <w:color w:val="000000" w:themeColor="text1"/>
                      <w:spacing w:val="8"/>
                      <w:szCs w:val="21"/>
                      <w:highlight w:val="none"/>
                      <w:lang w:eastAsia="zh-CN"/>
                      <w14:textFill>
                        <w14:solidFill>
                          <w14:schemeClr w14:val="tx1"/>
                        </w14:solidFill>
                      </w14:textFill>
                    </w:rPr>
                    <w:t>运营期</w:t>
                  </w:r>
                  <w:r>
                    <w:rPr>
                      <w:rFonts w:hint="default" w:ascii="Times New Roman" w:hAnsi="Times New Roman" w:eastAsia="宋体" w:cs="Times New Roman"/>
                      <w:color w:val="000000" w:themeColor="text1"/>
                      <w:spacing w:val="8"/>
                      <w:szCs w:val="21"/>
                      <w:highlight w:val="none"/>
                      <w14:textFill>
                        <w14:solidFill>
                          <w14:schemeClr w14:val="tx1"/>
                        </w14:solidFill>
                      </w14:textFill>
                    </w:rPr>
                    <w:t>做好环境保护设施的维护和运行管理，加强巡查和检查，保障发挥环境保护作用。定期开展环境监测，确保电磁、噪声、废水排放符合GB8702、GB12348、GB8978等国家标准要求，并及时解决公众合理的环境保护诉求。</w:t>
                  </w:r>
                </w:p>
              </w:tc>
              <w:tc>
                <w:tcPr>
                  <w:tcW w:w="2532" w:type="dxa"/>
                  <w:tcBorders>
                    <w:tl2br w:val="nil"/>
                    <w:tr2bl w:val="nil"/>
                  </w:tcBorders>
                  <w:noWrap w:val="0"/>
                  <w:vAlign w:val="center"/>
                </w:tcPr>
                <w:p w14:paraId="7B92A204">
                  <w:pPr>
                    <w:pStyle w:val="26"/>
                    <w:adjustRightInd w:val="0"/>
                    <w:snapToGrid w:val="0"/>
                    <w:jc w:val="both"/>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eastAsia" w:ascii="Times New Roman" w:hAnsi="Times New Roman" w:cs="Times New Roman"/>
                      <w:color w:val="000000" w:themeColor="text1"/>
                      <w:spacing w:val="8"/>
                      <w:szCs w:val="21"/>
                      <w:highlight w:val="none"/>
                      <w:lang w:eastAsia="zh-CN"/>
                      <w14:textFill>
                        <w14:solidFill>
                          <w14:schemeClr w14:val="tx1"/>
                        </w14:solidFill>
                      </w14:textFill>
                    </w:rPr>
                    <w:t>运营期</w:t>
                  </w:r>
                  <w:r>
                    <w:rPr>
                      <w:rFonts w:hint="default" w:ascii="Times New Roman" w:hAnsi="Times New Roman" w:eastAsia="宋体" w:cs="Times New Roman"/>
                      <w:color w:val="000000" w:themeColor="text1"/>
                      <w:spacing w:val="8"/>
                      <w:szCs w:val="21"/>
                      <w:highlight w:val="none"/>
                      <w14:textFill>
                        <w14:solidFill>
                          <w14:schemeClr w14:val="tx1"/>
                        </w14:solidFill>
                      </w14:textFill>
                    </w:rPr>
                    <w:t>做好环境保护设施的维护和运行管理，加强巡查和检查，保障发挥环境保护作用。定期开展环境监测，确保电磁、噪声排放符合GB8702、GB12348等国家标准要求，并及时解决公众合理的环境保护诉求。</w:t>
                  </w:r>
                </w:p>
              </w:tc>
              <w:tc>
                <w:tcPr>
                  <w:tcW w:w="1100" w:type="dxa"/>
                  <w:tcBorders>
                    <w:tl2br w:val="nil"/>
                    <w:tr2bl w:val="nil"/>
                  </w:tcBorders>
                  <w:noWrap/>
                  <w:vAlign w:val="center"/>
                </w:tcPr>
                <w:p w14:paraId="4B9A0E26">
                  <w:pPr>
                    <w:pStyle w:val="26"/>
                    <w:adjustRightInd w:val="0"/>
                    <w:snapToGrid w:val="0"/>
                    <w:jc w:val="center"/>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符合</w:t>
                  </w:r>
                </w:p>
              </w:tc>
            </w:tr>
            <w:tr w14:paraId="127A42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83" w:type="dxa"/>
                  <w:tcBorders>
                    <w:tl2br w:val="nil"/>
                    <w:tr2bl w:val="nil"/>
                  </w:tcBorders>
                  <w:noWrap/>
                  <w:vAlign w:val="center"/>
                </w:tcPr>
                <w:p w14:paraId="48DC0F7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50</w:t>
                  </w:r>
                </w:p>
              </w:tc>
              <w:tc>
                <w:tcPr>
                  <w:tcW w:w="1480" w:type="dxa"/>
                  <w:gridSpan w:val="2"/>
                  <w:vMerge w:val="continue"/>
                  <w:tcBorders>
                    <w:tl2br w:val="nil"/>
                    <w:tr2bl w:val="nil"/>
                  </w:tcBorders>
                  <w:noWrap/>
                  <w:vAlign w:val="center"/>
                </w:tcPr>
                <w:p w14:paraId="319FB48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532" w:type="dxa"/>
                  <w:tcBorders>
                    <w:tl2br w:val="nil"/>
                    <w:tr2bl w:val="nil"/>
                  </w:tcBorders>
                  <w:noWrap w:val="0"/>
                  <w:vAlign w:val="center"/>
                </w:tcPr>
                <w:p w14:paraId="20465F65">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变电工程运行过程中产生的变压器油、高抗油等矿物油应进行回收处理。废矿物油和废铅蓄电池作为危险废物应交由有资质的单位回收处理，严禁随意丢弃。不能立即回收处理的应暂存在危险废物暂存间或暂存区。</w:t>
                  </w:r>
                </w:p>
              </w:tc>
              <w:tc>
                <w:tcPr>
                  <w:tcW w:w="2532" w:type="dxa"/>
                  <w:tcBorders>
                    <w:tl2br w:val="nil"/>
                    <w:tr2bl w:val="nil"/>
                  </w:tcBorders>
                  <w:noWrap w:val="0"/>
                  <w:vAlign w:val="center"/>
                </w:tcPr>
                <w:p w14:paraId="0E5A497A">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0"/>
                      <w:szCs w:val="20"/>
                      <w:lang w:val="en-US" w:eastAsia="zh-CN" w:bidi="ar"/>
                    </w:rPr>
                    <w:t>本项目</w:t>
                  </w:r>
                  <w:r>
                    <w:rPr>
                      <w:rFonts w:hint="eastAsia" w:ascii="宋体" w:hAnsi="宋体" w:cs="宋体"/>
                      <w:color w:val="000000"/>
                      <w:kern w:val="0"/>
                      <w:sz w:val="20"/>
                      <w:szCs w:val="20"/>
                      <w:lang w:val="en-US" w:eastAsia="zh-CN" w:bidi="ar"/>
                    </w:rPr>
                    <w:t>运营期</w:t>
                  </w:r>
                  <w:r>
                    <w:rPr>
                      <w:rFonts w:hint="eastAsia" w:ascii="宋体" w:hAnsi="宋体" w:eastAsia="宋体" w:cs="宋体"/>
                      <w:color w:val="000000"/>
                      <w:kern w:val="0"/>
                      <w:sz w:val="20"/>
                      <w:szCs w:val="20"/>
                      <w:lang w:val="en-US" w:eastAsia="zh-CN" w:bidi="ar"/>
                    </w:rPr>
                    <w:t>不产生固体废物。</w:t>
                  </w:r>
                </w:p>
              </w:tc>
              <w:tc>
                <w:tcPr>
                  <w:tcW w:w="1100" w:type="dxa"/>
                  <w:tcBorders>
                    <w:tl2br w:val="nil"/>
                    <w:tr2bl w:val="nil"/>
                  </w:tcBorders>
                  <w:noWrap/>
                  <w:vAlign w:val="center"/>
                </w:tcPr>
                <w:p w14:paraId="243E861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bl>
          <w:p w14:paraId="02C9F982">
            <w:pPr>
              <w:pStyle w:val="2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pacing w:val="0"/>
                <w:w w:val="100"/>
                <w:sz w:val="24"/>
                <w:szCs w:val="24"/>
                <w:highlight w:val="none"/>
                <w:lang w:val="en-US" w:eastAsia="zh-CN"/>
              </w:rPr>
            </w:pPr>
          </w:p>
          <w:p w14:paraId="4E4EA49C">
            <w:pPr>
              <w:pStyle w:val="2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pacing w:val="0"/>
                <w:w w:val="100"/>
                <w:sz w:val="24"/>
                <w:szCs w:val="24"/>
                <w:highlight w:val="none"/>
                <w:lang w:val="en-US" w:eastAsia="zh-CN"/>
              </w:rPr>
            </w:pPr>
            <w:r>
              <w:rPr>
                <w:rFonts w:hint="default" w:ascii="Times New Roman" w:hAnsi="Times New Roman" w:eastAsia="宋体" w:cs="Times New Roman"/>
                <w:b w:val="0"/>
                <w:bCs w:val="0"/>
                <w:color w:val="auto"/>
                <w:spacing w:val="0"/>
                <w:w w:val="100"/>
                <w:sz w:val="24"/>
                <w:szCs w:val="24"/>
                <w:highlight w:val="none"/>
                <w:lang w:val="en-US" w:eastAsia="zh-CN"/>
              </w:rPr>
              <w:t>综上，本工程符合《输变电建设项目环境保护技术要求》(HJ1113-2020)相关要求。</w:t>
            </w:r>
          </w:p>
          <w:p w14:paraId="049D120E">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pacing w:val="0"/>
                <w:w w:val="100"/>
                <w:sz w:val="24"/>
                <w:szCs w:val="24"/>
                <w:highlight w:val="none"/>
                <w:lang w:val="en-US" w:eastAsia="zh-CN"/>
              </w:rPr>
            </w:pPr>
            <w:r>
              <w:rPr>
                <w:rFonts w:hint="eastAsia" w:ascii="Times New Roman" w:hAnsi="Times New Roman" w:eastAsia="宋体" w:cs="Times New Roman"/>
                <w:b/>
                <w:bCs/>
                <w:color w:val="auto"/>
                <w:spacing w:val="0"/>
                <w:w w:val="100"/>
                <w:sz w:val="24"/>
                <w:szCs w:val="24"/>
                <w:highlight w:val="none"/>
                <w:lang w:val="en-US" w:eastAsia="zh-CN"/>
              </w:rPr>
              <w:t>3、</w:t>
            </w:r>
            <w:r>
              <w:rPr>
                <w:rFonts w:hint="default" w:ascii="Times New Roman" w:hAnsi="Times New Roman" w:eastAsia="宋体" w:cs="Times New Roman"/>
                <w:b/>
                <w:bCs/>
                <w:color w:val="auto"/>
                <w:spacing w:val="0"/>
                <w:w w:val="100"/>
                <w:sz w:val="24"/>
                <w:szCs w:val="24"/>
                <w:highlight w:val="none"/>
                <w:lang w:val="en-US" w:eastAsia="zh-CN"/>
              </w:rPr>
              <w:t>“三线一单”符合性分析</w:t>
            </w:r>
          </w:p>
          <w:p w14:paraId="112DE4F3">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val="0"/>
                <w:bCs w:val="0"/>
                <w:color w:val="auto"/>
                <w:spacing w:val="0"/>
                <w:w w:val="100"/>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（1）与</w:t>
            </w:r>
            <w:r>
              <w:rPr>
                <w:rFonts w:hint="default" w:ascii="Times New Roman" w:hAnsi="Times New Roman" w:eastAsia="宋体" w:cs="Times New Roman"/>
                <w:b/>
                <w:bCs/>
                <w:color w:val="auto"/>
                <w:sz w:val="24"/>
                <w:szCs w:val="24"/>
                <w:highlight w:val="none"/>
              </w:rPr>
              <w:t>《关于以改善环境质量为核心加强环境影响评价管理的通知》（环环评[2016]150号）符合性分析</w:t>
            </w:r>
          </w:p>
          <w:p w14:paraId="3528162F">
            <w:pPr>
              <w:pStyle w:val="2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val="0"/>
                <w:color w:val="auto"/>
                <w:spacing w:val="0"/>
                <w:w w:val="100"/>
                <w:sz w:val="24"/>
                <w:szCs w:val="24"/>
                <w:highlight w:val="none"/>
                <w:lang w:val="en-US" w:eastAsia="zh-CN"/>
              </w:rPr>
            </w:pPr>
            <w:r>
              <w:rPr>
                <w:rFonts w:hint="default" w:ascii="Times New Roman" w:hAnsi="Times New Roman" w:eastAsia="宋体" w:cs="Times New Roman"/>
                <w:b w:val="0"/>
                <w:bCs w:val="0"/>
                <w:color w:val="auto"/>
                <w:spacing w:val="0"/>
                <w:w w:val="100"/>
                <w:sz w:val="24"/>
                <w:szCs w:val="24"/>
                <w:highlight w:val="none"/>
                <w:lang w:val="en-US" w:eastAsia="zh-CN"/>
              </w:rPr>
              <w:t>根据环境保护部环环评[2016]150号《关于以改善环境质量为核心加强环境影响评价管理的通知》要求，进行项目“三线一单”符合性分析，判定内容如下所示：</w:t>
            </w:r>
          </w:p>
          <w:p w14:paraId="40B970AA">
            <w:pPr>
              <w:pStyle w:val="26"/>
              <w:spacing w:line="500" w:lineRule="exact"/>
              <w:jc w:val="center"/>
              <w:rPr>
                <w:rFonts w:hint="default" w:ascii="Times New Roman" w:hAnsi="Times New Roman" w:eastAsia="宋体" w:cs="Times New Roman"/>
                <w:b/>
                <w:color w:val="auto"/>
                <w:spacing w:val="0"/>
                <w:w w:val="100"/>
                <w:sz w:val="24"/>
                <w:szCs w:val="24"/>
                <w:highlight w:val="none"/>
                <w:lang w:eastAsia="zh-CN"/>
              </w:rPr>
            </w:pPr>
            <w:r>
              <w:rPr>
                <w:rFonts w:hint="default" w:ascii="Times New Roman" w:hAnsi="Times New Roman" w:eastAsia="宋体" w:cs="Times New Roman"/>
                <w:b/>
                <w:bCs/>
                <w:color w:val="auto"/>
                <w:sz w:val="24"/>
                <w:szCs w:val="24"/>
                <w:highlight w:val="none"/>
                <w:lang w:val="en-US"/>
              </w:rPr>
              <w:t>表1-2本项目与</w:t>
            </w:r>
            <w:r>
              <w:rPr>
                <w:rFonts w:hint="default" w:ascii="Times New Roman" w:hAnsi="Times New Roman" w:eastAsia="宋体" w:cs="Times New Roman"/>
                <w:b/>
                <w:bCs/>
                <w:color w:val="auto"/>
                <w:sz w:val="24"/>
                <w:szCs w:val="24"/>
                <w:highlight w:val="none"/>
              </w:rPr>
              <w:t>《关于以改善环境质量为核心加强环境影响评价管理的通知》（环环评[2016]150号）符合性分析一览表</w:t>
            </w:r>
          </w:p>
          <w:tbl>
            <w:tblPr>
              <w:tblStyle w:val="20"/>
              <w:tblW w:w="488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2894"/>
              <w:gridCol w:w="3059"/>
              <w:gridCol w:w="824"/>
            </w:tblGrid>
            <w:tr w14:paraId="217C6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noWrap w:val="0"/>
                  <w:vAlign w:val="center"/>
                </w:tcPr>
                <w:p w14:paraId="5C4BA910">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rPr>
                    <w:t>相关政策</w:t>
                  </w:r>
                </w:p>
              </w:tc>
              <w:tc>
                <w:tcPr>
                  <w:tcW w:w="1805" w:type="pct"/>
                  <w:noWrap w:val="0"/>
                  <w:vAlign w:val="center"/>
                </w:tcPr>
                <w:p w14:paraId="53F86D6C">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rPr>
                    <w:t>分析内容</w:t>
                  </w:r>
                </w:p>
              </w:tc>
              <w:tc>
                <w:tcPr>
                  <w:tcW w:w="1907" w:type="pct"/>
                  <w:noWrap w:val="0"/>
                  <w:vAlign w:val="center"/>
                </w:tcPr>
                <w:p w14:paraId="3067A422">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rPr>
                    <w:t>项目情况</w:t>
                  </w:r>
                </w:p>
              </w:tc>
              <w:tc>
                <w:tcPr>
                  <w:tcW w:w="513" w:type="pct"/>
                  <w:noWrap w:val="0"/>
                  <w:vAlign w:val="center"/>
                </w:tcPr>
                <w:p w14:paraId="392DE9F6">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rPr>
                    <w:t>符合性</w:t>
                  </w:r>
                </w:p>
              </w:tc>
            </w:tr>
            <w:tr w14:paraId="25E0CC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Merge w:val="restart"/>
                  <w:noWrap w:val="0"/>
                  <w:vAlign w:val="center"/>
                </w:tcPr>
                <w:p w14:paraId="2A872BD8">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rPr>
                    <w:t>《关于以改善环境质量为核心加强环境影响评价管理的通知》（环环评[2016]150号）</w:t>
                  </w:r>
                </w:p>
              </w:tc>
              <w:tc>
                <w:tcPr>
                  <w:tcW w:w="1805" w:type="pct"/>
                  <w:noWrap w:val="0"/>
                  <w:vAlign w:val="center"/>
                </w:tcPr>
                <w:p w14:paraId="698205E7">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907" w:type="pct"/>
                  <w:noWrap w:val="0"/>
                  <w:vAlign w:val="center"/>
                </w:tcPr>
                <w:p w14:paraId="761CEF7E">
                  <w:pPr>
                    <w:pStyle w:val="26"/>
                    <w:keepNext w:val="0"/>
                    <w:keepLines w:val="0"/>
                    <w:pageBreakBefore w:val="0"/>
                    <w:widowControl w:val="0"/>
                    <w:kinsoku/>
                    <w:wordWrap/>
                    <w:overflowPunct/>
                    <w:topLinePunct w:val="0"/>
                    <w:autoSpaceDE/>
                    <w:autoSpaceDN/>
                    <w:bidi w:val="0"/>
                    <w:adjustRightInd w:val="0"/>
                    <w:snapToGrid w:val="0"/>
                    <w:ind w:firstLine="388" w:firstLineChars="200"/>
                    <w:jc w:val="both"/>
                    <w:textAlignment w:val="auto"/>
                    <w:rPr>
                      <w:rFonts w:hint="eastAsia" w:ascii="Times New Roman" w:hAnsi="Times New Roman" w:eastAsia="宋体" w:cs="Times New Roman"/>
                      <w:color w:val="auto"/>
                      <w:kern w:val="0"/>
                      <w:sz w:val="21"/>
                      <w:szCs w:val="21"/>
                      <w:highlight w:val="none"/>
                      <w:lang w:val="en-US" w:eastAsia="zh-CN"/>
                    </w:rPr>
                  </w:pPr>
                  <w:r>
                    <w:rPr>
                      <w:spacing w:val="-8"/>
                    </w:rPr>
                    <w:t>项目为输变电工程，新建</w:t>
                  </w:r>
                  <w:r>
                    <w:rPr>
                      <w:spacing w:val="-18"/>
                    </w:rPr>
                    <w:t xml:space="preserve"> </w:t>
                  </w:r>
                  <w:r>
                    <w:rPr>
                      <w:rFonts w:hint="eastAsia" w:ascii="Times New Roman" w:hAnsi="Times New Roman" w:cs="Times New Roman"/>
                      <w:spacing w:val="-8"/>
                      <w:lang w:val="en-US" w:eastAsia="zh-CN"/>
                    </w:rPr>
                    <w:t>29.9</w:t>
                  </w:r>
                  <w:r>
                    <w:rPr>
                      <w:rFonts w:ascii="Times New Roman" w:hAnsi="Times New Roman" w:eastAsia="Times New Roman" w:cs="Times New Roman"/>
                      <w:spacing w:val="-8"/>
                    </w:rPr>
                    <w:t>km</w:t>
                  </w:r>
                  <w:r>
                    <w:rPr>
                      <w:rFonts w:ascii="Times New Roman" w:hAnsi="Times New Roman" w:eastAsia="Times New Roman" w:cs="Times New Roman"/>
                    </w:rPr>
                    <w:t xml:space="preserve"> </w:t>
                  </w:r>
                  <w:r>
                    <w:rPr>
                      <w:spacing w:val="1"/>
                    </w:rPr>
                    <w:t>的架空输电线路。</w:t>
                  </w:r>
                  <w:r>
                    <w:rPr>
                      <w:rFonts w:hint="default" w:ascii="Times New Roman" w:hAnsi="Times New Roman" w:eastAsia="宋体" w:cs="Times New Roman"/>
                      <w:color w:val="auto"/>
                      <w:kern w:val="0"/>
                      <w:sz w:val="21"/>
                      <w:szCs w:val="21"/>
                      <w:highlight w:val="none"/>
                      <w:lang w:val="en-US"/>
                    </w:rPr>
                    <w:t>根据围场满族蒙古族自治县自然资源和规划局于2024年4月7日出具的《关于围场满族蒙古族自治县阳洁光伏发电有限责任公司华能围场“风光储氢热一体化”项目（风电200MW）项目220KV送出线路工程塔基用地的情况说明》（STHXHS20240052号），本项目线路塔基范围不占永久基本农田，但部分线路塔基范围占生态保护红线（0.12公顷），占生态保护红线塔基分别为（21、23、26）；根据围场满族蒙古族自治县自然资源和规划局于2024年4月7日出具的《华能围场“风光储氢热一体化”项目（风电200MW）项目220KV送出线路工程不可避让生态保护红线报告》的审查意见，本项目建设占用生态保护红线不可避免，《报告》提出的项目用地占用和穿越生态保护红线的保护措施以及相关施工措施可行，同意通过论证</w:t>
                  </w:r>
                  <w:r>
                    <w:rPr>
                      <w:rFonts w:hint="eastAsia" w:ascii="Times New Roman" w:hAnsi="Times New Roman" w:cs="Times New Roman"/>
                      <w:color w:val="auto"/>
                      <w:kern w:val="0"/>
                      <w:sz w:val="21"/>
                      <w:szCs w:val="21"/>
                      <w:highlight w:val="none"/>
                      <w:lang w:val="en-US" w:eastAsia="zh-CN"/>
                    </w:rPr>
                    <w:t>；根据围场满族蒙古族自治县自然资源和规划局于2024年9月25日出具的《关于华能围场“风光储氢一体化”项目（风电200MW）项目220kV送出线路工程路径的说明》，该项目配套220kV送出线路工程路径经过围场县城子镇、牌楼乡、燕格柏乡、半截塔镇部分线路涉及穿越生态保护红线，按照《河北省自然资源厅河北省生态环境厅 河北省林业和草原局 关于加强生态保护红线管理的通知》(冀自然资发〔2024〕4号)编制了不可避让论证报告并通过专家论证，原则同意该线路预选址，后续按程序办理相关手续。</w:t>
                  </w:r>
                </w:p>
              </w:tc>
              <w:tc>
                <w:tcPr>
                  <w:tcW w:w="513" w:type="pct"/>
                  <w:noWrap w:val="0"/>
                  <w:vAlign w:val="center"/>
                </w:tcPr>
                <w:p w14:paraId="19F6EF97">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rPr>
                    <w:t>符合</w:t>
                  </w:r>
                </w:p>
              </w:tc>
            </w:tr>
            <w:tr w14:paraId="4F5C6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Merge w:val="continue"/>
                  <w:noWrap w:val="0"/>
                  <w:vAlign w:val="center"/>
                </w:tcPr>
                <w:p w14:paraId="3C901447">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rPr>
                  </w:pPr>
                </w:p>
              </w:tc>
              <w:tc>
                <w:tcPr>
                  <w:tcW w:w="1805" w:type="pct"/>
                  <w:noWrap w:val="0"/>
                  <w:vAlign w:val="center"/>
                </w:tcPr>
                <w:p w14:paraId="1383A8D0">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rPr>
                    <w:t>环境质量底线是国家和地方设置的大气、</w:t>
                  </w:r>
                  <w:r>
                    <w:rPr>
                      <w:rFonts w:hint="default" w:ascii="Times New Roman" w:hAnsi="Times New Roman" w:eastAsia="宋体" w:cs="Times New Roman"/>
                      <w:color w:val="auto"/>
                      <w:kern w:val="0"/>
                      <w:sz w:val="21"/>
                      <w:szCs w:val="21"/>
                      <w:highlight w:val="none"/>
                      <w:lang w:val="en-US"/>
                    </w:rPr>
                    <w:t>水和土壤环境质量目标，也是改善环境质量的基准线。项目环评应对照区域环境质量目标，深入分析预测项目建设对环境质量的影响，强化污染防治措施和污染物排放控制要求。</w:t>
                  </w:r>
                </w:p>
              </w:tc>
              <w:tc>
                <w:tcPr>
                  <w:tcW w:w="1907" w:type="pct"/>
                  <w:noWrap w:val="0"/>
                  <w:vAlign w:val="center"/>
                </w:tcPr>
                <w:p w14:paraId="6EF4E84D">
                  <w:pPr>
                    <w:pStyle w:val="24"/>
                    <w:keepNext w:val="0"/>
                    <w:keepLines w:val="0"/>
                    <w:pageBreakBefore w:val="0"/>
                    <w:widowControl w:val="0"/>
                    <w:kinsoku/>
                    <w:wordWrap/>
                    <w:overflowPunct/>
                    <w:topLinePunct w:val="0"/>
                    <w:autoSpaceDE/>
                    <w:autoSpaceDN/>
                    <w:bidi w:val="0"/>
                    <w:adjustRightInd w:val="0"/>
                    <w:snapToGrid w:val="0"/>
                    <w:spacing w:before="38" w:line="220" w:lineRule="auto"/>
                    <w:ind w:right="29"/>
                    <w:jc w:val="both"/>
                    <w:textAlignment w:val="auto"/>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Times New Roman" w:cs="Times New Roman"/>
                      <w:spacing w:val="-2"/>
                    </w:rPr>
                    <w:t>1</w:t>
                  </w:r>
                  <w:r>
                    <w:rPr>
                      <w:spacing w:val="-2"/>
                    </w:rPr>
                    <w:t>、本项目</w:t>
                  </w:r>
                  <w:r>
                    <w:rPr>
                      <w:rFonts w:hint="eastAsia"/>
                      <w:spacing w:val="-2"/>
                      <w:lang w:eastAsia="zh-CN"/>
                    </w:rPr>
                    <w:t>运营期</w:t>
                  </w:r>
                  <w:r>
                    <w:rPr>
                      <w:spacing w:val="-2"/>
                    </w:rPr>
                    <w:t>不排放废气。</w:t>
                  </w:r>
                  <w:r>
                    <w:rPr>
                      <w:rFonts w:ascii="Times New Roman" w:hAnsi="Times New Roman" w:eastAsia="Times New Roman" w:cs="Times New Roman"/>
                      <w:spacing w:val="-1"/>
                    </w:rPr>
                    <w:t>2</w:t>
                  </w:r>
                  <w:r>
                    <w:rPr>
                      <w:spacing w:val="-1"/>
                    </w:rPr>
                    <w:t>、本项目</w:t>
                  </w:r>
                  <w:r>
                    <w:rPr>
                      <w:spacing w:val="-40"/>
                    </w:rPr>
                    <w:t xml:space="preserve"> </w:t>
                  </w:r>
                  <w:r>
                    <w:rPr>
                      <w:rFonts w:ascii="Times New Roman" w:hAnsi="Times New Roman" w:eastAsia="Times New Roman" w:cs="Times New Roman"/>
                      <w:spacing w:val="-1"/>
                    </w:rPr>
                    <w:t xml:space="preserve">220kV </w:t>
                  </w:r>
                  <w:r>
                    <w:rPr>
                      <w:spacing w:val="-1"/>
                    </w:rPr>
                    <w:t>线路声环境</w:t>
                  </w:r>
                  <w:r>
                    <w:t xml:space="preserve">   </w:t>
                  </w:r>
                  <w:r>
                    <w:rPr>
                      <w:spacing w:val="-6"/>
                    </w:rPr>
                    <w:t>现状监测值满足《声环境质量标准》</w:t>
                  </w:r>
                  <w:r>
                    <w:rPr>
                      <w:spacing w:val="9"/>
                    </w:rPr>
                    <w:t xml:space="preserve"> </w:t>
                  </w:r>
                  <w:r>
                    <w:rPr>
                      <w:spacing w:val="-4"/>
                    </w:rPr>
                    <w:t>（</w:t>
                  </w:r>
                  <w:r>
                    <w:rPr>
                      <w:rFonts w:ascii="Times New Roman" w:hAnsi="Times New Roman" w:eastAsia="Times New Roman" w:cs="Times New Roman"/>
                      <w:spacing w:val="-4"/>
                    </w:rPr>
                    <w:t>GB3096-2008</w:t>
                  </w:r>
                  <w:r>
                    <w:rPr>
                      <w:spacing w:val="-4"/>
                    </w:rPr>
                    <w:t>）</w:t>
                  </w:r>
                  <w:r>
                    <w:rPr>
                      <w:rFonts w:ascii="Times New Roman" w:hAnsi="Times New Roman" w:eastAsia="Times New Roman" w:cs="Times New Roman"/>
                      <w:spacing w:val="-4"/>
                    </w:rPr>
                    <w:t xml:space="preserve">1 </w:t>
                  </w:r>
                  <w:r>
                    <w:rPr>
                      <w:spacing w:val="-4"/>
                    </w:rPr>
                    <w:t>类声环境功能区</w:t>
                  </w:r>
                  <w:r>
                    <w:rPr>
                      <w:spacing w:val="8"/>
                    </w:rPr>
                    <w:t xml:space="preserve">  </w:t>
                  </w:r>
                  <w:r>
                    <w:rPr>
                      <w:spacing w:val="-1"/>
                    </w:rPr>
                    <w:t>标准要求。</w:t>
                  </w:r>
                  <w:r>
                    <w:rPr>
                      <w:rFonts w:hint="eastAsia"/>
                      <w:spacing w:val="-1"/>
                      <w:lang w:eastAsia="zh-CN"/>
                    </w:rPr>
                    <w:t>运营期</w:t>
                  </w:r>
                  <w:r>
                    <w:rPr>
                      <w:spacing w:val="-1"/>
                    </w:rPr>
                    <w:t>线路选用国标导</w:t>
                  </w:r>
                  <w:r>
                    <w:rPr>
                      <w:spacing w:val="4"/>
                    </w:rPr>
                    <w:t xml:space="preserve">  </w:t>
                  </w:r>
                  <w:r>
                    <w:rPr>
                      <w:spacing w:val="-1"/>
                    </w:rPr>
                    <w:t>线，满足《声环境质量标准》</w:t>
                  </w:r>
                  <w:r>
                    <w:rPr>
                      <w:spacing w:val="-4"/>
                    </w:rPr>
                    <w:t>（</w:t>
                  </w:r>
                  <w:r>
                    <w:rPr>
                      <w:rFonts w:ascii="Times New Roman" w:hAnsi="Times New Roman" w:eastAsia="Times New Roman" w:cs="Times New Roman"/>
                      <w:spacing w:val="-4"/>
                    </w:rPr>
                    <w:t>GB3096-2008</w:t>
                  </w:r>
                  <w:r>
                    <w:rPr>
                      <w:spacing w:val="-4"/>
                    </w:rPr>
                    <w:t>）</w:t>
                  </w:r>
                  <w:r>
                    <w:rPr>
                      <w:rFonts w:ascii="Times New Roman" w:hAnsi="Times New Roman" w:eastAsia="Times New Roman" w:cs="Times New Roman"/>
                      <w:spacing w:val="-4"/>
                    </w:rPr>
                    <w:t xml:space="preserve">1 </w:t>
                  </w:r>
                  <w:r>
                    <w:rPr>
                      <w:spacing w:val="-4"/>
                    </w:rPr>
                    <w:t>类声环境功能区</w:t>
                  </w:r>
                  <w:r>
                    <w:rPr>
                      <w:spacing w:val="10"/>
                    </w:rPr>
                    <w:t xml:space="preserve"> </w:t>
                  </w:r>
                  <w:r>
                    <w:rPr>
                      <w:spacing w:val="-2"/>
                    </w:rPr>
                    <w:t>标准要求。</w:t>
                  </w:r>
                  <w:r>
                    <w:rPr>
                      <w:rFonts w:ascii="Times New Roman" w:hAnsi="Times New Roman" w:eastAsia="Times New Roman" w:cs="Times New Roman"/>
                      <w:spacing w:val="-6"/>
                    </w:rPr>
                    <w:t>4</w:t>
                  </w:r>
                  <w:r>
                    <w:rPr>
                      <w:spacing w:val="-6"/>
                    </w:rPr>
                    <w:t>、本项目线路周围工频电场强</w:t>
                  </w:r>
                  <w:r>
                    <w:rPr>
                      <w:spacing w:val="1"/>
                    </w:rPr>
                    <w:t xml:space="preserve"> </w:t>
                  </w:r>
                  <w:r>
                    <w:rPr>
                      <w:spacing w:val="-1"/>
                    </w:rPr>
                    <w:t>度、工频磁感应强度现状监测值均</w:t>
                  </w:r>
                  <w:r>
                    <w:rPr>
                      <w:spacing w:val="10"/>
                    </w:rPr>
                    <w:t xml:space="preserve"> </w:t>
                  </w:r>
                  <w:r>
                    <w:rPr>
                      <w:spacing w:val="-1"/>
                    </w:rPr>
                    <w:t>分别满足《电磁环境控制限值》</w:t>
                  </w:r>
                  <w:r>
                    <w:rPr>
                      <w:spacing w:val="-4"/>
                    </w:rPr>
                    <w:t>（</w:t>
                  </w:r>
                  <w:r>
                    <w:rPr>
                      <w:rFonts w:ascii="Times New Roman" w:hAnsi="Times New Roman" w:eastAsia="Times New Roman" w:cs="Times New Roman"/>
                      <w:spacing w:val="-4"/>
                    </w:rPr>
                    <w:t>GB8702-2014</w:t>
                  </w:r>
                  <w:r>
                    <w:rPr>
                      <w:spacing w:val="-4"/>
                    </w:rPr>
                    <w:t>）中</w:t>
                  </w:r>
                  <w:r>
                    <w:rPr>
                      <w:spacing w:val="-23"/>
                    </w:rPr>
                    <w:t xml:space="preserve"> </w:t>
                  </w:r>
                  <w:r>
                    <w:rPr>
                      <w:rFonts w:ascii="Times New Roman" w:hAnsi="Times New Roman" w:eastAsia="Times New Roman" w:cs="Times New Roman"/>
                      <w:spacing w:val="-4"/>
                    </w:rPr>
                    <w:t>4kV/m</w:t>
                  </w:r>
                  <w:r>
                    <w:rPr>
                      <w:spacing w:val="-4"/>
                    </w:rPr>
                    <w:t>、</w:t>
                  </w:r>
                  <w:r>
                    <w:rPr>
                      <w:rFonts w:ascii="Times New Roman" w:hAnsi="Times New Roman" w:eastAsia="Times New Roman" w:cs="Times New Roman"/>
                      <w:spacing w:val="-4"/>
                    </w:rPr>
                    <w:t>100µT</w:t>
                  </w:r>
                  <w:r>
                    <w:rPr>
                      <w:rFonts w:ascii="Times New Roman" w:hAnsi="Times New Roman" w:eastAsia="Times New Roman" w:cs="Times New Roman"/>
                    </w:rPr>
                    <w:t xml:space="preserve">   </w:t>
                  </w:r>
                  <w:r>
                    <w:rPr>
                      <w:spacing w:val="-1"/>
                    </w:rPr>
                    <w:t>的公众曝露控制限值的要求。</w:t>
                  </w:r>
                  <w:r>
                    <w:rPr>
                      <w:rFonts w:hint="eastAsia"/>
                      <w:spacing w:val="-1"/>
                      <w:lang w:eastAsia="zh-CN"/>
                    </w:rPr>
                    <w:t>运营期</w:t>
                  </w:r>
                  <w:r>
                    <w:rPr>
                      <w:spacing w:val="-1"/>
                    </w:rPr>
                    <w:t>线路对周围的电磁影响满足《电</w:t>
                  </w:r>
                  <w:r>
                    <w:rPr>
                      <w:spacing w:val="4"/>
                    </w:rPr>
                    <w:t xml:space="preserve">  </w:t>
                  </w:r>
                  <w:r>
                    <w:rPr>
                      <w:spacing w:val="-2"/>
                    </w:rPr>
                    <w:t>磁环境控制限值》（</w:t>
                  </w:r>
                  <w:r>
                    <w:rPr>
                      <w:rFonts w:ascii="Times New Roman" w:hAnsi="Times New Roman" w:eastAsia="Times New Roman" w:cs="Times New Roman"/>
                      <w:spacing w:val="-2"/>
                    </w:rPr>
                    <w:t>GB8702-2014</w:t>
                  </w:r>
                  <w:r>
                    <w:rPr>
                      <w:spacing w:val="-2"/>
                    </w:rPr>
                    <w:t>）</w:t>
                  </w:r>
                  <w:r>
                    <w:rPr>
                      <w:spacing w:val="-1"/>
                    </w:rPr>
                    <w:t>中相关限值要求。</w:t>
                  </w:r>
                  <w:r>
                    <w:rPr>
                      <w:spacing w:val="2"/>
                    </w:rPr>
                    <w:t>本项目产生的污染物采取相应</w:t>
                  </w:r>
                  <w:r>
                    <w:t xml:space="preserve"> </w:t>
                  </w:r>
                  <w:r>
                    <w:rPr>
                      <w:spacing w:val="1"/>
                    </w:rPr>
                    <w:t>措施后满足环境质量标准，符合环</w:t>
                  </w:r>
                  <w:r>
                    <w:rPr>
                      <w:spacing w:val="-3"/>
                    </w:rPr>
                    <w:t>境质量底线的要求。</w:t>
                  </w:r>
                </w:p>
              </w:tc>
              <w:tc>
                <w:tcPr>
                  <w:tcW w:w="513" w:type="pct"/>
                  <w:noWrap w:val="0"/>
                  <w:vAlign w:val="center"/>
                </w:tcPr>
                <w:p w14:paraId="64994CA5">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rPr>
                    <w:t>符合</w:t>
                  </w:r>
                </w:p>
              </w:tc>
            </w:tr>
            <w:tr w14:paraId="258BF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1" w:hRule="atLeast"/>
                <w:jc w:val="center"/>
              </w:trPr>
              <w:tc>
                <w:tcPr>
                  <w:tcW w:w="773" w:type="pct"/>
                  <w:vMerge w:val="continue"/>
                  <w:noWrap w:val="0"/>
                  <w:vAlign w:val="center"/>
                </w:tcPr>
                <w:p w14:paraId="1474C54A">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rPr>
                  </w:pPr>
                </w:p>
              </w:tc>
              <w:tc>
                <w:tcPr>
                  <w:tcW w:w="1805" w:type="pct"/>
                  <w:noWrap w:val="0"/>
                  <w:vAlign w:val="center"/>
                </w:tcPr>
                <w:p w14:paraId="001B1FC0">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1907" w:type="pct"/>
                  <w:noWrap w:val="0"/>
                  <w:vAlign w:val="center"/>
                </w:tcPr>
                <w:p w14:paraId="280AE512">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rPr>
                  </w:pPr>
                  <w:r>
                    <w:rPr>
                      <w:spacing w:val="2"/>
                    </w:rPr>
                    <w:t>本项目全线为架空线路，运营</w:t>
                  </w:r>
                  <w:r>
                    <w:rPr>
                      <w:spacing w:val="1"/>
                    </w:rPr>
                    <w:t xml:space="preserve"> 期不涉及用水，塔基占地较少；本</w:t>
                  </w:r>
                  <w:r>
                    <w:t xml:space="preserve">  </w:t>
                  </w:r>
                  <w:r>
                    <w:rPr>
                      <w:spacing w:val="1"/>
                    </w:rPr>
                    <w:t>项目属于能源基础设施，项目实施</w:t>
                  </w:r>
                  <w:r>
                    <w:rPr>
                      <w:spacing w:val="11"/>
                    </w:rPr>
                    <w:t xml:space="preserve"> </w:t>
                  </w:r>
                  <w:r>
                    <w:rPr>
                      <w:spacing w:val="1"/>
                    </w:rPr>
                    <w:t>后为周边负荷供电，不属于资源利</w:t>
                  </w:r>
                  <w:r>
                    <w:rPr>
                      <w:spacing w:val="11"/>
                    </w:rPr>
                    <w:t xml:space="preserve"> </w:t>
                  </w:r>
                  <w:r>
                    <w:rPr>
                      <w:spacing w:val="1"/>
                    </w:rPr>
                    <w:t>用限制类项目，运营期不消耗其他</w:t>
                  </w:r>
                  <w:r>
                    <w:rPr>
                      <w:spacing w:val="10"/>
                    </w:rPr>
                    <w:t xml:space="preserve"> </w:t>
                  </w:r>
                  <w:r>
                    <w:rPr>
                      <w:spacing w:val="-7"/>
                    </w:rPr>
                    <w:t>能源。因此符合资源利用上线要求。</w:t>
                  </w:r>
                </w:p>
              </w:tc>
              <w:tc>
                <w:tcPr>
                  <w:tcW w:w="513" w:type="pct"/>
                  <w:noWrap w:val="0"/>
                  <w:vAlign w:val="center"/>
                </w:tcPr>
                <w:p w14:paraId="2045AD53">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rPr>
                    <w:t>符合</w:t>
                  </w:r>
                </w:p>
              </w:tc>
            </w:tr>
            <w:tr w14:paraId="59B04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Merge w:val="continue"/>
                  <w:noWrap w:val="0"/>
                  <w:vAlign w:val="center"/>
                </w:tcPr>
                <w:p w14:paraId="18DB6D7A">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rPr>
                  </w:pPr>
                </w:p>
              </w:tc>
              <w:tc>
                <w:tcPr>
                  <w:tcW w:w="1805" w:type="pct"/>
                  <w:noWrap w:val="0"/>
                  <w:vAlign w:val="center"/>
                </w:tcPr>
                <w:p w14:paraId="0CCE444A">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907" w:type="pct"/>
                  <w:noWrap w:val="0"/>
                  <w:vAlign w:val="center"/>
                </w:tcPr>
                <w:p w14:paraId="50ED3138">
                  <w:pPr>
                    <w:pStyle w:val="26"/>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spacing w:val="-3"/>
                    </w:rPr>
                    <w:t>本项目为华能围场“风光储氢热一体化”项目（风电200MW）项目220kV送出线路工程</w:t>
                  </w:r>
                  <w:r>
                    <w:rPr>
                      <w:rFonts w:hint="default" w:ascii="Times New Roman" w:hAnsi="Times New Roman" w:cs="Times New Roman"/>
                      <w:spacing w:val="-2"/>
                    </w:rPr>
                    <w:t>，</w:t>
                  </w:r>
                  <w:r>
                    <w:rPr>
                      <w:rFonts w:hint="default" w:ascii="Times New Roman" w:hAnsi="Times New Roman" w:cs="Times New Roman"/>
                      <w:spacing w:val="1"/>
                    </w:rPr>
                    <w:t>属于输变电工程，全长</w:t>
                  </w:r>
                  <w:r>
                    <w:rPr>
                      <w:rFonts w:hint="eastAsia" w:ascii="Times New Roman" w:hAnsi="Times New Roman" w:cs="Times New Roman"/>
                      <w:spacing w:val="1"/>
                      <w:lang w:eastAsia="zh-CN"/>
                    </w:rPr>
                    <w:t>29.9</w:t>
                  </w:r>
                  <w:r>
                    <w:rPr>
                      <w:rFonts w:hint="default" w:ascii="Times New Roman" w:hAnsi="Times New Roman" w:cs="Times New Roman"/>
                      <w:spacing w:val="1"/>
                    </w:rPr>
                    <w:t>km</w:t>
                  </w:r>
                  <w:r>
                    <w:rPr>
                      <w:rFonts w:hint="default" w:ascii="Times New Roman" w:hAnsi="Times New Roman" w:cs="Times New Roman"/>
                      <w:spacing w:val="1"/>
                      <w:lang w:eastAsia="zh-CN"/>
                    </w:rPr>
                    <w:t>。</w:t>
                  </w:r>
                  <w:r>
                    <w:rPr>
                      <w:rFonts w:hint="default" w:ascii="Times New Roman" w:hAnsi="Times New Roman" w:cs="Times New Roman"/>
                      <w:spacing w:val="1"/>
                    </w:rPr>
                    <w:t>为国家《产业结</w:t>
                  </w:r>
                  <w:r>
                    <w:rPr>
                      <w:rFonts w:hint="default" w:ascii="Times New Roman" w:hAnsi="Times New Roman" w:cs="Times New Roman"/>
                      <w:spacing w:val="-2"/>
                    </w:rPr>
                    <w:t>构调整指导目录（</w:t>
                  </w:r>
                  <w:r>
                    <w:rPr>
                      <w:rFonts w:hint="default" w:ascii="Times New Roman" w:hAnsi="Times New Roman" w:eastAsia="Times New Roman" w:cs="Times New Roman"/>
                      <w:spacing w:val="-2"/>
                    </w:rPr>
                    <w:t xml:space="preserve">2024 </w:t>
                  </w:r>
                  <w:r>
                    <w:rPr>
                      <w:rFonts w:hint="default" w:ascii="Times New Roman" w:hAnsi="Times New Roman" w:cs="Times New Roman"/>
                      <w:spacing w:val="-2"/>
                    </w:rPr>
                    <w:t>年本）》中</w:t>
                  </w:r>
                  <w:r>
                    <w:rPr>
                      <w:rFonts w:hint="default" w:ascii="Times New Roman" w:hAnsi="Times New Roman" w:cs="Times New Roman"/>
                      <w:spacing w:val="12"/>
                    </w:rPr>
                    <w:t xml:space="preserve"> </w:t>
                  </w:r>
                  <w:r>
                    <w:rPr>
                      <w:rFonts w:hint="default" w:ascii="Times New Roman" w:hAnsi="Times New Roman" w:cs="Times New Roman"/>
                      <w:spacing w:val="-8"/>
                    </w:rPr>
                    <w:t>鼓励类“</w:t>
                  </w:r>
                  <w:r>
                    <w:rPr>
                      <w:rFonts w:hint="default" w:ascii="Times New Roman" w:hAnsi="Times New Roman" w:cs="Times New Roman"/>
                      <w:spacing w:val="-76"/>
                    </w:rPr>
                    <w:t xml:space="preserve"> </w:t>
                  </w:r>
                  <w:r>
                    <w:rPr>
                      <w:rFonts w:hint="default" w:ascii="Times New Roman" w:hAnsi="Times New Roman" w:cs="Times New Roman"/>
                      <w:spacing w:val="-8"/>
                    </w:rPr>
                    <w:t>四、电力，</w:t>
                  </w:r>
                  <w:r>
                    <w:rPr>
                      <w:rFonts w:hint="default" w:ascii="Times New Roman" w:hAnsi="Times New Roman" w:eastAsia="Times New Roman" w:cs="Times New Roman"/>
                      <w:spacing w:val="-8"/>
                    </w:rPr>
                    <w:t>2</w:t>
                  </w:r>
                  <w:r>
                    <w:rPr>
                      <w:rFonts w:hint="default" w:ascii="Times New Roman" w:hAnsi="Times New Roman" w:eastAsia="Times New Roman" w:cs="Times New Roman"/>
                      <w:spacing w:val="-30"/>
                    </w:rPr>
                    <w:t xml:space="preserve"> </w:t>
                  </w:r>
                  <w:r>
                    <w:rPr>
                      <w:rFonts w:hint="default" w:ascii="Times New Roman" w:hAnsi="Times New Roman" w:cs="Times New Roman"/>
                      <w:spacing w:val="-8"/>
                    </w:rPr>
                    <w:t>、电力基础设</w:t>
                  </w:r>
                  <w:r>
                    <w:rPr>
                      <w:rFonts w:hint="default" w:ascii="Times New Roman" w:hAnsi="Times New Roman" w:cs="Times New Roman"/>
                    </w:rPr>
                    <w:t xml:space="preserve"> 施建设</w:t>
                  </w:r>
                  <w:r>
                    <w:rPr>
                      <w:rFonts w:hint="default" w:ascii="Times New Roman" w:hAnsi="Times New Roman" w:cs="Times New Roman"/>
                      <w:spacing w:val="-77"/>
                    </w:rPr>
                    <w:t xml:space="preserve"> </w:t>
                  </w:r>
                  <w:r>
                    <w:rPr>
                      <w:rFonts w:hint="default" w:ascii="Times New Roman" w:hAnsi="Times New Roman" w:cs="Times New Roman"/>
                    </w:rPr>
                    <w:t>”。本项目不属于国家发展</w:t>
                  </w:r>
                  <w:r>
                    <w:rPr>
                      <w:rFonts w:hint="default" w:ascii="Times New Roman" w:hAnsi="Times New Roman" w:cs="Times New Roman"/>
                      <w:spacing w:val="1"/>
                    </w:rPr>
                    <w:t>改革委商务部印发《市场准入负面</w:t>
                  </w:r>
                  <w:r>
                    <w:rPr>
                      <w:rFonts w:hint="default" w:ascii="Times New Roman" w:hAnsi="Times New Roman" w:cs="Times New Roman"/>
                      <w:spacing w:val="13"/>
                    </w:rPr>
                    <w:t xml:space="preserve"> </w:t>
                  </w:r>
                  <w:r>
                    <w:rPr>
                      <w:rFonts w:hint="default" w:ascii="Times New Roman" w:hAnsi="Times New Roman" w:cs="Times New Roman"/>
                      <w:spacing w:val="-2"/>
                    </w:rPr>
                    <w:t>清单（</w:t>
                  </w:r>
                  <w:r>
                    <w:rPr>
                      <w:rFonts w:hint="default" w:ascii="Times New Roman" w:hAnsi="Times New Roman" w:eastAsia="Times New Roman" w:cs="Times New Roman"/>
                      <w:spacing w:val="-2"/>
                    </w:rPr>
                    <w:t xml:space="preserve">2022 </w:t>
                  </w:r>
                  <w:r>
                    <w:rPr>
                      <w:rFonts w:hint="default" w:ascii="Times New Roman" w:hAnsi="Times New Roman" w:cs="Times New Roman"/>
                      <w:spacing w:val="-2"/>
                    </w:rPr>
                    <w:t>年版）》中“禁止准入</w:t>
                  </w:r>
                  <w:r>
                    <w:rPr>
                      <w:rFonts w:hint="default" w:ascii="Times New Roman" w:hAnsi="Times New Roman" w:cs="Times New Roman"/>
                      <w:spacing w:val="12"/>
                    </w:rPr>
                    <w:t xml:space="preserve"> </w:t>
                  </w:r>
                  <w:r>
                    <w:rPr>
                      <w:rFonts w:hint="default" w:ascii="Times New Roman" w:hAnsi="Times New Roman" w:cs="Times New Roman"/>
                      <w:spacing w:val="-1"/>
                    </w:rPr>
                    <w:t>类</w:t>
                  </w:r>
                  <w:r>
                    <w:rPr>
                      <w:rFonts w:hint="default" w:ascii="Times New Roman" w:hAnsi="Times New Roman" w:cs="Times New Roman"/>
                      <w:spacing w:val="-62"/>
                    </w:rPr>
                    <w:t xml:space="preserve"> </w:t>
                  </w:r>
                  <w:r>
                    <w:rPr>
                      <w:rFonts w:hint="default" w:ascii="Times New Roman" w:hAnsi="Times New Roman" w:cs="Times New Roman"/>
                      <w:spacing w:val="-1"/>
                    </w:rPr>
                    <w:t>”项目。不属于《康保县等坝上</w:t>
                  </w:r>
                  <w:r>
                    <w:rPr>
                      <w:rFonts w:hint="default" w:ascii="Times New Roman" w:hAnsi="Times New Roman" w:cs="Times New Roman"/>
                      <w:spacing w:val="1"/>
                    </w:rPr>
                    <w:t>六县国家重点生态功能区产业准入</w:t>
                  </w:r>
                  <w:r>
                    <w:rPr>
                      <w:rFonts w:hint="default" w:ascii="Times New Roman" w:hAnsi="Times New Roman" w:cs="Times New Roman"/>
                      <w:spacing w:val="12"/>
                    </w:rPr>
                    <w:t xml:space="preserve"> </w:t>
                  </w:r>
                  <w:r>
                    <w:rPr>
                      <w:rFonts w:hint="default" w:ascii="Times New Roman" w:hAnsi="Times New Roman" w:cs="Times New Roman"/>
                      <w:spacing w:val="1"/>
                    </w:rPr>
                    <w:t>负面清单（试行》中的项目，未在</w:t>
                  </w:r>
                  <w:r>
                    <w:rPr>
                      <w:rFonts w:hint="default" w:ascii="Times New Roman" w:hAnsi="Times New Roman" w:cs="Times New Roman"/>
                      <w:spacing w:val="-1"/>
                    </w:rPr>
                    <w:t>环境准入负面清单内。</w:t>
                  </w:r>
                </w:p>
              </w:tc>
              <w:tc>
                <w:tcPr>
                  <w:tcW w:w="513" w:type="pct"/>
                  <w:noWrap w:val="0"/>
                  <w:vAlign w:val="center"/>
                </w:tcPr>
                <w:p w14:paraId="045AF4C4">
                  <w:pPr>
                    <w:pStyle w:val="2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rPr>
                    <w:t>符合</w:t>
                  </w:r>
                </w:p>
              </w:tc>
            </w:tr>
          </w:tbl>
          <w:p w14:paraId="73020560">
            <w:pPr>
              <w:pStyle w:val="2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spacing w:val="0"/>
                <w:w w:val="100"/>
                <w:kern w:val="2"/>
                <w:sz w:val="24"/>
                <w:szCs w:val="24"/>
                <w:highlight w:val="none"/>
                <w:lang w:val="en-US" w:eastAsia="zh-CN" w:bidi="ar-SA"/>
              </w:rPr>
            </w:pPr>
            <w:r>
              <w:rPr>
                <w:rFonts w:hint="default" w:ascii="Times New Roman" w:hAnsi="Times New Roman" w:eastAsia="宋体" w:cs="Times New Roman"/>
                <w:b/>
                <w:bCs w:val="0"/>
                <w:color w:val="auto"/>
                <w:spacing w:val="0"/>
                <w:w w:val="100"/>
                <w:sz w:val="24"/>
                <w:szCs w:val="24"/>
                <w:highlight w:val="none"/>
                <w:lang w:val="en-US" w:eastAsia="zh-CN"/>
              </w:rPr>
              <w:t>（2）</w:t>
            </w:r>
            <w:r>
              <w:rPr>
                <w:rFonts w:hint="default" w:ascii="Times New Roman" w:hAnsi="Times New Roman" w:eastAsia="宋体" w:cs="Times New Roman"/>
                <w:b/>
                <w:bCs w:val="0"/>
                <w:color w:val="auto"/>
                <w:spacing w:val="0"/>
                <w:w w:val="100"/>
                <w:kern w:val="2"/>
                <w:sz w:val="24"/>
                <w:szCs w:val="24"/>
                <w:highlight w:val="none"/>
                <w:lang w:val="en-US" w:eastAsia="zh-CN" w:bidi="ar-SA"/>
              </w:rPr>
              <w:t>《承德市生态环境准入清单》（2023版）符合性分析</w:t>
            </w:r>
          </w:p>
          <w:p w14:paraId="5A5BA55D">
            <w:pPr>
              <w:pStyle w:val="2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val="0"/>
                <w:color w:val="auto"/>
                <w:spacing w:val="0"/>
                <w:w w:val="100"/>
                <w:kern w:val="2"/>
                <w:sz w:val="24"/>
                <w:szCs w:val="24"/>
                <w:highlight w:val="none"/>
                <w:lang w:val="en-US" w:eastAsia="zh-CN" w:bidi="ar-SA"/>
              </w:rPr>
            </w:pPr>
            <w:r>
              <w:rPr>
                <w:rFonts w:hint="default" w:ascii="Times New Roman" w:hAnsi="Times New Roman" w:eastAsia="宋体" w:cs="Times New Roman"/>
                <w:b w:val="0"/>
                <w:bCs w:val="0"/>
                <w:color w:val="auto"/>
                <w:spacing w:val="0"/>
                <w:w w:val="100"/>
                <w:kern w:val="2"/>
                <w:sz w:val="24"/>
                <w:szCs w:val="24"/>
                <w:highlight w:val="none"/>
                <w:lang w:val="en-US" w:eastAsia="zh-CN" w:bidi="ar-SA"/>
              </w:rPr>
              <w:t>根据《承德市生态环境准入清单》（2023版）及承德市环境管控单元图可知，本工程位于优先管控空间和一般管控单元内。</w:t>
            </w:r>
          </w:p>
          <w:p w14:paraId="33B5ED31">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1）本项目与“承德市生态环境准入清单总体要求”符合性分析见以下内容。</w:t>
            </w:r>
          </w:p>
          <w:p w14:paraId="2366227D">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①与“生态空间总体要求”符合性分析</w:t>
            </w:r>
          </w:p>
          <w:p w14:paraId="496A0AEF">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本项目与“生态空间总体要求”符合性分析见下表。</w:t>
            </w:r>
          </w:p>
          <w:p w14:paraId="2DCFD6C1">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表1-3本项目与“生态空间总体要求”符合性分析一览表</w:t>
            </w:r>
          </w:p>
          <w:tbl>
            <w:tblPr>
              <w:tblStyle w:val="19"/>
              <w:tblW w:w="488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916"/>
              <w:gridCol w:w="734"/>
              <w:gridCol w:w="3749"/>
              <w:gridCol w:w="1672"/>
              <w:gridCol w:w="944"/>
            </w:tblGrid>
            <w:tr w14:paraId="6E967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571" w:type="pct"/>
                  <w:tcBorders>
                    <w:tl2br w:val="nil"/>
                    <w:tr2bl w:val="nil"/>
                  </w:tcBorders>
                  <w:noWrap w:val="0"/>
                  <w:vAlign w:val="center"/>
                </w:tcPr>
                <w:p w14:paraId="2247482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要素属性</w:t>
                  </w:r>
                </w:p>
              </w:tc>
              <w:tc>
                <w:tcPr>
                  <w:tcW w:w="457" w:type="pct"/>
                  <w:tcBorders>
                    <w:tl2br w:val="nil"/>
                    <w:tr2bl w:val="nil"/>
                  </w:tcBorders>
                  <w:noWrap w:val="0"/>
                  <w:vAlign w:val="center"/>
                </w:tcPr>
                <w:p w14:paraId="3D56D49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类别</w:t>
                  </w:r>
                </w:p>
              </w:tc>
              <w:tc>
                <w:tcPr>
                  <w:tcW w:w="2338" w:type="pct"/>
                  <w:tcBorders>
                    <w:tl2br w:val="nil"/>
                    <w:tr2bl w:val="nil"/>
                  </w:tcBorders>
                  <w:noWrap w:val="0"/>
                  <w:vAlign w:val="center"/>
                </w:tcPr>
                <w:p w14:paraId="3998CF5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管控要求</w:t>
                  </w:r>
                </w:p>
              </w:tc>
              <w:tc>
                <w:tcPr>
                  <w:tcW w:w="1043" w:type="pct"/>
                  <w:tcBorders>
                    <w:tl2br w:val="nil"/>
                    <w:tr2bl w:val="nil"/>
                  </w:tcBorders>
                  <w:noWrap w:val="0"/>
                  <w:vAlign w:val="center"/>
                </w:tcPr>
                <w:p w14:paraId="0F3A2B9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项目情况</w:t>
                  </w:r>
                </w:p>
              </w:tc>
              <w:tc>
                <w:tcPr>
                  <w:tcW w:w="588" w:type="pct"/>
                  <w:tcBorders>
                    <w:tl2br w:val="nil"/>
                    <w:tr2bl w:val="nil"/>
                  </w:tcBorders>
                  <w:noWrap w:val="0"/>
                  <w:vAlign w:val="center"/>
                </w:tcPr>
                <w:p w14:paraId="4DE9D27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符合性</w:t>
                  </w:r>
                </w:p>
              </w:tc>
            </w:tr>
            <w:tr w14:paraId="17163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571" w:type="pct"/>
                  <w:tcBorders>
                    <w:tl2br w:val="nil"/>
                    <w:tr2bl w:val="nil"/>
                  </w:tcBorders>
                  <w:noWrap w:val="0"/>
                  <w:vAlign w:val="center"/>
                </w:tcPr>
                <w:p w14:paraId="0C5B110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spacing w:val="8"/>
                      <w:sz w:val="21"/>
                      <w:szCs w:val="21"/>
                      <w:highlight w:val="none"/>
                    </w:rPr>
                    <w:t>生态保护红线</w:t>
                  </w:r>
                </w:p>
              </w:tc>
              <w:tc>
                <w:tcPr>
                  <w:tcW w:w="457" w:type="pct"/>
                  <w:tcBorders>
                    <w:tl2br w:val="nil"/>
                    <w:tr2bl w:val="nil"/>
                  </w:tcBorders>
                  <w:noWrap w:val="0"/>
                  <w:vAlign w:val="center"/>
                </w:tcPr>
                <w:p w14:paraId="1992A0FE">
                  <w:pPr>
                    <w:pStyle w:val="24"/>
                    <w:keepNext w:val="0"/>
                    <w:keepLines w:val="0"/>
                    <w:suppressLineNumbers w:val="0"/>
                    <w:spacing w:before="198" w:beforeAutospacing="0" w:after="0" w:afterAutospacing="0" w:line="216" w:lineRule="auto"/>
                    <w:ind w:right="0" w:right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正面清单</w:t>
                  </w:r>
                </w:p>
              </w:tc>
              <w:tc>
                <w:tcPr>
                  <w:tcW w:w="2338" w:type="pct"/>
                  <w:tcBorders>
                    <w:tl2br w:val="nil"/>
                    <w:tr2bl w:val="nil"/>
                  </w:tcBorders>
                  <w:noWrap w:val="0"/>
                  <w:vAlign w:val="center"/>
                </w:tcPr>
                <w:p w14:paraId="7772E6E8">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生态保护红线内自然保护地核心保护区准入目录：</w:t>
                  </w:r>
                </w:p>
                <w:p w14:paraId="5BBDA76E">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1.原则上禁止人为活动，经依法批准的科学研究观测、调查监测、生态修复等法律、法规和国家有关规定允许的活动除外。</w:t>
                  </w:r>
                </w:p>
                <w:p w14:paraId="11FD44B4">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生态保护红线内、自然保护地核心保护区外准入目录：</w:t>
                  </w:r>
                </w:p>
                <w:p w14:paraId="3F79E9FB">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生态保护红线内自然保护区、风景名胜区、饮用水水源保护区等区域，依照法律法规执行。规范管控对生态功能不造成破坏的有限人为活动，禁止开发性、生产性建设活动，在符合法律法规的前提下，仅允许以下对生态功能不造成破坏的有限人为活动。</w:t>
                  </w:r>
                </w:p>
                <w:p w14:paraId="416CA111">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（1）管护巡护、保护执法、科学研究、调查监测、测绘导航、防灾减灾救灾、军事国防、疫情防控等活动及相关的必要设施修筑。</w:t>
                  </w:r>
                </w:p>
                <w:p w14:paraId="0D7F0CA7">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13CF862F">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（3）经依法批准的考古调查发掘、古生物化石调查发掘、标本采集和文物保护活动。</w:t>
                  </w:r>
                </w:p>
                <w:p w14:paraId="7F5D238D">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（4）按规定对人工商品林进行抚育采伐，或以提升森林质量、优化栖息地、建设生物防火隔离带等为目的的树种更新，依法开展的竹林采伐经营。</w:t>
                  </w:r>
                </w:p>
                <w:p w14:paraId="41A92538">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（5）不破坏生态功能的适度参观旅游、科普宣教及符合相关规划的配套性服务设施和相关的必要公共设施建设及维护。</w:t>
                  </w:r>
                </w:p>
                <w:p w14:paraId="06CB561D">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（6）必须且无法避让、符合县级以上国土空间规划的线性基础设施、通讯和防洪、供水设施建设和船舶航行、航道疏浚清淤等活动；已有的合法水利、交通运输等设施运行维护改造。</w:t>
                  </w:r>
                </w:p>
                <w:p w14:paraId="3CC5D104">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（7）地质调查与矿产资源勘查开采。包括：基础地质调查和战略性矿产资源远景调查等公益性工作；铀矿勘查开采活动，可办理矿业权登记；已依法设立的油气探矿权继续勘查活动，</w:t>
                  </w:r>
                </w:p>
                <w:p w14:paraId="46BB9E41">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w:t>
                  </w:r>
                </w:p>
                <w:p w14:paraId="3F86F455">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w:t>
                  </w:r>
                </w:p>
                <w:p w14:paraId="5F567C06">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修复相关要求。</w:t>
                  </w:r>
                </w:p>
                <w:p w14:paraId="7418FC9A">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（8）依据县级以上国土空间规划和生态保护修复专项规划开展的生态修复。</w:t>
                  </w:r>
                </w:p>
                <w:p w14:paraId="6994DA0E">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（9）根据我国相关法律法规和与邻国签署的国界管理制度协定（条约）开展的边界边境通道清理以及界务工程的修建、维护和拆除工作。</w:t>
                  </w:r>
                </w:p>
                <w:p w14:paraId="7983961B">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10）法律法规规定允许的其他人为活动。开展上述活动时禁止新增填海造地和新增围海。上述活动涉及利用无居民海岛的，原则上仅允许按照相关规定对海岛自然岸线、表面积、岛体、植被改变轻微的低影响利用方式。上述允许的有限人为活动之外，确需占用生态保护红线的国家重大项目，按照《自然资源部生态环境部国家林业和草原局关于加强生态保护红线管理的通知（试行）》（自然资发〔2022〕142号）规定办理用地用海用岛审批。</w:t>
                  </w:r>
                </w:p>
              </w:tc>
              <w:tc>
                <w:tcPr>
                  <w:tcW w:w="1043" w:type="pct"/>
                  <w:tcBorders>
                    <w:tl2br w:val="nil"/>
                    <w:tr2bl w:val="nil"/>
                  </w:tcBorders>
                  <w:noWrap w:val="0"/>
                  <w:vAlign w:val="center"/>
                </w:tcPr>
                <w:p w14:paraId="07C79BC6">
                  <w:pPr>
                    <w:pStyle w:val="24"/>
                    <w:keepNext w:val="0"/>
                    <w:keepLines w:val="0"/>
                    <w:suppressLineNumbers w:val="0"/>
                    <w:spacing w:before="65" w:beforeAutospacing="0" w:after="0" w:afterAutospacing="0" w:line="243" w:lineRule="auto"/>
                    <w:ind w:left="0" w:right="18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本项目位于河北省承德市围场满族蒙古族自治县城子镇、牌楼乡、燕格柏乡和半截塔镇。根据围场满族蒙古族自治县自然资源和规划局于2024年4月7日出具的《关于围场满族蒙古族自治县阳洁光伏发电有限责任公司华能围场“风光储氢热一体化”项目（风电200MW）项目220KV送出线路工程塔基用地的情况说明》（STHXHS20240052号），本项目线路塔基范围不占永久基本农田，但部分线路塔基范围占生态保护红线（0.12公顷），占生态保护红线塔基分别为（21、23、26）；根据围场满族蒙古族自治县自然资源和规划局于2024年4月7日出具的《华能围场“风光储氢热一体化”项目（风电200MW）项目220KV送出线路工程不可避让生态保护红线报告》的审查意见，本项目建设占用生态保护红线不可避免，《报告》提出的项目用地占用和穿越生态保护红线的保护措施以及相关施工措施可行，同意通过论证；根据围场满族蒙古族自治县自然资源和规划局于2024年9月25日出具的《关于华能围场“风光储氢一体化”项目（风电200MW）项目220kV送出线路工程路径的说明》，该项目配套220kV送出线路工程路径经过围场县城子镇、牌楼乡、燕格柏乡、半截塔镇部分线路涉及穿越生态保护红线，按照《河北省自然资源厅河北省生态环境厅 河北省林业和草原局 关于加强生态保护红线管理的通知》(冀自然资发〔2024〕4号)编制了不可避让论证报告并通过专家论证，原则同意该线路预选址，后续按程序办理相关手续</w:t>
                  </w: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根据围场满族蒙古族自治县河道事务中心于2024年3月27日出具的《关于华能围场“风光储氢热一体化”项目（风电200MW）项目220KV送出线路工程路径征求意见的复函》，本项目输电铁塔不在已划界河道管理范围内；依据附图可知，本项目不在饮用水源保护区内，不在自然保护区范围内。</w:t>
                  </w:r>
                </w:p>
              </w:tc>
              <w:tc>
                <w:tcPr>
                  <w:tcW w:w="588" w:type="pct"/>
                  <w:tcBorders>
                    <w:tl2br w:val="nil"/>
                    <w:tr2bl w:val="nil"/>
                  </w:tcBorders>
                  <w:noWrap w:val="0"/>
                  <w:vAlign w:val="center"/>
                </w:tcPr>
                <w:p w14:paraId="3AFFCA3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0826A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571" w:type="pct"/>
                  <w:vMerge w:val="restart"/>
                  <w:tcBorders>
                    <w:tl2br w:val="nil"/>
                    <w:tr2bl w:val="nil"/>
                  </w:tcBorders>
                  <w:noWrap w:val="0"/>
                  <w:vAlign w:val="center"/>
                </w:tcPr>
                <w:p w14:paraId="7A232D6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spacing w:val="8"/>
                      <w:sz w:val="21"/>
                      <w:szCs w:val="21"/>
                      <w:highlight w:val="none"/>
                      <w:lang w:val="en-US" w:eastAsia="zh-CN"/>
                    </w:rPr>
                  </w:pPr>
                </w:p>
              </w:tc>
              <w:tc>
                <w:tcPr>
                  <w:tcW w:w="457" w:type="pct"/>
                  <w:tcBorders>
                    <w:tl2br w:val="nil"/>
                    <w:tr2bl w:val="nil"/>
                  </w:tcBorders>
                  <w:noWrap w:val="0"/>
                  <w:vAlign w:val="center"/>
                </w:tcPr>
                <w:p w14:paraId="67CB7EFB">
                  <w:pPr>
                    <w:pStyle w:val="24"/>
                    <w:keepNext w:val="0"/>
                    <w:keepLines w:val="0"/>
                    <w:suppressLineNumbers w:val="0"/>
                    <w:spacing w:before="198" w:beforeAutospacing="0" w:after="0" w:afterAutospacing="0" w:line="216" w:lineRule="auto"/>
                    <w:ind w:right="0" w:right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水源涵养型</w:t>
                  </w:r>
                </w:p>
              </w:tc>
              <w:tc>
                <w:tcPr>
                  <w:tcW w:w="2338" w:type="pct"/>
                  <w:tcBorders>
                    <w:tl2br w:val="nil"/>
                    <w:tr2bl w:val="nil"/>
                  </w:tcBorders>
                  <w:noWrap w:val="0"/>
                  <w:vAlign w:val="center"/>
                </w:tcPr>
                <w:p w14:paraId="4A6F4CE9">
                  <w:pPr>
                    <w:keepNext w:val="0"/>
                    <w:keepLines w:val="0"/>
                    <w:widowControl/>
                    <w:numPr>
                      <w:ilvl w:val="0"/>
                      <w:numId w:val="1"/>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在不影响区域主导生态功能、不降低区域环境质量的基础上，新建与扩建项目在满足国土空间规划及有关专项规划的条件下，可适度进行合理有序的开发建设活动。</w:t>
                  </w:r>
                </w:p>
                <w:p w14:paraId="44CCE4C3">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2.禁止新建、扩建导致水体污染的产业项目，开展生态清洁小流域的建设；坚持自然恢复为主，人工造林为辅的原则。</w:t>
                  </w:r>
                </w:p>
                <w:p w14:paraId="423C8398">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3.严格控制载畜量，实行以草定畜，在农牧交错区提倡农牧结合，发展生态产业，培育替代《全国生态功能区划(修编)》</w:t>
                  </w:r>
                </w:p>
                <w:p w14:paraId="6D102F65">
                  <w:pPr>
                    <w:keepNext w:val="0"/>
                    <w:keepLines w:val="0"/>
                    <w:widowControl/>
                    <w:suppressLineNumbers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产业，减轻区内畜牧业对水源和生态系统的压力。</w:t>
                  </w:r>
                </w:p>
              </w:tc>
              <w:tc>
                <w:tcPr>
                  <w:tcW w:w="1043" w:type="pct"/>
                  <w:tcBorders>
                    <w:tl2br w:val="nil"/>
                    <w:tr2bl w:val="nil"/>
                  </w:tcBorders>
                  <w:noWrap w:val="0"/>
                  <w:vAlign w:val="center"/>
                </w:tcPr>
                <w:p w14:paraId="321DFA3A">
                  <w:pPr>
                    <w:pStyle w:val="24"/>
                    <w:keepNext w:val="0"/>
                    <w:keepLines w:val="0"/>
                    <w:suppressLineNumbers w:val="0"/>
                    <w:spacing w:before="65" w:beforeAutospacing="0" w:after="0" w:afterAutospacing="0" w:line="243" w:lineRule="auto"/>
                    <w:ind w:left="0" w:right="180"/>
                    <w:jc w:val="both"/>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项目输出线路位于此区域，不占用农用地优先保护区，运行后无废水外排，固体废物均合理处置，符合国土空间规划及有关专项规划要求。</w:t>
                  </w:r>
                </w:p>
              </w:tc>
              <w:tc>
                <w:tcPr>
                  <w:tcW w:w="588" w:type="pct"/>
                  <w:tcBorders>
                    <w:tl2br w:val="nil"/>
                    <w:tr2bl w:val="nil"/>
                  </w:tcBorders>
                  <w:noWrap w:val="0"/>
                  <w:vAlign w:val="center"/>
                </w:tcPr>
                <w:p w14:paraId="7B0EE5F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61E4B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571" w:type="pct"/>
                  <w:vMerge w:val="continue"/>
                  <w:tcBorders>
                    <w:tl2br w:val="nil"/>
                    <w:tr2bl w:val="nil"/>
                  </w:tcBorders>
                  <w:noWrap w:val="0"/>
                  <w:vAlign w:val="center"/>
                </w:tcPr>
                <w:p w14:paraId="0248C6A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spacing w:val="8"/>
                      <w:sz w:val="21"/>
                      <w:szCs w:val="21"/>
                      <w:highlight w:val="none"/>
                      <w:lang w:val="en-US" w:eastAsia="zh-CN"/>
                    </w:rPr>
                  </w:pPr>
                </w:p>
              </w:tc>
              <w:tc>
                <w:tcPr>
                  <w:tcW w:w="457" w:type="pct"/>
                  <w:tcBorders>
                    <w:tl2br w:val="nil"/>
                    <w:tr2bl w:val="nil"/>
                  </w:tcBorders>
                  <w:noWrap w:val="0"/>
                  <w:vAlign w:val="center"/>
                </w:tcPr>
                <w:p w14:paraId="774B6620">
                  <w:pPr>
                    <w:pStyle w:val="24"/>
                    <w:keepNext w:val="0"/>
                    <w:keepLines w:val="0"/>
                    <w:suppressLineNumbers w:val="0"/>
                    <w:spacing w:before="198" w:beforeAutospacing="0" w:after="0" w:afterAutospacing="0" w:line="216" w:lineRule="auto"/>
                    <w:ind w:right="0" w:right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防风固沙型</w:t>
                  </w:r>
                </w:p>
              </w:tc>
              <w:tc>
                <w:tcPr>
                  <w:tcW w:w="2338" w:type="pct"/>
                  <w:tcBorders>
                    <w:tl2br w:val="nil"/>
                    <w:tr2bl w:val="nil"/>
                  </w:tcBorders>
                  <w:noWrap w:val="0"/>
                  <w:vAlign w:val="center"/>
                </w:tcPr>
                <w:p w14:paraId="74BA2BFB">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1.对主要沙尘源区、沙尘暴频发区实行封禁管理。</w:t>
                  </w:r>
                </w:p>
                <w:p w14:paraId="006DE9FD">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2.严格控制放牧和草原生物资源的利用，加强植被恢复和保护。</w:t>
                  </w:r>
                </w:p>
                <w:p w14:paraId="5D437570">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3.严格控制过度放牧、樵采、开荒，合理利用水资源，保障生态用水，提高区域生态系统防沙固沙的能力。</w:t>
                  </w:r>
                </w:p>
                <w:p w14:paraId="59694D82">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4.开展荒漠植被和沙化土地封禁保护，加强退化林带修复，禁止滥开垦、滥放牧和滥樵采，构建乔灌草相结合的防护林体系，对防风固沙林只能进行抚育和更新性质的采伐。</w:t>
                  </w:r>
                </w:p>
                <w:p w14:paraId="10B49810">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5.转变畜牧业生产方式，实行禁牧休牧，推行舍饲圈养，以草定畜，严格控制载畜量。</w:t>
                  </w:r>
                </w:p>
                <w:p w14:paraId="387E58DD">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6.加大退耕还林力度，恢复草原植被。</w:t>
                  </w:r>
                </w:p>
                <w:p w14:paraId="10082491">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7.加强对内陆河流的规划和管理，保护沙区湿地。</w:t>
                  </w:r>
                </w:p>
              </w:tc>
              <w:tc>
                <w:tcPr>
                  <w:tcW w:w="1043" w:type="pct"/>
                  <w:tcBorders>
                    <w:tl2br w:val="nil"/>
                    <w:tr2bl w:val="nil"/>
                  </w:tcBorders>
                  <w:noWrap w:val="0"/>
                  <w:vAlign w:val="center"/>
                </w:tcPr>
                <w:p w14:paraId="6FEBD3FF">
                  <w:pPr>
                    <w:pStyle w:val="24"/>
                    <w:keepNext w:val="0"/>
                    <w:keepLines w:val="0"/>
                    <w:suppressLineNumbers w:val="0"/>
                    <w:spacing w:before="65" w:beforeAutospacing="0" w:after="0" w:afterAutospacing="0" w:line="243" w:lineRule="auto"/>
                    <w:ind w:left="0" w:right="18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1、根据本项目与沙区矢量图位置关系，本项目部分区域位于沙区范围内。2、本项目为输变电项目，不涉及放牧和草原生物资</w:t>
                  </w:r>
                </w:p>
                <w:p w14:paraId="14E14FBB">
                  <w:pPr>
                    <w:pStyle w:val="24"/>
                    <w:keepNext w:val="0"/>
                    <w:keepLines w:val="0"/>
                    <w:suppressLineNumbers w:val="0"/>
                    <w:spacing w:before="65" w:beforeAutospacing="0" w:after="0" w:afterAutospacing="0" w:line="243" w:lineRule="auto"/>
                    <w:ind w:left="0" w:right="18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源的利用。3、不涉及放牧、樵采、开荒。4、不涉及荒漠植被和沙化土地封禁保护。5、不涉及畜牧业。6、不涉及退耕还林，占用的草地通过厂区绿化恢复。7、不涉及内陆河流。</w:t>
                  </w:r>
                </w:p>
              </w:tc>
              <w:tc>
                <w:tcPr>
                  <w:tcW w:w="588" w:type="pct"/>
                  <w:tcBorders>
                    <w:tl2br w:val="nil"/>
                    <w:tr2bl w:val="nil"/>
                  </w:tcBorders>
                  <w:noWrap w:val="0"/>
                  <w:vAlign w:val="center"/>
                </w:tcPr>
                <w:p w14:paraId="6CD63D5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028F6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571" w:type="pct"/>
                  <w:vMerge w:val="continue"/>
                  <w:tcBorders>
                    <w:tl2br w:val="nil"/>
                    <w:tr2bl w:val="nil"/>
                  </w:tcBorders>
                  <w:noWrap w:val="0"/>
                  <w:vAlign w:val="center"/>
                </w:tcPr>
                <w:p w14:paraId="09CBC5D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spacing w:val="8"/>
                      <w:sz w:val="21"/>
                      <w:szCs w:val="21"/>
                      <w:highlight w:val="none"/>
                      <w:lang w:val="en-US" w:eastAsia="zh-CN"/>
                    </w:rPr>
                  </w:pPr>
                </w:p>
              </w:tc>
              <w:tc>
                <w:tcPr>
                  <w:tcW w:w="457" w:type="pct"/>
                  <w:tcBorders>
                    <w:tl2br w:val="nil"/>
                    <w:tr2bl w:val="nil"/>
                  </w:tcBorders>
                  <w:noWrap w:val="0"/>
                  <w:vAlign w:val="center"/>
                </w:tcPr>
                <w:p w14:paraId="0910E61B">
                  <w:pPr>
                    <w:pStyle w:val="24"/>
                    <w:keepNext w:val="0"/>
                    <w:keepLines w:val="0"/>
                    <w:suppressLineNumbers w:val="0"/>
                    <w:spacing w:before="198" w:beforeAutospacing="0" w:after="0" w:afterAutospacing="0" w:line="216" w:lineRule="auto"/>
                    <w:ind w:right="0" w:right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禁止开发建设活动的要求</w:t>
                  </w:r>
                </w:p>
              </w:tc>
              <w:tc>
                <w:tcPr>
                  <w:tcW w:w="2338" w:type="pct"/>
                  <w:tcBorders>
                    <w:tl2br w:val="nil"/>
                    <w:tr2bl w:val="nil"/>
                  </w:tcBorders>
                  <w:noWrap w:val="0"/>
                  <w:vAlign w:val="center"/>
                </w:tcPr>
                <w:p w14:paraId="57F6E72B">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一般生态空间内应在重要水源保护区上游干流、支流沿岸的规划建设，在河道干流、支流两岸因地制宜划定生态缓冲带和生态绿化廊道。生态缓冲带内应保持自然岸线和生态系统的完整性，严禁建设项目侵占责任生态空间和“贴边”发展。在重要的生态功能区和“四区”（水源保护区、自然保护区、风景名胜区、湿地公园）区域，严禁违规建设别墅类和高尔夫球场等项目，严禁破坏生态环境功能的开发建设活动。严格饮用水水源保护区、自然保护区、风景名胜区、森林公园、地质公园等环境敏感区域及周边地区开发建设管理。</w:t>
                  </w:r>
                </w:p>
                <w:p w14:paraId="1B137249">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2.在上述环境敏感区域内，严禁建设污染环境、破坏资源和景观的生产设施。对未经批准擅自建设“玻璃栈道”、观光索道等破坏生态和景观的违法建设项目，可依法责令拆除并恢复原状。对擅自在法律法规规定禁止建设区域内建成的违法违规项目和设施，要依法采取行政处罚和移交司法部门强制执行等措施，依法责令拆除并恢复原状。未纳入生态保护红线的各类自然保护地等按照相关法律法规规定进行管控。</w:t>
                  </w:r>
                </w:p>
              </w:tc>
              <w:tc>
                <w:tcPr>
                  <w:tcW w:w="1673" w:type="dxa"/>
                  <w:tcBorders>
                    <w:tl2br w:val="nil"/>
                    <w:tr2bl w:val="nil"/>
                  </w:tcBorders>
                  <w:noWrap w:val="0"/>
                  <w:vAlign w:val="center"/>
                </w:tcPr>
                <w:p w14:paraId="4866F17B">
                  <w:pPr>
                    <w:pStyle w:val="24"/>
                    <w:keepNext w:val="0"/>
                    <w:keepLines w:val="0"/>
                    <w:suppressLineNumbers w:val="0"/>
                    <w:spacing w:before="65" w:beforeAutospacing="0" w:after="0" w:afterAutospacing="0" w:line="243" w:lineRule="auto"/>
                    <w:ind w:left="0" w:leftChars="0" w:right="180" w:right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本项目位于河北省承德市围场满族蒙古族自治县城子镇、牌楼乡、燕格柏乡和半截塔镇。根据围场满族蒙古族自治县自然资源和规划局于2024年4月7日出具的《关于围场满族蒙古族自治县阳洁光伏发电有限责任公司华能围场“风光储氢热一体化”项目（风电200MW）项目220KV送出线路工程塔基用地的情况说明》（STHXHS20240052号），本项目线路塔基范围不占永久基本农田，但部分线路塔基范围占生态保护红线（0.12公顷），占生态保护红线塔基分别为（21、23、26）；根据围场满族蒙古族自治县自然资源和规划局于2024年4月7日出具的《华能围场“风光储氢热一体化”项目（风电200MW）项目220KV送出线路工程不可避让生态保护红线报告》的审查意见，本项目建设占用生态保护红线不可避免，《报告》提出的项目用地占用和穿越生态保护红线的保护措施以及相关施工措施可行，同意通过论证；根据围场满族蒙古族自治县自然资源和规划局于2024年9月25日出具的《关于华能围场“风光储氢一体化”项目（风电200MW）项目220kV送出线路工程路径的说明》，该项目配套220kV送出线路工程路径经过围场县城子镇、牌楼乡、燕格柏乡、半截塔镇部分线路涉及穿越生态保护红线，按照《河北省自然资源厅河北省生态环境厅 河北省林业和草原局 关于加强生态保护红线管理的通知》(冀自然资发〔2024〕4号)编制了不可避让论证报告并通过专家论证，原则同意该线路预选址，后续按程序办理相关手续</w:t>
                  </w: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根据围场满族蒙古族自治县河道事务中心于2024年3月27日出具的《关于华能围场“风光储氢热一体化”项目（风电200MW）项目220KV送出线路工程路径征求意见的复函》，本项目输电铁塔不在已划界河道管理范围内；依据附图可知，本项目不在饮用水源保护区内，不在自然保护区范围内。</w:t>
                  </w:r>
                </w:p>
              </w:tc>
              <w:tc>
                <w:tcPr>
                  <w:tcW w:w="588" w:type="pct"/>
                  <w:tcBorders>
                    <w:tl2br w:val="nil"/>
                    <w:tr2bl w:val="nil"/>
                  </w:tcBorders>
                  <w:noWrap w:val="0"/>
                  <w:vAlign w:val="center"/>
                </w:tcPr>
                <w:p w14:paraId="595E6B5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1EAB7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571" w:type="pct"/>
                  <w:vMerge w:val="continue"/>
                  <w:tcBorders>
                    <w:tl2br w:val="nil"/>
                    <w:tr2bl w:val="nil"/>
                  </w:tcBorders>
                  <w:noWrap w:val="0"/>
                  <w:vAlign w:val="center"/>
                </w:tcPr>
                <w:p w14:paraId="1791677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spacing w:val="8"/>
                      <w:sz w:val="21"/>
                      <w:szCs w:val="21"/>
                      <w:highlight w:val="none"/>
                      <w:lang w:val="en-US" w:eastAsia="zh-CN"/>
                    </w:rPr>
                  </w:pPr>
                </w:p>
              </w:tc>
              <w:tc>
                <w:tcPr>
                  <w:tcW w:w="457" w:type="pct"/>
                  <w:tcBorders>
                    <w:tl2br w:val="nil"/>
                    <w:tr2bl w:val="nil"/>
                  </w:tcBorders>
                  <w:noWrap w:val="0"/>
                  <w:vAlign w:val="center"/>
                </w:tcPr>
                <w:p w14:paraId="44CED949">
                  <w:pPr>
                    <w:pStyle w:val="24"/>
                    <w:keepNext w:val="0"/>
                    <w:keepLines w:val="0"/>
                    <w:suppressLineNumbers w:val="0"/>
                    <w:spacing w:before="198" w:beforeAutospacing="0" w:after="0" w:afterAutospacing="0" w:line="216" w:lineRule="auto"/>
                    <w:ind w:right="0" w:right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限制开发建设活动的要求</w:t>
                  </w:r>
                </w:p>
              </w:tc>
              <w:tc>
                <w:tcPr>
                  <w:tcW w:w="2338" w:type="pct"/>
                  <w:tcBorders>
                    <w:tl2br w:val="nil"/>
                    <w:tr2bl w:val="nil"/>
                  </w:tcBorders>
                  <w:noWrap w:val="0"/>
                  <w:vAlign w:val="center"/>
                </w:tcPr>
                <w:p w14:paraId="626C2BF8">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1.严格控制矿产资源开发范围。非经国务院授权的有关主管部门同意，不得在下列地区新批固体矿产资源开发项目，严格控制新批液体、气体矿产资源开发项目：在机场、国防工程设施圈定地区以内；重要工业区、大型水利工程设施、城镇市政工程设施附近一定距离以内；永久基本农田、城镇开发边界内、自然保护区、风景名胜区、饮用水水源保护区、地质遗迹保护区、文物保护单位等保护范围内，国家规定不得开采矿产资源的其他地区。矿产资源勘查实行最严格的生态环境保护制度，全面推行绿色勘查。矿产资源勘查项目应当严格落实国土空间规划和矿产资源总体规划，符合生态保护红线管控相关要求，充分考虑区域生态环境承载能力，科学评估勘查作业可能对生态环境、水源涵养的影响。勘察设计方案应当落实绿色勘察理念，严格执行国家绿色勘察有关标准和规范。勘查单位应当严格按照地质矿产勘查规范、绿色勘查规范和勘查设计方案进行施工作业。严格控制露天矿山开采，对已有露天矿山推广先进适用的开采技术；露天矿山企业应当实行平台式开采，提高生产质量、生产效率，保障矿山采后高标准复垦复绿。</w:t>
                  </w:r>
                </w:p>
              </w:tc>
              <w:tc>
                <w:tcPr>
                  <w:tcW w:w="1043" w:type="pct"/>
                  <w:tcBorders>
                    <w:tl2br w:val="nil"/>
                    <w:tr2bl w:val="nil"/>
                  </w:tcBorders>
                  <w:noWrap w:val="0"/>
                  <w:vAlign w:val="center"/>
                </w:tcPr>
                <w:p w14:paraId="7A3F8F17">
                  <w:pPr>
                    <w:pStyle w:val="24"/>
                    <w:keepNext w:val="0"/>
                    <w:keepLines w:val="0"/>
                    <w:suppressLineNumbers w:val="0"/>
                    <w:spacing w:before="65" w:beforeAutospacing="0" w:after="0" w:afterAutospacing="0" w:line="243" w:lineRule="auto"/>
                    <w:ind w:left="0" w:right="180"/>
                    <w:jc w:val="both"/>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本项目为输变电工程，新建 29.9km 的架空输电线路，不涉及矿产企业。</w:t>
                  </w:r>
                </w:p>
              </w:tc>
              <w:tc>
                <w:tcPr>
                  <w:tcW w:w="588" w:type="pct"/>
                  <w:tcBorders>
                    <w:tl2br w:val="nil"/>
                    <w:tr2bl w:val="nil"/>
                  </w:tcBorders>
                  <w:noWrap w:val="0"/>
                  <w:vAlign w:val="center"/>
                </w:tcPr>
                <w:p w14:paraId="0B8BC72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bl>
          <w:p w14:paraId="3BC6AE8E">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与“水环境总体要求”符合性分析</w:t>
            </w:r>
          </w:p>
          <w:p w14:paraId="403E7787">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本项目与“水环境总体要求”符合性分析见下表。</w:t>
            </w:r>
          </w:p>
          <w:p w14:paraId="49F5FAB2">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表1-4本项目与“水环境总体要求”符合性分析一览表</w:t>
            </w:r>
          </w:p>
          <w:tbl>
            <w:tblPr>
              <w:tblStyle w:val="19"/>
              <w:tblW w:w="488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1650"/>
              <w:gridCol w:w="3749"/>
              <w:gridCol w:w="1672"/>
              <w:gridCol w:w="944"/>
            </w:tblGrid>
            <w:tr w14:paraId="45D5B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1029" w:type="pct"/>
                  <w:tcBorders>
                    <w:tl2br w:val="nil"/>
                    <w:tr2bl w:val="nil"/>
                  </w:tcBorders>
                  <w:noWrap w:val="0"/>
                  <w:vAlign w:val="center"/>
                </w:tcPr>
                <w:p w14:paraId="47E32CD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管控维度</w:t>
                  </w:r>
                </w:p>
              </w:tc>
              <w:tc>
                <w:tcPr>
                  <w:tcW w:w="2338" w:type="pct"/>
                  <w:tcBorders>
                    <w:tl2br w:val="nil"/>
                    <w:tr2bl w:val="nil"/>
                  </w:tcBorders>
                  <w:noWrap w:val="0"/>
                  <w:vAlign w:val="center"/>
                </w:tcPr>
                <w:p w14:paraId="0AF13A5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管控要求</w:t>
                  </w:r>
                </w:p>
              </w:tc>
              <w:tc>
                <w:tcPr>
                  <w:tcW w:w="1043" w:type="pct"/>
                  <w:tcBorders>
                    <w:tl2br w:val="nil"/>
                    <w:tr2bl w:val="nil"/>
                  </w:tcBorders>
                  <w:noWrap w:val="0"/>
                  <w:vAlign w:val="center"/>
                </w:tcPr>
                <w:p w14:paraId="5549F2B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项目情况</w:t>
                  </w:r>
                </w:p>
              </w:tc>
              <w:tc>
                <w:tcPr>
                  <w:tcW w:w="588" w:type="pct"/>
                  <w:tcBorders>
                    <w:tl2br w:val="nil"/>
                    <w:tr2bl w:val="nil"/>
                  </w:tcBorders>
                  <w:noWrap w:val="0"/>
                  <w:vAlign w:val="center"/>
                </w:tcPr>
                <w:p w14:paraId="7339503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符合性</w:t>
                  </w:r>
                </w:p>
              </w:tc>
            </w:tr>
            <w:tr w14:paraId="35F18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1029" w:type="pct"/>
                  <w:tcBorders>
                    <w:tl2br w:val="nil"/>
                    <w:tr2bl w:val="nil"/>
                  </w:tcBorders>
                  <w:noWrap w:val="0"/>
                  <w:vAlign w:val="center"/>
                </w:tcPr>
                <w:p w14:paraId="5F280EA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空间布局约束</w:t>
                  </w:r>
                </w:p>
              </w:tc>
              <w:tc>
                <w:tcPr>
                  <w:tcW w:w="2338" w:type="pct"/>
                  <w:tcBorders>
                    <w:tl2br w:val="nil"/>
                    <w:tr2bl w:val="nil"/>
                  </w:tcBorders>
                  <w:noWrap w:val="0"/>
                  <w:vAlign w:val="center"/>
                </w:tcPr>
                <w:p w14:paraId="49C999DA">
                  <w:pPr>
                    <w:keepNext w:val="0"/>
                    <w:keepLines w:val="0"/>
                    <w:widowControl/>
                    <w:numPr>
                      <w:ilvl w:val="0"/>
                      <w:numId w:val="2"/>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饮用水源地保护区应遵循《河北省水资源管理条例》、《河北省水污染防治条例》等相关法律法规规定要求。</w:t>
                  </w:r>
                </w:p>
                <w:p w14:paraId="7A711EB4">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2.新建企业原则上均应建在工业集聚区。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p w14:paraId="468E72BA">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3.各产业集聚区内应限制建设不符合产业定位的项目。</w:t>
                  </w:r>
                </w:p>
                <w:p w14:paraId="3412E201">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4.禁止向水域倾倒工业废渣、城市垃圾、粪便及其他废弃物。</w:t>
                  </w:r>
                </w:p>
                <w:p w14:paraId="0CB47C12">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5.科学划定禁养区、限养区，禁止在禁养区内新建、改扩建各类畜禽养殖场，现有项目应限期搬迁。</w:t>
                  </w:r>
                </w:p>
                <w:p w14:paraId="57614437">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6.新建冶金、电镀、有色金属、化工、印染、制革、原料药制造等企业，原则上布局在符合产业定位的园区，其排放的污水由园区污水处理厂集中处理。</w:t>
                  </w:r>
                </w:p>
                <w:p w14:paraId="174C546A">
                  <w:pPr>
                    <w:keepNext w:val="0"/>
                    <w:keepLines w:val="0"/>
                    <w:widowControl/>
                    <w:suppressLineNumbers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7.一般工业固体废物贮存场、填埋场不得选在生态保护红线区域、永久基本农田集中区域和其他需要特别保护的区域内，应避开活动断层、溶洞区、天然滑坡或泥石流影响区以及湿地等区域，不得选在江河、湖泊、运河、渠道、水库最高水位线以下的滩地和岸坡，以及国家和地方长远规划中的水库等人工蓄水设施的淹没区和保护区之内。</w:t>
                  </w:r>
                </w:p>
              </w:tc>
              <w:tc>
                <w:tcPr>
                  <w:tcW w:w="1043" w:type="pct"/>
                  <w:tcBorders>
                    <w:tl2br w:val="nil"/>
                    <w:tr2bl w:val="nil"/>
                  </w:tcBorders>
                  <w:noWrap w:val="0"/>
                  <w:vAlign w:val="center"/>
                </w:tcPr>
                <w:p w14:paraId="31747B8A">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1、根据本项目与饮用水源保护区矢量图位置关系，本项目不涉及饮用水源保护区。</w:t>
                  </w:r>
                </w:p>
                <w:p w14:paraId="79E94D6A">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2、本项目为输变电工程，新建 29.9km 的架空输电线路。</w:t>
                  </w:r>
                </w:p>
                <w:p w14:paraId="695CF3AA">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3、本项目施工期废水主要为施工人员产生的生活污水和施工废水，产生废水经处理后回用或综合利用，不外排；运营期无废水产生。故对区域水环境影响较小。</w:t>
                  </w:r>
                </w:p>
              </w:tc>
              <w:tc>
                <w:tcPr>
                  <w:tcW w:w="588" w:type="pct"/>
                  <w:tcBorders>
                    <w:tl2br w:val="nil"/>
                    <w:tr2bl w:val="nil"/>
                  </w:tcBorders>
                  <w:noWrap w:val="0"/>
                  <w:vAlign w:val="center"/>
                </w:tcPr>
                <w:p w14:paraId="177675A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51B9F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1029" w:type="pct"/>
                  <w:tcBorders>
                    <w:tl2br w:val="nil"/>
                    <w:tr2bl w:val="nil"/>
                  </w:tcBorders>
                  <w:noWrap w:val="0"/>
                  <w:vAlign w:val="center"/>
                </w:tcPr>
                <w:p w14:paraId="454E43B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污染物排放管控</w:t>
                  </w:r>
                </w:p>
              </w:tc>
              <w:tc>
                <w:tcPr>
                  <w:tcW w:w="2338" w:type="pct"/>
                  <w:tcBorders>
                    <w:tl2br w:val="nil"/>
                    <w:tr2bl w:val="nil"/>
                  </w:tcBorders>
                  <w:noWrap w:val="0"/>
                  <w:vAlign w:val="center"/>
                </w:tcPr>
                <w:p w14:paraId="3C585687">
                  <w:pPr>
                    <w:keepNext w:val="0"/>
                    <w:keepLines w:val="0"/>
                    <w:widowControl/>
                    <w:numPr>
                      <w:ilvl w:val="0"/>
                      <w:numId w:val="3"/>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禁止建设不符合国家产业政策和行业准入条件的工业项目。</w:t>
                  </w:r>
                </w:p>
                <w:p w14:paraId="03FE4606">
                  <w:pPr>
                    <w:keepNext w:val="0"/>
                    <w:keepLines w:val="0"/>
                    <w:widowControl/>
                    <w:numPr>
                      <w:ilvl w:val="0"/>
                      <w:numId w:val="0"/>
                    </w:numPr>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2.现有及新建企业污染排放应满足排污许可证要求。未发放排污许可证企业满足行业排放标准与总量控制要求。国家规定期限范围内前未获得排污许可证的企业应关停退出。</w:t>
                  </w:r>
                </w:p>
                <w:p w14:paraId="476EA0E2">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3.造纸、焦化、氮肥、石油化工、印染、农副食品加工、原料药制造、制革、农药、电镀等“十大”重点行业，新建、改建、扩建项目实行新增主要污染物排放倍量替换。</w:t>
                  </w:r>
                </w:p>
                <w:p w14:paraId="3B8149A5">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新建污水处理设施及其配套管网应同步设计、同步建设、同步投运。纳管企业应当防止、减少环境污染和生态破坏，按照国家有关规定申领排污许可证，持证排污、按证排污，对所造成的损害依法承担责任。一是按照国家有关规定对工业污水进行预处理，相关标准规定的第一类污染物及其他有毒有害污染物，应在车间或车间处理设施排放口处理达标；其他污染物达到集中处理设施处理工艺要求后方可排放。二是依法按照相关技术规范开展自行监测并主动公开污染物排放信息，自觉接受监督。属于水环境重点排污单位的，还须依法安装使用自动监测设备，并与当地生态环境部门、运营单位共享数据。三是根据《污水处理费征收使用管理办法》（财税〔2014〕151号）、委托处理合同等，及时足额缴纳污水处理相关费用。四是发生事故致使排放的污水可能危及污水处理厂安全运行时，应当立即启动应急预案，采取应急措施消除危害，通知运营单位并向生态环境部门及相关主管部门报告。</w:t>
                  </w:r>
                </w:p>
                <w:p w14:paraId="458ECED8">
                  <w:pPr>
                    <w:keepNext w:val="0"/>
                    <w:keepLines w:val="0"/>
                    <w:widowControl/>
                    <w:numPr>
                      <w:ilvl w:val="0"/>
                      <w:numId w:val="4"/>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新建、改建、扩建污水处理项目环境影响评价，要将服务范围内污水调查情况作为重要内容。</w:t>
                  </w:r>
                </w:p>
                <w:p w14:paraId="4030F001">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6.一般工业固体废物贮存场、填埋场的选址、建设、运行、封场、土地复垦等过程的环境保护要求，以及替代贮存、填埋处置的一般工业固体废物充填及回填利用环境保护要求应执行《一般工业固体废物贮存和填埋污染控制标准》（GB18599-2020）。</w:t>
                  </w:r>
                </w:p>
                <w:p w14:paraId="1ED3ADB1">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7.新建危险废物填埋场的建设、运行、封场及封场后环境管理过程的污染控制，现有危险废物填埋场的入场要求、运行要求、污染物排放要求、封场及封场后环境管理要求应满足《危险废物填埋污染控制标准》（GB18598-2019）。</w:t>
                  </w:r>
                </w:p>
                <w:p w14:paraId="4FEBDABD">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8.将潮河干流流经的古北口镇、高岭镇、太师屯镇、黄旗镇、土城镇、大阁镇、南关蒙古族乡、胡麻营镇、黑山咀镇、天桥镇、虎什哈镇、付家店满族乡、巴克什营镇等乡镇划为重点化肥农药减量区，其他区域划为一般化肥减量区。2025年底前，流域内化肥农药施用总量降低20%以上。</w:t>
                  </w:r>
                </w:p>
                <w:p w14:paraId="04115DB6">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9.2025年，承德市化学需氧量重点工程减排量1.27万吨、氨氮重点工程减排量0.041万吨。</w:t>
                  </w:r>
                </w:p>
              </w:tc>
              <w:tc>
                <w:tcPr>
                  <w:tcW w:w="1043" w:type="pct"/>
                  <w:tcBorders>
                    <w:tl2br w:val="nil"/>
                    <w:tr2bl w:val="nil"/>
                  </w:tcBorders>
                  <w:noWrap w:val="0"/>
                  <w:vAlign w:val="center"/>
                </w:tcPr>
                <w:p w14:paraId="461E6F86">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w:t>
                  </w:r>
                  <w:r>
                    <w:rPr>
                      <w:rFonts w:hint="eastAsia" w:ascii="Times New Roman" w:hAnsi="Times New Roman" w:eastAsia="宋体" w:cs="Times New Roman"/>
                      <w:color w:val="000000"/>
                      <w:kern w:val="0"/>
                      <w:sz w:val="21"/>
                      <w:szCs w:val="21"/>
                      <w:lang w:val="en-US" w:eastAsia="zh-CN" w:bidi="ar"/>
                    </w:rPr>
                    <w:t xml:space="preserve">本项目为输变电工程，新建 </w:t>
                  </w:r>
                  <w:r>
                    <w:rPr>
                      <w:rFonts w:hint="eastAsia" w:cs="Times New Roman"/>
                      <w:color w:val="000000"/>
                      <w:kern w:val="0"/>
                      <w:sz w:val="21"/>
                      <w:szCs w:val="21"/>
                      <w:lang w:val="en-US" w:eastAsia="zh-CN" w:bidi="ar"/>
                    </w:rPr>
                    <w:t>29.9</w:t>
                  </w:r>
                  <w:r>
                    <w:rPr>
                      <w:rFonts w:hint="eastAsia" w:ascii="Times New Roman" w:hAnsi="Times New Roman" w:eastAsia="宋体" w:cs="Times New Roman"/>
                      <w:color w:val="000000"/>
                      <w:kern w:val="0"/>
                      <w:sz w:val="21"/>
                      <w:szCs w:val="21"/>
                      <w:lang w:val="en-US" w:eastAsia="zh-CN" w:bidi="ar"/>
                    </w:rPr>
                    <w:t>km 的架空输电线路。</w:t>
                  </w:r>
                </w:p>
                <w:p w14:paraId="6804D2A7">
                  <w:pPr>
                    <w:keepNext w:val="0"/>
                    <w:keepLines w:val="0"/>
                    <w:widowControl/>
                    <w:numPr>
                      <w:ilvl w:val="0"/>
                      <w:numId w:val="0"/>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2、本项目于2024年5月21日已取得承德市数据和政务服务局出具的《关于华能围场“风光储氢热一体化”项目（风电200MW）项目220kV送出线路工程项目核准的批复》，核准文号：承数政核字〔2024〕</w:t>
                  </w:r>
                  <w:r>
                    <w:rPr>
                      <w:rFonts w:hint="eastAsia" w:ascii="Times New Roman" w:hAnsi="Times New Roman" w:eastAsia="宋体" w:cs="Times New Roman"/>
                      <w:color w:val="000000"/>
                      <w:kern w:val="0"/>
                      <w:sz w:val="21"/>
                      <w:szCs w:val="21"/>
                      <w:lang w:val="en-US" w:eastAsia="zh-CN" w:bidi="ar"/>
                    </w:rPr>
                    <w:t>10</w:t>
                  </w:r>
                  <w:r>
                    <w:rPr>
                      <w:rFonts w:hint="default" w:ascii="Times New Roman" w:hAnsi="Times New Roman" w:eastAsia="宋体" w:cs="Times New Roman"/>
                      <w:color w:val="000000"/>
                      <w:kern w:val="0"/>
                      <w:sz w:val="21"/>
                      <w:szCs w:val="21"/>
                      <w:lang w:val="en-US" w:eastAsia="zh-CN" w:bidi="ar"/>
                    </w:rPr>
                    <w:t>号。</w:t>
                  </w:r>
                </w:p>
                <w:p w14:paraId="6A1E215D">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lang w:val="en-US" w:eastAsia="zh-CN" w:bidi="ar"/>
                      <w14:textFill>
                        <w14:solidFill>
                          <w14:schemeClr w14:val="tx1"/>
                        </w14:solidFill>
                      </w14:textFill>
                    </w:rPr>
                    <w:t>3、</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本项目施工期用水由运水车从附近村庄取水，废水主要为施工人员产生的生活污水和施工废水，产生废水经处理后回用或综合利用，不外排；运营期无废水产生。故对区域水环境影响较小。</w:t>
                  </w:r>
                </w:p>
                <w:p w14:paraId="678DEF71">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lang w:val="en-US" w:eastAsia="zh-CN" w:bidi="ar"/>
                      <w14:textFill>
                        <w14:solidFill>
                          <w14:schemeClr w14:val="tx1"/>
                        </w14:solidFill>
                      </w14:textFill>
                    </w:rPr>
                    <w:t>4、</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本项目施工期固体废物为施工废渣及施工人员生活垃圾，通过综合措施，施工期固体废物对环境的影响较小；运营期无固废产生。</w:t>
                  </w:r>
                </w:p>
                <w:p w14:paraId="68FF72F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5、本项目不占用重要河道、水源保护区；</w:t>
                  </w:r>
                </w:p>
                <w:p w14:paraId="39FDEC29">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588" w:type="pct"/>
                  <w:tcBorders>
                    <w:tl2br w:val="nil"/>
                    <w:tr2bl w:val="nil"/>
                  </w:tcBorders>
                  <w:noWrap w:val="0"/>
                  <w:vAlign w:val="center"/>
                </w:tcPr>
                <w:p w14:paraId="239E381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26C12A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1029" w:type="pct"/>
                  <w:tcBorders>
                    <w:tl2br w:val="nil"/>
                    <w:tr2bl w:val="nil"/>
                  </w:tcBorders>
                  <w:noWrap w:val="0"/>
                  <w:vAlign w:val="center"/>
                </w:tcPr>
                <w:p w14:paraId="7CA8E14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环境风险防控</w:t>
                  </w:r>
                </w:p>
              </w:tc>
              <w:tc>
                <w:tcPr>
                  <w:tcW w:w="2338" w:type="pct"/>
                  <w:tcBorders>
                    <w:tl2br w:val="nil"/>
                    <w:tr2bl w:val="nil"/>
                  </w:tcBorders>
                  <w:noWrap w:val="0"/>
                  <w:vAlign w:val="center"/>
                </w:tcPr>
                <w:p w14:paraId="4F46EF1C">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1.限制建设《环境保护综合名录》（2021年版）中“高污染、高环境风险”产品与工艺装备。</w:t>
                  </w:r>
                </w:p>
                <w:p w14:paraId="04A0AA10">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2.限制建设排放《有毒有害水污染物名录》中所列有毒有害污染物的项目。</w:t>
                  </w:r>
                </w:p>
                <w:p w14:paraId="2DA2713B">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3.矿山企业及尾矿库的运营和管理单位应当加强环境规范化管理，对原料和堆场采取防渗、防风和防洪等措施，防止污染滦河、潮河水环境，尾矿库闭库后应当及时复垦。</w:t>
                  </w:r>
                </w:p>
                <w:p w14:paraId="0C9B1ACA">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4.滦河、潮河流域内从事旅游、运动娱乐项目的经营者应当配备污染物、废弃物的收集和处理设施，防止对水质的污染。</w:t>
                  </w:r>
                </w:p>
              </w:tc>
              <w:tc>
                <w:tcPr>
                  <w:tcW w:w="1043" w:type="pct"/>
                  <w:tcBorders>
                    <w:tl2br w:val="nil"/>
                    <w:tr2bl w:val="nil"/>
                  </w:tcBorders>
                  <w:noWrap w:val="0"/>
                  <w:vAlign w:val="center"/>
                </w:tcPr>
                <w:p w14:paraId="1A2BE830">
                  <w:pPr>
                    <w:keepNext w:val="0"/>
                    <w:keepLines w:val="0"/>
                    <w:widowControl/>
                    <w:numPr>
                      <w:ilvl w:val="0"/>
                      <w:numId w:val="0"/>
                    </w:numPr>
                    <w:suppressLineNumbers w:val="0"/>
                    <w:jc w:val="left"/>
                    <w:rPr>
                      <w:rFonts w:hint="eastAsia" w:ascii="Times New Roman" w:hAnsi="Times New Roman" w:eastAsia="宋体" w:cs="Times New Roman"/>
                      <w:color w:val="000000"/>
                      <w:kern w:val="0"/>
                      <w:sz w:val="21"/>
                      <w:szCs w:val="21"/>
                      <w:lang w:val="en-US" w:eastAsia="zh-CN" w:bidi="ar"/>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eastAsia" w:ascii="Times New Roman" w:hAnsi="Times New Roman" w:eastAsia="宋体" w:cs="Times New Roman"/>
                      <w:color w:val="000000"/>
                      <w:kern w:val="0"/>
                      <w:sz w:val="21"/>
                      <w:szCs w:val="21"/>
                      <w:lang w:val="en-US" w:eastAsia="zh-CN" w:bidi="ar"/>
                    </w:rPr>
                    <w:t xml:space="preserve">本项目为输变电工程，新建 </w:t>
                  </w:r>
                  <w:r>
                    <w:rPr>
                      <w:rFonts w:hint="eastAsia" w:cs="Times New Roman"/>
                      <w:color w:val="000000"/>
                      <w:kern w:val="0"/>
                      <w:sz w:val="21"/>
                      <w:szCs w:val="21"/>
                      <w:lang w:val="en-US" w:eastAsia="zh-CN" w:bidi="ar"/>
                    </w:rPr>
                    <w:t>29.9</w:t>
                  </w:r>
                  <w:r>
                    <w:rPr>
                      <w:rFonts w:hint="eastAsia" w:ascii="Times New Roman" w:hAnsi="Times New Roman" w:eastAsia="宋体" w:cs="Times New Roman"/>
                      <w:color w:val="000000"/>
                      <w:kern w:val="0"/>
                      <w:sz w:val="21"/>
                      <w:szCs w:val="21"/>
                      <w:lang w:val="en-US" w:eastAsia="zh-CN" w:bidi="ar"/>
                    </w:rPr>
                    <w:t>km 的架空输电线路，不属于</w:t>
                  </w:r>
                  <w:r>
                    <w:rPr>
                      <w:rFonts w:hint="default" w:ascii="Times New Roman" w:hAnsi="Times New Roman" w:eastAsia="宋体" w:cs="Times New Roman"/>
                      <w:color w:val="000000"/>
                      <w:kern w:val="0"/>
                      <w:sz w:val="21"/>
                      <w:szCs w:val="21"/>
                      <w:lang w:val="en-US" w:eastAsia="zh-CN" w:bidi="ar"/>
                    </w:rPr>
                    <w:t>“高污染、高环境风险”</w:t>
                  </w:r>
                  <w:r>
                    <w:rPr>
                      <w:rFonts w:hint="eastAsia" w:ascii="Times New Roman" w:hAnsi="Times New Roman" w:eastAsia="宋体" w:cs="Times New Roman"/>
                      <w:color w:val="000000"/>
                      <w:kern w:val="0"/>
                      <w:sz w:val="21"/>
                      <w:szCs w:val="21"/>
                      <w:lang w:val="en-US" w:eastAsia="zh-CN" w:bidi="ar"/>
                    </w:rPr>
                    <w:t>企业。</w:t>
                  </w:r>
                </w:p>
                <w:p w14:paraId="5853D5F1">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2、</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本项目施工期用水由运水车从附近村庄取水，废水主要为施工人员产生的生活污水和施工废水，产生废水经处理后回用或综合利用，不外排；运营期无废水产生。</w:t>
                  </w:r>
                  <w:r>
                    <w:rPr>
                      <w:rFonts w:hint="eastAsia" w:ascii="Times New Roman" w:hAnsi="Times New Roman" w:eastAsia="宋体" w:cs="Times New Roman"/>
                      <w:color w:val="000000"/>
                      <w:kern w:val="0"/>
                      <w:sz w:val="21"/>
                      <w:szCs w:val="21"/>
                      <w:lang w:val="en-US" w:eastAsia="zh-CN" w:bidi="ar"/>
                    </w:rPr>
                    <w:t>故不会对区域水环境噪声影响。</w:t>
                  </w:r>
                </w:p>
              </w:tc>
              <w:tc>
                <w:tcPr>
                  <w:tcW w:w="588" w:type="pct"/>
                  <w:tcBorders>
                    <w:tl2br w:val="nil"/>
                    <w:tr2bl w:val="nil"/>
                  </w:tcBorders>
                  <w:noWrap w:val="0"/>
                  <w:vAlign w:val="center"/>
                </w:tcPr>
                <w:p w14:paraId="78BE65B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55EBC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1029" w:type="pct"/>
                  <w:tcBorders>
                    <w:tl2br w:val="nil"/>
                    <w:tr2bl w:val="nil"/>
                  </w:tcBorders>
                  <w:noWrap w:val="0"/>
                  <w:vAlign w:val="center"/>
                </w:tcPr>
                <w:p w14:paraId="4BA096B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资源利用效率</w:t>
                  </w:r>
                </w:p>
              </w:tc>
              <w:tc>
                <w:tcPr>
                  <w:tcW w:w="2338" w:type="pct"/>
                  <w:tcBorders>
                    <w:tl2br w:val="nil"/>
                    <w:tr2bl w:val="nil"/>
                  </w:tcBorders>
                  <w:noWrap w:val="0"/>
                  <w:vAlign w:val="center"/>
                </w:tcPr>
                <w:p w14:paraId="184B4A9D">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1.到2025年，城市建成区基本实现污水全收集、全处理，县级城市建成区全面消除黑臭水体，建制镇污水收集处理能力明显提升，城市、县城平均污泥无害化处理率保持在97%以上。</w:t>
                  </w:r>
                </w:p>
                <w:p w14:paraId="18385C81">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2.到2025年，化肥、农药施用量保持零增长，畜禽粪污综合利用率达85%以上，基本实现废旧农膜全回收。</w:t>
                  </w:r>
                </w:p>
              </w:tc>
              <w:tc>
                <w:tcPr>
                  <w:tcW w:w="1043" w:type="pct"/>
                  <w:tcBorders>
                    <w:tl2br w:val="nil"/>
                    <w:tr2bl w:val="nil"/>
                  </w:tcBorders>
                  <w:noWrap w:val="0"/>
                  <w:vAlign w:val="center"/>
                </w:tcPr>
                <w:p w14:paraId="5365E49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
                    </w:rPr>
                    <w:t xml:space="preserve">本项目为输变电工程，新建 </w:t>
                  </w:r>
                  <w:r>
                    <w:rPr>
                      <w:rFonts w:hint="eastAsia" w:cs="Times New Roman"/>
                      <w:color w:val="000000"/>
                      <w:kern w:val="0"/>
                      <w:sz w:val="21"/>
                      <w:szCs w:val="21"/>
                      <w:lang w:val="en-US" w:eastAsia="zh-CN" w:bidi="ar"/>
                    </w:rPr>
                    <w:t>29.9</w:t>
                  </w:r>
                  <w:r>
                    <w:rPr>
                      <w:rFonts w:hint="eastAsia" w:ascii="Times New Roman" w:hAnsi="Times New Roman" w:eastAsia="宋体" w:cs="Times New Roman"/>
                      <w:color w:val="000000"/>
                      <w:kern w:val="0"/>
                      <w:sz w:val="21"/>
                      <w:szCs w:val="21"/>
                      <w:lang w:val="en-US" w:eastAsia="zh-CN" w:bidi="ar"/>
                    </w:rPr>
                    <w:t>km 的架空输电线路。施工期由运水车从附近村庄取水；运营期无废水产生。故不会对区域水环境噪声影响。</w:t>
                  </w:r>
                </w:p>
              </w:tc>
              <w:tc>
                <w:tcPr>
                  <w:tcW w:w="588" w:type="pct"/>
                  <w:tcBorders>
                    <w:tl2br w:val="nil"/>
                    <w:tr2bl w:val="nil"/>
                  </w:tcBorders>
                  <w:noWrap w:val="0"/>
                  <w:vAlign w:val="center"/>
                </w:tcPr>
                <w:p w14:paraId="2F79E17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bl>
          <w:p w14:paraId="63D9FBE9">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pacing w:val="-2"/>
                <w:sz w:val="24"/>
                <w:szCs w:val="24"/>
                <w:lang w:val="en-US" w:eastAsia="zh-CN"/>
              </w:rPr>
              <w:t>③</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与“大气环境总体要求”符合性分析</w:t>
            </w:r>
          </w:p>
          <w:p w14:paraId="6532148F">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本项目与“大气环境总体要求”符合性分析见下表。</w:t>
            </w:r>
          </w:p>
          <w:p w14:paraId="462A2389">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表1-5本项目与“大气环境总体要求”符合性分析一览表</w:t>
            </w:r>
          </w:p>
          <w:tbl>
            <w:tblPr>
              <w:tblStyle w:val="19"/>
              <w:tblW w:w="488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1650"/>
              <w:gridCol w:w="3749"/>
              <w:gridCol w:w="1672"/>
              <w:gridCol w:w="944"/>
            </w:tblGrid>
            <w:tr w14:paraId="5CD26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1029" w:type="pct"/>
                  <w:tcBorders>
                    <w:tl2br w:val="nil"/>
                    <w:tr2bl w:val="nil"/>
                  </w:tcBorders>
                  <w:noWrap w:val="0"/>
                  <w:vAlign w:val="center"/>
                </w:tcPr>
                <w:p w14:paraId="2B71F71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管控维度</w:t>
                  </w:r>
                </w:p>
              </w:tc>
              <w:tc>
                <w:tcPr>
                  <w:tcW w:w="2338" w:type="pct"/>
                  <w:tcBorders>
                    <w:tl2br w:val="nil"/>
                    <w:tr2bl w:val="nil"/>
                  </w:tcBorders>
                  <w:noWrap w:val="0"/>
                  <w:vAlign w:val="center"/>
                </w:tcPr>
                <w:p w14:paraId="147673F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管控要求</w:t>
                  </w:r>
                </w:p>
              </w:tc>
              <w:tc>
                <w:tcPr>
                  <w:tcW w:w="1043" w:type="pct"/>
                  <w:tcBorders>
                    <w:tl2br w:val="nil"/>
                    <w:tr2bl w:val="nil"/>
                  </w:tcBorders>
                  <w:noWrap w:val="0"/>
                  <w:vAlign w:val="center"/>
                </w:tcPr>
                <w:p w14:paraId="23D27D6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项目情况</w:t>
                  </w:r>
                </w:p>
              </w:tc>
              <w:tc>
                <w:tcPr>
                  <w:tcW w:w="588" w:type="pct"/>
                  <w:tcBorders>
                    <w:tl2br w:val="nil"/>
                    <w:tr2bl w:val="nil"/>
                  </w:tcBorders>
                  <w:noWrap w:val="0"/>
                  <w:vAlign w:val="center"/>
                </w:tcPr>
                <w:p w14:paraId="4AC69B6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符合性</w:t>
                  </w:r>
                </w:p>
              </w:tc>
            </w:tr>
            <w:tr w14:paraId="65A7F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1029" w:type="pct"/>
                  <w:tcBorders>
                    <w:tl2br w:val="nil"/>
                    <w:tr2bl w:val="nil"/>
                  </w:tcBorders>
                  <w:noWrap w:val="0"/>
                  <w:vAlign w:val="center"/>
                </w:tcPr>
                <w:p w14:paraId="0CE6B82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空间布局约束</w:t>
                  </w:r>
                </w:p>
              </w:tc>
              <w:tc>
                <w:tcPr>
                  <w:tcW w:w="2338" w:type="pct"/>
                  <w:tcBorders>
                    <w:tl2br w:val="nil"/>
                    <w:tr2bl w:val="nil"/>
                  </w:tcBorders>
                  <w:noWrap w:val="0"/>
                  <w:vAlign w:val="center"/>
                </w:tcPr>
                <w:p w14:paraId="22339494">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1.各产业集聚区应限制建设不符合产业聚集区定位的项目。</w:t>
                  </w:r>
                </w:p>
                <w:p w14:paraId="2B99BC50">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2.禁止在工业企业和产业集聚区大气污染防护距离内建设居住、学校、医院等环境敏感项目。对城市建成区内重污染企业、不符合安全防护距离和卫生防护距离的危化企业实施有序搬迁改造或依法关闭。引导重点行业向环境容量充足、扩散条件较好区域布局。</w:t>
                  </w:r>
                </w:p>
                <w:p w14:paraId="4EB5FE5A">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3.依法依规划定实施移动源低排放控制区，制定中心城区重型柴油货车绕行方案划定绕行路线，减少重型货车穿城。</w:t>
                  </w:r>
                </w:p>
              </w:tc>
              <w:tc>
                <w:tcPr>
                  <w:tcW w:w="1043" w:type="pct"/>
                  <w:tcBorders>
                    <w:tl2br w:val="nil"/>
                    <w:tr2bl w:val="nil"/>
                  </w:tcBorders>
                  <w:noWrap w:val="0"/>
                  <w:vAlign w:val="center"/>
                </w:tcPr>
                <w:p w14:paraId="155CC29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本项目为输变电工程，新建 29.9km 的架空输电线路。</w:t>
                  </w:r>
                </w:p>
                <w:p w14:paraId="75798C6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位于河北省承德市围场满族蒙古族自治县城子镇、牌楼乡、燕格柏乡和半截塔镇。不涉及产业集聚区。</w:t>
                  </w:r>
                </w:p>
              </w:tc>
              <w:tc>
                <w:tcPr>
                  <w:tcW w:w="588" w:type="pct"/>
                  <w:tcBorders>
                    <w:tl2br w:val="nil"/>
                    <w:tr2bl w:val="nil"/>
                  </w:tcBorders>
                  <w:noWrap w:val="0"/>
                  <w:vAlign w:val="center"/>
                </w:tcPr>
                <w:p w14:paraId="2C53E6C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4BE4D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1029" w:type="pct"/>
                  <w:tcBorders>
                    <w:tl2br w:val="nil"/>
                    <w:tr2bl w:val="nil"/>
                  </w:tcBorders>
                  <w:noWrap w:val="0"/>
                  <w:vAlign w:val="center"/>
                </w:tcPr>
                <w:p w14:paraId="2958CF5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污染物排放管控</w:t>
                  </w:r>
                </w:p>
              </w:tc>
              <w:tc>
                <w:tcPr>
                  <w:tcW w:w="2338" w:type="pct"/>
                  <w:tcBorders>
                    <w:tl2br w:val="nil"/>
                    <w:tr2bl w:val="nil"/>
                  </w:tcBorders>
                  <w:noWrap w:val="0"/>
                  <w:vAlign w:val="center"/>
                </w:tcPr>
                <w:p w14:paraId="2ED59717">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1.严格执行河北省生态环境准入要求，禁止建设不符合国家产业政策和行业准入条件的工业项目。</w:t>
                  </w:r>
                </w:p>
                <w:p w14:paraId="583228E0">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2.现有及新建企业污染排放应满足排污许可证要求。未发放排污许可证工业企业满足行业排放标准与总量控制要求。规定期限内未获得排污许可证的企业应关停退出。</w:t>
                  </w:r>
                </w:p>
                <w:p w14:paraId="269D26F3">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3.巩固钢铁、水泥、焦化等重点行业和燃煤锅炉超低排放改造成效。以重点区域、高排放企业为重点，实施“一厂一策”企业减排工程，提升工业企业污染防治水平，促进企业绩效评价“晋B升A”。</w:t>
                  </w:r>
                </w:p>
                <w:p w14:paraId="258E1560">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4.严格执行质量、环保、能耗、安全等法规标准，加大重点行业低效和过剩产能压减力度，淘汰4.3米焦炉，关停部分1000立方米以下高炉和100吨以下转炉。</w:t>
                  </w:r>
                </w:p>
                <w:p w14:paraId="0311F96E">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5.现有、新改扩建医药制造工业、石油炼制工业、石油化学工业、有机化工业、炼焦工业、钢铁冶炼和压延加工业、木材加工业、家具制造业、交通运输设备制造业、表面涂装业、印刷工业项目挥发性有机物排放应满足《工业企业挥发性有机物排放控制标准》（DB13/2322-2016）要求，现有项目应限期完成升级改造。</w:t>
                  </w:r>
                </w:p>
                <w:p w14:paraId="067591E5">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6.有序推动合法生产露天矿山综合治理，对标现代化矿山开采模式，推动矿山资源规范开采、集约开采、绿色开采。严格落实矿产资源开采、运输和加工过程防尘、除尘措施，各种物料入棚进仓，运输通道硬化防尘，进出车辆苫盖冲洗，开采、加工作业区污染物达标排放。</w:t>
                  </w:r>
                </w:p>
                <w:p w14:paraId="58F66545">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7.建筑施工严格贯彻《河北省扬尘污染防治办法》《河北省施工场地扬尘排放标准》《河北省建筑施工扬尘防治强化措施18条》，压实企业主体责任，建筑施工现场落实“六个百分之百”和“两个全覆盖”，强化督查执法，对扬尘管控不到位的，依法予以严惩，对建筑市场主体的不良行为信息依法依规纳入建筑市场信用管理体系，情节严重的，列入“黑名单”。</w:t>
                  </w:r>
                </w:p>
                <w:p w14:paraId="3925BB70">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8.深入实施清洁柴油车（机）行动，基本淘汰国一及以下排放标准或使用15年以上的工程机械，具备条件的更换国三及以上排放标准的发动机。全面实施非道路移动机械第四阶段排放标准，落实非道路移动机械使用登记管理制度，对超标排放车辆全链条环境监管。严格执行国六车用乙醇汽油质量标准，加强劣质油品整治，坚决取缔黑加油站（点）、黑油罐车。</w:t>
                  </w:r>
                </w:p>
                <w:p w14:paraId="10B4EA42">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9.大力开展国土绿化，实施城镇裸露地面绿化、硬化，推动城市和县城、重要集镇“黄土不见天”，有效减少本地尘源，降低扬尘污染。</w:t>
                  </w:r>
                </w:p>
                <w:p w14:paraId="666094E5">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10.禁止露天焚烧农作物秸秆等行为，切实加强秸秆焚烧、烧荒烧垃圾等露天焚烧问题监督管理，开展重点时段秸秆禁烧专项整治，完善秸秆焚烧视频监控系统点位建设。</w:t>
                  </w:r>
                </w:p>
                <w:p w14:paraId="0E28C617">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11.严格落实《承德市人民政府关于全域禁止销售和中心城区、重点区域禁止燃放烟花爆竹的通告》，实行全区域、全时段、常态化禁燃禁放烟花爆竹。</w:t>
                  </w:r>
                </w:p>
                <w:p w14:paraId="252C1EBB">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12.加强城市和县城建成区餐饮企业、经营商户油烟排放监督管理，各县（市、区）要建立餐饮油烟治理工作台账，定期开展餐饮油烟集中整治行动。</w:t>
                  </w:r>
                </w:p>
                <w:p w14:paraId="10CC9848">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13.统筹加强减污降碳协同控制，开展重点行业资源利用效率、能源消耗、污染物排放对标行动，加大氮氧化物、挥发性有机物（VOCs）以及温室气体协同减排力度，加快补齐臭氧治理短板，严格落实国家和我省产品VOCs含量限值标准，有序推进企业产品切换。</w:t>
                  </w:r>
                </w:p>
              </w:tc>
              <w:tc>
                <w:tcPr>
                  <w:tcW w:w="1043" w:type="pct"/>
                  <w:tcBorders>
                    <w:tl2br w:val="nil"/>
                    <w:tr2bl w:val="nil"/>
                  </w:tcBorders>
                  <w:noWrap w:val="0"/>
                  <w:vAlign w:val="center"/>
                </w:tcPr>
                <w:p w14:paraId="49EEE13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spacing w:val="-1"/>
                      <w:sz w:val="21"/>
                      <w:szCs w:val="21"/>
                    </w:rPr>
                  </w:pPr>
                  <w:r>
                    <w:rPr>
                      <w:rFonts w:hint="eastAsia" w:ascii="Times New Roman" w:hAnsi="Times New Roman" w:cs="Times New Roman"/>
                      <w:spacing w:val="-3"/>
                      <w:sz w:val="21"/>
                      <w:szCs w:val="21"/>
                      <w:lang w:val="en-US" w:eastAsia="zh-CN"/>
                    </w:rPr>
                    <w:t>1、</w:t>
                  </w:r>
                  <w:r>
                    <w:rPr>
                      <w:rFonts w:hint="default" w:ascii="Times New Roman" w:hAnsi="Times New Roman" w:cs="Times New Roman"/>
                      <w:spacing w:val="-3"/>
                      <w:sz w:val="21"/>
                      <w:szCs w:val="21"/>
                    </w:rPr>
                    <w:t>本项目为华能围场“风光储氢热一体化”项目（风电200MW）项目220kV送出线路工程</w:t>
                  </w:r>
                  <w:r>
                    <w:rPr>
                      <w:rFonts w:hint="default" w:ascii="Times New Roman" w:hAnsi="Times New Roman" w:cs="Times New Roman"/>
                      <w:spacing w:val="-2"/>
                      <w:sz w:val="21"/>
                      <w:szCs w:val="21"/>
                    </w:rPr>
                    <w:t>，</w:t>
                  </w:r>
                  <w:r>
                    <w:rPr>
                      <w:rFonts w:hint="default" w:ascii="Times New Roman" w:hAnsi="Times New Roman" w:cs="Times New Roman"/>
                      <w:spacing w:val="1"/>
                      <w:sz w:val="21"/>
                      <w:szCs w:val="21"/>
                    </w:rPr>
                    <w:t>属于输变电工程，全长</w:t>
                  </w:r>
                  <w:r>
                    <w:rPr>
                      <w:rFonts w:hint="eastAsia" w:cs="Times New Roman"/>
                      <w:spacing w:val="1"/>
                      <w:sz w:val="21"/>
                      <w:szCs w:val="21"/>
                      <w:lang w:eastAsia="zh-CN"/>
                    </w:rPr>
                    <w:t>29.9</w:t>
                  </w:r>
                  <w:r>
                    <w:rPr>
                      <w:rFonts w:hint="default" w:ascii="Times New Roman" w:hAnsi="Times New Roman" w:cs="Times New Roman"/>
                      <w:spacing w:val="1"/>
                      <w:sz w:val="21"/>
                      <w:szCs w:val="21"/>
                    </w:rPr>
                    <w:t>km</w:t>
                  </w:r>
                  <w:r>
                    <w:rPr>
                      <w:rFonts w:hint="default" w:ascii="Times New Roman" w:hAnsi="Times New Roman" w:cs="Times New Roman"/>
                      <w:spacing w:val="1"/>
                      <w:sz w:val="21"/>
                      <w:szCs w:val="21"/>
                      <w:lang w:eastAsia="zh-CN"/>
                    </w:rPr>
                    <w:t>。</w:t>
                  </w:r>
                  <w:r>
                    <w:rPr>
                      <w:rFonts w:hint="default" w:ascii="Times New Roman" w:hAnsi="Times New Roman" w:cs="Times New Roman"/>
                      <w:spacing w:val="1"/>
                      <w:sz w:val="21"/>
                      <w:szCs w:val="21"/>
                    </w:rPr>
                    <w:t>为国家《产业结</w:t>
                  </w:r>
                  <w:r>
                    <w:rPr>
                      <w:rFonts w:hint="default" w:ascii="Times New Roman" w:hAnsi="Times New Roman" w:cs="Times New Roman"/>
                      <w:spacing w:val="-2"/>
                      <w:sz w:val="21"/>
                      <w:szCs w:val="21"/>
                    </w:rPr>
                    <w:t>构调整指导目录（</w:t>
                  </w:r>
                  <w:r>
                    <w:rPr>
                      <w:rFonts w:hint="default" w:ascii="Times New Roman" w:hAnsi="Times New Roman" w:eastAsia="Times New Roman" w:cs="Times New Roman"/>
                      <w:spacing w:val="-2"/>
                      <w:sz w:val="21"/>
                      <w:szCs w:val="21"/>
                    </w:rPr>
                    <w:t xml:space="preserve">2024 </w:t>
                  </w:r>
                  <w:r>
                    <w:rPr>
                      <w:rFonts w:hint="default" w:ascii="Times New Roman" w:hAnsi="Times New Roman" w:cs="Times New Roman"/>
                      <w:spacing w:val="-2"/>
                      <w:sz w:val="21"/>
                      <w:szCs w:val="21"/>
                    </w:rPr>
                    <w:t>年本）》中</w:t>
                  </w:r>
                  <w:r>
                    <w:rPr>
                      <w:rFonts w:hint="default" w:ascii="Times New Roman" w:hAnsi="Times New Roman" w:cs="Times New Roman"/>
                      <w:spacing w:val="12"/>
                      <w:sz w:val="21"/>
                      <w:szCs w:val="21"/>
                    </w:rPr>
                    <w:t xml:space="preserve"> </w:t>
                  </w:r>
                  <w:r>
                    <w:rPr>
                      <w:rFonts w:hint="default" w:ascii="Times New Roman" w:hAnsi="Times New Roman" w:cs="Times New Roman"/>
                      <w:spacing w:val="-8"/>
                      <w:sz w:val="21"/>
                      <w:szCs w:val="21"/>
                    </w:rPr>
                    <w:t>鼓励类“</w:t>
                  </w:r>
                  <w:r>
                    <w:rPr>
                      <w:rFonts w:hint="default" w:ascii="Times New Roman" w:hAnsi="Times New Roman" w:cs="Times New Roman"/>
                      <w:spacing w:val="-76"/>
                      <w:sz w:val="21"/>
                      <w:szCs w:val="21"/>
                    </w:rPr>
                    <w:t xml:space="preserve"> </w:t>
                  </w:r>
                  <w:r>
                    <w:rPr>
                      <w:rFonts w:hint="default" w:ascii="Times New Roman" w:hAnsi="Times New Roman" w:cs="Times New Roman"/>
                      <w:spacing w:val="-8"/>
                      <w:sz w:val="21"/>
                      <w:szCs w:val="21"/>
                    </w:rPr>
                    <w:t>四、电力，</w:t>
                  </w:r>
                  <w:r>
                    <w:rPr>
                      <w:rFonts w:hint="default" w:ascii="Times New Roman" w:hAnsi="Times New Roman" w:eastAsia="Times New Roman" w:cs="Times New Roman"/>
                      <w:spacing w:val="-8"/>
                      <w:sz w:val="21"/>
                      <w:szCs w:val="21"/>
                    </w:rPr>
                    <w:t>2</w:t>
                  </w:r>
                  <w:r>
                    <w:rPr>
                      <w:rFonts w:hint="default" w:ascii="Times New Roman" w:hAnsi="Times New Roman" w:eastAsia="Times New Roman" w:cs="Times New Roman"/>
                      <w:spacing w:val="-30"/>
                      <w:sz w:val="21"/>
                      <w:szCs w:val="21"/>
                    </w:rPr>
                    <w:t xml:space="preserve"> </w:t>
                  </w:r>
                  <w:r>
                    <w:rPr>
                      <w:rFonts w:hint="default" w:ascii="Times New Roman" w:hAnsi="Times New Roman" w:cs="Times New Roman"/>
                      <w:spacing w:val="-8"/>
                      <w:sz w:val="21"/>
                      <w:szCs w:val="21"/>
                    </w:rPr>
                    <w:t>、电力基础设</w:t>
                  </w:r>
                  <w:r>
                    <w:rPr>
                      <w:rFonts w:hint="default" w:ascii="Times New Roman" w:hAnsi="Times New Roman" w:cs="Times New Roman"/>
                      <w:sz w:val="21"/>
                      <w:szCs w:val="21"/>
                    </w:rPr>
                    <w:t xml:space="preserve"> 施建设</w:t>
                  </w:r>
                  <w:r>
                    <w:rPr>
                      <w:rFonts w:hint="default" w:ascii="Times New Roman" w:hAnsi="Times New Roman" w:cs="Times New Roman"/>
                      <w:spacing w:val="-77"/>
                      <w:sz w:val="21"/>
                      <w:szCs w:val="21"/>
                    </w:rPr>
                    <w:t xml:space="preserve"> </w:t>
                  </w:r>
                  <w:r>
                    <w:rPr>
                      <w:rFonts w:hint="default" w:ascii="Times New Roman" w:hAnsi="Times New Roman" w:cs="Times New Roman"/>
                      <w:sz w:val="21"/>
                      <w:szCs w:val="21"/>
                    </w:rPr>
                    <w:t>”。本项目不属于国家发展</w:t>
                  </w:r>
                  <w:r>
                    <w:rPr>
                      <w:rFonts w:hint="default" w:ascii="Times New Roman" w:hAnsi="Times New Roman" w:cs="Times New Roman"/>
                      <w:spacing w:val="1"/>
                      <w:sz w:val="21"/>
                      <w:szCs w:val="21"/>
                    </w:rPr>
                    <w:t>改革委商务部印发《市场准入负面</w:t>
                  </w:r>
                  <w:r>
                    <w:rPr>
                      <w:rFonts w:hint="default" w:ascii="Times New Roman" w:hAnsi="Times New Roman" w:cs="Times New Roman"/>
                      <w:spacing w:val="13"/>
                      <w:sz w:val="21"/>
                      <w:szCs w:val="21"/>
                    </w:rPr>
                    <w:t xml:space="preserve"> </w:t>
                  </w:r>
                  <w:r>
                    <w:rPr>
                      <w:rFonts w:hint="default" w:ascii="Times New Roman" w:hAnsi="Times New Roman" w:cs="Times New Roman"/>
                      <w:spacing w:val="-2"/>
                      <w:sz w:val="21"/>
                      <w:szCs w:val="21"/>
                    </w:rPr>
                    <w:t>清单（</w:t>
                  </w:r>
                  <w:r>
                    <w:rPr>
                      <w:rFonts w:hint="default" w:ascii="Times New Roman" w:hAnsi="Times New Roman" w:eastAsia="Times New Roman" w:cs="Times New Roman"/>
                      <w:spacing w:val="-2"/>
                      <w:sz w:val="21"/>
                      <w:szCs w:val="21"/>
                    </w:rPr>
                    <w:t xml:space="preserve">2022 </w:t>
                  </w:r>
                  <w:r>
                    <w:rPr>
                      <w:rFonts w:hint="default" w:ascii="Times New Roman" w:hAnsi="Times New Roman" w:cs="Times New Roman"/>
                      <w:spacing w:val="-2"/>
                      <w:sz w:val="21"/>
                      <w:szCs w:val="21"/>
                    </w:rPr>
                    <w:t>年版）》中“禁止准入</w:t>
                  </w:r>
                  <w:r>
                    <w:rPr>
                      <w:rFonts w:hint="default" w:ascii="Times New Roman" w:hAnsi="Times New Roman" w:cs="Times New Roman"/>
                      <w:spacing w:val="-1"/>
                      <w:sz w:val="21"/>
                      <w:szCs w:val="21"/>
                    </w:rPr>
                    <w:t>类</w:t>
                  </w:r>
                  <w:r>
                    <w:rPr>
                      <w:rFonts w:hint="default" w:ascii="Times New Roman" w:hAnsi="Times New Roman" w:cs="Times New Roman"/>
                      <w:spacing w:val="-62"/>
                      <w:sz w:val="21"/>
                      <w:szCs w:val="21"/>
                    </w:rPr>
                    <w:t xml:space="preserve"> </w:t>
                  </w:r>
                  <w:r>
                    <w:rPr>
                      <w:rFonts w:hint="default" w:ascii="Times New Roman" w:hAnsi="Times New Roman" w:cs="Times New Roman"/>
                      <w:spacing w:val="-1"/>
                      <w:sz w:val="21"/>
                      <w:szCs w:val="21"/>
                    </w:rPr>
                    <w:t>”项目。不属于《康保县等坝上</w:t>
                  </w:r>
                  <w:r>
                    <w:rPr>
                      <w:rFonts w:hint="default" w:ascii="Times New Roman" w:hAnsi="Times New Roman" w:cs="Times New Roman"/>
                      <w:spacing w:val="1"/>
                      <w:sz w:val="21"/>
                      <w:szCs w:val="21"/>
                    </w:rPr>
                    <w:t>六县国家重点生态功能区产业准入</w:t>
                  </w:r>
                  <w:r>
                    <w:rPr>
                      <w:rFonts w:hint="default" w:ascii="Times New Roman" w:hAnsi="Times New Roman" w:cs="Times New Roman"/>
                      <w:spacing w:val="12"/>
                      <w:sz w:val="21"/>
                      <w:szCs w:val="21"/>
                    </w:rPr>
                    <w:t xml:space="preserve"> </w:t>
                  </w:r>
                  <w:r>
                    <w:rPr>
                      <w:rFonts w:hint="default" w:ascii="Times New Roman" w:hAnsi="Times New Roman" w:cs="Times New Roman"/>
                      <w:spacing w:val="1"/>
                      <w:sz w:val="21"/>
                      <w:szCs w:val="21"/>
                    </w:rPr>
                    <w:t>负面清单（试行》中的项目，未在</w:t>
                  </w:r>
                  <w:r>
                    <w:rPr>
                      <w:rFonts w:hint="default" w:ascii="Times New Roman" w:hAnsi="Times New Roman" w:cs="Times New Roman"/>
                      <w:spacing w:val="-1"/>
                      <w:sz w:val="21"/>
                      <w:szCs w:val="21"/>
                    </w:rPr>
                    <w:t>环境准入负面清单内。</w:t>
                  </w:r>
                </w:p>
                <w:p w14:paraId="76F191DF">
                  <w:pPr>
                    <w:pStyle w:val="16"/>
                    <w:ind w:left="0" w:leftChars="0" w:firstLine="0" w:firstLineChars="0"/>
                    <w:rPr>
                      <w:rFonts w:hint="eastAsia"/>
                      <w:sz w:val="21"/>
                      <w:szCs w:val="21"/>
                      <w:lang w:val="en-US" w:eastAsia="zh-CN"/>
                    </w:rPr>
                  </w:pPr>
                  <w:r>
                    <w:rPr>
                      <w:rFonts w:hint="eastAsia"/>
                      <w:sz w:val="21"/>
                      <w:szCs w:val="21"/>
                      <w:lang w:val="en-US" w:eastAsia="zh-CN"/>
                    </w:rPr>
                    <w:t>2、本项目不涉及污染物排放。</w:t>
                  </w:r>
                </w:p>
                <w:p w14:paraId="4BD87CAF">
                  <w:pPr>
                    <w:rPr>
                      <w:rFonts w:hint="eastAsia" w:ascii="Times New Roman" w:hAnsi="Times New Roman" w:eastAsia="宋体" w:cs="Times New Roman"/>
                      <w:color w:val="000000"/>
                      <w:kern w:val="0"/>
                      <w:sz w:val="21"/>
                      <w:szCs w:val="21"/>
                      <w:lang w:val="en-US" w:eastAsia="zh-CN" w:bidi="ar"/>
                    </w:rPr>
                  </w:pPr>
                  <w:r>
                    <w:rPr>
                      <w:rFonts w:hint="eastAsia"/>
                      <w:sz w:val="21"/>
                      <w:szCs w:val="21"/>
                      <w:lang w:val="en-US" w:eastAsia="zh-CN"/>
                    </w:rPr>
                    <w:t>3、本项目不属于</w:t>
                  </w:r>
                  <w:r>
                    <w:rPr>
                      <w:rFonts w:hint="default" w:ascii="Times New Roman" w:hAnsi="Times New Roman" w:eastAsia="宋体" w:cs="Times New Roman"/>
                      <w:color w:val="000000"/>
                      <w:kern w:val="0"/>
                      <w:sz w:val="21"/>
                      <w:szCs w:val="21"/>
                      <w:lang w:val="en-US" w:eastAsia="zh-CN" w:bidi="ar"/>
                    </w:rPr>
                    <w:t>钢铁、水泥、焦化等重点行业</w:t>
                  </w:r>
                  <w:r>
                    <w:rPr>
                      <w:rFonts w:hint="eastAsia" w:ascii="Times New Roman" w:hAnsi="Times New Roman" w:eastAsia="宋体" w:cs="Times New Roman"/>
                      <w:color w:val="000000"/>
                      <w:kern w:val="0"/>
                      <w:sz w:val="21"/>
                      <w:szCs w:val="21"/>
                      <w:lang w:val="en-US" w:eastAsia="zh-CN" w:bidi="ar"/>
                    </w:rPr>
                    <w:t>。</w:t>
                  </w:r>
                </w:p>
                <w:p w14:paraId="669D5D65">
                  <w:pPr>
                    <w:pStyle w:val="16"/>
                    <w:ind w:left="0" w:leftChars="0" w:firstLine="0" w:firstLineChars="0"/>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4、本项目不涉及锅炉。</w:t>
                  </w:r>
                </w:p>
                <w:p w14:paraId="38FB4FBC">
                  <w:pP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5、本项目为新建项目，不属于</w:t>
                  </w:r>
                  <w:r>
                    <w:rPr>
                      <w:rFonts w:hint="default" w:ascii="Times New Roman" w:hAnsi="Times New Roman" w:eastAsia="宋体" w:cs="Times New Roman"/>
                      <w:color w:val="000000"/>
                      <w:kern w:val="0"/>
                      <w:sz w:val="21"/>
                      <w:szCs w:val="21"/>
                      <w:lang w:val="en-US" w:eastAsia="zh-CN" w:bidi="ar"/>
                    </w:rPr>
                    <w:t>现有、新改扩建医药制造工业、石油炼制工业</w:t>
                  </w:r>
                  <w:r>
                    <w:rPr>
                      <w:rFonts w:hint="eastAsia" w:ascii="Times New Roman" w:hAnsi="Times New Roman" w:eastAsia="宋体" w:cs="Times New Roman"/>
                      <w:color w:val="000000"/>
                      <w:kern w:val="0"/>
                      <w:sz w:val="21"/>
                      <w:szCs w:val="21"/>
                      <w:lang w:val="en-US" w:eastAsia="zh-CN" w:bidi="ar"/>
                    </w:rPr>
                    <w:t>等企业。</w:t>
                  </w:r>
                </w:p>
                <w:p w14:paraId="6693344D">
                  <w:pPr>
                    <w:pStyle w:val="16"/>
                    <w:ind w:left="0" w:leftChars="0" w:firstLine="0" w:firstLineChars="0"/>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6、本项目不涉及矿山。</w:t>
                  </w:r>
                </w:p>
                <w:p w14:paraId="08F1F66D">
                  <w:pP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7、本项目</w:t>
                  </w:r>
                  <w:r>
                    <w:rPr>
                      <w:rFonts w:hint="default" w:ascii="Times New Roman" w:hAnsi="Times New Roman" w:eastAsia="宋体" w:cs="Times New Roman"/>
                      <w:color w:val="000000"/>
                      <w:kern w:val="0"/>
                      <w:sz w:val="21"/>
                      <w:szCs w:val="21"/>
                      <w:lang w:val="en-US" w:eastAsia="zh-CN" w:bidi="ar"/>
                    </w:rPr>
                    <w:t>施工严格贯彻《河北省扬尘污染防治办法》《河北省施工场地扬尘排放标准》《河北省建筑施工扬尘防治强化措施18条》，压实企业主体责任，建筑施工现场落实“六个百分之百”和“两个全覆盖”，强化督查执法</w:t>
                  </w:r>
                  <w:r>
                    <w:rPr>
                      <w:rFonts w:hint="eastAsia" w:ascii="Times New Roman" w:hAnsi="Times New Roman" w:eastAsia="宋体" w:cs="Times New Roman"/>
                      <w:color w:val="000000"/>
                      <w:kern w:val="0"/>
                      <w:sz w:val="21"/>
                      <w:szCs w:val="21"/>
                      <w:lang w:val="en-US" w:eastAsia="zh-CN" w:bidi="ar"/>
                    </w:rPr>
                    <w:t>。</w:t>
                  </w:r>
                </w:p>
                <w:p w14:paraId="12D770FC">
                  <w:pPr>
                    <w:pStyle w:val="16"/>
                    <w:ind w:left="0" w:leftChars="0" w:firstLine="0" w:firstLineChars="0"/>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8、本项目不涉及。</w:t>
                  </w:r>
                </w:p>
                <w:p w14:paraId="59FFAEEC">
                  <w:pPr>
                    <w:rPr>
                      <w:rFonts w:hint="default"/>
                      <w:lang w:val="en-US" w:eastAsia="zh-CN"/>
                    </w:rPr>
                  </w:pPr>
                  <w:r>
                    <w:rPr>
                      <w:rFonts w:hint="eastAsia" w:ascii="Times New Roman" w:hAnsi="Times New Roman" w:eastAsia="宋体" w:cs="Times New Roman"/>
                      <w:color w:val="000000"/>
                      <w:kern w:val="0"/>
                      <w:sz w:val="21"/>
                      <w:szCs w:val="21"/>
                      <w:lang w:val="en-US" w:eastAsia="zh-CN" w:bidi="ar"/>
                    </w:rPr>
                    <w:t>9、本项目不涉及。10、本项目不涉及。11、本项目不涉及。12、本项目不涉及。13、本项目不涉及。</w:t>
                  </w:r>
                </w:p>
              </w:tc>
              <w:tc>
                <w:tcPr>
                  <w:tcW w:w="588" w:type="pct"/>
                  <w:tcBorders>
                    <w:tl2br w:val="nil"/>
                    <w:tr2bl w:val="nil"/>
                  </w:tcBorders>
                  <w:noWrap w:val="0"/>
                  <w:vAlign w:val="center"/>
                </w:tcPr>
                <w:p w14:paraId="3CADE6A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66847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1029" w:type="pct"/>
                  <w:tcBorders>
                    <w:tl2br w:val="nil"/>
                    <w:tr2bl w:val="nil"/>
                  </w:tcBorders>
                  <w:noWrap w:val="0"/>
                  <w:vAlign w:val="center"/>
                </w:tcPr>
                <w:p w14:paraId="14DB614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环境风险防控</w:t>
                  </w:r>
                </w:p>
              </w:tc>
              <w:tc>
                <w:tcPr>
                  <w:tcW w:w="2338" w:type="pct"/>
                  <w:tcBorders>
                    <w:tl2br w:val="nil"/>
                    <w:tr2bl w:val="nil"/>
                  </w:tcBorders>
                  <w:noWrap w:val="0"/>
                  <w:vAlign w:val="center"/>
                </w:tcPr>
                <w:p w14:paraId="08435677">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1.健全完善重污染天气应急预案，在重污染天气情况下按照预警等级及时启动相应的应急预案和应急措施。</w:t>
                  </w:r>
                </w:p>
                <w:p w14:paraId="109A3BA8">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2.严格化学品生产准入和行业准入，调整优化高风险化学品企业布局，提高区域环境风险防范能力。加强对排放二噁英等持久性有机污染物企业的日常监管。</w:t>
                  </w:r>
                </w:p>
                <w:p w14:paraId="7056F2B4">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3.全面开展消耗臭氧层物质（ODS）排放治理，实施含氢氯氟烃（HCFCs）淘汰和替代，推动三氟甲烷（HFC-23）的销毁和转化。</w:t>
                  </w:r>
                </w:p>
              </w:tc>
              <w:tc>
                <w:tcPr>
                  <w:tcW w:w="1043" w:type="pct"/>
                  <w:tcBorders>
                    <w:tl2br w:val="nil"/>
                    <w:tr2bl w:val="nil"/>
                  </w:tcBorders>
                  <w:noWrap w:val="0"/>
                  <w:vAlign w:val="center"/>
                </w:tcPr>
                <w:p w14:paraId="487475D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color w:val="auto"/>
                      <w:sz w:val="21"/>
                      <w:szCs w:val="21"/>
                      <w:highlight w:val="none"/>
                      <w:lang w:val="en-US"/>
                    </w:rPr>
                    <w:t xml:space="preserve">本项目为输变电工程，新建 </w:t>
                  </w:r>
                  <w:r>
                    <w:rPr>
                      <w:rFonts w:hint="eastAsia" w:cs="Times New Roman"/>
                      <w:color w:val="auto"/>
                      <w:sz w:val="21"/>
                      <w:szCs w:val="21"/>
                      <w:highlight w:val="none"/>
                      <w:lang w:val="en-US" w:eastAsia="zh-CN"/>
                    </w:rPr>
                    <w:t>29.9</w:t>
                  </w:r>
                  <w:r>
                    <w:rPr>
                      <w:rFonts w:hint="eastAsia" w:ascii="Times New Roman" w:hAnsi="Times New Roman" w:cs="Times New Roman"/>
                      <w:color w:val="auto"/>
                      <w:sz w:val="21"/>
                      <w:szCs w:val="21"/>
                      <w:highlight w:val="none"/>
                      <w:lang w:val="en-US"/>
                    </w:rPr>
                    <w:t>km 的架空输电线路</w:t>
                  </w:r>
                  <w:r>
                    <w:rPr>
                      <w:rFonts w:hint="eastAsia" w:cs="Times New Roman"/>
                      <w:color w:val="auto"/>
                      <w:sz w:val="21"/>
                      <w:szCs w:val="21"/>
                      <w:highlight w:val="none"/>
                      <w:lang w:eastAsia="zh-CN"/>
                    </w:rPr>
                    <w:t>，</w:t>
                  </w:r>
                  <w:r>
                    <w:rPr>
                      <w:rFonts w:hint="default" w:ascii="Times New Roman" w:hAnsi="Times New Roman" w:eastAsia="宋体" w:cs="Times New Roman"/>
                      <w:color w:val="auto"/>
                      <w:spacing w:val="0"/>
                      <w:w w:val="100"/>
                      <w:sz w:val="21"/>
                      <w:szCs w:val="21"/>
                      <w:highlight w:val="none"/>
                      <w:lang w:val="en-US" w:eastAsia="zh-CN"/>
                    </w:rPr>
                    <w:t>施工期遇重污染天气停止施工。</w:t>
                  </w:r>
                </w:p>
              </w:tc>
              <w:tc>
                <w:tcPr>
                  <w:tcW w:w="588" w:type="pct"/>
                  <w:tcBorders>
                    <w:tl2br w:val="nil"/>
                    <w:tr2bl w:val="nil"/>
                  </w:tcBorders>
                  <w:noWrap w:val="0"/>
                  <w:vAlign w:val="center"/>
                </w:tcPr>
                <w:p w14:paraId="0E74B2A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566EA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1029" w:type="pct"/>
                  <w:tcBorders>
                    <w:tl2br w:val="nil"/>
                    <w:tr2bl w:val="nil"/>
                  </w:tcBorders>
                  <w:noWrap w:val="0"/>
                  <w:vAlign w:val="center"/>
                </w:tcPr>
                <w:p w14:paraId="07A7F79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资源利用效率</w:t>
                  </w:r>
                </w:p>
              </w:tc>
              <w:tc>
                <w:tcPr>
                  <w:tcW w:w="2338" w:type="pct"/>
                  <w:tcBorders>
                    <w:tl2br w:val="nil"/>
                    <w:tr2bl w:val="nil"/>
                  </w:tcBorders>
                  <w:noWrap w:val="0"/>
                  <w:vAlign w:val="center"/>
                </w:tcPr>
                <w:p w14:paraId="1EBB31F7">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1.强化散煤治理，推动煤炭清洁高效利用，有序推进清洁取暖。城市建成区集中供热覆盖范围以外，因地制宜、多能互补，大力推广天然气、热泵、中深层地热、生物质、太阳能等清洁供热技术。到2025年，除不具备改造条件的偏远山区和坝上地区外，其他农村地区实现清洁取暖全覆盖。</w:t>
                  </w:r>
                </w:p>
              </w:tc>
              <w:tc>
                <w:tcPr>
                  <w:tcW w:w="1043" w:type="pct"/>
                  <w:tcBorders>
                    <w:tl2br w:val="nil"/>
                    <w:tr2bl w:val="nil"/>
                  </w:tcBorders>
                  <w:noWrap w:val="0"/>
                  <w:vAlign w:val="center"/>
                </w:tcPr>
                <w:p w14:paraId="547D0778">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本项目为输变电工程，新建 </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29.9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km 的架空输电线路</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。本项目施工期较短，采取措施后可有效抑制扬尘的产生，建筑施工场地扬尘满足《施工场地扬尘排放标准》(DB13/2934-2019)表1要求，使其对周围环境的影响降至最低。运营期无废气产生。</w:t>
                  </w:r>
                </w:p>
              </w:tc>
              <w:tc>
                <w:tcPr>
                  <w:tcW w:w="588" w:type="pct"/>
                  <w:tcBorders>
                    <w:tl2br w:val="nil"/>
                    <w:tr2bl w:val="nil"/>
                  </w:tcBorders>
                  <w:noWrap w:val="0"/>
                  <w:vAlign w:val="center"/>
                </w:tcPr>
                <w:p w14:paraId="3F3463B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bl>
          <w:p w14:paraId="6EE11DC4">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④</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与“土壤环境总体要求”符合性分析</w:t>
            </w:r>
          </w:p>
          <w:p w14:paraId="372449EC">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本项目与“土壤环境总体要求”符合性分析见下表。</w:t>
            </w:r>
          </w:p>
          <w:p w14:paraId="09400703">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表1-6本项目与“土壤环境总体要求”符合性分析一览表</w:t>
            </w:r>
          </w:p>
          <w:tbl>
            <w:tblPr>
              <w:tblStyle w:val="19"/>
              <w:tblW w:w="488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1650"/>
              <w:gridCol w:w="3749"/>
              <w:gridCol w:w="1672"/>
              <w:gridCol w:w="944"/>
            </w:tblGrid>
            <w:tr w14:paraId="6BBF0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1029" w:type="pct"/>
                  <w:tcBorders>
                    <w:tl2br w:val="nil"/>
                    <w:tr2bl w:val="nil"/>
                  </w:tcBorders>
                  <w:noWrap w:val="0"/>
                  <w:vAlign w:val="center"/>
                </w:tcPr>
                <w:p w14:paraId="451ABB9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管控维度</w:t>
                  </w:r>
                </w:p>
              </w:tc>
              <w:tc>
                <w:tcPr>
                  <w:tcW w:w="2338" w:type="pct"/>
                  <w:tcBorders>
                    <w:tl2br w:val="nil"/>
                    <w:tr2bl w:val="nil"/>
                  </w:tcBorders>
                  <w:noWrap w:val="0"/>
                  <w:vAlign w:val="center"/>
                </w:tcPr>
                <w:p w14:paraId="65C5D25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管控要求</w:t>
                  </w:r>
                </w:p>
              </w:tc>
              <w:tc>
                <w:tcPr>
                  <w:tcW w:w="1043" w:type="pct"/>
                  <w:tcBorders>
                    <w:tl2br w:val="nil"/>
                    <w:tr2bl w:val="nil"/>
                  </w:tcBorders>
                  <w:noWrap w:val="0"/>
                  <w:vAlign w:val="center"/>
                </w:tcPr>
                <w:p w14:paraId="581B57C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项目情况</w:t>
                  </w:r>
                </w:p>
              </w:tc>
              <w:tc>
                <w:tcPr>
                  <w:tcW w:w="588" w:type="pct"/>
                  <w:tcBorders>
                    <w:tl2br w:val="nil"/>
                    <w:tr2bl w:val="nil"/>
                  </w:tcBorders>
                  <w:noWrap w:val="0"/>
                  <w:vAlign w:val="center"/>
                </w:tcPr>
                <w:p w14:paraId="000E820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符合性</w:t>
                  </w:r>
                </w:p>
              </w:tc>
            </w:tr>
            <w:tr w14:paraId="6C684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1029" w:type="pct"/>
                  <w:tcBorders>
                    <w:tl2br w:val="nil"/>
                    <w:tr2bl w:val="nil"/>
                  </w:tcBorders>
                  <w:noWrap w:val="0"/>
                  <w:vAlign w:val="center"/>
                </w:tcPr>
                <w:p w14:paraId="1E7C5C5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空间布局约束</w:t>
                  </w:r>
                </w:p>
              </w:tc>
              <w:tc>
                <w:tcPr>
                  <w:tcW w:w="2338" w:type="pct"/>
                  <w:tcBorders>
                    <w:tl2br w:val="nil"/>
                    <w:tr2bl w:val="nil"/>
                  </w:tcBorders>
                  <w:noWrap w:val="0"/>
                  <w:vAlign w:val="center"/>
                </w:tcPr>
                <w:p w14:paraId="68A86E4F">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1、农用地优先保护区内实行严格保护，确保其土壤环境质量不下降。在永久基本农田集中区域，不得新建可能造成土壤污染的建设项目；已经建成的，应当限期关闭拆除。</w:t>
                  </w:r>
                </w:p>
                <w:p w14:paraId="2D941DAC">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2、加强特定农产品严格管控区管理，严禁种植特定食用农产品和饲草；重度污染耕地应纳入退耕还林还草实施范围，重度污染的牧草地纳入禁牧休牧实施范围。</w:t>
                  </w:r>
                </w:p>
                <w:p w14:paraId="2A5B36D3">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3、禁止企业向滩涂、沼泽、荒地等未利用地非法排污、倾倒有毒有害物质。</w:t>
                  </w:r>
                </w:p>
                <w:p w14:paraId="010676A0">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4、禁止在居民区和学校、医院、疗养院、养老院等单位周边新建、改建、扩建有色金属冶炼、石油加工、焦化、化工、电镀、制革等可能造成土壤污染的建设项目。</w:t>
                  </w:r>
                </w:p>
                <w:p w14:paraId="5402F22D">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5、未利用地、复垦土地等拟开垦为耕地的，要进行土壤污染状况调查，依法进行分类管理，原则上禁止曾用于生产、使用、贮存、回收、处置有毒有害物质的工矿用地开垦为种植食用农产品的耕地。</w:t>
                  </w:r>
                </w:p>
                <w:p w14:paraId="0B68C96B">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6、工矿企业中，涉及排放有毒有害物质可能造成土壤污染的新（改、扩）建项目，依法进行环境影响评价，提出并落实防腐蚀、防渗漏、防遗撒等土壤防治具体措施。</w:t>
                  </w:r>
                </w:p>
                <w:p w14:paraId="4995E53F">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7、禁止在环境敏感区域新建或扩建危险化学品项目，新建危险化学品企业必须全部进入符合要求的化工园区，开展化工园区整体安全风险评估，加强和规范化工园区的安全管理。</w:t>
                  </w:r>
                </w:p>
                <w:p w14:paraId="7BFE50BB">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8、严防土壤污染风险不明地块进入用地程序。列入建设用地土壤污染风险管控和修复名录的地块，严格土地征收、收回、收购、土地供应以及转让、改变土地用途等环节监管，原则上不得办理相关手续。依法应当开展土壤污染状况调查或风险评估而未开展或尚未完成的地块，以及未达到土壤污染风险评估报告确定的风险管控、修复目标的地块，不得开工建设与风险管控、修复无关的项目。</w:t>
                  </w:r>
                </w:p>
              </w:tc>
              <w:tc>
                <w:tcPr>
                  <w:tcW w:w="1043" w:type="pct"/>
                  <w:tcBorders>
                    <w:tl2br w:val="nil"/>
                    <w:tr2bl w:val="nil"/>
                  </w:tcBorders>
                  <w:noWrap w:val="0"/>
                  <w:vAlign w:val="center"/>
                </w:tcPr>
                <w:p w14:paraId="0E41D96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本项目为输变电工程，新建 </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29.9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km 的架空输电线路，位于河北省承德市围场满族蒙古族自治县城子镇、牌楼乡、燕格柏乡和半截塔镇。</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不属于污染企业，不涉及排放有毒有害物质。</w:t>
                  </w:r>
                </w:p>
              </w:tc>
              <w:tc>
                <w:tcPr>
                  <w:tcW w:w="588" w:type="pct"/>
                  <w:tcBorders>
                    <w:tl2br w:val="nil"/>
                    <w:tr2bl w:val="nil"/>
                  </w:tcBorders>
                  <w:noWrap w:val="0"/>
                  <w:vAlign w:val="center"/>
                </w:tcPr>
                <w:p w14:paraId="115BB76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1B54B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1029" w:type="pct"/>
                  <w:tcBorders>
                    <w:tl2br w:val="nil"/>
                    <w:tr2bl w:val="nil"/>
                  </w:tcBorders>
                  <w:noWrap w:val="0"/>
                  <w:vAlign w:val="center"/>
                </w:tcPr>
                <w:p w14:paraId="04D5414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污染物排放管控</w:t>
                  </w:r>
                </w:p>
              </w:tc>
              <w:tc>
                <w:tcPr>
                  <w:tcW w:w="2338" w:type="pct"/>
                  <w:tcBorders>
                    <w:tl2br w:val="nil"/>
                    <w:tr2bl w:val="nil"/>
                  </w:tcBorders>
                  <w:noWrap w:val="0"/>
                  <w:vAlign w:val="center"/>
                </w:tcPr>
                <w:p w14:paraId="5AB26465">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1、对区域土壤环境质量下降的县（市、区），依法采取环评限批等措施。</w:t>
                  </w:r>
                </w:p>
                <w:p w14:paraId="04B9E5F4">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2、新、改、扩建项目选址用地应当达到工业用地土壤环境质量要求。超过国家土壤污染风险管控有关工业类建设用地筛选值标准的工业地块，未经治理修复或者治理修复不符合相关标准的，不得新、改、扩建项目。</w:t>
                  </w:r>
                </w:p>
                <w:p w14:paraId="10CB3E8B">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3、严控新增重金属排放量，遵循“减量置换”或“等量置换”原则对全市所有新、改、扩建涉重金属重点行业项目进行审批审核。</w:t>
                  </w:r>
                </w:p>
                <w:p w14:paraId="439F0A4B">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4、未利用地的开发应符合土地整治规划，经科学论证与评估，依法批准后方可进行。拟开发为农用地的，有关县（市、区）政府要组织开展土壤环境质量状况评估，达不到相关标准的，不得种植食用农产品和饲草。</w:t>
                  </w:r>
                </w:p>
                <w:p w14:paraId="410AEBFD">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拟开发为建设用地的未利用地，符合土壤环境质量要求的地块，方可进入用地程序；不符合土壤环境质量要求的，由所在地县（市、区）政府组织划定管控区域，按照相关规定采取环境风险管控措施。</w:t>
                  </w:r>
                </w:p>
                <w:p w14:paraId="0BC5A279">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5、严格控制高毒高残留高风险农药使用；严格落实农膜管理制度，推广地膜科学使用回收；开展秸秆资源台账填报，落实秸秆还田离田支持政策。</w:t>
                  </w:r>
                </w:p>
                <w:p w14:paraId="532F4391">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6、健全粪污收储体系，强化粪污资源化利用计划和台账管理；落实畜禽规模养殖场环境影响评价及排污许可制度，依法规范畜禽养殖禁养区管理，防止粪污偷排漏排。</w:t>
                  </w:r>
                </w:p>
              </w:tc>
              <w:tc>
                <w:tcPr>
                  <w:tcW w:w="1043" w:type="pct"/>
                  <w:tcBorders>
                    <w:tl2br w:val="nil"/>
                    <w:tr2bl w:val="nil"/>
                  </w:tcBorders>
                  <w:noWrap w:val="0"/>
                  <w:vAlign w:val="center"/>
                </w:tcPr>
                <w:p w14:paraId="3856A4C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本项目为输变电工程，新建 </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29.9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km 的架空输电线路，位于河北省承德市围场满族蒙古族自治县城子镇、牌楼乡、燕格柏乡和半截塔镇。</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不属于污染企业，不涉及排放有毒有害物质。</w:t>
                  </w:r>
                </w:p>
              </w:tc>
              <w:tc>
                <w:tcPr>
                  <w:tcW w:w="588" w:type="pct"/>
                  <w:tcBorders>
                    <w:tl2br w:val="nil"/>
                    <w:tr2bl w:val="nil"/>
                  </w:tcBorders>
                  <w:noWrap w:val="0"/>
                  <w:vAlign w:val="center"/>
                </w:tcPr>
                <w:p w14:paraId="4AD45DA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0429D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1029" w:type="pct"/>
                  <w:tcBorders>
                    <w:tl2br w:val="nil"/>
                    <w:tr2bl w:val="nil"/>
                  </w:tcBorders>
                  <w:noWrap w:val="0"/>
                  <w:vAlign w:val="center"/>
                </w:tcPr>
                <w:p w14:paraId="02C3380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环境风险防控</w:t>
                  </w:r>
                </w:p>
              </w:tc>
              <w:tc>
                <w:tcPr>
                  <w:tcW w:w="2338" w:type="pct"/>
                  <w:tcBorders>
                    <w:tl2br w:val="nil"/>
                    <w:tr2bl w:val="nil"/>
                  </w:tcBorders>
                  <w:noWrap w:val="0"/>
                  <w:vAlign w:val="center"/>
                </w:tcPr>
                <w:p w14:paraId="1771EF6F">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1、严禁向农田施用重金属不达标肥料等农业投入品；涉及严格管控类耕地的县（市、区）制定风险管控实施方案，因地施策采取种植结构调整、轮作休耕、退耕还林还草还湿等措施，降低环境风险。</w:t>
                  </w:r>
                </w:p>
                <w:p w14:paraId="15E81FAA">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2、严格控制在农用地优先保护区边界800米缓冲区范围内新建有色金属冶炼、石油加工、化工、焦化、电镀、制革、制药、铅酸蓄电池行业企业。严格控制在农用地优先保护区边界800米缓冲区范围内布局城乡生活垃圾处理、危险废物处置、废旧资源再生利用等设施和场所，合理确定畜禽养殖布局和规模。</w:t>
                  </w:r>
                </w:p>
                <w:p w14:paraId="22A18ADA">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3、经风险评估对人体健康有严重影响的被污染场地，未经治理修复或者治理修复不符合相关标准的，不得用于居民住宅、学校、幼儿园、医院、养老场所等项目开发。</w:t>
                  </w:r>
                </w:p>
                <w:p w14:paraId="6B18DD38">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4、企业事业单位拆除设施、设备或者建筑物、构筑物的，应当采取相应的土壤污染防治措施，安全处置残留物料、污染物、污染设施和设备，防范拆除活动污染土壤。</w:t>
                  </w:r>
                </w:p>
                <w:p w14:paraId="3725C16C">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5、尾矿库运营、管理单位应当按照规定加强尾矿库的安全管理，采取措施防止土壤污染。危库、险库、病库以及其他需要重点监管的尾矿库运营、管理单位应当按照规定进行土壤污染状况监测和定期评估。</w:t>
                  </w:r>
                </w:p>
                <w:p w14:paraId="3698F8B1">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6、开展尾矿库和历史遗留重金属废渣环境风险隐患排查评估，建立尾矿库分级分类环境管理制度，加强环境风险隐患排查。</w:t>
                  </w:r>
                </w:p>
              </w:tc>
              <w:tc>
                <w:tcPr>
                  <w:tcW w:w="1043" w:type="pct"/>
                  <w:tcBorders>
                    <w:tl2br w:val="nil"/>
                    <w:tr2bl w:val="nil"/>
                  </w:tcBorders>
                  <w:noWrap w:val="0"/>
                  <w:vAlign w:val="center"/>
                </w:tcPr>
                <w:p w14:paraId="08145D1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本项目为输变电工程，新建 </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29.9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km 的架空输电线路，位于河北省承德市围场满族蒙古族自治县城子镇、牌楼乡、燕格柏乡和半截塔镇。</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不属于污染企业，不涉及排放有毒有害物质。</w:t>
                  </w:r>
                </w:p>
              </w:tc>
              <w:tc>
                <w:tcPr>
                  <w:tcW w:w="588" w:type="pct"/>
                  <w:tcBorders>
                    <w:tl2br w:val="nil"/>
                    <w:tr2bl w:val="nil"/>
                  </w:tcBorders>
                  <w:noWrap w:val="0"/>
                  <w:vAlign w:val="center"/>
                </w:tcPr>
                <w:p w14:paraId="278AF22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bl>
          <w:p w14:paraId="60BF9F3E">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与“资源利用总体要求”符合性分析</w:t>
            </w:r>
          </w:p>
          <w:p w14:paraId="3FE64DDA">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本项目与“资源利用总体要求”符合性分析见下表。</w:t>
            </w:r>
          </w:p>
          <w:p w14:paraId="49239000">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表1-7本项目与“资源利用总体要求”符合性分析一览表</w:t>
            </w:r>
          </w:p>
          <w:tbl>
            <w:tblPr>
              <w:tblStyle w:val="19"/>
              <w:tblW w:w="488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1650"/>
              <w:gridCol w:w="3749"/>
              <w:gridCol w:w="1672"/>
              <w:gridCol w:w="944"/>
            </w:tblGrid>
            <w:tr w14:paraId="7B80A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1029" w:type="pct"/>
                  <w:tcBorders>
                    <w:tl2br w:val="nil"/>
                    <w:tr2bl w:val="nil"/>
                  </w:tcBorders>
                  <w:noWrap w:val="0"/>
                  <w:vAlign w:val="center"/>
                </w:tcPr>
                <w:p w14:paraId="58003A5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管控维度</w:t>
                  </w:r>
                </w:p>
              </w:tc>
              <w:tc>
                <w:tcPr>
                  <w:tcW w:w="2338" w:type="pct"/>
                  <w:tcBorders>
                    <w:tl2br w:val="nil"/>
                    <w:tr2bl w:val="nil"/>
                  </w:tcBorders>
                  <w:noWrap w:val="0"/>
                  <w:vAlign w:val="center"/>
                </w:tcPr>
                <w:p w14:paraId="61C6E29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管控要求</w:t>
                  </w:r>
                </w:p>
              </w:tc>
              <w:tc>
                <w:tcPr>
                  <w:tcW w:w="1043" w:type="pct"/>
                  <w:tcBorders>
                    <w:tl2br w:val="nil"/>
                    <w:tr2bl w:val="nil"/>
                  </w:tcBorders>
                  <w:noWrap w:val="0"/>
                  <w:vAlign w:val="center"/>
                </w:tcPr>
                <w:p w14:paraId="408FFB3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项目情况</w:t>
                  </w:r>
                </w:p>
              </w:tc>
              <w:tc>
                <w:tcPr>
                  <w:tcW w:w="588" w:type="pct"/>
                  <w:tcBorders>
                    <w:tl2br w:val="nil"/>
                    <w:tr2bl w:val="nil"/>
                  </w:tcBorders>
                  <w:noWrap w:val="0"/>
                  <w:vAlign w:val="center"/>
                </w:tcPr>
                <w:p w14:paraId="5B48368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符合性</w:t>
                  </w:r>
                </w:p>
              </w:tc>
            </w:tr>
            <w:tr w14:paraId="281DB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1029" w:type="pct"/>
                  <w:tcBorders>
                    <w:tl2br w:val="nil"/>
                    <w:tr2bl w:val="nil"/>
                  </w:tcBorders>
                  <w:noWrap w:val="0"/>
                  <w:vAlign w:val="center"/>
                </w:tcPr>
                <w:p w14:paraId="0AF3DED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水资源</w:t>
                  </w:r>
                </w:p>
              </w:tc>
              <w:tc>
                <w:tcPr>
                  <w:tcW w:w="2338" w:type="pct"/>
                  <w:tcBorders>
                    <w:tl2br w:val="nil"/>
                    <w:tr2bl w:val="nil"/>
                  </w:tcBorders>
                  <w:noWrap w:val="0"/>
                  <w:vAlign w:val="center"/>
                </w:tcPr>
                <w:p w14:paraId="363C5853">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1.禁止新建、改扩建《高耗水工艺、技术和装备淘汰目录》中项目，现有企业应限期关停退出。</w:t>
                  </w:r>
                </w:p>
                <w:p w14:paraId="20380382">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2.禁止建设不符合河北省《工业取水定额》（DB13/T5448-2021）标准的产品，位于公共供水管网覆盖范围内且水量、水质能够满足要求的，不予批准取用地下水。</w:t>
                  </w:r>
                </w:p>
                <w:p w14:paraId="2BB11737">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3.到2025年，钢铁、食品、医药等高耗水行业用水效率达到国内先进水平，万元国内生产总值用水量、万元工业增加值用水量较2020年分别下降11.2%和17.3%。</w:t>
                  </w:r>
                </w:p>
                <w:p w14:paraId="41C1A138">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4.2025年前，公共管网覆盖范围内年取水量5万立方米以上的重点监控用水单位基本实现监测全覆盖，已安装在线监控设施的用水单位，实现与水行政主管部门的监控系统联网，保存原有监测记录；未安装计量设施的用水单位，由省级统一组织，市、县具体实施。</w:t>
                  </w:r>
                </w:p>
                <w:p w14:paraId="119384CE">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5.产业集聚区工业用水重复利用与资源产出水平应在2025年前达到循环经济园区标准要求。</w:t>
                  </w:r>
                </w:p>
                <w:p w14:paraId="31B72440">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6.2025年承德市潮河流域用水总量控制在9371万立方米、流域内实施高效节水灌溉14.98万亩；2025年年底前，流域内万元工业增加值用水量较2017年下降15%。</w:t>
                  </w:r>
                </w:p>
                <w:p w14:paraId="0445BF41">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7.2025年承德市滦河流域，用水总量控制在88000万立方米、万元工业增加值用水量控制在27.5立方米。</w:t>
                  </w:r>
                </w:p>
                <w:p w14:paraId="3647DEBE">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8.2025年，全市用水总量控制在9.50亿立方米以内，其中地下水总量控制在5.95亿立方米以内，万元国内生产总值用水量和万元工业增加值用水量分别下降至44立方米和27.5立方米，降幅分别为11.1%和17.2%。</w:t>
                  </w:r>
                </w:p>
                <w:p w14:paraId="62473C4E">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9.2025年，规划解决农村集中供水人口60.47万人，自来水普及率达到88%。</w:t>
                  </w:r>
                </w:p>
              </w:tc>
              <w:tc>
                <w:tcPr>
                  <w:tcW w:w="1043" w:type="pct"/>
                  <w:tcBorders>
                    <w:tl2br w:val="nil"/>
                    <w:tr2bl w:val="nil"/>
                  </w:tcBorders>
                  <w:noWrap w:val="0"/>
                  <w:vAlign w:val="center"/>
                </w:tcPr>
                <w:p w14:paraId="34857C0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cs="Times New Roman"/>
                      <w:sz w:val="21"/>
                      <w:szCs w:val="21"/>
                      <w:lang w:val="en-US" w:eastAsia="zh-CN"/>
                    </w:rPr>
                  </w:pPr>
                  <w:r>
                    <w:rPr>
                      <w:rFonts w:hint="default" w:ascii="Times New Roman" w:hAnsi="Times New Roman" w:cs="Times New Roman"/>
                      <w:spacing w:val="-3"/>
                      <w:sz w:val="21"/>
                      <w:szCs w:val="21"/>
                    </w:rPr>
                    <w:t>本项目为华能围场“风光储氢热一体化”项目（风电200MW）项目220kV送出线路工程</w:t>
                  </w:r>
                  <w:r>
                    <w:rPr>
                      <w:rFonts w:hint="default" w:ascii="Times New Roman" w:hAnsi="Times New Roman" w:cs="Times New Roman"/>
                      <w:spacing w:val="-2"/>
                      <w:sz w:val="21"/>
                      <w:szCs w:val="21"/>
                    </w:rPr>
                    <w:t>，</w:t>
                  </w:r>
                  <w:r>
                    <w:rPr>
                      <w:rFonts w:hint="default" w:ascii="Times New Roman" w:hAnsi="Times New Roman" w:cs="Times New Roman"/>
                      <w:spacing w:val="1"/>
                      <w:sz w:val="21"/>
                      <w:szCs w:val="21"/>
                    </w:rPr>
                    <w:t>属于输变电工程，全长</w:t>
                  </w:r>
                  <w:r>
                    <w:rPr>
                      <w:rFonts w:hint="eastAsia" w:cs="Times New Roman"/>
                      <w:spacing w:val="1"/>
                      <w:sz w:val="21"/>
                      <w:szCs w:val="21"/>
                      <w:lang w:eastAsia="zh-CN"/>
                    </w:rPr>
                    <w:t>29.9</w:t>
                  </w:r>
                  <w:r>
                    <w:rPr>
                      <w:rFonts w:hint="default" w:ascii="Times New Roman" w:hAnsi="Times New Roman" w:cs="Times New Roman"/>
                      <w:spacing w:val="1"/>
                      <w:sz w:val="21"/>
                      <w:szCs w:val="21"/>
                    </w:rPr>
                    <w:t>km</w:t>
                  </w:r>
                  <w:r>
                    <w:rPr>
                      <w:rFonts w:hint="default" w:ascii="Times New Roman" w:hAnsi="Times New Roman" w:cs="Times New Roman"/>
                      <w:spacing w:val="1"/>
                      <w:sz w:val="21"/>
                      <w:szCs w:val="21"/>
                      <w:lang w:eastAsia="zh-CN"/>
                    </w:rPr>
                    <w:t>。</w:t>
                  </w:r>
                  <w:r>
                    <w:rPr>
                      <w:rFonts w:hint="default" w:ascii="Times New Roman" w:hAnsi="Times New Roman" w:cs="Times New Roman"/>
                      <w:spacing w:val="1"/>
                      <w:sz w:val="21"/>
                      <w:szCs w:val="21"/>
                    </w:rPr>
                    <w:t>为国家《产业结</w:t>
                  </w:r>
                  <w:r>
                    <w:rPr>
                      <w:rFonts w:hint="default" w:ascii="Times New Roman" w:hAnsi="Times New Roman" w:cs="Times New Roman"/>
                      <w:spacing w:val="-2"/>
                      <w:sz w:val="21"/>
                      <w:szCs w:val="21"/>
                    </w:rPr>
                    <w:t>构调整指导目录（</w:t>
                  </w:r>
                  <w:r>
                    <w:rPr>
                      <w:rFonts w:hint="default" w:ascii="Times New Roman" w:hAnsi="Times New Roman" w:eastAsia="Times New Roman" w:cs="Times New Roman"/>
                      <w:spacing w:val="-2"/>
                      <w:sz w:val="21"/>
                      <w:szCs w:val="21"/>
                    </w:rPr>
                    <w:t xml:space="preserve">2024 </w:t>
                  </w:r>
                  <w:r>
                    <w:rPr>
                      <w:rFonts w:hint="default" w:ascii="Times New Roman" w:hAnsi="Times New Roman" w:cs="Times New Roman"/>
                      <w:spacing w:val="-2"/>
                      <w:sz w:val="21"/>
                      <w:szCs w:val="21"/>
                    </w:rPr>
                    <w:t>年本）》中</w:t>
                  </w:r>
                  <w:r>
                    <w:rPr>
                      <w:rFonts w:hint="default" w:ascii="Times New Roman" w:hAnsi="Times New Roman" w:cs="Times New Roman"/>
                      <w:spacing w:val="12"/>
                      <w:sz w:val="21"/>
                      <w:szCs w:val="21"/>
                    </w:rPr>
                    <w:t xml:space="preserve"> </w:t>
                  </w:r>
                  <w:r>
                    <w:rPr>
                      <w:rFonts w:hint="default" w:ascii="Times New Roman" w:hAnsi="Times New Roman" w:cs="Times New Roman"/>
                      <w:spacing w:val="-8"/>
                      <w:sz w:val="21"/>
                      <w:szCs w:val="21"/>
                    </w:rPr>
                    <w:t>鼓励类“</w:t>
                  </w:r>
                  <w:r>
                    <w:rPr>
                      <w:rFonts w:hint="default" w:ascii="Times New Roman" w:hAnsi="Times New Roman" w:cs="Times New Roman"/>
                      <w:spacing w:val="-76"/>
                      <w:sz w:val="21"/>
                      <w:szCs w:val="21"/>
                    </w:rPr>
                    <w:t xml:space="preserve"> </w:t>
                  </w:r>
                  <w:r>
                    <w:rPr>
                      <w:rFonts w:hint="default" w:ascii="Times New Roman" w:hAnsi="Times New Roman" w:cs="Times New Roman"/>
                      <w:spacing w:val="-8"/>
                      <w:sz w:val="21"/>
                      <w:szCs w:val="21"/>
                    </w:rPr>
                    <w:t>四、电力，</w:t>
                  </w:r>
                  <w:r>
                    <w:rPr>
                      <w:rFonts w:hint="default" w:ascii="Times New Roman" w:hAnsi="Times New Roman" w:eastAsia="Times New Roman" w:cs="Times New Roman"/>
                      <w:spacing w:val="-8"/>
                      <w:sz w:val="21"/>
                      <w:szCs w:val="21"/>
                    </w:rPr>
                    <w:t>2</w:t>
                  </w:r>
                  <w:r>
                    <w:rPr>
                      <w:rFonts w:hint="default" w:ascii="Times New Roman" w:hAnsi="Times New Roman" w:eastAsia="Times New Roman" w:cs="Times New Roman"/>
                      <w:spacing w:val="-30"/>
                      <w:sz w:val="21"/>
                      <w:szCs w:val="21"/>
                    </w:rPr>
                    <w:t xml:space="preserve"> </w:t>
                  </w:r>
                  <w:r>
                    <w:rPr>
                      <w:rFonts w:hint="default" w:ascii="Times New Roman" w:hAnsi="Times New Roman" w:cs="Times New Roman"/>
                      <w:spacing w:val="-8"/>
                      <w:sz w:val="21"/>
                      <w:szCs w:val="21"/>
                    </w:rPr>
                    <w:t>、电力基础设</w:t>
                  </w:r>
                  <w:r>
                    <w:rPr>
                      <w:rFonts w:hint="default" w:ascii="Times New Roman" w:hAnsi="Times New Roman" w:cs="Times New Roman"/>
                      <w:sz w:val="21"/>
                      <w:szCs w:val="21"/>
                    </w:rPr>
                    <w:t xml:space="preserve"> 施建设</w:t>
                  </w:r>
                  <w:r>
                    <w:rPr>
                      <w:rFonts w:hint="default" w:ascii="Times New Roman" w:hAnsi="Times New Roman" w:cs="Times New Roman"/>
                      <w:spacing w:val="-77"/>
                      <w:sz w:val="21"/>
                      <w:szCs w:val="21"/>
                    </w:rPr>
                    <w:t xml:space="preserve"> </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本项目不涉及地下水。</w:t>
                  </w:r>
                </w:p>
                <w:p w14:paraId="049D960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sz w:val="21"/>
                      <w:szCs w:val="21"/>
                      <w:lang w:val="en-US" w:eastAsia="zh-CN"/>
                    </w:rPr>
                    <w:t>3、本项目施工期废水主要为施工人员产生的生活污水和施工废水，产生废水经处理后回用或综合利用，不外排；运营期无废水产生。故对区域水环境影响较小。</w:t>
                  </w:r>
                </w:p>
              </w:tc>
              <w:tc>
                <w:tcPr>
                  <w:tcW w:w="588" w:type="pct"/>
                  <w:tcBorders>
                    <w:tl2br w:val="nil"/>
                    <w:tr2bl w:val="nil"/>
                  </w:tcBorders>
                  <w:noWrap w:val="0"/>
                  <w:vAlign w:val="center"/>
                </w:tcPr>
                <w:p w14:paraId="45ADAC5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43782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1029" w:type="pct"/>
                  <w:tcBorders>
                    <w:tl2br w:val="nil"/>
                    <w:tr2bl w:val="nil"/>
                  </w:tcBorders>
                  <w:noWrap w:val="0"/>
                  <w:vAlign w:val="center"/>
                </w:tcPr>
                <w:p w14:paraId="3F2D014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能源重点管控</w:t>
                  </w:r>
                </w:p>
              </w:tc>
              <w:tc>
                <w:tcPr>
                  <w:tcW w:w="2338" w:type="pct"/>
                  <w:tcBorders>
                    <w:tl2br w:val="nil"/>
                    <w:tr2bl w:val="nil"/>
                  </w:tcBorders>
                  <w:noWrap w:val="0"/>
                  <w:vAlign w:val="center"/>
                </w:tcPr>
                <w:p w14:paraId="6AC060DC">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到2025年，全市重点区域和行业能源利用效率显著提高，单位地区生产总值能耗比2020年下降17.5%。加强能耗总量和强度双控、煤炭消费和污染物排放总量控制，提高非化石能源占比，降低煤炭在能源消费中的比重。强化市场准入约束，抑制高碳投资，坚决遏制高耗能、高排放、低水平项目盲目发展。</w:t>
                  </w:r>
                </w:p>
                <w:p w14:paraId="1F1DFB82">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2.高污染燃料禁燃区内执行《高污染燃料目录》中的Ⅱ类（较严）要求，不得新建燃烧煤炭、重油、渣油等高污染燃料的设施，禁止原煤散烧；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p w14:paraId="400C51CA">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3.严把环境准入关口，新建项目单位产品能耗达到《河北省主要产品能耗限额和设备能效限定值》准入值要求，严格执行煤炭减量替代。产业集聚区能源利用效率达到循环经济园区标准。在省级以上园区全面推行能源梯级利用和资源综合利用，依法推进强制性清洁生产审核。</w:t>
                  </w:r>
                </w:p>
                <w:p w14:paraId="72929BE4">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严禁新增钢铁、焦化、水泥熟料、平板玻璃、煤化工产能，合理控制煤制油气产能规模。严格落实钢铁、焦化、水泥等重点行业产能置换政策，推动钢铁行业短流程改造，严格控制新增煤电装机规模，严禁新增化工园区。</w:t>
                  </w:r>
                </w:p>
                <w:p w14:paraId="421A2BF1">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5.严格执行质量、环保、能耗、安全等法规标准，加大重点行业低效和过剩产能压减力度，淘汰4.3米焦炉、1000立方米以下高炉、100吨以下转炉、步进式烧结机和球团竖炉，推广高效精馏系统、高温高压干熄焦、富氧强化熔炼等节能技术。</w:t>
                  </w:r>
                </w:p>
                <w:p w14:paraId="021078D3">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6.严格控制煤炭消费总量，对新增耗煤项目实施减量替代，严格控制燃煤机组新增装机规模，新增用电量主要依靠区域内非化石能源发电和外送电满足。</w:t>
                  </w:r>
                </w:p>
                <w:p w14:paraId="5E752772">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7.稳步实施冬季清洁取暖，保障天然气和电力供应，有序推进“电代煤、气代煤”改造工程。全面推行清洁取暖和增加集中供热面积，实施农村清洁取暖农户动态管理，完成种养殖业及农副产品加工业燃煤设施清洁能源替代，有序推进清洁能源发展。全面推进城镇绿色规划、绿色建设、绿色运行管理，到2025年，新建装配式建筑占当年新建建筑比例达30%以上。</w:t>
                  </w:r>
                </w:p>
                <w:p w14:paraId="6B34FB76">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8.统筹能源安全和绿色低碳发展，推动能源供给体系清洁化低碳化。实施可再生能源替代行动大力发展风能、太阳能、生物质能、地热能等，积极推进储能氢能产业，推动抽水蓄能电站建设，加大力度规划建设配套电网项目，提高可再生能源消纳能力。</w:t>
                  </w:r>
                </w:p>
                <w:p w14:paraId="48726924">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9.禁止生产高耗能落后设备产品，现有工业企业应限期关停退出。</w:t>
                  </w:r>
                </w:p>
                <w:p w14:paraId="2F0B0018">
                  <w:pPr>
                    <w:keepNext w:val="0"/>
                    <w:keepLines w:val="0"/>
                    <w:widowControl/>
                    <w:suppressLineNumbers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10.新建项目能效应不低于国内平均水平。</w:t>
                  </w:r>
                </w:p>
              </w:tc>
              <w:tc>
                <w:tcPr>
                  <w:tcW w:w="1043" w:type="pct"/>
                  <w:tcBorders>
                    <w:tl2br w:val="nil"/>
                    <w:tr2bl w:val="nil"/>
                  </w:tcBorders>
                  <w:noWrap w:val="0"/>
                  <w:vAlign w:val="center"/>
                </w:tcPr>
                <w:p w14:paraId="66B6523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rPr>
                  </w:pPr>
                  <w:r>
                    <w:rPr>
                      <w:rFonts w:hint="eastAsia"/>
                      <w:lang w:val="en-US" w:eastAsia="zh-CN"/>
                    </w:rPr>
                    <w:t>1、</w:t>
                  </w:r>
                  <w:r>
                    <w:rPr>
                      <w:rFonts w:hint="eastAsia"/>
                    </w:rPr>
                    <w:t xml:space="preserve">本项目为输变电工程，新建 </w:t>
                  </w:r>
                  <w:r>
                    <w:rPr>
                      <w:rFonts w:hint="eastAsia"/>
                      <w:lang w:eastAsia="zh-CN"/>
                    </w:rPr>
                    <w:t>29.9</w:t>
                  </w:r>
                  <w:r>
                    <w:rPr>
                      <w:rFonts w:hint="eastAsia"/>
                    </w:rPr>
                    <w:t>km 的架空输电线路，不属于“高耗能、高排放”项目。</w:t>
                  </w:r>
                </w:p>
                <w:p w14:paraId="0458DAE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eastAsia="宋体"/>
                      <w:lang w:val="en-US" w:eastAsia="zh-CN"/>
                    </w:rPr>
                  </w:pPr>
                  <w:r>
                    <w:rPr>
                      <w:rFonts w:hint="eastAsia"/>
                      <w:lang w:val="en-US" w:eastAsia="zh-CN"/>
                    </w:rPr>
                    <w:t>2、</w:t>
                  </w:r>
                  <w:r>
                    <w:rPr>
                      <w:rFonts w:hint="default" w:ascii="Times New Roman" w:hAnsi="Times New Roman" w:eastAsia="宋体" w:cs="Times New Roman"/>
                      <w:spacing w:val="8"/>
                      <w:sz w:val="21"/>
                      <w:szCs w:val="21"/>
                      <w:highlight w:val="none"/>
                      <w:lang w:eastAsia="zh-CN"/>
                    </w:rPr>
                    <w:t>项目生产无需用热，生活供暖使用</w:t>
                  </w:r>
                  <w:r>
                    <w:rPr>
                      <w:rFonts w:hint="default" w:ascii="Times New Roman" w:hAnsi="Times New Roman" w:eastAsia="宋体" w:cs="Times New Roman"/>
                      <w:spacing w:val="1"/>
                      <w:sz w:val="21"/>
                      <w:szCs w:val="21"/>
                      <w:highlight w:val="none"/>
                      <w:lang w:eastAsia="zh-CN"/>
                    </w:rPr>
                    <w:t>空调。</w:t>
                  </w:r>
                </w:p>
              </w:tc>
              <w:tc>
                <w:tcPr>
                  <w:tcW w:w="588" w:type="pct"/>
                  <w:tcBorders>
                    <w:tl2br w:val="nil"/>
                    <w:tr2bl w:val="nil"/>
                  </w:tcBorders>
                  <w:noWrap w:val="0"/>
                  <w:vAlign w:val="center"/>
                </w:tcPr>
                <w:p w14:paraId="2505414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53BD4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1029" w:type="pct"/>
                  <w:tcBorders>
                    <w:tl2br w:val="nil"/>
                    <w:tr2bl w:val="nil"/>
                  </w:tcBorders>
                  <w:noWrap w:val="0"/>
                  <w:vAlign w:val="center"/>
                </w:tcPr>
                <w:p w14:paraId="2D3D878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土地资源</w:t>
                  </w:r>
                </w:p>
              </w:tc>
              <w:tc>
                <w:tcPr>
                  <w:tcW w:w="2338" w:type="pct"/>
                  <w:tcBorders>
                    <w:tl2br w:val="nil"/>
                    <w:tr2bl w:val="nil"/>
                  </w:tcBorders>
                  <w:noWrap w:val="0"/>
                  <w:vAlign w:val="center"/>
                </w:tcPr>
                <w:p w14:paraId="30853D85">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产业集聚区开发建设应达到《河北省开发区建设用地控制指标实施细则（试行）》（冀国土资发[2015]11号）要求，对不符合要求的工业项目，原则上不得建设，因安全生产、地形地貌、工艺技术等有特殊要求确需突破控制指标的应遵循相关规定执行。</w:t>
                  </w:r>
                </w:p>
                <w:p w14:paraId="007F0237">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2.承德高新技术产业开发区、河北省承德县高新技术产业开发区、河北承德双滦经济开发区、河北宽城经济开发区土地资源节约利用指标应于2025年前达到《国家生态工业示范园区标准》）（HJ274-2015）。其他园区应于2030年前达到《国家生态工业示范园区标准》（HJ274-2015）。</w:t>
                  </w:r>
                </w:p>
              </w:tc>
              <w:tc>
                <w:tcPr>
                  <w:tcW w:w="1043" w:type="pct"/>
                  <w:tcBorders>
                    <w:tl2br w:val="nil"/>
                    <w:tr2bl w:val="nil"/>
                  </w:tcBorders>
                  <w:noWrap w:val="0"/>
                  <w:vAlign w:val="center"/>
                </w:tcPr>
                <w:p w14:paraId="2B68571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本项目为输变电工程，新建 </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29.9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km 的架空输电线路，位于河北省承德市围场满族蒙古族自治县城子镇、牌楼乡、燕格柏乡和半截塔镇。</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不涉及开发区。</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不属于污染企业，不涉及排放有毒有害物质。</w:t>
                  </w:r>
                </w:p>
              </w:tc>
              <w:tc>
                <w:tcPr>
                  <w:tcW w:w="588" w:type="pct"/>
                  <w:tcBorders>
                    <w:tl2br w:val="nil"/>
                    <w:tr2bl w:val="nil"/>
                  </w:tcBorders>
                  <w:noWrap w:val="0"/>
                  <w:vAlign w:val="center"/>
                </w:tcPr>
                <w:p w14:paraId="064B0C9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bl>
          <w:p w14:paraId="5D2597BA">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spacing w:val="-2"/>
                <w:sz w:val="24"/>
                <w:szCs w:val="24"/>
                <w:lang w:val="en-US" w:eastAsia="zh-CN"/>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）本项目与“承德市环境管控单元生态准入清单”符合性分析见以下内容。</w:t>
            </w:r>
          </w:p>
          <w:p w14:paraId="53128AE6">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①与“围场满族蒙古族自治县”符合性分析</w:t>
            </w:r>
          </w:p>
          <w:p w14:paraId="39C734F1">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本项目与“围场满族蒙古族自治县”符合性分析见下表。</w:t>
            </w:r>
          </w:p>
          <w:p w14:paraId="7789F76B">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本项目与“围场满族蒙古族自治县”符合性分析一览表</w:t>
            </w:r>
          </w:p>
          <w:p w14:paraId="7BFCDDC5">
            <w:pPr>
              <w:pStyle w:val="16"/>
              <w:rPr>
                <w:rFonts w:hint="default" w:ascii="Times New Roman" w:hAnsi="Times New Roman" w:eastAsia="宋体" w:cs="Times New Roman"/>
                <w:sz w:val="24"/>
                <w:szCs w:val="24"/>
                <w:lang w:val="en-US" w:eastAsia="zh-CN"/>
              </w:rPr>
            </w:pPr>
          </w:p>
          <w:tbl>
            <w:tblPr>
              <w:tblStyle w:val="19"/>
              <w:tblW w:w="488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385"/>
              <w:gridCol w:w="422"/>
              <w:gridCol w:w="421"/>
              <w:gridCol w:w="375"/>
              <w:gridCol w:w="438"/>
              <w:gridCol w:w="1108"/>
              <w:gridCol w:w="532"/>
              <w:gridCol w:w="467"/>
              <w:gridCol w:w="1719"/>
              <w:gridCol w:w="1418"/>
              <w:gridCol w:w="730"/>
            </w:tblGrid>
            <w:tr w14:paraId="6B6007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240" w:type="pct"/>
                  <w:tcBorders>
                    <w:tl2br w:val="nil"/>
                    <w:tr2bl w:val="nil"/>
                  </w:tcBorders>
                  <w:noWrap w:val="0"/>
                  <w:vAlign w:val="center"/>
                </w:tcPr>
                <w:p w14:paraId="5D1ADF4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编码</w:t>
                  </w:r>
                </w:p>
              </w:tc>
              <w:tc>
                <w:tcPr>
                  <w:tcW w:w="263" w:type="pct"/>
                  <w:tcBorders>
                    <w:tl2br w:val="nil"/>
                    <w:tr2bl w:val="nil"/>
                  </w:tcBorders>
                  <w:noWrap w:val="0"/>
                  <w:vAlign w:val="center"/>
                </w:tcPr>
                <w:p w14:paraId="3297D7D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省</w:t>
                  </w:r>
                </w:p>
              </w:tc>
              <w:tc>
                <w:tcPr>
                  <w:tcW w:w="262" w:type="pct"/>
                  <w:tcBorders>
                    <w:tl2br w:val="nil"/>
                    <w:tr2bl w:val="nil"/>
                  </w:tcBorders>
                  <w:noWrap w:val="0"/>
                  <w:vAlign w:val="center"/>
                </w:tcPr>
                <w:p w14:paraId="00A2481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市</w:t>
                  </w:r>
                </w:p>
              </w:tc>
              <w:tc>
                <w:tcPr>
                  <w:tcW w:w="233" w:type="pct"/>
                  <w:tcBorders>
                    <w:tl2br w:val="nil"/>
                    <w:tr2bl w:val="nil"/>
                  </w:tcBorders>
                  <w:noWrap w:val="0"/>
                  <w:vAlign w:val="center"/>
                </w:tcPr>
                <w:p w14:paraId="5DD3466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区县</w:t>
                  </w:r>
                </w:p>
              </w:tc>
              <w:tc>
                <w:tcPr>
                  <w:tcW w:w="273" w:type="pct"/>
                  <w:tcBorders>
                    <w:tl2br w:val="nil"/>
                    <w:tr2bl w:val="nil"/>
                  </w:tcBorders>
                  <w:noWrap w:val="0"/>
                  <w:vAlign w:val="center"/>
                </w:tcPr>
                <w:p w14:paraId="10D7EA8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管控类别</w:t>
                  </w:r>
                </w:p>
              </w:tc>
              <w:tc>
                <w:tcPr>
                  <w:tcW w:w="691" w:type="pct"/>
                  <w:tcBorders>
                    <w:tl2br w:val="nil"/>
                    <w:tr2bl w:val="nil"/>
                  </w:tcBorders>
                  <w:noWrap w:val="0"/>
                  <w:vAlign w:val="center"/>
                </w:tcPr>
                <w:p w14:paraId="698A020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涉及乡镇</w:t>
                  </w:r>
                </w:p>
              </w:tc>
              <w:tc>
                <w:tcPr>
                  <w:tcW w:w="331" w:type="pct"/>
                  <w:tcBorders>
                    <w:tl2br w:val="nil"/>
                    <w:tr2bl w:val="nil"/>
                  </w:tcBorders>
                  <w:noWrap w:val="0"/>
                  <w:vAlign w:val="center"/>
                </w:tcPr>
                <w:p w14:paraId="6E822DC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环境要素类别</w:t>
                  </w:r>
                </w:p>
              </w:tc>
              <w:tc>
                <w:tcPr>
                  <w:tcW w:w="1363" w:type="pct"/>
                  <w:gridSpan w:val="2"/>
                  <w:tcBorders>
                    <w:tl2br w:val="nil"/>
                    <w:tr2bl w:val="nil"/>
                  </w:tcBorders>
                  <w:noWrap w:val="0"/>
                  <w:vAlign w:val="center"/>
                </w:tcPr>
                <w:p w14:paraId="11856B7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管控类别</w:t>
                  </w:r>
                </w:p>
              </w:tc>
              <w:tc>
                <w:tcPr>
                  <w:tcW w:w="884" w:type="pct"/>
                  <w:tcBorders>
                    <w:tl2br w:val="nil"/>
                    <w:tr2bl w:val="nil"/>
                  </w:tcBorders>
                  <w:noWrap w:val="0"/>
                  <w:vAlign w:val="center"/>
                </w:tcPr>
                <w:p w14:paraId="2B23097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项目情况</w:t>
                  </w:r>
                </w:p>
              </w:tc>
              <w:tc>
                <w:tcPr>
                  <w:tcW w:w="455" w:type="pct"/>
                  <w:tcBorders>
                    <w:tl2br w:val="nil"/>
                    <w:tr2bl w:val="nil"/>
                  </w:tcBorders>
                  <w:noWrap w:val="0"/>
                  <w:vAlign w:val="center"/>
                </w:tcPr>
                <w:p w14:paraId="06BA104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符合性</w:t>
                  </w:r>
                </w:p>
              </w:tc>
            </w:tr>
            <w:tr w14:paraId="3422E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240" w:type="pct"/>
                  <w:vMerge w:val="restart"/>
                  <w:tcBorders>
                    <w:tl2br w:val="nil"/>
                    <w:tr2bl w:val="nil"/>
                  </w:tcBorders>
                  <w:noWrap w:val="0"/>
                  <w:vAlign w:val="center"/>
                </w:tcPr>
                <w:p w14:paraId="090333FC">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ZH13082810012</w:t>
                  </w:r>
                </w:p>
              </w:tc>
              <w:tc>
                <w:tcPr>
                  <w:tcW w:w="263" w:type="pct"/>
                  <w:vMerge w:val="restart"/>
                  <w:tcBorders>
                    <w:tl2br w:val="nil"/>
                    <w:tr2bl w:val="nil"/>
                  </w:tcBorders>
                  <w:noWrap w:val="0"/>
                  <w:vAlign w:val="center"/>
                </w:tcPr>
                <w:p w14:paraId="59F2FD7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河北省</w:t>
                  </w:r>
                </w:p>
              </w:tc>
              <w:tc>
                <w:tcPr>
                  <w:tcW w:w="262" w:type="pct"/>
                  <w:vMerge w:val="restart"/>
                  <w:tcBorders>
                    <w:tl2br w:val="nil"/>
                    <w:tr2bl w:val="nil"/>
                  </w:tcBorders>
                  <w:noWrap w:val="0"/>
                  <w:vAlign w:val="center"/>
                </w:tcPr>
                <w:p w14:paraId="31973FE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承德市</w:t>
                  </w:r>
                </w:p>
              </w:tc>
              <w:tc>
                <w:tcPr>
                  <w:tcW w:w="233" w:type="pct"/>
                  <w:vMerge w:val="restart"/>
                  <w:tcBorders>
                    <w:tl2br w:val="nil"/>
                    <w:tr2bl w:val="nil"/>
                  </w:tcBorders>
                  <w:noWrap w:val="0"/>
                  <w:vAlign w:val="center"/>
                </w:tcPr>
                <w:p w14:paraId="3205F61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围场满族蒙古族自治区</w:t>
                  </w:r>
                </w:p>
              </w:tc>
              <w:tc>
                <w:tcPr>
                  <w:tcW w:w="273" w:type="pct"/>
                  <w:vMerge w:val="restart"/>
                  <w:tcBorders>
                    <w:tl2br w:val="nil"/>
                    <w:tr2bl w:val="nil"/>
                  </w:tcBorders>
                  <w:noWrap w:val="0"/>
                  <w:vAlign w:val="center"/>
                </w:tcPr>
                <w:p w14:paraId="11E480B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优先保护单元</w:t>
                  </w:r>
                </w:p>
              </w:tc>
              <w:tc>
                <w:tcPr>
                  <w:tcW w:w="691" w:type="pct"/>
                  <w:vMerge w:val="restart"/>
                  <w:tcBorders>
                    <w:tl2br w:val="nil"/>
                    <w:tr2bl w:val="nil"/>
                  </w:tcBorders>
                  <w:noWrap w:val="0"/>
                  <w:vAlign w:val="center"/>
                </w:tcPr>
                <w:p w14:paraId="5956F5F9">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半截塔镇、</w:t>
                  </w:r>
                </w:p>
                <w:p w14:paraId="5B31DCA2">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龙头山镇、</w:t>
                  </w:r>
                </w:p>
                <w:p w14:paraId="753DE435">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城子镇、</w:t>
                  </w:r>
                </w:p>
                <w:p w14:paraId="02523E4B">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道坝子乡、</w:t>
                  </w:r>
                </w:p>
                <w:p w14:paraId="492B06EC">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黄土坎乡、</w:t>
                  </w:r>
                </w:p>
                <w:p w14:paraId="62BF5E80">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下伙房乡、</w:t>
                  </w:r>
                </w:p>
                <w:p w14:paraId="358BA13B">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燕格柏乡、</w:t>
                  </w:r>
                </w:p>
                <w:p w14:paraId="709346EA">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牌楼乡、</w:t>
                  </w:r>
                </w:p>
                <w:p w14:paraId="094D7B19">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石桌子乡、</w:t>
                  </w:r>
                </w:p>
                <w:p w14:paraId="54D0AA61">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大头山乡、</w:t>
                  </w:r>
                </w:p>
                <w:p w14:paraId="76F04FFE">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大唤起乡、</w:t>
                  </w:r>
                </w:p>
                <w:p w14:paraId="790748EB">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棋盘山镇、</w:t>
                  </w:r>
                </w:p>
                <w:p w14:paraId="15F678E5">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宝元栈乡、</w:t>
                  </w:r>
                </w:p>
                <w:p w14:paraId="136791CA">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姜家店乡、</w:t>
                  </w:r>
                </w:p>
                <w:p w14:paraId="5292319D">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塞罕坝机、</w:t>
                  </w:r>
                </w:p>
                <w:p w14:paraId="0143CB38">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械林场、</w:t>
                  </w:r>
                </w:p>
                <w:p w14:paraId="3F4F05DE">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围场镇、</w:t>
                  </w:r>
                </w:p>
                <w:p w14:paraId="37CE79D0">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四合永镇、</w:t>
                  </w:r>
                </w:p>
                <w:p w14:paraId="060EB5E1">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克勒沟镇、</w:t>
                  </w:r>
                </w:p>
                <w:p w14:paraId="7CAADFF2">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朝阳地镇、</w:t>
                  </w:r>
                </w:p>
                <w:p w14:paraId="2D0473BC">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朝阳湾镇、</w:t>
                  </w:r>
                </w:p>
                <w:p w14:paraId="50F3507C">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腰站镇、新拨镇、四道沟乡、蓝旗卡伦、乡银窝、沟乡新、地乡广、发永乡、育太和乡、郭家湾乡、杨家湾乡、张家湾乡、山湾子乡、三义永乡、红松洼牧场、承德庙宫水库</w:t>
                  </w:r>
                </w:p>
              </w:tc>
              <w:tc>
                <w:tcPr>
                  <w:tcW w:w="331" w:type="pct"/>
                  <w:vMerge w:val="restart"/>
                  <w:tcBorders>
                    <w:tl2br w:val="nil"/>
                    <w:tr2bl w:val="nil"/>
                  </w:tcBorders>
                  <w:noWrap w:val="0"/>
                  <w:vAlign w:val="center"/>
                </w:tcPr>
                <w:p w14:paraId="1E44DB73">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一般生态空间水环境其他区域大气一般管控区</w:t>
                  </w:r>
                </w:p>
                <w:p w14:paraId="4903328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91" w:type="pct"/>
                  <w:tcBorders>
                    <w:tl2br w:val="nil"/>
                    <w:tr2bl w:val="nil"/>
                  </w:tcBorders>
                  <w:noWrap w:val="0"/>
                  <w:vAlign w:val="center"/>
                </w:tcPr>
                <w:p w14:paraId="5428699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空间布局</w:t>
                  </w:r>
                </w:p>
              </w:tc>
              <w:tc>
                <w:tcPr>
                  <w:tcW w:w="1072" w:type="pct"/>
                  <w:tcBorders>
                    <w:tl2br w:val="nil"/>
                    <w:tr2bl w:val="nil"/>
                  </w:tcBorders>
                  <w:noWrap w:val="0"/>
                  <w:vAlign w:val="center"/>
                </w:tcPr>
                <w:p w14:paraId="03E2CAC8">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1、执行承德市总体准入清单</w:t>
                  </w:r>
                </w:p>
                <w:p w14:paraId="6294570C">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中一般生态空间准入要求。</w:t>
                  </w:r>
                </w:p>
                <w:p w14:paraId="4AE1C553">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2、在沙化土地范围内从事开</w:t>
                  </w:r>
                </w:p>
                <w:p w14:paraId="46A1F787">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发建设活动的，必须事先就该项目可能对当地及相关地区生态产生的影响进行环境影响评价，依法提交环境影响报告；环境影响报告应当包括有关防沙治沙的内容。</w:t>
                  </w:r>
                </w:p>
              </w:tc>
              <w:tc>
                <w:tcPr>
                  <w:tcW w:w="884" w:type="pct"/>
                  <w:tcBorders>
                    <w:tl2br w:val="nil"/>
                    <w:tr2bl w:val="nil"/>
                  </w:tcBorders>
                  <w:noWrap w:val="0"/>
                  <w:vAlign w:val="center"/>
                </w:tcPr>
                <w:p w14:paraId="4D186C0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项目输出线路位于此区域，不占用农用地优先保护区，运行后无大气污染物排放，无废水外排，固体废物均合理处置，符合符合国土空间规划及有关专项规划要求要求；本次对涉及沙化区域进行分析。</w:t>
                  </w:r>
                </w:p>
              </w:tc>
              <w:tc>
                <w:tcPr>
                  <w:tcW w:w="455" w:type="pct"/>
                  <w:tcBorders>
                    <w:tl2br w:val="nil"/>
                    <w:tr2bl w:val="nil"/>
                  </w:tcBorders>
                  <w:noWrap w:val="0"/>
                  <w:vAlign w:val="center"/>
                </w:tcPr>
                <w:p w14:paraId="7BC8569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769FB9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240" w:type="pct"/>
                  <w:vMerge w:val="continue"/>
                  <w:tcBorders>
                    <w:tl2br w:val="nil"/>
                    <w:tr2bl w:val="nil"/>
                  </w:tcBorders>
                  <w:noWrap w:val="0"/>
                  <w:vAlign w:val="center"/>
                </w:tcPr>
                <w:p w14:paraId="31F7CA49">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p>
              </w:tc>
              <w:tc>
                <w:tcPr>
                  <w:tcW w:w="263" w:type="pct"/>
                  <w:vMerge w:val="continue"/>
                  <w:tcBorders>
                    <w:tl2br w:val="nil"/>
                    <w:tr2bl w:val="nil"/>
                  </w:tcBorders>
                  <w:noWrap w:val="0"/>
                  <w:vAlign w:val="center"/>
                </w:tcPr>
                <w:p w14:paraId="47E2431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62" w:type="pct"/>
                  <w:vMerge w:val="continue"/>
                  <w:tcBorders>
                    <w:tl2br w:val="nil"/>
                    <w:tr2bl w:val="nil"/>
                  </w:tcBorders>
                  <w:noWrap w:val="0"/>
                  <w:vAlign w:val="center"/>
                </w:tcPr>
                <w:p w14:paraId="3A916A9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33" w:type="pct"/>
                  <w:vMerge w:val="continue"/>
                  <w:tcBorders>
                    <w:tl2br w:val="nil"/>
                    <w:tr2bl w:val="nil"/>
                  </w:tcBorders>
                  <w:noWrap w:val="0"/>
                  <w:vAlign w:val="center"/>
                </w:tcPr>
                <w:p w14:paraId="428FB25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73" w:type="pct"/>
                  <w:vMerge w:val="continue"/>
                  <w:tcBorders>
                    <w:tl2br w:val="nil"/>
                    <w:tr2bl w:val="nil"/>
                  </w:tcBorders>
                  <w:noWrap w:val="0"/>
                  <w:vAlign w:val="center"/>
                </w:tcPr>
                <w:p w14:paraId="3104799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691" w:type="pct"/>
                  <w:vMerge w:val="continue"/>
                  <w:tcBorders>
                    <w:tl2br w:val="nil"/>
                    <w:tr2bl w:val="nil"/>
                  </w:tcBorders>
                  <w:noWrap w:val="0"/>
                  <w:vAlign w:val="center"/>
                </w:tcPr>
                <w:p w14:paraId="7FB2D0F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331" w:type="pct"/>
                  <w:vMerge w:val="continue"/>
                  <w:tcBorders>
                    <w:tl2br w:val="nil"/>
                    <w:tr2bl w:val="nil"/>
                  </w:tcBorders>
                  <w:noWrap w:val="0"/>
                  <w:vAlign w:val="center"/>
                </w:tcPr>
                <w:p w14:paraId="62C0B99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91" w:type="pct"/>
                  <w:tcBorders>
                    <w:tl2br w:val="nil"/>
                    <w:tr2bl w:val="nil"/>
                  </w:tcBorders>
                  <w:noWrap w:val="0"/>
                  <w:vAlign w:val="center"/>
                </w:tcPr>
                <w:p w14:paraId="073DAA0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资源利用效率</w:t>
                  </w:r>
                </w:p>
              </w:tc>
              <w:tc>
                <w:tcPr>
                  <w:tcW w:w="1072" w:type="pct"/>
                  <w:tcBorders>
                    <w:tl2br w:val="nil"/>
                    <w:tr2bl w:val="nil"/>
                  </w:tcBorders>
                  <w:noWrap w:val="0"/>
                  <w:vAlign w:val="center"/>
                </w:tcPr>
                <w:p w14:paraId="33A663D5">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1、按照宜乔则乔、宜灌则灌、宜草则草，乔灌草结合的原则，因地制宜开展沙地治理。</w:t>
                  </w:r>
                </w:p>
                <w:p w14:paraId="5A9AA0EF">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2、在严格保护生态环境前提下，鼓励采取多样化模式和路径，科学合理推动生态产品价值实现。</w:t>
                  </w:r>
                </w:p>
              </w:tc>
              <w:tc>
                <w:tcPr>
                  <w:tcW w:w="884" w:type="pct"/>
                  <w:tcBorders>
                    <w:tl2br w:val="nil"/>
                    <w:tr2bl w:val="nil"/>
                  </w:tcBorders>
                  <w:noWrap w:val="0"/>
                  <w:vAlign w:val="center"/>
                </w:tcPr>
                <w:p w14:paraId="7D45C2B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本项目涉及沙区，施工期采取水土围挡的工程措施杜绝施工期间因沙土裸露形成流沙，严格采取水土保持工程措施，种植当地优势物种，乔灌草相结合实现沙化土地治理。</w:t>
                  </w:r>
                </w:p>
              </w:tc>
              <w:tc>
                <w:tcPr>
                  <w:tcW w:w="455" w:type="pct"/>
                  <w:tcBorders>
                    <w:tl2br w:val="nil"/>
                    <w:tr2bl w:val="nil"/>
                  </w:tcBorders>
                  <w:noWrap w:val="0"/>
                  <w:vAlign w:val="center"/>
                </w:tcPr>
                <w:p w14:paraId="734F3DF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1D6FF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240" w:type="pct"/>
                  <w:vMerge w:val="restart"/>
                  <w:tcBorders>
                    <w:tl2br w:val="nil"/>
                    <w:tr2bl w:val="nil"/>
                  </w:tcBorders>
                  <w:noWrap w:val="0"/>
                  <w:vAlign w:val="center"/>
                </w:tcPr>
                <w:p w14:paraId="6A0FFE99">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ZH13082830001</w:t>
                  </w:r>
                </w:p>
              </w:tc>
              <w:tc>
                <w:tcPr>
                  <w:tcW w:w="263" w:type="pct"/>
                  <w:vMerge w:val="restart"/>
                  <w:tcBorders>
                    <w:tl2br w:val="nil"/>
                    <w:tr2bl w:val="nil"/>
                  </w:tcBorders>
                  <w:noWrap w:val="0"/>
                  <w:vAlign w:val="center"/>
                </w:tcPr>
                <w:p w14:paraId="0C13C36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河北省</w:t>
                  </w:r>
                </w:p>
              </w:tc>
              <w:tc>
                <w:tcPr>
                  <w:tcW w:w="262" w:type="pct"/>
                  <w:vMerge w:val="restart"/>
                  <w:tcBorders>
                    <w:tl2br w:val="nil"/>
                    <w:tr2bl w:val="nil"/>
                  </w:tcBorders>
                  <w:noWrap w:val="0"/>
                  <w:vAlign w:val="center"/>
                </w:tcPr>
                <w:p w14:paraId="77FF39F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承德市</w:t>
                  </w:r>
                </w:p>
              </w:tc>
              <w:tc>
                <w:tcPr>
                  <w:tcW w:w="233" w:type="pct"/>
                  <w:vMerge w:val="restart"/>
                  <w:tcBorders>
                    <w:tl2br w:val="nil"/>
                    <w:tr2bl w:val="nil"/>
                  </w:tcBorders>
                  <w:noWrap w:val="0"/>
                  <w:vAlign w:val="center"/>
                </w:tcPr>
                <w:p w14:paraId="618FA61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围场满族蒙古族自治区</w:t>
                  </w:r>
                </w:p>
              </w:tc>
              <w:tc>
                <w:tcPr>
                  <w:tcW w:w="273" w:type="pct"/>
                  <w:vMerge w:val="restart"/>
                  <w:tcBorders>
                    <w:tl2br w:val="nil"/>
                    <w:tr2bl w:val="nil"/>
                  </w:tcBorders>
                  <w:noWrap w:val="0"/>
                  <w:vAlign w:val="center"/>
                </w:tcPr>
                <w:p w14:paraId="7348526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一般管控单元</w:t>
                  </w:r>
                </w:p>
              </w:tc>
              <w:tc>
                <w:tcPr>
                  <w:tcW w:w="691" w:type="pct"/>
                  <w:vMerge w:val="restart"/>
                  <w:tcBorders>
                    <w:tl2br w:val="nil"/>
                    <w:tr2bl w:val="nil"/>
                  </w:tcBorders>
                  <w:noWrap w:val="0"/>
                  <w:vAlign w:val="center"/>
                </w:tcPr>
                <w:p w14:paraId="26BAC586">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半截塔镇、</w:t>
                  </w:r>
                </w:p>
                <w:p w14:paraId="1B09B985">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龙头山镇、</w:t>
                  </w:r>
                </w:p>
                <w:p w14:paraId="055CDA6E">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城子镇、</w:t>
                  </w:r>
                </w:p>
                <w:p w14:paraId="40794AF7">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道坝子乡、</w:t>
                  </w:r>
                </w:p>
                <w:p w14:paraId="2B901A2E">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下伙房乡、</w:t>
                  </w:r>
                </w:p>
                <w:p w14:paraId="581EAD21">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燕格柏乡、</w:t>
                  </w:r>
                </w:p>
                <w:p w14:paraId="352D3911">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牌楼乡、</w:t>
                  </w:r>
                </w:p>
                <w:p w14:paraId="3D2AE003">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石桌子乡、</w:t>
                  </w:r>
                </w:p>
                <w:p w14:paraId="315DEACF">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大头山乡、</w:t>
                  </w:r>
                </w:p>
                <w:p w14:paraId="1EA371EA">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大唤起乡、</w:t>
                  </w:r>
                </w:p>
                <w:p w14:paraId="2C27CBC5">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棋盘山镇、</w:t>
                  </w:r>
                </w:p>
                <w:p w14:paraId="23ADACBC">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宝元栈乡、</w:t>
                  </w:r>
                </w:p>
                <w:p w14:paraId="028E4720">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姜家店乡、</w:t>
                  </w:r>
                </w:p>
                <w:p w14:paraId="009A481E">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围场镇、</w:t>
                  </w:r>
                </w:p>
                <w:p w14:paraId="1D9DFCFA">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四合永镇、</w:t>
                  </w:r>
                </w:p>
                <w:p w14:paraId="6CA47F2F">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克勒沟镇、</w:t>
                  </w:r>
                </w:p>
                <w:p w14:paraId="297D0FD7">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朝阳地镇、</w:t>
                  </w:r>
                </w:p>
                <w:p w14:paraId="4989F657">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朝阳湾镇、</w:t>
                  </w:r>
                </w:p>
                <w:p w14:paraId="1F9A9548">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腰站镇、新拨镇、黄土坎乡、四道沟乡、蓝旗卡伦乡、银窝沟乡、新</w:t>
                  </w:r>
                </w:p>
                <w:p w14:paraId="6CE453E0">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地乡、广</w:t>
                  </w:r>
                </w:p>
                <w:p w14:paraId="121751BD">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发永乡、</w:t>
                  </w:r>
                </w:p>
                <w:p w14:paraId="4ADCE884">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育太和乡、</w:t>
                  </w:r>
                </w:p>
                <w:p w14:paraId="23C8F1F9">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郭家湾乡、</w:t>
                  </w:r>
                </w:p>
                <w:p w14:paraId="5B4F6B66">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杨家湾乡、</w:t>
                  </w:r>
                </w:p>
                <w:p w14:paraId="08234E38">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张家湾乡、</w:t>
                  </w:r>
                </w:p>
                <w:p w14:paraId="3A3089F7">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山湾子乡、</w:t>
                  </w:r>
                </w:p>
                <w:p w14:paraId="0330CC5D">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三义永乡、</w:t>
                  </w:r>
                </w:p>
                <w:p w14:paraId="6984B09D">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红松洼牧场、承德庙宫水库</w:t>
                  </w:r>
                </w:p>
                <w:p w14:paraId="56323017">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331" w:type="pct"/>
                  <w:vMerge w:val="restart"/>
                  <w:tcBorders>
                    <w:tl2br w:val="nil"/>
                    <w:tr2bl w:val="nil"/>
                  </w:tcBorders>
                  <w:noWrap w:val="0"/>
                  <w:vAlign w:val="center"/>
                </w:tcPr>
                <w:p w14:paraId="525B6371">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水环境其他区域大气一般管控区</w:t>
                  </w:r>
                </w:p>
                <w:p w14:paraId="0001755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91" w:type="pct"/>
                  <w:tcBorders>
                    <w:tl2br w:val="nil"/>
                    <w:tr2bl w:val="nil"/>
                  </w:tcBorders>
                  <w:noWrap w:val="0"/>
                  <w:vAlign w:val="center"/>
                </w:tcPr>
                <w:p w14:paraId="26AC1A2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空间布局</w:t>
                  </w:r>
                </w:p>
              </w:tc>
              <w:tc>
                <w:tcPr>
                  <w:tcW w:w="1072" w:type="pct"/>
                  <w:tcBorders>
                    <w:tl2br w:val="nil"/>
                    <w:tr2bl w:val="nil"/>
                  </w:tcBorders>
                  <w:noWrap w:val="0"/>
                  <w:vAlign w:val="center"/>
                </w:tcPr>
                <w:p w14:paraId="19111CE6">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贯彻实施国家、河北省大气污染物排放标准，完善脱硫、脱硝、除尘等污染治理设施，实现达标排放。重点控制新增产能，加强项目论证，优先在相关产业集聚区布局，新增项目应满足环境准入条件，实现集约高效发展。</w:t>
                  </w:r>
                </w:p>
                <w:p w14:paraId="3998CC31">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2、在沙化土地范围内从事开发建设活动的，必须事先就该项目可能对当地及相关地区生态产生的影响进行环境影响评价，依法提交环境影响报告；环境影响报告应当包括有关防沙治沙的内容。</w:t>
                  </w:r>
                </w:p>
              </w:tc>
              <w:tc>
                <w:tcPr>
                  <w:tcW w:w="884" w:type="pct"/>
                  <w:tcBorders>
                    <w:tl2br w:val="nil"/>
                    <w:tr2bl w:val="nil"/>
                  </w:tcBorders>
                  <w:noWrap w:val="0"/>
                  <w:vAlign w:val="center"/>
                </w:tcPr>
                <w:p w14:paraId="7E110A8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项目输出线路位于此区域，运行后无大气污染物排放，符合要求；本次对涉及沙化区域进行分析。</w:t>
                  </w:r>
                </w:p>
              </w:tc>
              <w:tc>
                <w:tcPr>
                  <w:tcW w:w="455" w:type="pct"/>
                  <w:tcBorders>
                    <w:tl2br w:val="nil"/>
                    <w:tr2bl w:val="nil"/>
                  </w:tcBorders>
                  <w:noWrap w:val="0"/>
                  <w:vAlign w:val="center"/>
                </w:tcPr>
                <w:p w14:paraId="48C9BDA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1D0577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240" w:type="pct"/>
                  <w:vMerge w:val="continue"/>
                </w:tcPr>
                <w:p w14:paraId="5E5D5C30">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p>
              </w:tc>
              <w:tc>
                <w:tcPr>
                  <w:tcW w:w="263" w:type="pct"/>
                  <w:vMerge w:val="continue"/>
                </w:tcPr>
                <w:p w14:paraId="2056517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62" w:type="pct"/>
                  <w:vMerge w:val="continue"/>
                </w:tcPr>
                <w:p w14:paraId="47A2AE5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33" w:type="pct"/>
                  <w:vMerge w:val="continue"/>
                </w:tcPr>
                <w:p w14:paraId="4D276C4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73" w:type="pct"/>
                  <w:vMerge w:val="continue"/>
                </w:tcPr>
                <w:p w14:paraId="52E6425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691" w:type="pct"/>
                  <w:vMerge w:val="continue"/>
                </w:tcPr>
                <w:p w14:paraId="09F2E63F">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331" w:type="pct"/>
                  <w:vMerge w:val="continue"/>
                </w:tcPr>
                <w:p w14:paraId="2326127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91" w:type="pct"/>
                  <w:vAlign w:val="center"/>
                </w:tcPr>
                <w:p w14:paraId="36E8DE9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污染物排放管控</w:t>
                  </w:r>
                </w:p>
              </w:tc>
              <w:tc>
                <w:tcPr>
                  <w:tcW w:w="1072" w:type="pct"/>
                </w:tcPr>
                <w:p w14:paraId="56CD1F7F">
                  <w:pPr>
                    <w:keepNext w:val="0"/>
                    <w:keepLines w:val="0"/>
                    <w:widowControl/>
                    <w:suppressLineNumbers w:val="0"/>
                    <w:jc w:val="left"/>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1、水环境一般管控区应注重控制新增产能水环境污染物控制，实施水污染排放项目与污水处理设施同步规划、同步建设，严格控制水环境高风险类项目准入。执行通用型水环境准入管控清单。</w:t>
                  </w:r>
                </w:p>
              </w:tc>
              <w:tc>
                <w:tcPr>
                  <w:tcW w:w="884" w:type="pct"/>
                  <w:vAlign w:val="center"/>
                </w:tcPr>
                <w:p w14:paraId="5422B35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项目输出线路位于此区域，运行后无废水外排。</w:t>
                  </w:r>
                </w:p>
              </w:tc>
              <w:tc>
                <w:tcPr>
                  <w:tcW w:w="455" w:type="pct"/>
                  <w:vAlign w:val="center"/>
                </w:tcPr>
                <w:p w14:paraId="242C805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18B05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240" w:type="pct"/>
                  <w:vMerge w:val="continue"/>
                </w:tcPr>
                <w:p w14:paraId="25F0CF61">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p>
              </w:tc>
              <w:tc>
                <w:tcPr>
                  <w:tcW w:w="263" w:type="pct"/>
                  <w:vMerge w:val="continue"/>
                </w:tcPr>
                <w:p w14:paraId="7B11F47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62" w:type="pct"/>
                  <w:vMerge w:val="continue"/>
                </w:tcPr>
                <w:p w14:paraId="02A8CBF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33" w:type="pct"/>
                  <w:vMerge w:val="continue"/>
                </w:tcPr>
                <w:p w14:paraId="5948317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73" w:type="pct"/>
                  <w:vMerge w:val="continue"/>
                </w:tcPr>
                <w:p w14:paraId="786BCD0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691" w:type="pct"/>
                  <w:vMerge w:val="continue"/>
                </w:tcPr>
                <w:p w14:paraId="643BE777">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331" w:type="pct"/>
                  <w:vMerge w:val="continue"/>
                </w:tcPr>
                <w:p w14:paraId="4225D91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91" w:type="pct"/>
                  <w:vAlign w:val="center"/>
                </w:tcPr>
                <w:p w14:paraId="32F0B8CA">
                  <w:pPr>
                    <w:keepNext w:val="0"/>
                    <w:keepLines w:val="0"/>
                    <w:widowControl/>
                    <w:suppressLineNumbers w:val="0"/>
                    <w:jc w:val="left"/>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000000"/>
                      <w:kern w:val="0"/>
                      <w:sz w:val="21"/>
                      <w:szCs w:val="21"/>
                      <w:lang w:val="en-US" w:eastAsia="zh-CN" w:bidi="ar"/>
                    </w:rPr>
                    <w:t>环境风险防控</w:t>
                  </w:r>
                </w:p>
                <w:p w14:paraId="17BD409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p>
              </w:tc>
              <w:tc>
                <w:tcPr>
                  <w:tcW w:w="1072" w:type="pct"/>
                </w:tcPr>
                <w:p w14:paraId="464775B4">
                  <w:pPr>
                    <w:keepNext w:val="0"/>
                    <w:keepLines w:val="0"/>
                    <w:widowControl/>
                    <w:suppressLineNumbers w:val="0"/>
                    <w:jc w:val="left"/>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000000"/>
                      <w:kern w:val="0"/>
                      <w:sz w:val="21"/>
                      <w:szCs w:val="21"/>
                      <w:lang w:val="en-US" w:eastAsia="zh-CN" w:bidi="ar"/>
                    </w:rPr>
                    <w:t>1、矿山企业应当依据国家有关规定编制矿山生态环境保护与恢复治理等方案，严格履行责任义务，边开采、边治理、边恢复；依法依规有序退出的矿山及时进行生态评估并实施生态恢复。</w:t>
                  </w:r>
                </w:p>
                <w:p w14:paraId="2956F5A8">
                  <w:pPr>
                    <w:keepNext w:val="0"/>
                    <w:keepLines w:val="0"/>
                    <w:widowControl/>
                    <w:suppressLineNumbers w:val="0"/>
                    <w:jc w:val="left"/>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2、推进企业建立健全尾矿库全生命周期风险防控和隐患治理机制，落实管控措施，确保尾矿库安全运行、闭库。</w:t>
                  </w:r>
                </w:p>
              </w:tc>
              <w:tc>
                <w:tcPr>
                  <w:tcW w:w="884" w:type="pct"/>
                  <w:vAlign w:val="center"/>
                </w:tcPr>
                <w:p w14:paraId="345AF5E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本项目为输出线路项目，不涉及矿山企业。</w:t>
                  </w:r>
                </w:p>
              </w:tc>
              <w:tc>
                <w:tcPr>
                  <w:tcW w:w="455" w:type="pct"/>
                  <w:vAlign w:val="center"/>
                </w:tcPr>
                <w:p w14:paraId="0F29BF5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r w14:paraId="53950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240" w:type="pct"/>
                  <w:vMerge w:val="continue"/>
                </w:tcPr>
                <w:p w14:paraId="5EEA262A">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p>
              </w:tc>
              <w:tc>
                <w:tcPr>
                  <w:tcW w:w="263" w:type="pct"/>
                  <w:vMerge w:val="continue"/>
                </w:tcPr>
                <w:p w14:paraId="0F9E8B8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62" w:type="pct"/>
                  <w:vMerge w:val="continue"/>
                </w:tcPr>
                <w:p w14:paraId="0DDE907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33" w:type="pct"/>
                  <w:vMerge w:val="continue"/>
                </w:tcPr>
                <w:p w14:paraId="0BB04EC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73" w:type="pct"/>
                  <w:vMerge w:val="continue"/>
                </w:tcPr>
                <w:p w14:paraId="24861DE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691" w:type="pct"/>
                  <w:vMerge w:val="continue"/>
                </w:tcPr>
                <w:p w14:paraId="33C0D824">
                  <w:pPr>
                    <w:keepNext w:val="0"/>
                    <w:keepLines w:val="0"/>
                    <w:widowControl/>
                    <w:suppressLineNumbers w:val="0"/>
                    <w:jc w:val="left"/>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331" w:type="pct"/>
                  <w:vMerge w:val="continue"/>
                </w:tcPr>
                <w:p w14:paraId="08B8775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291" w:type="pct"/>
                  <w:vAlign w:val="center"/>
                </w:tcPr>
                <w:p w14:paraId="2D885774">
                  <w:pPr>
                    <w:keepNext w:val="0"/>
                    <w:keepLines w:val="0"/>
                    <w:widowControl/>
                    <w:suppressLineNumbers w:val="0"/>
                    <w:jc w:val="left"/>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000000"/>
                      <w:kern w:val="0"/>
                      <w:sz w:val="21"/>
                      <w:szCs w:val="21"/>
                      <w:lang w:val="en-US" w:eastAsia="zh-CN" w:bidi="ar"/>
                    </w:rPr>
                    <w:t>资源利用效率</w:t>
                  </w:r>
                </w:p>
                <w:p w14:paraId="54E986B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p>
              </w:tc>
              <w:tc>
                <w:tcPr>
                  <w:tcW w:w="1072" w:type="pct"/>
                </w:tcPr>
                <w:p w14:paraId="30BA3FFC">
                  <w:pPr>
                    <w:keepNext w:val="0"/>
                    <w:keepLines w:val="0"/>
                    <w:widowControl/>
                    <w:suppressLineNumbers w:val="0"/>
                    <w:jc w:val="left"/>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1、完善城镇污水处理基础设施，加强城市节约用水，加快城镇污水处理厂再生水利用系统建设，稳步提升城区污水处理厂再生水利用率。</w:t>
                  </w:r>
                </w:p>
                <w:p w14:paraId="545D59C6">
                  <w:pPr>
                    <w:keepNext w:val="0"/>
                    <w:keepLines w:val="0"/>
                    <w:widowControl/>
                    <w:suppressLineNumbers w:val="0"/>
                    <w:jc w:val="left"/>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2、按照宜乔则宜草则草，乔乔、宜灌则灌、灌草结合的原则，因地制宜开展沙地治理。</w:t>
                  </w:r>
                </w:p>
              </w:tc>
              <w:tc>
                <w:tcPr>
                  <w:tcW w:w="884" w:type="pct"/>
                  <w:vAlign w:val="center"/>
                </w:tcPr>
                <w:p w14:paraId="6338776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本项目涉及沙区，施工期采取水土围挡的工程措施杜绝施工期间因沙土裸露形成流沙，严格采取水土保持工程措施，种植当地优势物种，乔灌草相结合实现沙化土地治理。</w:t>
                  </w:r>
                </w:p>
              </w:tc>
              <w:tc>
                <w:tcPr>
                  <w:tcW w:w="455" w:type="pct"/>
                  <w:vAlign w:val="center"/>
                </w:tcPr>
                <w:p w14:paraId="0092990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符合</w:t>
                  </w:r>
                </w:p>
              </w:tc>
            </w:tr>
          </w:tbl>
          <w:p w14:paraId="5DC1F3FE">
            <w:pPr>
              <w:pStyle w:val="24"/>
              <w:numPr>
                <w:ilvl w:val="0"/>
                <w:numId w:val="0"/>
              </w:numPr>
              <w:spacing w:before="229" w:line="376" w:lineRule="auto"/>
              <w:ind w:firstLine="482" w:firstLineChars="200"/>
              <w:jc w:val="both"/>
              <w:rPr>
                <w:sz w:val="24"/>
                <w:szCs w:val="24"/>
              </w:rPr>
            </w:pPr>
            <w:r>
              <w:rPr>
                <w:rFonts w:ascii="宋体" w:hAnsi="宋体" w:eastAsia="宋体" w:cs="宋体"/>
                <w:b/>
                <w:bCs/>
                <w:kern w:val="2"/>
                <w:sz w:val="24"/>
                <w:szCs w:val="24"/>
                <w:lang w:val="en-US" w:eastAsia="en-US" w:bidi="ar-SA"/>
              </w:rPr>
              <w:t>4、</w:t>
            </w:r>
            <w:r>
              <w:rPr>
                <w:rFonts w:hint="eastAsia" w:ascii="Times New Roman" w:hAnsi="Times New Roman" w:eastAsia="宋体" w:cs="Times New Roman"/>
                <w:b/>
                <w:bCs/>
                <w:spacing w:val="-2"/>
                <w:sz w:val="24"/>
                <w:szCs w:val="24"/>
                <w:lang w:val="en-US" w:eastAsia="zh-CN"/>
              </w:rPr>
              <w:t>规划符合性分析</w:t>
            </w:r>
          </w:p>
          <w:p w14:paraId="0721F5AC">
            <w:pPr>
              <w:pStyle w:val="24"/>
              <w:numPr>
                <w:ilvl w:val="0"/>
                <w:numId w:val="0"/>
              </w:numPr>
              <w:spacing w:before="229" w:line="376" w:lineRule="auto"/>
              <w:ind w:firstLine="472" w:firstLineChars="200"/>
              <w:jc w:val="both"/>
              <w:rPr>
                <w:sz w:val="24"/>
                <w:szCs w:val="24"/>
              </w:rPr>
            </w:pPr>
            <w:r>
              <w:rPr>
                <w:spacing w:val="-2"/>
                <w:sz w:val="24"/>
                <w:szCs w:val="24"/>
              </w:rPr>
              <w:t>（</w:t>
            </w:r>
            <w:r>
              <w:rPr>
                <w:rFonts w:ascii="Times New Roman" w:hAnsi="Times New Roman" w:eastAsia="Times New Roman" w:cs="Times New Roman"/>
                <w:spacing w:val="-2"/>
                <w:sz w:val="24"/>
                <w:szCs w:val="24"/>
              </w:rPr>
              <w:t>1</w:t>
            </w:r>
            <w:r>
              <w:rPr>
                <w:spacing w:val="-2"/>
                <w:sz w:val="24"/>
                <w:szCs w:val="24"/>
              </w:rPr>
              <w:t>）《河北省生态环境保护“十四五”规划》</w:t>
            </w:r>
          </w:p>
          <w:p w14:paraId="4F43279A">
            <w:pPr>
              <w:pStyle w:val="24"/>
              <w:spacing w:before="223" w:line="413" w:lineRule="auto"/>
              <w:ind w:left="17" w:hanging="1"/>
              <w:jc w:val="both"/>
              <w:rPr>
                <w:sz w:val="24"/>
                <w:szCs w:val="24"/>
              </w:rPr>
            </w:pPr>
            <w:r>
              <w:rPr>
                <w:sz w:val="24"/>
                <w:szCs w:val="24"/>
              </w:rPr>
              <w:t>《河北省生态环境保护“十四五”规划》指出</w:t>
            </w:r>
            <w:r>
              <w:rPr>
                <w:spacing w:val="-1"/>
                <w:sz w:val="24"/>
                <w:szCs w:val="24"/>
              </w:rPr>
              <w:t>：河北省在“十四五”期间要</w:t>
            </w:r>
            <w:r>
              <w:rPr>
                <w:spacing w:val="1"/>
                <w:sz w:val="24"/>
                <w:szCs w:val="24"/>
              </w:rPr>
              <w:t>调整优化能源供给结构。控制化石能源消费总量，推动非化石能源成为能源消费增量的主体。大力发展风能、太阳能等可再生能源发电，有序推动抽水蓄能电站规划建设，打造冀北清洁能源基地，积极推动可再生能源制氢，完善产供储销配套设施，拓展氢能应用领域。新增可再生能源和原料用能不纳入能源消费总量控制，创造条件尽早实现能耗“双控”向碳排放总量和强度</w:t>
            </w:r>
            <w:r>
              <w:rPr>
                <w:rFonts w:ascii="Times New Roman" w:hAnsi="Times New Roman" w:eastAsia="Times New Roman" w:cs="Times New Roman"/>
                <w:spacing w:val="1"/>
                <w:sz w:val="24"/>
                <w:szCs w:val="24"/>
              </w:rPr>
              <w:t>“</w:t>
            </w:r>
            <w:r>
              <w:rPr>
                <w:spacing w:val="1"/>
                <w:sz w:val="24"/>
                <w:szCs w:val="24"/>
              </w:rPr>
              <w:t>双控</w:t>
            </w:r>
            <w:r>
              <w:rPr>
                <w:rFonts w:ascii="Times New Roman" w:hAnsi="Times New Roman" w:eastAsia="Times New Roman" w:cs="Times New Roman"/>
                <w:spacing w:val="1"/>
                <w:sz w:val="24"/>
                <w:szCs w:val="24"/>
              </w:rPr>
              <w:t>”</w:t>
            </w:r>
            <w:r>
              <w:rPr>
                <w:spacing w:val="1"/>
                <w:sz w:val="24"/>
                <w:szCs w:val="24"/>
              </w:rPr>
              <w:t>转变。坚持“增气减煤”同步，加强天然气基础设施建设，扩</w:t>
            </w:r>
            <w:r>
              <w:rPr>
                <w:sz w:val="24"/>
                <w:szCs w:val="24"/>
              </w:rPr>
              <w:t>大管道气覆盖范围。因地制宜推进</w:t>
            </w:r>
            <w:r>
              <w:rPr>
                <w:spacing w:val="-2"/>
                <w:sz w:val="24"/>
                <w:szCs w:val="24"/>
              </w:rPr>
              <w:t>生物质热电联产，加快建设垃圾焚烧发电项目。到</w:t>
            </w:r>
            <w:r>
              <w:rPr>
                <w:rFonts w:ascii="Times New Roman" w:hAnsi="Times New Roman" w:eastAsia="Times New Roman" w:cs="Times New Roman"/>
                <w:spacing w:val="-2"/>
                <w:sz w:val="24"/>
                <w:szCs w:val="24"/>
              </w:rPr>
              <w:t>2025</w:t>
            </w:r>
            <w:r>
              <w:rPr>
                <w:spacing w:val="-2"/>
                <w:sz w:val="24"/>
                <w:szCs w:val="24"/>
              </w:rPr>
              <w:t>年，非化石能源</w:t>
            </w:r>
            <w:r>
              <w:rPr>
                <w:spacing w:val="-3"/>
                <w:sz w:val="24"/>
                <w:szCs w:val="24"/>
              </w:rPr>
              <w:t>消费占能</w:t>
            </w:r>
            <w:r>
              <w:rPr>
                <w:spacing w:val="-4"/>
                <w:sz w:val="24"/>
                <w:szCs w:val="24"/>
              </w:rPr>
              <w:t>源消费比重提高到</w:t>
            </w:r>
            <w:r>
              <w:rPr>
                <w:rFonts w:ascii="Times New Roman" w:hAnsi="Times New Roman" w:eastAsia="Times New Roman" w:cs="Times New Roman"/>
                <w:spacing w:val="-4"/>
                <w:sz w:val="24"/>
                <w:szCs w:val="24"/>
              </w:rPr>
              <w:t>13%</w:t>
            </w:r>
            <w:r>
              <w:rPr>
                <w:spacing w:val="-4"/>
                <w:sz w:val="24"/>
                <w:szCs w:val="24"/>
              </w:rPr>
              <w:t>以上，可再生能源装机占全部电力装</w:t>
            </w:r>
            <w:r>
              <w:rPr>
                <w:spacing w:val="-5"/>
                <w:sz w:val="24"/>
                <w:szCs w:val="24"/>
              </w:rPr>
              <w:t>机比重达到</w:t>
            </w:r>
            <w:r>
              <w:rPr>
                <w:rFonts w:ascii="Times New Roman" w:hAnsi="Times New Roman" w:eastAsia="Times New Roman" w:cs="Times New Roman"/>
                <w:spacing w:val="-5"/>
                <w:sz w:val="24"/>
                <w:szCs w:val="24"/>
              </w:rPr>
              <w:t>60%</w:t>
            </w:r>
            <w:r>
              <w:rPr>
                <w:spacing w:val="-5"/>
                <w:sz w:val="24"/>
                <w:szCs w:val="24"/>
              </w:rPr>
              <w:t>左右。</w:t>
            </w:r>
            <w:r>
              <w:rPr>
                <w:spacing w:val="-2"/>
                <w:sz w:val="24"/>
                <w:szCs w:val="24"/>
              </w:rPr>
              <w:t>本项目属于</w:t>
            </w:r>
            <w:r>
              <w:rPr>
                <w:rFonts w:hint="eastAsia"/>
                <w:spacing w:val="-2"/>
                <w:sz w:val="24"/>
                <w:szCs w:val="24"/>
                <w:lang w:eastAsia="zh-CN"/>
              </w:rPr>
              <w:t>华能围场“风光储氢热一体化”项目（风电200MW）项目220kV送出线路工程</w:t>
            </w:r>
            <w:r>
              <w:rPr>
                <w:spacing w:val="-3"/>
                <w:sz w:val="24"/>
                <w:szCs w:val="24"/>
              </w:rPr>
              <w:t>，符合《河北省生态环境保护“十四五”规划》中的相关要</w:t>
            </w:r>
            <w:r>
              <w:rPr>
                <w:spacing w:val="-4"/>
                <w:sz w:val="24"/>
                <w:szCs w:val="24"/>
              </w:rPr>
              <w:t>求。</w:t>
            </w:r>
          </w:p>
          <w:p w14:paraId="07E9F15D">
            <w:pPr>
              <w:pStyle w:val="24"/>
              <w:spacing w:before="30" w:line="221" w:lineRule="auto"/>
              <w:ind w:left="444"/>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）《承德市环境保护“十四五”规划》</w:t>
            </w:r>
          </w:p>
          <w:p w14:paraId="0D275068">
            <w:pPr>
              <w:pStyle w:val="24"/>
              <w:spacing w:before="224" w:line="419" w:lineRule="auto"/>
              <w:ind w:left="17" w:firstLine="418"/>
              <w:rPr>
                <w:sz w:val="24"/>
                <w:szCs w:val="24"/>
              </w:rPr>
            </w:pPr>
            <w:r>
              <w:rPr>
                <w:spacing w:val="-2"/>
                <w:sz w:val="24"/>
                <w:szCs w:val="24"/>
              </w:rPr>
              <w:t>《承德市生态环境保护“十四五”规划》指出：调整优化能源供给结构。控</w:t>
            </w:r>
            <w:r>
              <w:rPr>
                <w:spacing w:val="-4"/>
                <w:sz w:val="24"/>
                <w:szCs w:val="24"/>
              </w:rPr>
              <w:t>制化石能源消费总量，推动非化石能源成为能源消费</w:t>
            </w:r>
            <w:r>
              <w:rPr>
                <w:spacing w:val="-5"/>
                <w:sz w:val="24"/>
                <w:szCs w:val="24"/>
              </w:rPr>
              <w:t>增量的主体。大力发展风能、</w:t>
            </w:r>
            <w:r>
              <w:rPr>
                <w:spacing w:val="-1"/>
                <w:sz w:val="24"/>
                <w:szCs w:val="24"/>
              </w:rPr>
              <w:t>太阳能等可再生能源发电，有序推动抽水蓄能电站规划建设，加快承德百万千瓦风电基地二期、</w:t>
            </w:r>
            <w:r>
              <w:rPr>
                <w:rFonts w:hint="eastAsia"/>
                <w:spacing w:val="-1"/>
                <w:sz w:val="24"/>
                <w:szCs w:val="24"/>
                <w:highlight w:val="none"/>
                <w:lang w:eastAsia="zh-CN"/>
              </w:rPr>
              <w:t>光伏</w:t>
            </w:r>
            <w:r>
              <w:rPr>
                <w:spacing w:val="-1"/>
                <w:sz w:val="24"/>
                <w:szCs w:val="24"/>
              </w:rPr>
              <w:t>发电应用基地和分布式</w:t>
            </w:r>
            <w:r>
              <w:rPr>
                <w:rFonts w:hint="eastAsia"/>
                <w:spacing w:val="-1"/>
                <w:sz w:val="24"/>
                <w:szCs w:val="24"/>
                <w:highlight w:val="none"/>
                <w:lang w:eastAsia="zh-CN"/>
              </w:rPr>
              <w:t>光伏</w:t>
            </w:r>
            <w:r>
              <w:rPr>
                <w:spacing w:val="-1"/>
                <w:sz w:val="24"/>
                <w:szCs w:val="24"/>
              </w:rPr>
              <w:t>项目建设，推进丰宁、滦平等抽水蓄能电站建设，积极推动可再生能源制氢，完善产供储销配套设施，拓展氢能</w:t>
            </w:r>
            <w:r>
              <w:rPr>
                <w:spacing w:val="-4"/>
                <w:sz w:val="24"/>
                <w:szCs w:val="24"/>
              </w:rPr>
              <w:t>应用领域。坚持增气减煤同步，加强天然气</w:t>
            </w:r>
            <w:r>
              <w:rPr>
                <w:spacing w:val="-5"/>
                <w:sz w:val="24"/>
                <w:szCs w:val="24"/>
              </w:rPr>
              <w:t>基础设施建设，扩大管道气覆盖范围。</w:t>
            </w:r>
            <w:r>
              <w:rPr>
                <w:spacing w:val="-3"/>
                <w:sz w:val="24"/>
                <w:szCs w:val="24"/>
              </w:rPr>
              <w:t>因地制宜推进生物质热电联产，加快建设垃</w:t>
            </w:r>
            <w:r>
              <w:rPr>
                <w:spacing w:val="-4"/>
                <w:sz w:val="24"/>
                <w:szCs w:val="24"/>
              </w:rPr>
              <w:t>圾焚烧发电项目。到</w:t>
            </w:r>
            <w:r>
              <w:rPr>
                <w:rFonts w:ascii="Times New Roman" w:hAnsi="Times New Roman" w:eastAsia="Times New Roman" w:cs="Times New Roman"/>
                <w:spacing w:val="-4"/>
                <w:sz w:val="24"/>
                <w:szCs w:val="24"/>
              </w:rPr>
              <w:t>2025</w:t>
            </w:r>
            <w:r>
              <w:rPr>
                <w:spacing w:val="-4"/>
                <w:sz w:val="24"/>
                <w:szCs w:val="24"/>
              </w:rPr>
              <w:t>年，非化石</w:t>
            </w:r>
            <w:r>
              <w:rPr>
                <w:spacing w:val="-2"/>
                <w:sz w:val="24"/>
                <w:szCs w:val="24"/>
              </w:rPr>
              <w:t>能源消费占能源消费比重和可再生能源装机占全部电力装机比重明显提</w:t>
            </w:r>
            <w:r>
              <w:rPr>
                <w:spacing w:val="-3"/>
                <w:sz w:val="24"/>
                <w:szCs w:val="24"/>
              </w:rPr>
              <w:t>升。</w:t>
            </w:r>
          </w:p>
          <w:p w14:paraId="34B5C8DA">
            <w:pPr>
              <w:pStyle w:val="24"/>
              <w:spacing w:before="30" w:line="417" w:lineRule="auto"/>
              <w:ind w:left="17" w:firstLine="417"/>
              <w:rPr>
                <w:sz w:val="24"/>
                <w:szCs w:val="24"/>
              </w:rPr>
            </w:pPr>
            <w:r>
              <w:rPr>
                <w:spacing w:val="-2"/>
                <w:sz w:val="24"/>
                <w:szCs w:val="24"/>
              </w:rPr>
              <w:t>本项目为</w:t>
            </w:r>
            <w:r>
              <w:rPr>
                <w:rFonts w:hint="eastAsia"/>
                <w:spacing w:val="-2"/>
                <w:sz w:val="24"/>
                <w:szCs w:val="24"/>
                <w:lang w:eastAsia="zh-CN"/>
              </w:rPr>
              <w:t>华能围场“风光储氢热一体化”项目（风电200MW）项目220kV送出线路工程</w:t>
            </w:r>
            <w:r>
              <w:rPr>
                <w:spacing w:val="-2"/>
                <w:sz w:val="24"/>
                <w:szCs w:val="24"/>
              </w:rPr>
              <w:t>，项</w:t>
            </w:r>
            <w:r>
              <w:rPr>
                <w:sz w:val="24"/>
                <w:szCs w:val="24"/>
              </w:rPr>
              <w:t>目运营期不产生废气、废水。施工结束后临时占地及时恢复原有生态</w:t>
            </w:r>
            <w:r>
              <w:rPr>
                <w:spacing w:val="-1"/>
                <w:sz w:val="24"/>
                <w:szCs w:val="24"/>
              </w:rPr>
              <w:t>功能。积极</w:t>
            </w:r>
            <w:r>
              <w:rPr>
                <w:spacing w:val="-4"/>
                <w:sz w:val="24"/>
                <w:szCs w:val="24"/>
              </w:rPr>
              <w:t>实施生态保护及恢复工程的条件下，可有效减小项目</w:t>
            </w:r>
            <w:r>
              <w:rPr>
                <w:spacing w:val="-5"/>
                <w:sz w:val="24"/>
                <w:szCs w:val="24"/>
              </w:rPr>
              <w:t>建设对区域生态环境的破坏，</w:t>
            </w:r>
            <w:r>
              <w:rPr>
                <w:sz w:val="24"/>
                <w:szCs w:val="24"/>
              </w:rPr>
              <w:t>减少水土流失。因此，本项目不会改变该区域生态服务功能。符合《</w:t>
            </w:r>
            <w:r>
              <w:rPr>
                <w:spacing w:val="-1"/>
                <w:sz w:val="24"/>
                <w:szCs w:val="24"/>
              </w:rPr>
              <w:t>承德市生态</w:t>
            </w:r>
            <w:r>
              <w:rPr>
                <w:spacing w:val="-4"/>
                <w:sz w:val="24"/>
                <w:szCs w:val="24"/>
              </w:rPr>
              <w:t>环境保护“十四五”规划》中的相关要求。</w:t>
            </w:r>
          </w:p>
          <w:p w14:paraId="3527B424">
            <w:pPr>
              <w:pStyle w:val="24"/>
              <w:spacing w:before="29" w:line="221" w:lineRule="auto"/>
              <w:ind w:left="433"/>
              <w:rPr>
                <w:b/>
                <w:bCs/>
                <w:sz w:val="24"/>
                <w:szCs w:val="24"/>
              </w:rPr>
            </w:pPr>
            <w:r>
              <w:rPr>
                <w:rFonts w:hint="eastAsia" w:ascii="Times New Roman" w:hAnsi="Times New Roman" w:eastAsia="宋体" w:cs="Times New Roman"/>
                <w:b/>
                <w:bCs/>
                <w:spacing w:val="-5"/>
                <w:sz w:val="24"/>
                <w:szCs w:val="24"/>
                <w:lang w:val="en-US" w:eastAsia="zh-CN"/>
              </w:rPr>
              <w:t>5</w:t>
            </w:r>
            <w:r>
              <w:rPr>
                <w:b/>
                <w:bCs/>
                <w:spacing w:val="-5"/>
                <w:sz w:val="24"/>
                <w:szCs w:val="24"/>
              </w:rPr>
              <w:t>、与“四区一线”符合性分析</w:t>
            </w:r>
          </w:p>
          <w:p w14:paraId="14DAC520">
            <w:pPr>
              <w:pStyle w:val="24"/>
              <w:spacing w:before="227" w:line="417" w:lineRule="auto"/>
              <w:ind w:left="18" w:firstLine="416"/>
              <w:rPr>
                <w:sz w:val="24"/>
                <w:szCs w:val="24"/>
              </w:rPr>
            </w:pPr>
            <w:r>
              <w:rPr>
                <w:spacing w:val="-1"/>
                <w:sz w:val="24"/>
                <w:szCs w:val="24"/>
              </w:rPr>
              <w:t>根据河北省生态环境厅《加强全省重要生态空间开发建设的管控意见》（冀</w:t>
            </w:r>
            <w:r>
              <w:rPr>
                <w:spacing w:val="-5"/>
                <w:sz w:val="24"/>
                <w:szCs w:val="24"/>
              </w:rPr>
              <w:t>环环评函</w:t>
            </w:r>
            <w:r>
              <w:rPr>
                <w:rFonts w:ascii="Times New Roman" w:hAnsi="Times New Roman" w:eastAsia="Times New Roman" w:cs="Times New Roman"/>
                <w:spacing w:val="-5"/>
                <w:sz w:val="24"/>
                <w:szCs w:val="24"/>
              </w:rPr>
              <w:t>[2019]385</w:t>
            </w:r>
            <w:r>
              <w:rPr>
                <w:spacing w:val="-5"/>
                <w:sz w:val="24"/>
                <w:szCs w:val="24"/>
              </w:rPr>
              <w:t>号）要求：在重要的生态功能区和</w:t>
            </w:r>
            <w:r>
              <w:rPr>
                <w:spacing w:val="-6"/>
                <w:sz w:val="24"/>
                <w:szCs w:val="24"/>
              </w:rPr>
              <w:t>“四区一线”（水源保护区、</w:t>
            </w:r>
            <w:r>
              <w:rPr>
                <w:spacing w:val="-1"/>
                <w:sz w:val="24"/>
                <w:szCs w:val="24"/>
              </w:rPr>
              <w:t>自然保护区、风景名胜区、湿地公园，生态红线）区域，严禁违规建设别墅类和高尔夫球场等，严禁破坏生态环境功能、侵占生态红线的开发建设活动。本项目</w:t>
            </w:r>
            <w:r>
              <w:rPr>
                <w:sz w:val="24"/>
                <w:szCs w:val="24"/>
              </w:rPr>
              <w:t>线路跨越生态保护红线，根据围场满族蒙古族自治县自然资源和规划局的意见，</w:t>
            </w:r>
            <w:r>
              <w:rPr>
                <w:spacing w:val="-3"/>
                <w:sz w:val="24"/>
                <w:szCs w:val="24"/>
              </w:rPr>
              <w:t>项目塔基不在生态红线范围内。</w:t>
            </w:r>
          </w:p>
          <w:p w14:paraId="1ADD1187">
            <w:pPr>
              <w:pStyle w:val="24"/>
              <w:spacing w:before="35" w:line="221" w:lineRule="auto"/>
              <w:ind w:left="439"/>
              <w:rPr>
                <w:b/>
                <w:bCs/>
                <w:sz w:val="24"/>
                <w:szCs w:val="24"/>
              </w:rPr>
            </w:pPr>
            <w:r>
              <w:rPr>
                <w:rFonts w:hint="eastAsia" w:ascii="Times New Roman" w:hAnsi="Times New Roman" w:eastAsia="宋体" w:cs="Times New Roman"/>
                <w:b/>
                <w:bCs/>
                <w:spacing w:val="-1"/>
                <w:sz w:val="24"/>
                <w:szCs w:val="24"/>
                <w:lang w:val="en-US" w:eastAsia="zh-CN"/>
              </w:rPr>
              <w:t>6</w:t>
            </w:r>
            <w:r>
              <w:rPr>
                <w:b/>
                <w:bCs/>
                <w:spacing w:val="-1"/>
                <w:sz w:val="24"/>
                <w:szCs w:val="24"/>
              </w:rPr>
              <w:t>、项目与《全国防沙治沙规划（</w:t>
            </w:r>
            <w:r>
              <w:rPr>
                <w:rFonts w:ascii="Times New Roman" w:hAnsi="Times New Roman" w:eastAsia="Times New Roman" w:cs="Times New Roman"/>
                <w:b/>
                <w:bCs/>
                <w:spacing w:val="-1"/>
                <w:sz w:val="24"/>
                <w:szCs w:val="24"/>
              </w:rPr>
              <w:t>2021-2030</w:t>
            </w:r>
            <w:r>
              <w:rPr>
                <w:b/>
                <w:bCs/>
                <w:spacing w:val="-1"/>
                <w:sz w:val="24"/>
                <w:szCs w:val="24"/>
              </w:rPr>
              <w:t>年）》符合性分析</w:t>
            </w:r>
          </w:p>
          <w:p w14:paraId="3854FDCD">
            <w:pPr>
              <w:pStyle w:val="24"/>
              <w:spacing w:before="226" w:line="417" w:lineRule="auto"/>
              <w:ind w:left="18" w:right="2" w:firstLine="484" w:firstLineChars="200"/>
              <w:jc w:val="both"/>
              <w:rPr>
                <w:rFonts w:hint="eastAsia"/>
                <w:spacing w:val="-1"/>
                <w:sz w:val="24"/>
                <w:szCs w:val="24"/>
                <w:lang w:val="en-US" w:eastAsia="zh-CN"/>
              </w:rPr>
            </w:pPr>
            <w:r>
              <w:rPr>
                <w:spacing w:val="1"/>
                <w:sz w:val="24"/>
                <w:szCs w:val="24"/>
              </w:rPr>
              <w:t>依据“河北省“三线一单”信息管理平台”中全省沙化土地矢量文件，本项</w:t>
            </w:r>
            <w:r>
              <w:rPr>
                <w:spacing w:val="-3"/>
                <w:sz w:val="24"/>
                <w:szCs w:val="24"/>
              </w:rPr>
              <w:t>目部分线路经过沙化区，根据国家林业和草原局等七部委《关于印发</w:t>
            </w:r>
            <w:r>
              <w:rPr>
                <w:rFonts w:ascii="Times New Roman" w:hAnsi="Times New Roman" w:eastAsia="Times New Roman" w:cs="Times New Roman"/>
                <w:spacing w:val="-3"/>
                <w:sz w:val="24"/>
                <w:szCs w:val="24"/>
              </w:rPr>
              <w:t>&lt;</w:t>
            </w:r>
            <w:r>
              <w:rPr>
                <w:spacing w:val="-3"/>
                <w:sz w:val="24"/>
                <w:szCs w:val="24"/>
              </w:rPr>
              <w:t>全国防</w:t>
            </w:r>
            <w:r>
              <w:rPr>
                <w:spacing w:val="-4"/>
                <w:sz w:val="24"/>
                <w:szCs w:val="24"/>
              </w:rPr>
              <w:t>沙</w:t>
            </w:r>
            <w:r>
              <w:rPr>
                <w:rFonts w:hint="eastAsia"/>
                <w:spacing w:val="-4"/>
                <w:sz w:val="24"/>
                <w:szCs w:val="24"/>
                <w:lang w:val="en-US" w:eastAsia="zh-CN"/>
              </w:rPr>
              <w:t>治</w:t>
            </w:r>
            <w:r>
              <w:rPr>
                <w:spacing w:val="-2"/>
                <w:sz w:val="24"/>
                <w:szCs w:val="24"/>
              </w:rPr>
              <w:t>沙规划（</w:t>
            </w:r>
            <w:r>
              <w:rPr>
                <w:rFonts w:ascii="Times New Roman" w:hAnsi="Times New Roman" w:eastAsia="Times New Roman" w:cs="Times New Roman"/>
                <w:spacing w:val="-2"/>
                <w:sz w:val="24"/>
                <w:szCs w:val="24"/>
              </w:rPr>
              <w:t>2021-2030</w:t>
            </w:r>
            <w:r>
              <w:rPr>
                <w:spacing w:val="-2"/>
                <w:sz w:val="24"/>
                <w:szCs w:val="24"/>
              </w:rPr>
              <w:t>年）</w:t>
            </w:r>
            <w:r>
              <w:rPr>
                <w:rFonts w:ascii="Times New Roman" w:hAnsi="Times New Roman" w:eastAsia="Times New Roman" w:cs="Times New Roman"/>
                <w:spacing w:val="-2"/>
                <w:sz w:val="24"/>
                <w:szCs w:val="24"/>
              </w:rPr>
              <w:t>&gt;</w:t>
            </w:r>
            <w:r>
              <w:rPr>
                <w:spacing w:val="-2"/>
                <w:sz w:val="24"/>
                <w:szCs w:val="24"/>
              </w:rPr>
              <w:t>的通知》（林规发〔</w:t>
            </w:r>
            <w:r>
              <w:rPr>
                <w:rFonts w:ascii="Times New Roman" w:hAnsi="Times New Roman" w:eastAsia="Times New Roman" w:cs="Times New Roman"/>
                <w:spacing w:val="-2"/>
                <w:sz w:val="24"/>
                <w:szCs w:val="24"/>
              </w:rPr>
              <w:t>2022</w:t>
            </w:r>
            <w:r>
              <w:rPr>
                <w:spacing w:val="-2"/>
                <w:sz w:val="24"/>
                <w:szCs w:val="24"/>
              </w:rPr>
              <w:t>〕</w:t>
            </w:r>
            <w:r>
              <w:rPr>
                <w:rFonts w:ascii="Times New Roman" w:hAnsi="Times New Roman" w:eastAsia="Times New Roman" w:cs="Times New Roman"/>
                <w:spacing w:val="-2"/>
                <w:sz w:val="24"/>
                <w:szCs w:val="24"/>
              </w:rPr>
              <w:t>115</w:t>
            </w:r>
            <w:r>
              <w:rPr>
                <w:spacing w:val="-2"/>
                <w:sz w:val="24"/>
                <w:szCs w:val="24"/>
              </w:rPr>
              <w:t>号</w:t>
            </w:r>
            <w:r>
              <w:rPr>
                <w:spacing w:val="14"/>
                <w:sz w:val="24"/>
                <w:szCs w:val="24"/>
              </w:rPr>
              <w:t>），</w:t>
            </w:r>
            <w:r>
              <w:rPr>
                <w:spacing w:val="-2"/>
                <w:sz w:val="24"/>
                <w:szCs w:val="24"/>
              </w:rPr>
              <w:t>围场满族蒙古族</w:t>
            </w:r>
            <w:r>
              <w:rPr>
                <w:spacing w:val="-3"/>
                <w:sz w:val="24"/>
                <w:szCs w:val="24"/>
              </w:rPr>
              <w:t>自治县属于</w:t>
            </w:r>
            <w:r>
              <w:rPr>
                <w:rFonts w:ascii="Times New Roman" w:hAnsi="Times New Roman" w:eastAsia="Times New Roman" w:cs="Times New Roman"/>
                <w:spacing w:val="-3"/>
                <w:sz w:val="24"/>
                <w:szCs w:val="24"/>
              </w:rPr>
              <w:t>“</w:t>
            </w:r>
            <w:r>
              <w:rPr>
                <w:spacing w:val="-3"/>
                <w:sz w:val="24"/>
                <w:szCs w:val="24"/>
              </w:rPr>
              <w:t>半干旱沙化土地类型区</w:t>
            </w:r>
            <w:r>
              <w:rPr>
                <w:rFonts w:ascii="Times New Roman" w:hAnsi="Times New Roman" w:eastAsia="Times New Roman" w:cs="Times New Roman"/>
                <w:spacing w:val="-3"/>
                <w:sz w:val="24"/>
                <w:szCs w:val="24"/>
              </w:rPr>
              <w:t>”</w:t>
            </w:r>
            <w:r>
              <w:rPr>
                <w:spacing w:val="-3"/>
                <w:sz w:val="24"/>
                <w:szCs w:val="24"/>
              </w:rPr>
              <w:t>中的“</w:t>
            </w:r>
            <w:r>
              <w:rPr>
                <w:rFonts w:ascii="Times New Roman" w:hAnsi="Times New Roman" w:eastAsia="Times New Roman" w:cs="Times New Roman"/>
                <w:spacing w:val="-3"/>
                <w:sz w:val="24"/>
                <w:szCs w:val="24"/>
              </w:rPr>
              <w:t>5.</w:t>
            </w:r>
            <w:r>
              <w:rPr>
                <w:spacing w:val="-3"/>
                <w:sz w:val="24"/>
                <w:szCs w:val="24"/>
              </w:rPr>
              <w:t>京津冀山地丘陵沙地综合治理区”中</w:t>
            </w:r>
            <w:r>
              <w:rPr>
                <w:spacing w:val="1"/>
                <w:sz w:val="24"/>
                <w:szCs w:val="24"/>
              </w:rPr>
              <w:t>的重点县，要求采取的主要防治措施为：巩固京津风沙源治理工程建设成果，采取工程、生物措施相结合、乔灌草相结合，推进沙化土地综合治理，实施坝上草原保护和沙化草原治理实施人工乔木林更新改造、人工灌木林抚育平茬，加强察</w:t>
            </w:r>
            <w:r>
              <w:rPr>
                <w:spacing w:val="-1"/>
                <w:sz w:val="24"/>
                <w:szCs w:val="24"/>
              </w:rPr>
              <w:t>汗淖尔等流域生态保护和修复。本项目与沙区位置关系详</w:t>
            </w:r>
            <w:r>
              <w:rPr>
                <w:spacing w:val="-1"/>
                <w:sz w:val="24"/>
                <w:szCs w:val="24"/>
                <w:highlight w:val="none"/>
              </w:rPr>
              <w:t>见附图</w:t>
            </w:r>
            <w:r>
              <w:rPr>
                <w:rFonts w:hint="eastAsia"/>
                <w:spacing w:val="-1"/>
                <w:sz w:val="24"/>
                <w:szCs w:val="24"/>
                <w:highlight w:val="none"/>
                <w:lang w:val="en-US" w:eastAsia="zh-CN"/>
              </w:rPr>
              <w:t>4</w:t>
            </w:r>
            <w:r>
              <w:rPr>
                <w:spacing w:val="-1"/>
                <w:sz w:val="24"/>
                <w:szCs w:val="24"/>
                <w:highlight w:val="none"/>
              </w:rPr>
              <w:t>。</w:t>
            </w:r>
            <w:r>
              <w:rPr>
                <w:rFonts w:hint="eastAsia"/>
                <w:spacing w:val="-1"/>
                <w:sz w:val="24"/>
                <w:szCs w:val="24"/>
                <w:lang w:val="en-US" w:eastAsia="zh-CN"/>
              </w:rPr>
              <w:t xml:space="preserve">    </w:t>
            </w:r>
          </w:p>
          <w:p w14:paraId="7842121E">
            <w:pPr>
              <w:pStyle w:val="24"/>
              <w:spacing w:before="226" w:line="417" w:lineRule="auto"/>
              <w:ind w:left="18" w:right="2" w:firstLine="484" w:firstLineChars="200"/>
              <w:jc w:val="both"/>
              <w:rPr>
                <w:rFonts w:hint="eastAsia" w:ascii="Times New Roman" w:hAnsi="Times New Roman" w:eastAsia="宋体" w:cs="Times New Roman"/>
                <w:b/>
                <w:bCs/>
                <w:spacing w:val="-2"/>
                <w:sz w:val="21"/>
                <w:szCs w:val="21"/>
                <w:lang w:val="en-US" w:eastAsia="zh-CN"/>
              </w:rPr>
            </w:pPr>
            <w:r>
              <w:rPr>
                <w:spacing w:val="1"/>
                <w:sz w:val="24"/>
                <w:szCs w:val="24"/>
              </w:rPr>
              <w:t>本项目</w:t>
            </w:r>
            <w:r>
              <w:rPr>
                <w:rFonts w:hint="default" w:ascii="Times New Roman" w:hAnsi="Times New Roman" w:cs="Times New Roman"/>
                <w:spacing w:val="1"/>
                <w:sz w:val="24"/>
                <w:szCs w:val="24"/>
                <w:highlight w:val="none"/>
              </w:rPr>
              <w:t>为</w:t>
            </w:r>
            <w:r>
              <w:rPr>
                <w:rFonts w:hint="default" w:ascii="Times New Roman" w:hAnsi="Times New Roman" w:cs="Times New Roman"/>
                <w:spacing w:val="1"/>
                <w:sz w:val="24"/>
                <w:szCs w:val="24"/>
                <w:highlight w:val="none"/>
                <w:lang w:eastAsia="zh-CN"/>
              </w:rPr>
              <w:t>华能围场“风光储氢热一体化”项目（风电200MW）项目</w:t>
            </w:r>
            <w:r>
              <w:rPr>
                <w:spacing w:val="1"/>
                <w:sz w:val="24"/>
                <w:szCs w:val="24"/>
              </w:rPr>
              <w:t>配套的输变电工程，在施工期会对沙化土地产生一定影响，本项目施工期采取水土围挡的工程措施，杜绝施工期间因沙土裸露形成流沙，严格采取水土保持工程措施，施工完成后，种植一些当地优势物种，乔灌草相结合方式对沙化土地进行治理，本项目运营期为电力输送，不涉及生产活动，</w:t>
            </w:r>
            <w:r>
              <w:rPr>
                <w:spacing w:val="-1"/>
                <w:sz w:val="24"/>
                <w:szCs w:val="24"/>
              </w:rPr>
              <w:t>不会对沙化土地造成影响，因此项目建设符合规划要求。</w:t>
            </w:r>
          </w:p>
        </w:tc>
      </w:tr>
    </w:tbl>
    <w:p w14:paraId="1DFA9657">
      <w:pPr>
        <w:pStyle w:val="9"/>
        <w:rPr>
          <w:sz w:val="21"/>
        </w:rPr>
      </w:pPr>
    </w:p>
    <w:p w14:paraId="296B0E86">
      <w:pPr>
        <w:rPr>
          <w:sz w:val="21"/>
          <w:szCs w:val="21"/>
        </w:rPr>
      </w:pPr>
    </w:p>
    <w:p w14:paraId="6C77C79A">
      <w:pPr>
        <w:pStyle w:val="18"/>
        <w:rPr>
          <w:sz w:val="21"/>
          <w:szCs w:val="21"/>
        </w:rPr>
      </w:pPr>
    </w:p>
    <w:p w14:paraId="1B7FAB2E">
      <w:pPr>
        <w:rPr>
          <w:sz w:val="21"/>
          <w:szCs w:val="21"/>
        </w:rPr>
      </w:pPr>
    </w:p>
    <w:p w14:paraId="69F9D7E7">
      <w:pPr>
        <w:pStyle w:val="18"/>
        <w:rPr>
          <w:sz w:val="21"/>
          <w:szCs w:val="21"/>
        </w:rPr>
      </w:pPr>
    </w:p>
    <w:p w14:paraId="76CBF2F8">
      <w:pPr>
        <w:rPr>
          <w:sz w:val="21"/>
          <w:szCs w:val="21"/>
        </w:rPr>
      </w:pPr>
    </w:p>
    <w:p w14:paraId="0593F3F8">
      <w:pPr>
        <w:pStyle w:val="18"/>
        <w:rPr>
          <w:sz w:val="21"/>
          <w:szCs w:val="21"/>
        </w:rPr>
      </w:pPr>
    </w:p>
    <w:p w14:paraId="0E386B73">
      <w:pPr>
        <w:rPr>
          <w:sz w:val="21"/>
          <w:szCs w:val="21"/>
        </w:rPr>
      </w:pPr>
    </w:p>
    <w:p w14:paraId="6D718D7A">
      <w:pPr>
        <w:pStyle w:val="18"/>
        <w:rPr>
          <w:sz w:val="21"/>
          <w:szCs w:val="21"/>
        </w:rPr>
      </w:pPr>
    </w:p>
    <w:p w14:paraId="2A700947">
      <w:pPr>
        <w:rPr>
          <w:sz w:val="21"/>
          <w:szCs w:val="21"/>
        </w:rPr>
      </w:pPr>
    </w:p>
    <w:p w14:paraId="070D97A1">
      <w:pPr>
        <w:pStyle w:val="18"/>
        <w:rPr>
          <w:sz w:val="21"/>
          <w:szCs w:val="21"/>
        </w:rPr>
      </w:pPr>
    </w:p>
    <w:p w14:paraId="3DCE7453">
      <w:pPr>
        <w:rPr>
          <w:sz w:val="21"/>
          <w:szCs w:val="21"/>
        </w:rPr>
      </w:pPr>
    </w:p>
    <w:p w14:paraId="176314CC">
      <w:pPr>
        <w:pStyle w:val="18"/>
        <w:rPr>
          <w:sz w:val="21"/>
          <w:szCs w:val="21"/>
        </w:rPr>
      </w:pPr>
    </w:p>
    <w:p w14:paraId="3DF90049">
      <w:pPr>
        <w:rPr>
          <w:sz w:val="21"/>
          <w:szCs w:val="21"/>
        </w:rPr>
      </w:pPr>
    </w:p>
    <w:p w14:paraId="5CDD5EC3">
      <w:pPr>
        <w:pStyle w:val="18"/>
        <w:rPr>
          <w:sz w:val="21"/>
          <w:szCs w:val="21"/>
        </w:rPr>
      </w:pPr>
    </w:p>
    <w:p w14:paraId="37889C8C">
      <w:pPr>
        <w:rPr>
          <w:sz w:val="21"/>
          <w:szCs w:val="21"/>
        </w:rPr>
      </w:pPr>
    </w:p>
    <w:p w14:paraId="52C7F0ED">
      <w:pPr>
        <w:pStyle w:val="18"/>
        <w:rPr>
          <w:sz w:val="21"/>
          <w:szCs w:val="21"/>
        </w:rPr>
      </w:pPr>
    </w:p>
    <w:p w14:paraId="59F78C3A">
      <w:pPr>
        <w:rPr>
          <w:sz w:val="21"/>
          <w:szCs w:val="21"/>
        </w:rPr>
      </w:pPr>
    </w:p>
    <w:p w14:paraId="29BFB31D">
      <w:pPr>
        <w:pStyle w:val="18"/>
        <w:rPr>
          <w:sz w:val="21"/>
          <w:szCs w:val="21"/>
        </w:rPr>
      </w:pPr>
    </w:p>
    <w:p w14:paraId="68CCA65B">
      <w:pPr>
        <w:rPr>
          <w:rFonts w:ascii="黑体" w:hAnsi="黑体" w:eastAsia="黑体" w:cs="黑体"/>
          <w:spacing w:val="-3"/>
          <w:sz w:val="30"/>
          <w:szCs w:val="30"/>
        </w:rPr>
      </w:pPr>
      <w:r>
        <w:rPr>
          <w:rFonts w:ascii="黑体" w:hAnsi="黑体" w:eastAsia="黑体" w:cs="黑体"/>
          <w:spacing w:val="-3"/>
          <w:sz w:val="30"/>
          <w:szCs w:val="30"/>
        </w:rPr>
        <w:br w:type="page"/>
      </w:r>
    </w:p>
    <w:p w14:paraId="16E4C477">
      <w:pPr>
        <w:spacing w:before="98" w:line="222" w:lineRule="auto"/>
        <w:ind w:left="3710"/>
        <w:outlineLvl w:val="0"/>
        <w:rPr>
          <w:rFonts w:ascii="黑体" w:hAnsi="黑体" w:eastAsia="黑体" w:cs="黑体"/>
          <w:sz w:val="30"/>
          <w:szCs w:val="30"/>
        </w:rPr>
      </w:pPr>
      <w:bookmarkStart w:id="28" w:name="_Toc31297"/>
      <w:bookmarkStart w:id="29" w:name="_Toc5658"/>
      <w:r>
        <w:rPr>
          <w:rFonts w:ascii="黑体" w:hAnsi="黑体" w:eastAsia="黑体" w:cs="黑体"/>
          <w:spacing w:val="-3"/>
          <w:sz w:val="30"/>
          <w:szCs w:val="30"/>
        </w:rPr>
        <w:t>二、建设内容</w:t>
      </w:r>
      <w:bookmarkEnd w:id="28"/>
      <w:bookmarkEnd w:id="29"/>
    </w:p>
    <w:p w14:paraId="28DB7FD5">
      <w:pPr>
        <w:spacing w:before="20"/>
      </w:pPr>
    </w:p>
    <w:tbl>
      <w:tblPr>
        <w:tblStyle w:val="25"/>
        <w:tblW w:w="9174" w:type="dxa"/>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3"/>
        <w:gridCol w:w="8741"/>
      </w:tblGrid>
      <w:tr w14:paraId="659CC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33" w:type="dxa"/>
            <w:tcBorders>
              <w:right w:val="single" w:color="000000" w:sz="2" w:space="0"/>
            </w:tcBorders>
            <w:textDirection w:val="tbRlV"/>
            <w:vAlign w:val="top"/>
          </w:tcPr>
          <w:p w14:paraId="66D5DDF2">
            <w:pPr>
              <w:pStyle w:val="24"/>
              <w:keepNext w:val="0"/>
              <w:keepLines/>
              <w:pageBreakBefore w:val="0"/>
              <w:widowControl w:val="0"/>
              <w:kinsoku/>
              <w:wordWrap/>
              <w:overflowPunct/>
              <w:topLinePunct w:val="0"/>
              <w:bidi w:val="0"/>
              <w:adjustRightInd w:val="0"/>
              <w:snapToGrid w:val="0"/>
              <w:spacing w:before="108" w:line="212" w:lineRule="auto"/>
              <w:ind w:left="240"/>
              <w:rPr>
                <w:rFonts w:hint="default" w:ascii="Times New Roman" w:hAnsi="Times New Roman" w:eastAsia="宋体" w:cs="Times New Roman"/>
                <w:sz w:val="24"/>
                <w:szCs w:val="24"/>
              </w:rPr>
            </w:pPr>
            <w:r>
              <w:rPr>
                <w:rFonts w:hint="default" w:ascii="Times New Roman" w:hAnsi="Times New Roman" w:eastAsia="宋体" w:cs="Times New Roman"/>
                <w:spacing w:val="46"/>
                <w:sz w:val="24"/>
                <w:szCs w:val="24"/>
              </w:rPr>
              <w:t>地理位置</w:t>
            </w:r>
          </w:p>
        </w:tc>
        <w:tc>
          <w:tcPr>
            <w:tcW w:w="8741" w:type="dxa"/>
            <w:tcBorders>
              <w:left w:val="single" w:color="000000" w:sz="2" w:space="0"/>
            </w:tcBorders>
            <w:vAlign w:val="top"/>
          </w:tcPr>
          <w:p w14:paraId="51C20B13">
            <w:pPr>
              <w:pStyle w:val="24"/>
              <w:keepNext w:val="0"/>
              <w:keepLines/>
              <w:pageBreakBefore w:val="0"/>
              <w:widowControl w:val="0"/>
              <w:kinsoku/>
              <w:wordWrap/>
              <w:overflowPunct/>
              <w:topLinePunct w:val="0"/>
              <w:bidi w:val="0"/>
              <w:adjustRightInd w:val="0"/>
              <w:snapToGrid w:val="0"/>
              <w:spacing w:before="237" w:line="369" w:lineRule="auto"/>
              <w:ind w:left="114" w:right="22" w:firstLine="432"/>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rPr>
              <w:t>华能围场“风光储氢热一体化”项目（风电200MW）项目220kV送出线路工程</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pacing w:val="-2"/>
                <w:sz w:val="24"/>
                <w:szCs w:val="24"/>
              </w:rPr>
              <w:t>本工程起始于华能风电220kV升压站，止于牌楼500kV变电站，全长</w:t>
            </w:r>
            <w:r>
              <w:rPr>
                <w:rFonts w:hint="eastAsia" w:ascii="Times New Roman" w:hAnsi="Times New Roman" w:cs="Times New Roman"/>
                <w:spacing w:val="-2"/>
                <w:sz w:val="24"/>
                <w:szCs w:val="24"/>
                <w:lang w:eastAsia="zh-CN"/>
              </w:rPr>
              <w:t>29.9</w:t>
            </w:r>
            <w:r>
              <w:rPr>
                <w:rFonts w:hint="default" w:ascii="Times New Roman" w:hAnsi="Times New Roman" w:eastAsia="宋体" w:cs="Times New Roman"/>
                <w:spacing w:val="-2"/>
                <w:sz w:val="24"/>
                <w:szCs w:val="24"/>
              </w:rPr>
              <w:t>km</w:t>
            </w:r>
            <w:r>
              <w:rPr>
                <w:rFonts w:hint="default" w:ascii="Times New Roman" w:hAnsi="Times New Roman" w:eastAsia="宋体" w:cs="Times New Roman"/>
                <w:spacing w:val="-5"/>
                <w:sz w:val="24"/>
                <w:szCs w:val="24"/>
              </w:rPr>
              <w:t>，位于河</w:t>
            </w:r>
            <w:r>
              <w:rPr>
                <w:rFonts w:hint="default" w:ascii="Times New Roman" w:hAnsi="Times New Roman" w:eastAsia="宋体" w:cs="Times New Roman"/>
                <w:spacing w:val="-6"/>
                <w:sz w:val="24"/>
                <w:szCs w:val="24"/>
              </w:rPr>
              <w:t>北省承德市围场满族蒙古族自治县</w:t>
            </w:r>
            <w:r>
              <w:rPr>
                <w:rFonts w:hint="default" w:ascii="Times New Roman" w:hAnsi="Times New Roman" w:eastAsia="宋体" w:cs="Times New Roman"/>
                <w:sz w:val="24"/>
                <w:szCs w:val="24"/>
                <w:highlight w:val="none"/>
              </w:rPr>
              <w:t>城子</w:t>
            </w:r>
            <w:r>
              <w:rPr>
                <w:rFonts w:hint="eastAsia" w:ascii="Times New Roman" w:hAnsi="Times New Roman" w:cs="Times New Roman"/>
                <w:sz w:val="24"/>
                <w:szCs w:val="24"/>
                <w:highlight w:val="none"/>
                <w:lang w:val="en-US" w:eastAsia="zh-CN"/>
              </w:rPr>
              <w:t>镇</w:t>
            </w:r>
            <w:r>
              <w:rPr>
                <w:rFonts w:hint="default" w:ascii="Times New Roman" w:hAnsi="Times New Roman" w:eastAsia="宋体" w:cs="Times New Roman"/>
                <w:sz w:val="24"/>
                <w:szCs w:val="24"/>
                <w:highlight w:val="none"/>
              </w:rPr>
              <w:t>、牌楼乡、燕格柏乡和半截塔镇。</w:t>
            </w:r>
          </w:p>
        </w:tc>
      </w:tr>
      <w:tr w14:paraId="59723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33" w:type="dxa"/>
            <w:tcBorders>
              <w:right w:val="single" w:color="000000" w:sz="2" w:space="0"/>
            </w:tcBorders>
            <w:textDirection w:val="tbRlV"/>
            <w:vAlign w:val="top"/>
          </w:tcPr>
          <w:p w14:paraId="366FBD16">
            <w:pPr>
              <w:pStyle w:val="24"/>
              <w:keepNext w:val="0"/>
              <w:keepLines/>
              <w:pageBreakBefore w:val="0"/>
              <w:widowControl w:val="0"/>
              <w:kinsoku/>
              <w:wordWrap/>
              <w:overflowPunct/>
              <w:topLinePunct w:val="0"/>
              <w:bidi w:val="0"/>
              <w:adjustRightInd w:val="0"/>
              <w:snapToGrid w:val="0"/>
              <w:spacing w:before="109" w:line="201" w:lineRule="auto"/>
              <w:ind w:left="4598" w:leftChars="0"/>
              <w:rPr>
                <w:rFonts w:hint="default" w:ascii="Times New Roman" w:hAnsi="Times New Roman" w:eastAsia="宋体" w:cs="Times New Roman"/>
                <w:kern w:val="2"/>
                <w:sz w:val="24"/>
                <w:szCs w:val="24"/>
                <w:lang w:val="en-US" w:eastAsia="en-US" w:bidi="ar-SA"/>
              </w:rPr>
            </w:pPr>
            <w:r>
              <w:rPr>
                <w:rFonts w:hint="default" w:ascii="Times New Roman" w:hAnsi="Times New Roman" w:eastAsia="宋体" w:cs="Times New Roman"/>
                <w:spacing w:val="21"/>
                <w:w w:val="115"/>
                <w:sz w:val="24"/>
                <w:szCs w:val="24"/>
              </w:rPr>
              <w:t>项</w:t>
            </w:r>
            <w:r>
              <w:rPr>
                <w:rFonts w:hint="default" w:ascii="Times New Roman" w:hAnsi="Times New Roman" w:eastAsia="宋体" w:cs="Times New Roman"/>
                <w:spacing w:val="21"/>
                <w:w w:val="115"/>
                <w:position w:val="1"/>
                <w:sz w:val="24"/>
                <w:szCs w:val="24"/>
              </w:rPr>
              <w:t>目</w:t>
            </w:r>
            <w:r>
              <w:rPr>
                <w:rFonts w:hint="default" w:ascii="Times New Roman" w:hAnsi="Times New Roman" w:eastAsia="宋体" w:cs="Times New Roman"/>
                <w:spacing w:val="21"/>
                <w:w w:val="115"/>
                <w:sz w:val="24"/>
                <w:szCs w:val="24"/>
              </w:rPr>
              <w:t>组成及规模</w:t>
            </w:r>
          </w:p>
        </w:tc>
        <w:tc>
          <w:tcPr>
            <w:tcW w:w="8741" w:type="dxa"/>
            <w:tcBorders>
              <w:left w:val="single" w:color="000000" w:sz="2" w:space="0"/>
            </w:tcBorders>
            <w:vAlign w:val="top"/>
          </w:tcPr>
          <w:p w14:paraId="2EF6A72C">
            <w:pPr>
              <w:pStyle w:val="24"/>
              <w:keepNext w:val="0"/>
              <w:keepLines/>
              <w:pageBreakBefore w:val="0"/>
              <w:widowControl w:val="0"/>
              <w:kinsoku/>
              <w:wordWrap/>
              <w:overflowPunct/>
              <w:topLinePunct w:val="0"/>
              <w:bidi w:val="0"/>
              <w:adjustRightInd w:val="0"/>
              <w:snapToGrid w:val="0"/>
              <w:spacing w:before="203" w:line="221" w:lineRule="auto"/>
              <w:ind w:left="533"/>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一、项目由来</w:t>
            </w:r>
          </w:p>
          <w:p w14:paraId="63E83D16">
            <w:pPr>
              <w:pStyle w:val="24"/>
              <w:keepNext w:val="0"/>
              <w:keepLines/>
              <w:pageBreakBefore w:val="0"/>
              <w:widowControl w:val="0"/>
              <w:kinsoku/>
              <w:wordWrap/>
              <w:overflowPunct/>
              <w:topLinePunct w:val="0"/>
              <w:bidi w:val="0"/>
              <w:adjustRightInd w:val="0"/>
              <w:snapToGrid w:val="0"/>
              <w:spacing w:before="227" w:line="419" w:lineRule="auto"/>
              <w:ind w:left="106" w:right="65" w:firstLine="421"/>
              <w:jc w:val="both"/>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承德地区风能、太</w:t>
            </w:r>
            <w:r>
              <w:rPr>
                <w:rFonts w:hint="default" w:ascii="Times New Roman" w:hAnsi="Times New Roman" w:eastAsia="宋体" w:cs="Times New Roman"/>
                <w:spacing w:val="-2"/>
                <w:sz w:val="24"/>
                <w:szCs w:val="24"/>
                <w:highlight w:val="none"/>
              </w:rPr>
              <w:t>阳能资源丰富，适宜建设大中型风电场和</w:t>
            </w:r>
            <w:r>
              <w:rPr>
                <w:rFonts w:hint="eastAsia" w:ascii="Times New Roman" w:hAnsi="Times New Roman" w:cs="Times New Roman"/>
                <w:spacing w:val="-2"/>
                <w:sz w:val="24"/>
                <w:szCs w:val="24"/>
                <w:highlight w:val="none"/>
                <w:lang w:eastAsia="zh-CN"/>
              </w:rPr>
              <w:t>光伏</w:t>
            </w:r>
            <w:r>
              <w:rPr>
                <w:rFonts w:hint="default" w:ascii="Times New Roman" w:hAnsi="Times New Roman" w:eastAsia="宋体" w:cs="Times New Roman"/>
                <w:spacing w:val="-3"/>
                <w:sz w:val="24"/>
                <w:szCs w:val="24"/>
                <w:highlight w:val="none"/>
              </w:rPr>
              <w:t>发电场，开发利用太阳能</w:t>
            </w:r>
            <w:r>
              <w:rPr>
                <w:rFonts w:hint="default" w:ascii="Times New Roman" w:hAnsi="Times New Roman" w:eastAsia="宋体" w:cs="Times New Roman"/>
                <w:spacing w:val="-2"/>
                <w:sz w:val="24"/>
                <w:szCs w:val="24"/>
                <w:highlight w:val="none"/>
              </w:rPr>
              <w:t>资源，减少化石能源消耗。</w:t>
            </w:r>
            <w:r>
              <w:rPr>
                <w:rFonts w:hint="eastAsia" w:ascii="Times New Roman" w:hAnsi="Times New Roman" w:cs="Times New Roman"/>
                <w:spacing w:val="-2"/>
                <w:sz w:val="24"/>
                <w:szCs w:val="24"/>
                <w:highlight w:val="none"/>
                <w:lang w:eastAsia="zh-CN"/>
              </w:rPr>
              <w:t>光伏</w:t>
            </w:r>
            <w:r>
              <w:rPr>
                <w:rFonts w:hint="default" w:ascii="Times New Roman" w:hAnsi="Times New Roman" w:eastAsia="宋体" w:cs="Times New Roman"/>
                <w:spacing w:val="-2"/>
                <w:sz w:val="24"/>
                <w:szCs w:val="24"/>
                <w:highlight w:val="none"/>
              </w:rPr>
              <w:t>电站的开发</w:t>
            </w:r>
            <w:r>
              <w:rPr>
                <w:rFonts w:hint="default" w:ascii="Times New Roman" w:hAnsi="Times New Roman" w:eastAsia="宋体" w:cs="Times New Roman"/>
                <w:spacing w:val="-2"/>
                <w:sz w:val="24"/>
                <w:szCs w:val="24"/>
              </w:rPr>
              <w:t>将有力拉动当地经济的发展，减少常</w:t>
            </w:r>
            <w:r>
              <w:rPr>
                <w:rFonts w:hint="default" w:ascii="Times New Roman" w:hAnsi="Times New Roman" w:eastAsia="宋体" w:cs="Times New Roman"/>
                <w:spacing w:val="-3"/>
                <w:sz w:val="24"/>
                <w:szCs w:val="24"/>
              </w:rPr>
              <w:t>规能源消耗造</w:t>
            </w:r>
            <w:r>
              <w:rPr>
                <w:rFonts w:hint="default" w:ascii="Times New Roman" w:hAnsi="Times New Roman" w:eastAsia="宋体" w:cs="Times New Roman"/>
                <w:spacing w:val="-2"/>
                <w:sz w:val="24"/>
                <w:szCs w:val="24"/>
              </w:rPr>
              <w:t>成的环境压力。同时有助于当地产业结构的调整和经济建设，满足区域经济发展的需</w:t>
            </w:r>
            <w:r>
              <w:rPr>
                <w:rFonts w:hint="default" w:ascii="Times New Roman" w:hAnsi="Times New Roman" w:eastAsia="宋体" w:cs="Times New Roman"/>
                <w:spacing w:val="-3"/>
                <w:sz w:val="24"/>
                <w:szCs w:val="24"/>
              </w:rPr>
              <w:t>要，具有</w:t>
            </w:r>
            <w:r>
              <w:rPr>
                <w:rFonts w:hint="default" w:ascii="Times New Roman" w:hAnsi="Times New Roman" w:eastAsia="宋体" w:cs="Times New Roman"/>
                <w:spacing w:val="-1"/>
                <w:sz w:val="24"/>
                <w:szCs w:val="24"/>
              </w:rPr>
              <w:t>良好</w:t>
            </w:r>
            <w:r>
              <w:rPr>
                <w:rFonts w:hint="default" w:ascii="Times New Roman" w:hAnsi="Times New Roman" w:eastAsia="宋体" w:cs="Times New Roman"/>
                <w:spacing w:val="-1"/>
                <w:sz w:val="24"/>
                <w:szCs w:val="24"/>
                <w:highlight w:val="none"/>
              </w:rPr>
              <w:t>的社会效益和综合经济效益。为贯彻国家能源发展战略，落实对</w:t>
            </w:r>
            <w:r>
              <w:rPr>
                <w:rFonts w:hint="default" w:ascii="Times New Roman" w:hAnsi="Times New Roman" w:eastAsia="宋体" w:cs="Times New Roman"/>
                <w:spacing w:val="-2"/>
                <w:sz w:val="24"/>
                <w:szCs w:val="24"/>
                <w:highlight w:val="none"/>
              </w:rPr>
              <w:t>可再生资源的开发利用，</w:t>
            </w:r>
            <w:r>
              <w:rPr>
                <w:rFonts w:hint="default" w:ascii="Times New Roman" w:hAnsi="Times New Roman" w:eastAsia="宋体" w:cs="Times New Roman"/>
                <w:color w:val="auto"/>
                <w:spacing w:val="-1"/>
                <w:sz w:val="24"/>
                <w:szCs w:val="24"/>
                <w:highlight w:val="none"/>
              </w:rPr>
              <w:t>围场满族蒙古族自治县阳洁光伏发电有限责任公司在</w:t>
            </w:r>
            <w:r>
              <w:rPr>
                <w:rFonts w:hint="default" w:ascii="Times New Roman" w:hAnsi="Times New Roman" w:eastAsia="宋体" w:cs="Times New Roman"/>
                <w:spacing w:val="-5"/>
                <w:sz w:val="24"/>
                <w:szCs w:val="24"/>
                <w:highlight w:val="none"/>
              </w:rPr>
              <w:t>河</w:t>
            </w:r>
            <w:r>
              <w:rPr>
                <w:rFonts w:hint="default" w:ascii="Times New Roman" w:hAnsi="Times New Roman" w:eastAsia="宋体" w:cs="Times New Roman"/>
                <w:spacing w:val="-6"/>
                <w:sz w:val="24"/>
                <w:szCs w:val="24"/>
                <w:highlight w:val="none"/>
              </w:rPr>
              <w:t>北省承德市围场满族蒙古族自治县</w:t>
            </w:r>
            <w:r>
              <w:rPr>
                <w:rFonts w:hint="default" w:ascii="Times New Roman" w:hAnsi="Times New Roman" w:eastAsia="宋体" w:cs="Times New Roman"/>
                <w:sz w:val="24"/>
                <w:szCs w:val="24"/>
                <w:highlight w:val="none"/>
              </w:rPr>
              <w:t>城子</w:t>
            </w:r>
            <w:r>
              <w:rPr>
                <w:rFonts w:hint="eastAsia" w:ascii="Times New Roman" w:hAnsi="Times New Roman" w:cs="Times New Roman"/>
                <w:sz w:val="24"/>
                <w:szCs w:val="24"/>
                <w:highlight w:val="none"/>
                <w:lang w:val="en-US" w:eastAsia="zh-CN"/>
              </w:rPr>
              <w:t>镇</w:t>
            </w:r>
            <w:r>
              <w:rPr>
                <w:rFonts w:hint="default" w:ascii="Times New Roman" w:hAnsi="Times New Roman" w:eastAsia="宋体" w:cs="Times New Roman"/>
                <w:color w:val="auto"/>
                <w:spacing w:val="-1"/>
                <w:sz w:val="24"/>
                <w:szCs w:val="24"/>
                <w:highlight w:val="none"/>
              </w:rPr>
              <w:t>建</w:t>
            </w:r>
            <w:r>
              <w:rPr>
                <w:rFonts w:hint="default" w:ascii="Times New Roman" w:hAnsi="Times New Roman" w:eastAsia="宋体" w:cs="Times New Roman"/>
                <w:color w:val="auto"/>
                <w:spacing w:val="-2"/>
                <w:sz w:val="24"/>
                <w:szCs w:val="24"/>
                <w:highlight w:val="none"/>
              </w:rPr>
              <w:t>设</w:t>
            </w:r>
            <w:r>
              <w:rPr>
                <w:rFonts w:hint="default" w:ascii="Times New Roman" w:hAnsi="Times New Roman" w:eastAsia="宋体" w:cs="Times New Roman"/>
                <w:sz w:val="24"/>
                <w:szCs w:val="24"/>
                <w:highlight w:val="none"/>
              </w:rPr>
              <w:t>华能围场“风光储氢热一体化”项目（风电200MW）项目</w:t>
            </w:r>
            <w:r>
              <w:rPr>
                <w:rFonts w:hint="default" w:ascii="Times New Roman" w:hAnsi="Times New Roman" w:eastAsia="宋体" w:cs="Times New Roman"/>
                <w:color w:val="auto"/>
                <w:spacing w:val="-1"/>
                <w:sz w:val="24"/>
                <w:szCs w:val="24"/>
                <w:highlight w:val="none"/>
              </w:rPr>
              <w:t>，该项目已于2023年1月5日取得了由承德市行政审批局出具的关于华能围场“风光储氢热一体化”项目（风电200MW）项目核准变更建设内容的批复，承审批核字〔2023〕3号</w:t>
            </w:r>
            <w:r>
              <w:rPr>
                <w:rFonts w:hint="default" w:ascii="Times New Roman" w:hAnsi="Times New Roman" w:eastAsia="宋体" w:cs="Times New Roman"/>
                <w:sz w:val="24"/>
                <w:szCs w:val="24"/>
              </w:rPr>
              <w:t>。该项目已取得《</w:t>
            </w:r>
            <w:r>
              <w:rPr>
                <w:rFonts w:hint="default" w:ascii="Times New Roman" w:hAnsi="Times New Roman" w:eastAsia="宋体" w:cs="Times New Roman"/>
                <w:sz w:val="24"/>
                <w:szCs w:val="24"/>
                <w:highlight w:val="none"/>
              </w:rPr>
              <w:t>华能围场“风光储氢热一体化”项目（风电200MW）项目</w:t>
            </w:r>
            <w:r>
              <w:rPr>
                <w:rFonts w:hint="default" w:ascii="Times New Roman" w:hAnsi="Times New Roman" w:eastAsia="宋体" w:cs="Times New Roman"/>
                <w:spacing w:val="-1"/>
                <w:sz w:val="24"/>
                <w:szCs w:val="24"/>
              </w:rPr>
              <w:t>环境影响报告表》的批复</w:t>
            </w:r>
            <w:r>
              <w:rPr>
                <w:rFonts w:hint="default" w:ascii="Times New Roman" w:hAnsi="Times New Roman" w:eastAsia="宋体" w:cs="Times New Roman"/>
                <w:spacing w:val="7"/>
                <w:sz w:val="24"/>
                <w:szCs w:val="24"/>
              </w:rPr>
              <w:t>，</w:t>
            </w:r>
            <w:r>
              <w:rPr>
                <w:rFonts w:hint="default" w:ascii="Times New Roman" w:hAnsi="Times New Roman" w:eastAsia="宋体" w:cs="Times New Roman"/>
                <w:spacing w:val="-1"/>
                <w:sz w:val="24"/>
                <w:szCs w:val="24"/>
              </w:rPr>
              <w:t>为满足华能围场“风光储氢热一体化”项目（风电200MW）项目</w:t>
            </w:r>
            <w:r>
              <w:rPr>
                <w:rFonts w:hint="default" w:ascii="Times New Roman" w:hAnsi="Times New Roman" w:eastAsia="宋体" w:cs="Times New Roman"/>
                <w:sz w:val="24"/>
                <w:szCs w:val="24"/>
              </w:rPr>
              <w:t>电力送出需求同期建设220k</w:t>
            </w:r>
            <w:r>
              <w:rPr>
                <w:rFonts w:hint="default" w:ascii="Times New Roman" w:hAnsi="Times New Roman" w:eastAsia="宋体" w:cs="Times New Roman"/>
                <w:spacing w:val="-1"/>
                <w:sz w:val="24"/>
                <w:szCs w:val="24"/>
              </w:rPr>
              <w:t>V送出线路，因此华能围场“风光储氢热一体化”项目（风电200MW）项目220kV送出线路工程建设是十分必要的。</w:t>
            </w:r>
          </w:p>
          <w:p w14:paraId="46B79C77">
            <w:pPr>
              <w:pStyle w:val="24"/>
              <w:keepNext w:val="0"/>
              <w:keepLines/>
              <w:pageBreakBefore w:val="0"/>
              <w:widowControl w:val="0"/>
              <w:kinsoku/>
              <w:wordWrap/>
              <w:overflowPunct/>
              <w:topLinePunct w:val="0"/>
              <w:bidi w:val="0"/>
              <w:adjustRightInd w:val="0"/>
              <w:snapToGrid w:val="0"/>
              <w:spacing w:before="36" w:line="418" w:lineRule="auto"/>
              <w:ind w:left="110" w:right="93" w:firstLine="419"/>
              <w:jc w:val="both"/>
              <w:rPr>
                <w:rFonts w:hint="default" w:ascii="Times New Roman" w:hAnsi="Times New Roman" w:eastAsia="宋体" w:cs="Times New Roman"/>
                <w:spacing w:val="-3"/>
                <w:sz w:val="24"/>
                <w:szCs w:val="24"/>
              </w:rPr>
            </w:pPr>
            <w:r>
              <w:rPr>
                <w:rFonts w:hint="default" w:ascii="Times New Roman" w:hAnsi="Times New Roman" w:eastAsia="宋体" w:cs="Times New Roman"/>
                <w:spacing w:val="-2"/>
                <w:sz w:val="24"/>
                <w:szCs w:val="24"/>
              </w:rPr>
              <w:t>根据《中华人民共和国环境保护法》、《中华人民共和国环境影响</w:t>
            </w:r>
            <w:r>
              <w:rPr>
                <w:rFonts w:hint="default" w:ascii="Times New Roman" w:hAnsi="Times New Roman" w:eastAsia="宋体" w:cs="Times New Roman"/>
                <w:spacing w:val="-3"/>
                <w:sz w:val="24"/>
                <w:szCs w:val="24"/>
              </w:rPr>
              <w:t>评价法》与《建设项目</w:t>
            </w:r>
            <w:r>
              <w:rPr>
                <w:rFonts w:hint="default" w:ascii="Times New Roman" w:hAnsi="Times New Roman" w:eastAsia="宋体" w:cs="Times New Roman"/>
                <w:sz w:val="24"/>
                <w:szCs w:val="24"/>
              </w:rPr>
              <w:t>环境保护管理条例》的规定，按照《建设项目环境影响评价分类管理名录》（2021年版）的</w:t>
            </w:r>
            <w:r>
              <w:rPr>
                <w:rFonts w:hint="default" w:ascii="Times New Roman" w:hAnsi="Times New Roman" w:eastAsia="宋体" w:cs="Times New Roman"/>
                <w:spacing w:val="-2"/>
                <w:sz w:val="24"/>
                <w:szCs w:val="24"/>
              </w:rPr>
              <w:t>有关规定，本项目类别属于“五十五、核与辐射”中“161输变电工程”中“其他（100千伏以下除外）”，因此本项目“</w:t>
            </w:r>
            <w:r>
              <w:rPr>
                <w:rFonts w:hint="default" w:ascii="Times New Roman" w:hAnsi="Times New Roman" w:eastAsia="宋体" w:cs="Times New Roman"/>
                <w:sz w:val="24"/>
                <w:szCs w:val="24"/>
                <w:highlight w:val="none"/>
              </w:rPr>
              <w:t>华能围场“风光储氢热一体化”项目（风电200MW）项目</w:t>
            </w:r>
            <w:r>
              <w:rPr>
                <w:rFonts w:hint="default" w:ascii="Times New Roman" w:hAnsi="Times New Roman" w:eastAsia="宋体" w:cs="Times New Roman"/>
                <w:spacing w:val="-3"/>
                <w:sz w:val="24"/>
                <w:szCs w:val="24"/>
              </w:rPr>
              <w:t>”须编制环</w:t>
            </w:r>
            <w:r>
              <w:rPr>
                <w:rFonts w:hint="default" w:ascii="Times New Roman" w:hAnsi="Times New Roman" w:eastAsia="宋体" w:cs="Times New Roman"/>
                <w:spacing w:val="-1"/>
                <w:sz w:val="24"/>
                <w:szCs w:val="24"/>
              </w:rPr>
              <w:t>境影响报告表。为此我公司受</w:t>
            </w:r>
            <w:r>
              <w:rPr>
                <w:rFonts w:hint="eastAsia" w:ascii="Times New Roman" w:hAnsi="Times New Roman" w:cs="Times New Roman"/>
                <w:spacing w:val="-1"/>
                <w:sz w:val="24"/>
                <w:szCs w:val="24"/>
                <w:lang w:eastAsia="zh-CN"/>
              </w:rPr>
              <w:t>围场满族蒙古族自治县阳洁光伏发电有限责任公司</w:t>
            </w:r>
            <w:r>
              <w:rPr>
                <w:rFonts w:hint="default" w:ascii="Times New Roman" w:hAnsi="Times New Roman" w:eastAsia="宋体" w:cs="Times New Roman"/>
                <w:spacing w:val="-1"/>
                <w:sz w:val="24"/>
                <w:szCs w:val="24"/>
              </w:rPr>
              <w:t>的委</w:t>
            </w:r>
            <w:r>
              <w:rPr>
                <w:rFonts w:hint="default" w:ascii="Times New Roman" w:hAnsi="Times New Roman" w:eastAsia="宋体" w:cs="Times New Roman"/>
                <w:spacing w:val="-2"/>
                <w:sz w:val="24"/>
                <w:szCs w:val="24"/>
              </w:rPr>
              <w:t>托（见附件</w:t>
            </w:r>
            <w:r>
              <w:rPr>
                <w:rFonts w:hint="default" w:ascii="Times New Roman" w:hAnsi="Times New Roman" w:eastAsia="宋体" w:cs="Times New Roman"/>
                <w:spacing w:val="-17"/>
                <w:sz w:val="24"/>
                <w:szCs w:val="24"/>
              </w:rPr>
              <w:t>），</w:t>
            </w:r>
            <w:r>
              <w:rPr>
                <w:rFonts w:hint="default" w:ascii="Times New Roman" w:hAnsi="Times New Roman" w:eastAsia="宋体" w:cs="Times New Roman"/>
                <w:spacing w:val="-2"/>
                <w:sz w:val="24"/>
                <w:szCs w:val="24"/>
              </w:rPr>
              <w:t>承担本项目的环境影响评价工作，对本工程进行了实地踏勘和调查，收集了有关工程资料，在此基</w:t>
            </w:r>
            <w:r>
              <w:rPr>
                <w:rFonts w:hint="default" w:ascii="Times New Roman" w:hAnsi="Times New Roman" w:eastAsia="宋体" w:cs="Times New Roman"/>
                <w:spacing w:val="-3"/>
                <w:sz w:val="24"/>
                <w:szCs w:val="24"/>
              </w:rPr>
              <w:t>础上编制了环境影响报告表。</w:t>
            </w:r>
          </w:p>
          <w:p w14:paraId="0517CC3B">
            <w:pPr>
              <w:pStyle w:val="24"/>
              <w:keepNext w:val="0"/>
              <w:keepLines/>
              <w:pageBreakBefore w:val="0"/>
              <w:widowControl w:val="0"/>
              <w:numPr>
                <w:ilvl w:val="0"/>
                <w:numId w:val="5"/>
              </w:numPr>
              <w:kinsoku/>
              <w:wordWrap/>
              <w:overflowPunct/>
              <w:topLinePunct w:val="0"/>
              <w:bidi w:val="0"/>
              <w:adjustRightInd w:val="0"/>
              <w:snapToGrid w:val="0"/>
              <w:spacing w:before="36" w:line="418" w:lineRule="auto"/>
              <w:ind w:left="110" w:right="93" w:firstLine="419"/>
              <w:jc w:val="both"/>
              <w:rPr>
                <w:rFonts w:hint="eastAsia" w:ascii="Times New Roman" w:hAnsi="Times New Roman" w:cs="Times New Roman"/>
                <w:b/>
                <w:bCs/>
                <w:spacing w:val="-3"/>
                <w:sz w:val="24"/>
                <w:szCs w:val="24"/>
                <w:lang w:val="en-US" w:eastAsia="zh-CN"/>
              </w:rPr>
            </w:pPr>
            <w:r>
              <w:rPr>
                <w:rFonts w:hint="eastAsia" w:ascii="Times New Roman" w:hAnsi="Times New Roman" w:cs="Times New Roman"/>
                <w:b/>
                <w:bCs/>
                <w:spacing w:val="-3"/>
                <w:sz w:val="24"/>
                <w:szCs w:val="24"/>
                <w:lang w:val="en-US" w:eastAsia="zh-CN"/>
              </w:rPr>
              <w:t>项目概况</w:t>
            </w:r>
          </w:p>
          <w:p w14:paraId="47556BA1">
            <w:pPr>
              <w:pStyle w:val="24"/>
              <w:keepNext w:val="0"/>
              <w:keepLines/>
              <w:pageBreakBefore w:val="0"/>
              <w:widowControl w:val="0"/>
              <w:numPr>
                <w:ilvl w:val="0"/>
                <w:numId w:val="0"/>
              </w:numPr>
              <w:kinsoku/>
              <w:wordWrap/>
              <w:overflowPunct/>
              <w:topLinePunct w:val="0"/>
              <w:bidi w:val="0"/>
              <w:adjustRightInd w:val="0"/>
              <w:snapToGrid w:val="0"/>
              <w:spacing w:before="36" w:line="360" w:lineRule="auto"/>
              <w:ind w:left="529" w:leftChars="0" w:right="93" w:rightChars="0"/>
              <w:jc w:val="both"/>
              <w:rPr>
                <w:rFonts w:hint="default" w:ascii="Times New Roman" w:hAnsi="Times New Roman" w:cs="Times New Roman"/>
                <w:b/>
                <w:bCs/>
                <w:spacing w:val="-3"/>
                <w:sz w:val="24"/>
                <w:szCs w:val="24"/>
                <w:lang w:val="en-US" w:eastAsia="zh-CN"/>
              </w:rPr>
            </w:pPr>
            <w:r>
              <w:rPr>
                <w:rFonts w:hint="eastAsia" w:ascii="Times New Roman" w:hAnsi="Times New Roman" w:cs="Times New Roman"/>
                <w:b/>
                <w:bCs/>
                <w:spacing w:val="-3"/>
                <w:sz w:val="24"/>
                <w:szCs w:val="24"/>
                <w:lang w:val="en-US" w:eastAsia="zh-CN"/>
              </w:rPr>
              <w:t>1、项目名称：</w:t>
            </w:r>
            <w:r>
              <w:rPr>
                <w:rFonts w:hint="eastAsia" w:ascii="Times New Roman" w:hAnsi="Times New Roman" w:cs="Times New Roman"/>
                <w:b w:val="0"/>
                <w:bCs w:val="0"/>
                <w:spacing w:val="-3"/>
                <w:sz w:val="24"/>
                <w:szCs w:val="24"/>
                <w:lang w:val="en-US" w:eastAsia="zh-CN"/>
              </w:rPr>
              <w:t>华能围场“风光储氢热一体化”项目（风电200MW）项目</w:t>
            </w:r>
          </w:p>
          <w:p w14:paraId="75E3FAE4">
            <w:pPr>
              <w:pStyle w:val="24"/>
              <w:keepNext w:val="0"/>
              <w:keepLines/>
              <w:pageBreakBefore w:val="0"/>
              <w:widowControl w:val="0"/>
              <w:numPr>
                <w:ilvl w:val="0"/>
                <w:numId w:val="0"/>
              </w:numPr>
              <w:kinsoku/>
              <w:wordWrap/>
              <w:overflowPunct/>
              <w:topLinePunct w:val="0"/>
              <w:bidi w:val="0"/>
              <w:adjustRightInd w:val="0"/>
              <w:snapToGrid w:val="0"/>
              <w:spacing w:before="36" w:line="360" w:lineRule="auto"/>
              <w:ind w:right="93" w:rightChars="0" w:firstLine="468" w:firstLineChars="200"/>
              <w:jc w:val="both"/>
              <w:rPr>
                <w:rFonts w:hint="eastAsia" w:ascii="Times New Roman" w:hAnsi="Times New Roman" w:cs="Times New Roman"/>
                <w:b w:val="0"/>
                <w:bCs w:val="0"/>
                <w:spacing w:val="-3"/>
                <w:sz w:val="24"/>
                <w:szCs w:val="24"/>
                <w:lang w:val="en-US" w:eastAsia="zh-CN"/>
              </w:rPr>
            </w:pPr>
            <w:r>
              <w:rPr>
                <w:rFonts w:hint="eastAsia" w:ascii="Times New Roman" w:hAnsi="Times New Roman" w:cs="Times New Roman"/>
                <w:b w:val="0"/>
                <w:bCs w:val="0"/>
                <w:spacing w:val="-3"/>
                <w:sz w:val="24"/>
                <w:szCs w:val="24"/>
                <w:lang w:val="en-US" w:eastAsia="zh-CN"/>
              </w:rPr>
              <w:drawing>
                <wp:anchor distT="0" distB="0" distL="114300" distR="114300" simplePos="0" relativeHeight="251661312" behindDoc="0" locked="0" layoutInCell="1" allowOverlap="1">
                  <wp:simplePos x="0" y="0"/>
                  <wp:positionH relativeFrom="column">
                    <wp:posOffset>775335</wp:posOffset>
                  </wp:positionH>
                  <wp:positionV relativeFrom="paragraph">
                    <wp:posOffset>1306830</wp:posOffset>
                  </wp:positionV>
                  <wp:extent cx="3985260" cy="2988310"/>
                  <wp:effectExtent l="0" t="0" r="15240" b="2540"/>
                  <wp:wrapTopAndBottom/>
                  <wp:docPr id="12" name="图片 12" descr="18aba181a3eab85e4629cf8db84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8aba181a3eab85e4629cf8db841329"/>
                          <pic:cNvPicPr>
                            <a:picLocks noChangeAspect="1"/>
                          </pic:cNvPicPr>
                        </pic:nvPicPr>
                        <pic:blipFill>
                          <a:blip r:embed="rId11"/>
                          <a:stretch>
                            <a:fillRect/>
                          </a:stretch>
                        </pic:blipFill>
                        <pic:spPr>
                          <a:xfrm>
                            <a:off x="0" y="0"/>
                            <a:ext cx="3985260" cy="2988310"/>
                          </a:xfrm>
                          <a:prstGeom prst="rect">
                            <a:avLst/>
                          </a:prstGeom>
                        </pic:spPr>
                      </pic:pic>
                    </a:graphicData>
                  </a:graphic>
                </wp:anchor>
              </w:drawing>
            </w:r>
            <w:r>
              <w:rPr>
                <w:rFonts w:hint="eastAsia" w:ascii="Times New Roman" w:hAnsi="Times New Roman" w:cs="Times New Roman"/>
                <w:b/>
                <w:bCs/>
                <w:spacing w:val="-3"/>
                <w:sz w:val="24"/>
                <w:szCs w:val="24"/>
                <w:lang w:val="en-US" w:eastAsia="zh-CN"/>
              </w:rPr>
              <w:t>2、建设地点：</w:t>
            </w:r>
            <w:r>
              <w:rPr>
                <w:rFonts w:hint="eastAsia" w:ascii="Times New Roman" w:hAnsi="Times New Roman" w:cs="Times New Roman"/>
                <w:b w:val="0"/>
                <w:bCs w:val="0"/>
                <w:spacing w:val="-3"/>
                <w:sz w:val="24"/>
                <w:szCs w:val="24"/>
                <w:lang w:val="en-US" w:eastAsia="zh-CN"/>
              </w:rPr>
              <w:t>线路位于河北省承德市围场满族蒙古族自治县城子镇、牌楼乡、燕格柏乡和半截塔镇。起点华能风电220kV升压站，中心坐标为：东经117°11′43.646″，北纬41°58′8.019″；终点牌楼500kV变电站，中心地理坐标为：东经117°28′50.248″，北纬41°56′10.521″。周边关系图见附图，周边环境见下图：</w:t>
            </w:r>
          </w:p>
          <w:p w14:paraId="3DC625FC">
            <w:pPr>
              <w:pStyle w:val="24"/>
              <w:keepNext w:val="0"/>
              <w:keepLines/>
              <w:pageBreakBefore w:val="0"/>
              <w:widowControl w:val="0"/>
              <w:numPr>
                <w:ilvl w:val="0"/>
                <w:numId w:val="0"/>
              </w:numPr>
              <w:kinsoku/>
              <w:wordWrap/>
              <w:overflowPunct/>
              <w:topLinePunct w:val="0"/>
              <w:bidi w:val="0"/>
              <w:adjustRightInd w:val="0"/>
              <w:snapToGrid w:val="0"/>
              <w:spacing w:before="36" w:line="418" w:lineRule="auto"/>
              <w:ind w:right="93" w:rightChars="0" w:firstLine="482" w:firstLineChars="200"/>
              <w:jc w:val="center"/>
              <w:rPr>
                <w:rFonts w:hint="eastAsia" w:ascii="Times New Roman" w:hAnsi="Times New Roman" w:eastAsia="宋体" w:cs="Times New Roman"/>
                <w:sz w:val="24"/>
                <w:szCs w:val="24"/>
                <w:highlight w:val="none"/>
                <w:lang w:val="en-US" w:eastAsia="zh-CN"/>
              </w:rPr>
            </w:pPr>
            <w:r>
              <w:rPr>
                <w:rFonts w:hint="default" w:ascii="Times New Roman" w:hAnsi="Times New Roman" w:cs="Times New Roman"/>
                <w:b/>
                <w:bCs/>
                <w:color w:val="auto"/>
                <w:sz w:val="24"/>
                <w:szCs w:val="24"/>
                <w:highlight w:val="none"/>
                <w:vertAlign w:val="baseline"/>
                <w:lang w:val="en-US" w:eastAsia="zh-CN"/>
              </w:rPr>
              <w:t>图2-1起点</w:t>
            </w:r>
            <w:r>
              <w:rPr>
                <w:rFonts w:hint="default" w:ascii="Times New Roman" w:hAnsi="Times New Roman" w:cs="Times New Roman"/>
                <w:b/>
                <w:bCs/>
                <w:spacing w:val="-3"/>
                <w:sz w:val="24"/>
                <w:szCs w:val="24"/>
                <w:lang w:val="en-US" w:eastAsia="zh-CN"/>
              </w:rPr>
              <w:t>华能风电220kV升压站</w:t>
            </w:r>
            <w:r>
              <w:rPr>
                <w:rFonts w:hint="default" w:ascii="Times New Roman" w:hAnsi="Times New Roman" w:eastAsia="宋体" w:cs="Times New Roman"/>
                <w:b/>
                <w:bCs/>
                <w:color w:val="auto"/>
                <w:sz w:val="24"/>
                <w:szCs w:val="24"/>
                <w:highlight w:val="none"/>
                <w:vertAlign w:val="baseline"/>
                <w:lang w:val="en-US" w:eastAsia="zh-CN"/>
              </w:rPr>
              <w:t>场址</w:t>
            </w:r>
            <w:r>
              <w:rPr>
                <w:rFonts w:hint="default" w:ascii="Times New Roman" w:hAnsi="Times New Roman" w:cs="Times New Roman"/>
                <w:b/>
                <w:bCs/>
                <w:color w:val="auto"/>
                <w:sz w:val="24"/>
                <w:szCs w:val="24"/>
                <w:highlight w:val="none"/>
                <w:vertAlign w:val="baseline"/>
                <w:lang w:val="en-US" w:eastAsia="zh-CN"/>
              </w:rPr>
              <w:t>现状图</w:t>
            </w:r>
          </w:p>
          <w:p w14:paraId="7438D6D2">
            <w:pPr>
              <w:pStyle w:val="24"/>
              <w:keepNext w:val="0"/>
              <w:keepLines/>
              <w:pageBreakBefore w:val="0"/>
              <w:widowControl w:val="0"/>
              <w:numPr>
                <w:ilvl w:val="0"/>
                <w:numId w:val="0"/>
              </w:numPr>
              <w:kinsoku/>
              <w:wordWrap/>
              <w:overflowPunct/>
              <w:topLinePunct w:val="0"/>
              <w:bidi w:val="0"/>
              <w:adjustRightInd w:val="0"/>
              <w:snapToGrid w:val="0"/>
              <w:spacing w:before="36" w:line="418" w:lineRule="auto"/>
              <w:ind w:left="529" w:leftChars="0" w:right="93" w:rightChars="0"/>
              <w:jc w:val="center"/>
              <w:rPr>
                <w:rFonts w:hint="eastAsia" w:ascii="Times New Roman" w:hAnsi="Times New Roman" w:cs="Times New Roman"/>
                <w:b/>
                <w:bCs/>
                <w:color w:val="auto"/>
                <w:sz w:val="24"/>
                <w:szCs w:val="24"/>
                <w:highlight w:val="none"/>
                <w:vertAlign w:val="baseline"/>
                <w:lang w:val="en-US" w:eastAsia="zh-CN"/>
              </w:rPr>
            </w:pPr>
            <w:r>
              <w:rPr>
                <w:rFonts w:hint="eastAsia" w:ascii="Times New Roman" w:hAnsi="Times New Roman" w:eastAsia="宋体" w:cs="Times New Roman"/>
                <w:sz w:val="24"/>
                <w:szCs w:val="24"/>
                <w:highlight w:val="none"/>
                <w:lang w:val="en-US" w:eastAsia="zh-CN"/>
              </w:rPr>
              <w:drawing>
                <wp:anchor distT="0" distB="0" distL="114300" distR="114300" simplePos="0" relativeHeight="251662336" behindDoc="0" locked="0" layoutInCell="1" allowOverlap="1">
                  <wp:simplePos x="0" y="0"/>
                  <wp:positionH relativeFrom="column">
                    <wp:posOffset>931545</wp:posOffset>
                  </wp:positionH>
                  <wp:positionV relativeFrom="paragraph">
                    <wp:posOffset>23495</wp:posOffset>
                  </wp:positionV>
                  <wp:extent cx="3487420" cy="1961515"/>
                  <wp:effectExtent l="0" t="0" r="17780" b="635"/>
                  <wp:wrapTopAndBottom/>
                  <wp:docPr id="13" name="图片 13" descr="ef3186efa6aa63a73e9c1971f4b5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f3186efa6aa63a73e9c1971f4b5c8b"/>
                          <pic:cNvPicPr>
                            <a:picLocks noChangeAspect="1"/>
                          </pic:cNvPicPr>
                        </pic:nvPicPr>
                        <pic:blipFill>
                          <a:blip r:embed="rId12"/>
                          <a:stretch>
                            <a:fillRect/>
                          </a:stretch>
                        </pic:blipFill>
                        <pic:spPr>
                          <a:xfrm>
                            <a:off x="0" y="0"/>
                            <a:ext cx="3487420" cy="1961515"/>
                          </a:xfrm>
                          <a:prstGeom prst="rect">
                            <a:avLst/>
                          </a:prstGeom>
                        </pic:spPr>
                      </pic:pic>
                    </a:graphicData>
                  </a:graphic>
                </wp:anchor>
              </w:drawing>
            </w:r>
            <w:r>
              <w:rPr>
                <w:rFonts w:hint="eastAsia" w:ascii="Times New Roman" w:hAnsi="Times New Roman" w:cs="Times New Roman"/>
                <w:b/>
                <w:bCs/>
                <w:color w:val="auto"/>
                <w:sz w:val="24"/>
                <w:szCs w:val="24"/>
                <w:highlight w:val="none"/>
                <w:vertAlign w:val="baseline"/>
                <w:lang w:val="en-US" w:eastAsia="zh-CN"/>
              </w:rPr>
              <w:t xml:space="preserve">图2-2  </w:t>
            </w:r>
            <w:r>
              <w:rPr>
                <w:rFonts w:hint="eastAsia" w:ascii="Times New Roman" w:hAnsi="Times New Roman" w:cs="Times New Roman"/>
                <w:b/>
                <w:bCs/>
                <w:spacing w:val="-3"/>
                <w:sz w:val="24"/>
                <w:szCs w:val="24"/>
                <w:lang w:val="en-US" w:eastAsia="zh-CN"/>
              </w:rPr>
              <w:t>牌楼500kV变电站</w:t>
            </w:r>
            <w:r>
              <w:rPr>
                <w:rFonts w:hint="eastAsia" w:ascii="Times New Roman" w:hAnsi="Times New Roman" w:cs="Times New Roman"/>
                <w:b/>
                <w:bCs/>
                <w:color w:val="auto"/>
                <w:sz w:val="24"/>
                <w:szCs w:val="24"/>
                <w:highlight w:val="none"/>
                <w:vertAlign w:val="baseline"/>
                <w:lang w:val="en-US" w:eastAsia="zh-CN"/>
              </w:rPr>
              <w:t>现场照片</w:t>
            </w:r>
          </w:p>
          <w:p w14:paraId="35E0B205">
            <w:pPr>
              <w:keepNext w:val="0"/>
              <w:keepLines/>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right="0" w:rightChars="0" w:firstLine="482" w:firstLineChars="200"/>
              <w:jc w:val="both"/>
              <w:textAlignment w:val="auto"/>
              <w:rPr>
                <w:rFonts w:hint="default" w:ascii="Times New Roman" w:hAnsi="Times New Roman" w:eastAsia="宋体" w:cs="Times New Roman"/>
                <w:b/>
                <w:bCs/>
                <w:color w:val="auto"/>
                <w:spacing w:val="0"/>
                <w:w w:val="100"/>
                <w:sz w:val="24"/>
                <w:szCs w:val="24"/>
                <w:highlight w:val="none"/>
                <w:lang w:val="en-US" w:eastAsia="zh-CN"/>
              </w:rPr>
            </w:pPr>
            <w:r>
              <w:rPr>
                <w:rFonts w:hint="default" w:ascii="Times New Roman" w:hAnsi="Times New Roman" w:eastAsia="宋体" w:cs="Times New Roman"/>
                <w:b/>
                <w:bCs/>
                <w:color w:val="auto"/>
                <w:spacing w:val="0"/>
                <w:w w:val="100"/>
                <w:kern w:val="2"/>
                <w:sz w:val="24"/>
                <w:szCs w:val="24"/>
                <w:lang w:val="en-US" w:eastAsia="zh-CN" w:bidi="ar-SA"/>
              </w:rPr>
              <w:t>3、</w:t>
            </w:r>
            <w:r>
              <w:rPr>
                <w:rFonts w:hint="default" w:ascii="Times New Roman" w:hAnsi="Times New Roman" w:eastAsia="宋体" w:cs="Times New Roman"/>
                <w:b/>
                <w:bCs/>
                <w:color w:val="auto"/>
                <w:spacing w:val="0"/>
                <w:w w:val="100"/>
                <w:sz w:val="24"/>
                <w:szCs w:val="24"/>
                <w:highlight w:val="none"/>
                <w:lang w:val="en-US" w:eastAsia="zh-CN"/>
              </w:rPr>
              <w:t>建设规模和内容</w:t>
            </w:r>
          </w:p>
          <w:p w14:paraId="3E9C268E">
            <w:pPr>
              <w:keepNext w:val="0"/>
              <w:keepLines/>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right="0" w:rightChars="0" w:firstLine="480" w:firstLineChars="200"/>
              <w:jc w:val="both"/>
              <w:textAlignment w:val="auto"/>
              <w:rPr>
                <w:rFonts w:hint="eastAsia" w:ascii="Times New Roman" w:hAnsi="Times New Roman" w:cs="Times New Roman"/>
                <w:b w:val="0"/>
                <w:bCs w:val="0"/>
                <w:spacing w:val="-3"/>
                <w:sz w:val="24"/>
                <w:szCs w:val="24"/>
                <w:lang w:val="en-US" w:eastAsia="zh-CN"/>
              </w:rPr>
            </w:pPr>
            <w:r>
              <w:rPr>
                <w:rFonts w:hint="eastAsia" w:ascii="Times New Roman" w:hAnsi="Times New Roman" w:eastAsia="宋体" w:cs="Times New Roman"/>
                <w:b w:val="0"/>
                <w:bCs w:val="0"/>
                <w:color w:val="auto"/>
                <w:spacing w:val="0"/>
                <w:w w:val="100"/>
                <w:sz w:val="24"/>
                <w:szCs w:val="24"/>
                <w:highlight w:val="none"/>
                <w:lang w:val="en-US" w:eastAsia="zh-CN"/>
              </w:rPr>
              <w:t>本项目为新建</w:t>
            </w:r>
            <w:r>
              <w:rPr>
                <w:rFonts w:hint="default" w:ascii="Times New Roman" w:hAnsi="Times New Roman" w:cs="Times New Roman"/>
                <w:b w:val="0"/>
                <w:bCs w:val="0"/>
                <w:spacing w:val="-3"/>
                <w:sz w:val="24"/>
                <w:szCs w:val="24"/>
                <w:lang w:val="en-US" w:eastAsia="zh-CN"/>
              </w:rPr>
              <w:t>华能风电220kV升压站</w:t>
            </w:r>
            <w:r>
              <w:rPr>
                <w:rFonts w:hint="eastAsia" w:ascii="Times New Roman" w:hAnsi="Times New Roman" w:cs="Times New Roman"/>
                <w:b w:val="0"/>
                <w:bCs w:val="0"/>
                <w:spacing w:val="-3"/>
                <w:sz w:val="24"/>
                <w:szCs w:val="24"/>
                <w:lang w:val="en-US" w:eastAsia="zh-CN"/>
              </w:rPr>
              <w:t>~牌楼500kV变电站线路工程；线路路径长度为29.9km，全线单回路铁塔架设。新建95基塔，其中直线塔62基，耐张塔33基；导线采用2×JL/G1A-630/45钢芯铝绞线。</w:t>
            </w:r>
          </w:p>
          <w:p w14:paraId="7D64F297">
            <w:pPr>
              <w:keepNext w:val="0"/>
              <w:keepLines/>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right="0" w:rightChars="0" w:firstLine="468" w:firstLineChars="200"/>
              <w:jc w:val="both"/>
              <w:textAlignment w:val="auto"/>
              <w:rPr>
                <w:rFonts w:hint="eastAsia" w:ascii="Times New Roman" w:hAnsi="Times New Roman" w:cs="Times New Roman"/>
                <w:b w:val="0"/>
                <w:bCs w:val="0"/>
                <w:spacing w:val="-3"/>
                <w:sz w:val="24"/>
                <w:szCs w:val="24"/>
                <w:lang w:val="en-US" w:eastAsia="zh-CN"/>
              </w:rPr>
            </w:pPr>
            <w:r>
              <w:rPr>
                <w:rFonts w:hint="eastAsia" w:ascii="Times New Roman" w:hAnsi="Times New Roman" w:cs="Times New Roman"/>
                <w:b w:val="0"/>
                <w:bCs w:val="0"/>
                <w:spacing w:val="-3"/>
                <w:sz w:val="24"/>
                <w:szCs w:val="24"/>
                <w:lang w:val="en-US" w:eastAsia="zh-CN"/>
              </w:rPr>
              <w:t>目前</w:t>
            </w:r>
            <w:r>
              <w:rPr>
                <w:rFonts w:hint="default" w:ascii="Times New Roman" w:hAnsi="Times New Roman" w:cs="Times New Roman"/>
                <w:b w:val="0"/>
                <w:bCs w:val="0"/>
                <w:spacing w:val="-3"/>
                <w:sz w:val="24"/>
                <w:szCs w:val="24"/>
                <w:lang w:val="en-US" w:eastAsia="zh-CN"/>
              </w:rPr>
              <w:t>华能风电220kV升压站</w:t>
            </w:r>
            <w:r>
              <w:rPr>
                <w:rFonts w:hint="eastAsia" w:ascii="Times New Roman" w:hAnsi="Times New Roman" w:cs="Times New Roman"/>
                <w:b w:val="0"/>
                <w:bCs w:val="0"/>
                <w:spacing w:val="-3"/>
                <w:sz w:val="24"/>
                <w:szCs w:val="24"/>
                <w:lang w:val="en-US" w:eastAsia="zh-CN"/>
              </w:rPr>
              <w:t>牌楼500kV变电站环评已批复但尚未建设。</w:t>
            </w:r>
          </w:p>
          <w:p w14:paraId="37899DF4">
            <w:pPr>
              <w:keepNext w:val="0"/>
              <w:keepLines/>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right="0" w:rightChars="0" w:firstLine="468" w:firstLineChars="200"/>
              <w:jc w:val="both"/>
              <w:textAlignment w:val="auto"/>
              <w:rPr>
                <w:rFonts w:hint="eastAsia" w:ascii="Times New Roman" w:hAnsi="Times New Roman" w:cs="Times New Roman"/>
                <w:b w:val="0"/>
                <w:bCs w:val="0"/>
                <w:spacing w:val="-3"/>
                <w:sz w:val="24"/>
                <w:szCs w:val="24"/>
                <w:lang w:val="en-US" w:eastAsia="zh-CN"/>
              </w:rPr>
            </w:pPr>
            <w:r>
              <w:rPr>
                <w:rFonts w:hint="eastAsia" w:ascii="Times New Roman" w:hAnsi="Times New Roman" w:cs="Times New Roman"/>
                <w:b w:val="0"/>
                <w:bCs w:val="0"/>
                <w:spacing w:val="-3"/>
                <w:sz w:val="24"/>
                <w:szCs w:val="24"/>
                <w:lang w:val="en-US" w:eastAsia="zh-CN"/>
              </w:rPr>
              <w:t>本工程主要技术、经济特性见下表：</w:t>
            </w:r>
          </w:p>
          <w:p w14:paraId="50C97493">
            <w:pPr>
              <w:keepNext w:val="0"/>
              <w:keepLines/>
              <w:pageBreakBefore w:val="0"/>
              <w:widowControl w:val="0"/>
              <w:kinsoku/>
              <w:wordWrap/>
              <w:overflowPunct/>
              <w:topLinePunct w:val="0"/>
              <w:autoSpaceDE/>
              <w:autoSpaceDN/>
              <w:bidi w:val="0"/>
              <w:adjustRightInd w:val="0"/>
              <w:snapToGrid w:val="0"/>
              <w:spacing w:beforeAutospacing="0" w:afterAutospacing="0" w:line="360" w:lineRule="auto"/>
              <w:ind w:right="0" w:firstLine="482" w:firstLineChars="20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b/>
                <w:bCs/>
                <w:color w:val="auto"/>
                <w:spacing w:val="0"/>
                <w:w w:val="100"/>
                <w:sz w:val="24"/>
                <w:szCs w:val="24"/>
                <w:highlight w:val="none"/>
                <w:lang w:val="en-US" w:eastAsia="zh-CN"/>
              </w:rPr>
              <w:t>表</w:t>
            </w:r>
            <w:r>
              <w:rPr>
                <w:rFonts w:hint="eastAsia" w:ascii="Times New Roman" w:hAnsi="Times New Roman" w:eastAsia="宋体" w:cs="Times New Roman"/>
                <w:b/>
                <w:bCs/>
                <w:color w:val="auto"/>
                <w:spacing w:val="0"/>
                <w:w w:val="100"/>
                <w:sz w:val="24"/>
                <w:szCs w:val="24"/>
                <w:highlight w:val="none"/>
                <w:lang w:val="en-US" w:eastAsia="zh-CN"/>
              </w:rPr>
              <w:t>2</w:t>
            </w:r>
            <w:r>
              <w:rPr>
                <w:rFonts w:hint="default" w:ascii="Times New Roman" w:hAnsi="Times New Roman" w:eastAsia="宋体" w:cs="Times New Roman"/>
                <w:b/>
                <w:bCs/>
                <w:color w:val="auto"/>
                <w:spacing w:val="0"/>
                <w:w w:val="100"/>
                <w:sz w:val="24"/>
                <w:szCs w:val="24"/>
                <w:highlight w:val="none"/>
                <w:lang w:val="en-US" w:eastAsia="zh-CN"/>
              </w:rPr>
              <w:t>-1</w:t>
            </w:r>
            <w:r>
              <w:rPr>
                <w:rFonts w:hint="eastAsia" w:ascii="Times New Roman" w:hAnsi="Times New Roman" w:eastAsia="宋体" w:cs="Times New Roman"/>
                <w:b/>
                <w:bCs/>
                <w:color w:val="auto"/>
                <w:spacing w:val="0"/>
                <w:w w:val="100"/>
                <w:sz w:val="24"/>
                <w:szCs w:val="24"/>
                <w:highlight w:val="none"/>
                <w:lang w:val="en-US" w:eastAsia="zh-CN"/>
              </w:rPr>
              <w:t>本项目线路</w:t>
            </w:r>
            <w:r>
              <w:rPr>
                <w:rFonts w:hint="default" w:ascii="Times New Roman" w:hAnsi="Times New Roman" w:eastAsia="宋体" w:cs="Times New Roman"/>
                <w:b/>
                <w:bCs/>
                <w:color w:val="auto"/>
                <w:spacing w:val="0"/>
                <w:w w:val="100"/>
                <w:sz w:val="24"/>
                <w:szCs w:val="24"/>
                <w:highlight w:val="none"/>
                <w:lang w:val="en-US" w:eastAsia="zh-CN"/>
              </w:rPr>
              <w:t>工程概况</w:t>
            </w:r>
          </w:p>
          <w:tbl>
            <w:tblPr>
              <w:tblStyle w:val="25"/>
              <w:tblpPr w:leftFromText="180" w:rightFromText="180" w:vertAnchor="text" w:horzAnchor="page" w:tblpX="34" w:tblpY="467"/>
              <w:tblOverlap w:val="never"/>
              <w:tblW w:w="4949" w:type="pct"/>
              <w:tblInd w:w="0" w:type="dxa"/>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1944"/>
              <w:gridCol w:w="6697"/>
            </w:tblGrid>
            <w:tr w14:paraId="6FECF9B3">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84" w:hRule="atLeast"/>
              </w:trPr>
              <w:tc>
                <w:tcPr>
                  <w:tcW w:w="1124" w:type="pct"/>
                  <w:tcBorders>
                    <w:tl2br w:val="nil"/>
                    <w:tr2bl w:val="nil"/>
                  </w:tcBorders>
                  <w:noWrap w:val="0"/>
                  <w:vAlign w:val="center"/>
                </w:tcPr>
                <w:p w14:paraId="330BF8B1">
                  <w:pPr>
                    <w:keepNext w:val="0"/>
                    <w:keepLines/>
                    <w:pageBreakBefore w:val="0"/>
                    <w:widowControl w:val="0"/>
                    <w:kinsoku/>
                    <w:wordWrap/>
                    <w:overflowPunct/>
                    <w:topLinePunct w:val="0"/>
                    <w:bidi w:val="0"/>
                    <w:adjustRightInd w:val="0"/>
                    <w:snapToGrid w:val="0"/>
                    <w:spacing w:before="62" w:line="360" w:lineRule="auto"/>
                    <w:jc w:val="center"/>
                    <w:rPr>
                      <w:rFonts w:ascii="宋体" w:hAnsi="宋体" w:eastAsia="宋体" w:cs="宋体"/>
                      <w:sz w:val="21"/>
                      <w:szCs w:val="21"/>
                      <w:highlight w:val="none"/>
                    </w:rPr>
                  </w:pPr>
                  <w:r>
                    <w:rPr>
                      <w:rFonts w:ascii="宋体" w:hAnsi="宋体" w:eastAsia="宋体" w:cs="宋体"/>
                      <w:spacing w:val="-3"/>
                      <w:sz w:val="21"/>
                      <w:szCs w:val="21"/>
                      <w:highlight w:val="none"/>
                    </w:rPr>
                    <w:t>线</w:t>
                  </w:r>
                  <w:r>
                    <w:rPr>
                      <w:rFonts w:ascii="宋体" w:hAnsi="宋体" w:eastAsia="宋体" w:cs="宋体"/>
                      <w:spacing w:val="-2"/>
                      <w:sz w:val="21"/>
                      <w:szCs w:val="21"/>
                      <w:highlight w:val="none"/>
                    </w:rPr>
                    <w:t>路名称</w:t>
                  </w:r>
                  <w:r>
                    <w:rPr>
                      <w:rFonts w:ascii="宋体" w:hAnsi="宋体" w:eastAsia="宋体" w:cs="宋体"/>
                      <w:spacing w:val="13"/>
                      <w:sz w:val="21"/>
                      <w:szCs w:val="21"/>
                      <w:highlight w:val="none"/>
                    </w:rPr>
                    <w:t>项</w:t>
                  </w:r>
                  <w:r>
                    <w:rPr>
                      <w:rFonts w:ascii="宋体" w:hAnsi="宋体" w:eastAsia="宋体" w:cs="宋体"/>
                      <w:spacing w:val="12"/>
                      <w:sz w:val="21"/>
                      <w:szCs w:val="21"/>
                      <w:highlight w:val="none"/>
                    </w:rPr>
                    <w:t>目</w:t>
                  </w:r>
                </w:p>
              </w:tc>
              <w:tc>
                <w:tcPr>
                  <w:tcW w:w="3875" w:type="pct"/>
                  <w:tcBorders>
                    <w:tl2br w:val="nil"/>
                    <w:tr2bl w:val="nil"/>
                  </w:tcBorders>
                  <w:noWrap w:val="0"/>
                  <w:vAlign w:val="center"/>
                </w:tcPr>
                <w:p w14:paraId="0A4F9EBA">
                  <w:pPr>
                    <w:pStyle w:val="24"/>
                    <w:keepNext w:val="0"/>
                    <w:keepLines/>
                    <w:pageBreakBefore w:val="0"/>
                    <w:widowControl w:val="0"/>
                    <w:kinsoku/>
                    <w:wordWrap/>
                    <w:overflowPunct/>
                    <w:topLinePunct w:val="0"/>
                    <w:bidi w:val="0"/>
                    <w:adjustRightInd w:val="0"/>
                    <w:snapToGrid w:val="0"/>
                    <w:spacing w:before="92" w:line="220" w:lineRule="auto"/>
                    <w:jc w:val="center"/>
                    <w:rPr>
                      <w:rFonts w:hint="eastAsia" w:ascii="宋体" w:hAnsi="宋体" w:eastAsia="宋体" w:cs="宋体"/>
                      <w:b/>
                      <w:bCs/>
                      <w:spacing w:val="-3"/>
                      <w:kern w:val="2"/>
                      <w:sz w:val="21"/>
                      <w:szCs w:val="21"/>
                      <w:vertAlign w:val="baseline"/>
                      <w:lang w:val="en-US" w:eastAsia="en-US" w:bidi="ar-SA"/>
                    </w:rPr>
                  </w:pPr>
                  <w:r>
                    <w:rPr>
                      <w:rFonts w:hint="default" w:ascii="Times New Roman" w:hAnsi="Times New Roman" w:eastAsia="宋体" w:cs="Times New Roman"/>
                      <w:sz w:val="21"/>
                      <w:szCs w:val="21"/>
                      <w:highlight w:val="none"/>
                    </w:rPr>
                    <w:t>华能围场“风光储氢热一体化”项目（风电200MW）项目220kV送出线路工程</w:t>
                  </w:r>
                </w:p>
              </w:tc>
            </w:tr>
            <w:tr w14:paraId="61E04167">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7" w:hRule="atLeast"/>
              </w:trPr>
              <w:tc>
                <w:tcPr>
                  <w:tcW w:w="1124" w:type="pct"/>
                  <w:tcBorders>
                    <w:tl2br w:val="nil"/>
                    <w:tr2bl w:val="nil"/>
                  </w:tcBorders>
                  <w:noWrap w:val="0"/>
                  <w:vAlign w:val="center"/>
                </w:tcPr>
                <w:p w14:paraId="6D45CEA2">
                  <w:pPr>
                    <w:keepNext w:val="0"/>
                    <w:keepLines/>
                    <w:pageBreakBefore w:val="0"/>
                    <w:widowControl w:val="0"/>
                    <w:kinsoku/>
                    <w:wordWrap/>
                    <w:overflowPunct/>
                    <w:topLinePunct w:val="0"/>
                    <w:bidi w:val="0"/>
                    <w:adjustRightInd w:val="0"/>
                    <w:snapToGrid w:val="0"/>
                    <w:spacing w:before="95" w:line="360" w:lineRule="auto"/>
                    <w:jc w:val="center"/>
                    <w:rPr>
                      <w:rFonts w:ascii="宋体" w:hAnsi="宋体" w:eastAsia="宋体" w:cs="宋体"/>
                      <w:sz w:val="21"/>
                      <w:szCs w:val="21"/>
                      <w:highlight w:val="none"/>
                    </w:rPr>
                  </w:pPr>
                  <w:r>
                    <w:rPr>
                      <w:rFonts w:ascii="宋体" w:hAnsi="宋体" w:eastAsia="宋体" w:cs="宋体"/>
                      <w:spacing w:val="-2"/>
                      <w:sz w:val="21"/>
                      <w:szCs w:val="21"/>
                      <w:highlight w:val="none"/>
                    </w:rPr>
                    <w:t>起点</w:t>
                  </w:r>
                </w:p>
              </w:tc>
              <w:tc>
                <w:tcPr>
                  <w:tcW w:w="3875" w:type="pct"/>
                  <w:tcBorders>
                    <w:tl2br w:val="nil"/>
                    <w:tr2bl w:val="nil"/>
                  </w:tcBorders>
                  <w:noWrap w:val="0"/>
                  <w:vAlign w:val="center"/>
                </w:tcPr>
                <w:p w14:paraId="649C8DB4">
                  <w:pPr>
                    <w:pStyle w:val="24"/>
                    <w:keepNext w:val="0"/>
                    <w:keepLines/>
                    <w:pageBreakBefore w:val="0"/>
                    <w:widowControl w:val="0"/>
                    <w:kinsoku/>
                    <w:wordWrap/>
                    <w:overflowPunct/>
                    <w:topLinePunct w:val="0"/>
                    <w:bidi w:val="0"/>
                    <w:adjustRightInd w:val="0"/>
                    <w:snapToGrid w:val="0"/>
                    <w:spacing w:before="100" w:line="220" w:lineRule="auto"/>
                    <w:jc w:val="center"/>
                    <w:rPr>
                      <w:rFonts w:hint="eastAsia" w:ascii="宋体" w:hAnsi="宋体" w:eastAsia="宋体" w:cs="宋体"/>
                      <w:b/>
                      <w:bCs/>
                      <w:spacing w:val="-3"/>
                      <w:kern w:val="2"/>
                      <w:sz w:val="21"/>
                      <w:szCs w:val="21"/>
                      <w:vertAlign w:val="baseline"/>
                      <w:lang w:val="en-US" w:eastAsia="zh-CN" w:bidi="ar-SA"/>
                    </w:rPr>
                  </w:pPr>
                  <w:r>
                    <w:rPr>
                      <w:rFonts w:hint="default" w:ascii="Times New Roman" w:hAnsi="Times New Roman" w:eastAsia="宋体" w:cs="Times New Roman"/>
                      <w:spacing w:val="-2"/>
                      <w:sz w:val="21"/>
                      <w:szCs w:val="21"/>
                    </w:rPr>
                    <w:t>华能风电220kV升压站</w:t>
                  </w:r>
                </w:p>
              </w:tc>
            </w:tr>
            <w:tr w14:paraId="6B26485D">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18" w:hRule="atLeast"/>
              </w:trPr>
              <w:tc>
                <w:tcPr>
                  <w:tcW w:w="1124" w:type="pct"/>
                  <w:tcBorders>
                    <w:tl2br w:val="nil"/>
                    <w:tr2bl w:val="nil"/>
                  </w:tcBorders>
                  <w:noWrap w:val="0"/>
                  <w:vAlign w:val="center"/>
                </w:tcPr>
                <w:p w14:paraId="44F5A1DB">
                  <w:pPr>
                    <w:keepNext w:val="0"/>
                    <w:keepLines/>
                    <w:pageBreakBefore w:val="0"/>
                    <w:widowControl w:val="0"/>
                    <w:kinsoku/>
                    <w:wordWrap/>
                    <w:overflowPunct/>
                    <w:topLinePunct w:val="0"/>
                    <w:bidi w:val="0"/>
                    <w:adjustRightInd w:val="0"/>
                    <w:snapToGrid w:val="0"/>
                    <w:spacing w:before="95" w:line="360" w:lineRule="auto"/>
                    <w:jc w:val="center"/>
                    <w:rPr>
                      <w:rFonts w:ascii="宋体" w:hAnsi="宋体" w:eastAsia="宋体" w:cs="宋体"/>
                      <w:sz w:val="21"/>
                      <w:szCs w:val="21"/>
                      <w:highlight w:val="none"/>
                    </w:rPr>
                  </w:pPr>
                  <w:r>
                    <w:rPr>
                      <w:rFonts w:ascii="宋体" w:hAnsi="宋体" w:eastAsia="宋体" w:cs="宋体"/>
                      <w:spacing w:val="-3"/>
                      <w:sz w:val="21"/>
                      <w:szCs w:val="21"/>
                      <w:highlight w:val="none"/>
                    </w:rPr>
                    <w:t>终</w:t>
                  </w:r>
                  <w:r>
                    <w:rPr>
                      <w:rFonts w:ascii="宋体" w:hAnsi="宋体" w:eastAsia="宋体" w:cs="宋体"/>
                      <w:spacing w:val="-2"/>
                      <w:sz w:val="21"/>
                      <w:szCs w:val="21"/>
                      <w:highlight w:val="none"/>
                    </w:rPr>
                    <w:t>点</w:t>
                  </w:r>
                </w:p>
              </w:tc>
              <w:tc>
                <w:tcPr>
                  <w:tcW w:w="3875" w:type="pct"/>
                  <w:tcBorders>
                    <w:tl2br w:val="nil"/>
                    <w:tr2bl w:val="nil"/>
                  </w:tcBorders>
                  <w:noWrap w:val="0"/>
                  <w:vAlign w:val="center"/>
                </w:tcPr>
                <w:p w14:paraId="48316425">
                  <w:pPr>
                    <w:pStyle w:val="24"/>
                    <w:keepNext w:val="0"/>
                    <w:keepLines/>
                    <w:pageBreakBefore w:val="0"/>
                    <w:widowControl w:val="0"/>
                    <w:kinsoku/>
                    <w:wordWrap/>
                    <w:overflowPunct/>
                    <w:topLinePunct w:val="0"/>
                    <w:bidi w:val="0"/>
                    <w:adjustRightInd w:val="0"/>
                    <w:snapToGrid w:val="0"/>
                    <w:spacing w:before="102" w:line="221" w:lineRule="auto"/>
                    <w:jc w:val="center"/>
                    <w:rPr>
                      <w:rFonts w:hint="eastAsia" w:ascii="宋体" w:hAnsi="宋体" w:eastAsia="宋体" w:cs="宋体"/>
                      <w:b/>
                      <w:bCs/>
                      <w:spacing w:val="-3"/>
                      <w:kern w:val="2"/>
                      <w:sz w:val="21"/>
                      <w:szCs w:val="21"/>
                      <w:vertAlign w:val="baseline"/>
                      <w:lang w:val="en-US" w:eastAsia="zh-CN" w:bidi="ar-SA"/>
                    </w:rPr>
                  </w:pPr>
                  <w:r>
                    <w:rPr>
                      <w:rFonts w:hint="default" w:ascii="Times New Roman" w:hAnsi="Times New Roman" w:eastAsia="宋体" w:cs="Times New Roman"/>
                      <w:spacing w:val="-2"/>
                      <w:sz w:val="21"/>
                      <w:szCs w:val="21"/>
                    </w:rPr>
                    <w:t>牌楼500kV变电站</w:t>
                  </w:r>
                </w:p>
              </w:tc>
            </w:tr>
            <w:tr w14:paraId="0BDEB80D">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25" w:hRule="atLeast"/>
              </w:trPr>
              <w:tc>
                <w:tcPr>
                  <w:tcW w:w="1124" w:type="pct"/>
                  <w:tcBorders>
                    <w:tl2br w:val="nil"/>
                    <w:tr2bl w:val="nil"/>
                  </w:tcBorders>
                  <w:noWrap w:val="0"/>
                  <w:vAlign w:val="center"/>
                </w:tcPr>
                <w:p w14:paraId="4E004EA6">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val="en-US" w:eastAsia="zh-CN"/>
                    </w:rPr>
                    <w:t>途经乡镇</w:t>
                  </w:r>
                </w:p>
              </w:tc>
              <w:tc>
                <w:tcPr>
                  <w:tcW w:w="3875" w:type="pct"/>
                  <w:tcBorders>
                    <w:tl2br w:val="nil"/>
                    <w:tr2bl w:val="nil"/>
                  </w:tcBorders>
                  <w:noWrap w:val="0"/>
                  <w:vAlign w:val="center"/>
                </w:tcPr>
                <w:p w14:paraId="24864DA2">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城子镇、牌楼乡、燕格柏乡和半截塔镇。</w:t>
                  </w:r>
                </w:p>
              </w:tc>
            </w:tr>
            <w:tr w14:paraId="2F5BEC76">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5" w:hRule="atLeast"/>
              </w:trPr>
              <w:tc>
                <w:tcPr>
                  <w:tcW w:w="1124" w:type="pct"/>
                  <w:tcBorders>
                    <w:tl2br w:val="nil"/>
                    <w:tr2bl w:val="nil"/>
                  </w:tcBorders>
                  <w:noWrap w:val="0"/>
                  <w:vAlign w:val="center"/>
                </w:tcPr>
                <w:p w14:paraId="5A315681">
                  <w:pPr>
                    <w:keepNext w:val="0"/>
                    <w:keepLines/>
                    <w:pageBreakBefore w:val="0"/>
                    <w:widowControl w:val="0"/>
                    <w:kinsoku/>
                    <w:wordWrap/>
                    <w:overflowPunct/>
                    <w:topLinePunct w:val="0"/>
                    <w:bidi w:val="0"/>
                    <w:adjustRightInd w:val="0"/>
                    <w:snapToGrid w:val="0"/>
                    <w:spacing w:before="96" w:line="360" w:lineRule="auto"/>
                    <w:jc w:val="center"/>
                    <w:rPr>
                      <w:rFonts w:hint="eastAsia" w:ascii="Times New Roman" w:hAnsi="Times New Roman" w:eastAsia="宋体" w:cs="Times New Roman"/>
                      <w:sz w:val="21"/>
                      <w:szCs w:val="21"/>
                      <w:highlight w:val="none"/>
                      <w:lang w:eastAsia="zh-CN"/>
                    </w:rPr>
                  </w:pPr>
                  <w:r>
                    <w:rPr>
                      <w:rFonts w:ascii="宋体" w:hAnsi="宋体" w:eastAsia="宋体" w:cs="宋体"/>
                      <w:spacing w:val="-1"/>
                      <w:sz w:val="21"/>
                      <w:szCs w:val="21"/>
                      <w:highlight w:val="none"/>
                    </w:rPr>
                    <w:t>电压</w:t>
                  </w:r>
                  <w:r>
                    <w:rPr>
                      <w:rFonts w:hint="eastAsia" w:ascii="Times New Roman" w:hAnsi="Times New Roman" w:eastAsia="宋体" w:cs="Times New Roman"/>
                      <w:spacing w:val="-1"/>
                      <w:sz w:val="21"/>
                      <w:szCs w:val="21"/>
                      <w:highlight w:val="none"/>
                      <w:lang w:val="en-US" w:eastAsia="zh-CN"/>
                    </w:rPr>
                    <w:t>等级</w:t>
                  </w:r>
                </w:p>
              </w:tc>
              <w:tc>
                <w:tcPr>
                  <w:tcW w:w="3875" w:type="pct"/>
                  <w:tcBorders>
                    <w:tl2br w:val="nil"/>
                    <w:tr2bl w:val="nil"/>
                  </w:tcBorders>
                  <w:noWrap w:val="0"/>
                  <w:vAlign w:val="center"/>
                </w:tcPr>
                <w:p w14:paraId="081DCAB7">
                  <w:pPr>
                    <w:keepNext w:val="0"/>
                    <w:keepLines/>
                    <w:pageBreakBefore w:val="0"/>
                    <w:widowControl w:val="0"/>
                    <w:kinsoku/>
                    <w:wordWrap/>
                    <w:overflowPunct/>
                    <w:topLinePunct w:val="0"/>
                    <w:bidi w:val="0"/>
                    <w:adjustRightInd w:val="0"/>
                    <w:snapToGrid w:val="0"/>
                    <w:spacing w:before="131" w:line="360" w:lineRule="auto"/>
                    <w:jc w:val="center"/>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w:t>
                  </w:r>
                  <w:r>
                    <w:rPr>
                      <w:rFonts w:ascii="Times New Roman" w:hAnsi="Times New Roman" w:eastAsia="Times New Roman" w:cs="Times New Roman"/>
                      <w:sz w:val="21"/>
                      <w:szCs w:val="21"/>
                      <w:highlight w:val="none"/>
                    </w:rPr>
                    <w:t>20kV</w:t>
                  </w:r>
                </w:p>
              </w:tc>
            </w:tr>
            <w:tr w14:paraId="32FC8E7E">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8" w:hRule="atLeast"/>
              </w:trPr>
              <w:tc>
                <w:tcPr>
                  <w:tcW w:w="1124" w:type="pct"/>
                  <w:tcBorders>
                    <w:tl2br w:val="nil"/>
                    <w:tr2bl w:val="nil"/>
                  </w:tcBorders>
                  <w:noWrap w:val="0"/>
                  <w:vAlign w:val="center"/>
                </w:tcPr>
                <w:p w14:paraId="6BA1510C">
                  <w:pPr>
                    <w:keepNext w:val="0"/>
                    <w:keepLines/>
                    <w:pageBreakBefore w:val="0"/>
                    <w:widowControl w:val="0"/>
                    <w:kinsoku/>
                    <w:wordWrap/>
                    <w:overflowPunct/>
                    <w:topLinePunct w:val="0"/>
                    <w:bidi w:val="0"/>
                    <w:adjustRightInd w:val="0"/>
                    <w:snapToGrid w:val="0"/>
                    <w:spacing w:before="96" w:line="360" w:lineRule="auto"/>
                    <w:jc w:val="center"/>
                    <w:rPr>
                      <w:rFonts w:ascii="宋体" w:hAnsi="宋体" w:eastAsia="宋体" w:cs="宋体"/>
                      <w:sz w:val="21"/>
                      <w:szCs w:val="21"/>
                      <w:highlight w:val="none"/>
                    </w:rPr>
                  </w:pPr>
                  <w:r>
                    <w:rPr>
                      <w:rFonts w:ascii="宋体" w:hAnsi="宋体" w:eastAsia="宋体" w:cs="宋体"/>
                      <w:spacing w:val="-2"/>
                      <w:sz w:val="21"/>
                      <w:szCs w:val="21"/>
                      <w:highlight w:val="none"/>
                    </w:rPr>
                    <w:t>线路性质</w:t>
                  </w:r>
                </w:p>
              </w:tc>
              <w:tc>
                <w:tcPr>
                  <w:tcW w:w="3875" w:type="pct"/>
                  <w:tcBorders>
                    <w:tl2br w:val="nil"/>
                    <w:tr2bl w:val="nil"/>
                  </w:tcBorders>
                  <w:noWrap w:val="0"/>
                  <w:vAlign w:val="center"/>
                </w:tcPr>
                <w:p w14:paraId="006FBDF1">
                  <w:pPr>
                    <w:keepNext w:val="0"/>
                    <w:keepLines/>
                    <w:pageBreakBefore w:val="0"/>
                    <w:widowControl w:val="0"/>
                    <w:kinsoku/>
                    <w:wordWrap/>
                    <w:overflowPunct/>
                    <w:topLinePunct w:val="0"/>
                    <w:bidi w:val="0"/>
                    <w:adjustRightInd w:val="0"/>
                    <w:snapToGrid w:val="0"/>
                    <w:spacing w:before="96" w:line="360" w:lineRule="auto"/>
                    <w:jc w:val="center"/>
                    <w:rPr>
                      <w:rFonts w:hint="eastAsia" w:ascii="宋体" w:hAnsi="宋体" w:eastAsia="宋体" w:cs="宋体"/>
                      <w:sz w:val="21"/>
                      <w:szCs w:val="21"/>
                      <w:highlight w:val="none"/>
                      <w:lang w:eastAsia="zh-CN"/>
                    </w:rPr>
                  </w:pPr>
                  <w:r>
                    <w:rPr>
                      <w:rFonts w:hint="eastAsia" w:ascii="宋体" w:hAnsi="宋体" w:eastAsia="宋体" w:cs="宋体"/>
                      <w:spacing w:val="-3"/>
                      <w:sz w:val="21"/>
                      <w:szCs w:val="21"/>
                      <w:highlight w:val="none"/>
                      <w:lang w:val="en-US" w:eastAsia="zh-CN"/>
                    </w:rPr>
                    <w:t>架空线路</w:t>
                  </w:r>
                </w:p>
              </w:tc>
            </w:tr>
            <w:tr w14:paraId="50DD694A">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8" w:hRule="atLeast"/>
              </w:trPr>
              <w:tc>
                <w:tcPr>
                  <w:tcW w:w="1124" w:type="pct"/>
                  <w:tcBorders>
                    <w:tl2br w:val="nil"/>
                    <w:tr2bl w:val="nil"/>
                  </w:tcBorders>
                  <w:noWrap w:val="0"/>
                  <w:vAlign w:val="center"/>
                </w:tcPr>
                <w:p w14:paraId="615AC060">
                  <w:pPr>
                    <w:keepNext w:val="0"/>
                    <w:keepLines/>
                    <w:pageBreakBefore w:val="0"/>
                    <w:widowControl w:val="0"/>
                    <w:kinsoku/>
                    <w:wordWrap/>
                    <w:overflowPunct/>
                    <w:topLinePunct w:val="0"/>
                    <w:bidi w:val="0"/>
                    <w:adjustRightInd w:val="0"/>
                    <w:snapToGrid w:val="0"/>
                    <w:spacing w:before="96" w:line="360" w:lineRule="auto"/>
                    <w:jc w:val="center"/>
                    <w:rPr>
                      <w:rFonts w:ascii="宋体" w:hAnsi="宋体" w:eastAsia="宋体" w:cs="宋体"/>
                      <w:sz w:val="21"/>
                      <w:szCs w:val="21"/>
                      <w:highlight w:val="none"/>
                    </w:rPr>
                  </w:pPr>
                  <w:r>
                    <w:rPr>
                      <w:rFonts w:ascii="宋体" w:hAnsi="宋体" w:eastAsia="宋体" w:cs="宋体"/>
                      <w:spacing w:val="-2"/>
                      <w:sz w:val="21"/>
                      <w:szCs w:val="21"/>
                      <w:highlight w:val="none"/>
                    </w:rPr>
                    <w:t>线路回</w:t>
                  </w:r>
                  <w:r>
                    <w:rPr>
                      <w:rFonts w:ascii="宋体" w:hAnsi="宋体" w:eastAsia="宋体" w:cs="宋体"/>
                      <w:spacing w:val="-1"/>
                      <w:sz w:val="21"/>
                      <w:szCs w:val="21"/>
                      <w:highlight w:val="none"/>
                    </w:rPr>
                    <w:t>路数</w:t>
                  </w:r>
                </w:p>
              </w:tc>
              <w:tc>
                <w:tcPr>
                  <w:tcW w:w="3875" w:type="pct"/>
                  <w:tcBorders>
                    <w:tl2br w:val="nil"/>
                    <w:tr2bl w:val="nil"/>
                  </w:tcBorders>
                  <w:noWrap w:val="0"/>
                  <w:vAlign w:val="center"/>
                </w:tcPr>
                <w:p w14:paraId="6BD5844F">
                  <w:pPr>
                    <w:keepNext w:val="0"/>
                    <w:keepLines/>
                    <w:pageBreakBefore w:val="0"/>
                    <w:widowControl w:val="0"/>
                    <w:kinsoku/>
                    <w:wordWrap/>
                    <w:overflowPunct/>
                    <w:topLinePunct w:val="0"/>
                    <w:bidi w:val="0"/>
                    <w:adjustRightInd w:val="0"/>
                    <w:snapToGrid w:val="0"/>
                    <w:spacing w:before="96" w:line="360" w:lineRule="auto"/>
                    <w:jc w:val="center"/>
                    <w:rPr>
                      <w:rFonts w:ascii="宋体" w:hAnsi="宋体" w:eastAsia="宋体" w:cs="宋体"/>
                      <w:sz w:val="21"/>
                      <w:szCs w:val="21"/>
                      <w:highlight w:val="none"/>
                    </w:rPr>
                  </w:pPr>
                  <w:r>
                    <w:rPr>
                      <w:rFonts w:hint="eastAsia" w:ascii="宋体" w:hAnsi="宋体" w:eastAsia="宋体" w:cs="宋体"/>
                      <w:spacing w:val="-2"/>
                      <w:sz w:val="21"/>
                      <w:szCs w:val="21"/>
                      <w:highlight w:val="none"/>
                      <w:lang w:val="en-US" w:eastAsia="zh-CN"/>
                    </w:rPr>
                    <w:t>同塔单</w:t>
                  </w:r>
                  <w:r>
                    <w:rPr>
                      <w:rFonts w:ascii="宋体" w:hAnsi="宋体" w:eastAsia="宋体" w:cs="宋体"/>
                      <w:spacing w:val="-2"/>
                      <w:sz w:val="21"/>
                      <w:szCs w:val="21"/>
                      <w:highlight w:val="none"/>
                    </w:rPr>
                    <w:t>回</w:t>
                  </w:r>
                  <w:r>
                    <w:rPr>
                      <w:rFonts w:ascii="宋体" w:hAnsi="宋体" w:eastAsia="宋体" w:cs="宋体"/>
                      <w:spacing w:val="-1"/>
                      <w:sz w:val="21"/>
                      <w:szCs w:val="21"/>
                      <w:highlight w:val="none"/>
                    </w:rPr>
                    <w:t>路</w:t>
                  </w:r>
                </w:p>
              </w:tc>
            </w:tr>
            <w:tr w14:paraId="5BBC6747">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6" w:hRule="atLeast"/>
              </w:trPr>
              <w:tc>
                <w:tcPr>
                  <w:tcW w:w="1124" w:type="pct"/>
                  <w:tcBorders>
                    <w:tl2br w:val="nil"/>
                    <w:tr2bl w:val="nil"/>
                  </w:tcBorders>
                  <w:noWrap w:val="0"/>
                  <w:vAlign w:val="center"/>
                </w:tcPr>
                <w:p w14:paraId="300EE5D0">
                  <w:pPr>
                    <w:keepNext w:val="0"/>
                    <w:keepLines/>
                    <w:pageBreakBefore w:val="0"/>
                    <w:widowControl w:val="0"/>
                    <w:kinsoku/>
                    <w:wordWrap/>
                    <w:overflowPunct/>
                    <w:topLinePunct w:val="0"/>
                    <w:bidi w:val="0"/>
                    <w:adjustRightInd w:val="0"/>
                    <w:snapToGrid w:val="0"/>
                    <w:spacing w:before="96" w:line="360" w:lineRule="auto"/>
                    <w:jc w:val="center"/>
                    <w:rPr>
                      <w:rFonts w:ascii="Times New Roman" w:hAnsi="Times New Roman" w:eastAsia="Times New Roman" w:cs="Times New Roman"/>
                      <w:sz w:val="21"/>
                      <w:szCs w:val="21"/>
                      <w:highlight w:val="none"/>
                    </w:rPr>
                  </w:pPr>
                  <w:r>
                    <w:rPr>
                      <w:rFonts w:ascii="宋体" w:hAnsi="宋体" w:eastAsia="宋体" w:cs="宋体"/>
                      <w:spacing w:val="-1"/>
                      <w:sz w:val="21"/>
                      <w:szCs w:val="21"/>
                      <w:highlight w:val="none"/>
                    </w:rPr>
                    <w:t>路径长度</w:t>
                  </w:r>
                  <w:r>
                    <w:rPr>
                      <w:rFonts w:ascii="Times New Roman" w:hAnsi="Times New Roman" w:eastAsia="Times New Roman" w:cs="Times New Roman"/>
                      <w:spacing w:val="-1"/>
                      <w:sz w:val="21"/>
                      <w:szCs w:val="21"/>
                      <w:highlight w:val="none"/>
                    </w:rPr>
                    <w:t>(k</w:t>
                  </w:r>
                  <w:r>
                    <w:rPr>
                      <w:rFonts w:ascii="Times New Roman" w:hAnsi="Times New Roman" w:eastAsia="Times New Roman" w:cs="Times New Roman"/>
                      <w:sz w:val="21"/>
                      <w:szCs w:val="21"/>
                      <w:highlight w:val="none"/>
                    </w:rPr>
                    <w:t>m</w:t>
                  </w:r>
                  <w:r>
                    <w:rPr>
                      <w:rFonts w:ascii="Times New Roman" w:hAnsi="Times New Roman" w:eastAsia="Times New Roman" w:cs="Times New Roman"/>
                      <w:spacing w:val="-1"/>
                      <w:sz w:val="21"/>
                      <w:szCs w:val="21"/>
                      <w:highlight w:val="none"/>
                    </w:rPr>
                    <w:t>)</w:t>
                  </w:r>
                </w:p>
              </w:tc>
              <w:tc>
                <w:tcPr>
                  <w:tcW w:w="3875" w:type="pct"/>
                  <w:tcBorders>
                    <w:tl2br w:val="nil"/>
                    <w:tr2bl w:val="nil"/>
                  </w:tcBorders>
                  <w:noWrap w:val="0"/>
                  <w:vAlign w:val="center"/>
                </w:tcPr>
                <w:p w14:paraId="408F88B4">
                  <w:pPr>
                    <w:keepNext w:val="0"/>
                    <w:keepLines/>
                    <w:pageBreakBefore w:val="0"/>
                    <w:widowControl w:val="0"/>
                    <w:kinsoku/>
                    <w:wordWrap/>
                    <w:overflowPunct/>
                    <w:topLinePunct w:val="0"/>
                    <w:bidi w:val="0"/>
                    <w:adjustRightInd w:val="0"/>
                    <w:snapToGrid w:val="0"/>
                    <w:spacing w:before="132" w:line="360" w:lineRule="auto"/>
                    <w:jc w:val="center"/>
                    <w:rPr>
                      <w:rFonts w:hint="default" w:ascii="Times New Roman" w:hAnsi="Times New Roman" w:eastAsia="Times New Roman" w:cs="Times New Roman"/>
                      <w:sz w:val="21"/>
                      <w:szCs w:val="21"/>
                      <w:highlight w:val="none"/>
                      <w:lang w:val="en-US"/>
                    </w:rPr>
                  </w:pPr>
                  <w:r>
                    <w:rPr>
                      <w:rFonts w:hint="eastAsia" w:ascii="Times New Roman" w:hAnsi="Times New Roman" w:eastAsia="宋体" w:cs="Times New Roman"/>
                      <w:spacing w:val="-10"/>
                      <w:sz w:val="21"/>
                      <w:szCs w:val="21"/>
                      <w:highlight w:val="none"/>
                      <w:lang w:val="en-US" w:eastAsia="zh-CN"/>
                    </w:rPr>
                    <w:t>29.9</w:t>
                  </w:r>
                </w:p>
              </w:tc>
            </w:tr>
            <w:tr w14:paraId="6102C52E">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91" w:hRule="atLeast"/>
              </w:trPr>
              <w:tc>
                <w:tcPr>
                  <w:tcW w:w="1124" w:type="pct"/>
                  <w:tcBorders>
                    <w:tl2br w:val="nil"/>
                    <w:tr2bl w:val="nil"/>
                  </w:tcBorders>
                  <w:noWrap w:val="0"/>
                  <w:vAlign w:val="center"/>
                </w:tcPr>
                <w:p w14:paraId="046FC07B">
                  <w:pPr>
                    <w:keepNext w:val="0"/>
                    <w:keepLines/>
                    <w:pageBreakBefore w:val="0"/>
                    <w:widowControl w:val="0"/>
                    <w:kinsoku/>
                    <w:wordWrap/>
                    <w:overflowPunct/>
                    <w:topLinePunct w:val="0"/>
                    <w:bidi w:val="0"/>
                    <w:adjustRightInd w:val="0"/>
                    <w:snapToGrid w:val="0"/>
                    <w:spacing w:before="100" w:line="360" w:lineRule="auto"/>
                    <w:jc w:val="center"/>
                    <w:rPr>
                      <w:rFonts w:ascii="宋体" w:hAnsi="宋体" w:eastAsia="宋体" w:cs="宋体"/>
                      <w:sz w:val="21"/>
                      <w:szCs w:val="21"/>
                      <w:highlight w:val="none"/>
                    </w:rPr>
                  </w:pPr>
                  <w:r>
                    <w:rPr>
                      <w:rFonts w:ascii="宋体" w:hAnsi="宋体" w:eastAsia="宋体" w:cs="宋体"/>
                      <w:spacing w:val="-4"/>
                      <w:sz w:val="21"/>
                      <w:szCs w:val="21"/>
                      <w:highlight w:val="none"/>
                    </w:rPr>
                    <w:t>导</w:t>
                  </w:r>
                  <w:r>
                    <w:rPr>
                      <w:rFonts w:ascii="宋体" w:hAnsi="宋体" w:eastAsia="宋体" w:cs="宋体"/>
                      <w:spacing w:val="-3"/>
                      <w:sz w:val="21"/>
                      <w:szCs w:val="21"/>
                      <w:highlight w:val="none"/>
                    </w:rPr>
                    <w:t>线</w:t>
                  </w:r>
                  <w:r>
                    <w:rPr>
                      <w:rFonts w:ascii="宋体" w:hAnsi="宋体" w:eastAsia="宋体" w:cs="宋体"/>
                      <w:spacing w:val="-2"/>
                      <w:sz w:val="21"/>
                      <w:szCs w:val="21"/>
                      <w:highlight w:val="none"/>
                    </w:rPr>
                    <w:t>型号</w:t>
                  </w:r>
                </w:p>
              </w:tc>
              <w:tc>
                <w:tcPr>
                  <w:tcW w:w="3875" w:type="pct"/>
                  <w:tcBorders>
                    <w:tl2br w:val="nil"/>
                    <w:tr2bl w:val="nil"/>
                  </w:tcBorders>
                  <w:noWrap w:val="0"/>
                  <w:vAlign w:val="center"/>
                </w:tcPr>
                <w:p w14:paraId="4ADC44B1">
                  <w:pPr>
                    <w:keepNext w:val="0"/>
                    <w:keepLines/>
                    <w:pageBreakBefore w:val="0"/>
                    <w:widowControl w:val="0"/>
                    <w:kinsoku/>
                    <w:wordWrap/>
                    <w:overflowPunct/>
                    <w:topLinePunct w:val="0"/>
                    <w:bidi w:val="0"/>
                    <w:adjustRightInd w:val="0"/>
                    <w:snapToGrid w:val="0"/>
                    <w:spacing w:before="99" w:line="360" w:lineRule="auto"/>
                    <w:jc w:val="center"/>
                    <w:rPr>
                      <w:rFonts w:hint="default" w:ascii="宋体" w:hAnsi="宋体" w:eastAsia="宋体" w:cs="宋体"/>
                      <w:sz w:val="21"/>
                      <w:szCs w:val="21"/>
                      <w:highlight w:val="none"/>
                      <w:lang w:val="en-US"/>
                    </w:rPr>
                  </w:pPr>
                  <w:r>
                    <w:rPr>
                      <w:rFonts w:hint="default" w:ascii="Times New Roman" w:hAnsi="Times New Roman" w:eastAsia="Times New Roman" w:cs="Times New Roman"/>
                      <w:spacing w:val="-6"/>
                      <w:sz w:val="21"/>
                      <w:szCs w:val="21"/>
                      <w:highlight w:val="none"/>
                      <w:lang w:val="en-US" w:eastAsia="zh-CN"/>
                    </w:rPr>
                    <w:t>2×JL/G1A-</w:t>
                  </w:r>
                  <w:r>
                    <w:rPr>
                      <w:rFonts w:hint="eastAsia" w:ascii="Times New Roman" w:hAnsi="Times New Roman" w:eastAsia="Times New Roman" w:cs="Times New Roman"/>
                      <w:spacing w:val="-6"/>
                      <w:sz w:val="21"/>
                      <w:szCs w:val="21"/>
                      <w:highlight w:val="none"/>
                      <w:lang w:val="en-US" w:eastAsia="zh-CN"/>
                    </w:rPr>
                    <w:t>630/45</w:t>
                  </w:r>
                  <w:r>
                    <w:rPr>
                      <w:rFonts w:hint="default" w:ascii="Times New Roman" w:hAnsi="Times New Roman" w:eastAsia="Times New Roman" w:cs="Times New Roman"/>
                      <w:spacing w:val="-6"/>
                      <w:sz w:val="21"/>
                      <w:szCs w:val="21"/>
                      <w:highlight w:val="none"/>
                      <w:lang w:val="en-US" w:eastAsia="zh-CN"/>
                    </w:rPr>
                    <w:t>钢芯铝绞线</w:t>
                  </w:r>
                </w:p>
              </w:tc>
            </w:tr>
            <w:tr w14:paraId="2E177146">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5" w:hRule="atLeast"/>
              </w:trPr>
              <w:tc>
                <w:tcPr>
                  <w:tcW w:w="1124" w:type="pct"/>
                  <w:tcBorders>
                    <w:tl2br w:val="nil"/>
                    <w:tr2bl w:val="nil"/>
                  </w:tcBorders>
                  <w:noWrap w:val="0"/>
                  <w:vAlign w:val="center"/>
                </w:tcPr>
                <w:p w14:paraId="38D88AAF">
                  <w:pPr>
                    <w:keepNext w:val="0"/>
                    <w:keepLines/>
                    <w:pageBreakBefore w:val="0"/>
                    <w:widowControl w:val="0"/>
                    <w:kinsoku/>
                    <w:wordWrap/>
                    <w:overflowPunct/>
                    <w:topLinePunct w:val="0"/>
                    <w:bidi w:val="0"/>
                    <w:adjustRightInd w:val="0"/>
                    <w:snapToGrid w:val="0"/>
                    <w:spacing w:before="96" w:line="360" w:lineRule="auto"/>
                    <w:jc w:val="center"/>
                    <w:rPr>
                      <w:rFonts w:ascii="宋体" w:hAnsi="宋体" w:eastAsia="宋体" w:cs="宋体"/>
                      <w:sz w:val="21"/>
                      <w:szCs w:val="21"/>
                      <w:highlight w:val="none"/>
                    </w:rPr>
                  </w:pPr>
                  <w:r>
                    <w:rPr>
                      <w:rFonts w:ascii="宋体" w:hAnsi="宋体" w:eastAsia="宋体" w:cs="宋体"/>
                      <w:spacing w:val="-2"/>
                      <w:sz w:val="21"/>
                      <w:szCs w:val="21"/>
                      <w:highlight w:val="none"/>
                    </w:rPr>
                    <w:t>地</w:t>
                  </w:r>
                  <w:r>
                    <w:rPr>
                      <w:rFonts w:ascii="宋体" w:hAnsi="宋体" w:eastAsia="宋体" w:cs="宋体"/>
                      <w:spacing w:val="-1"/>
                      <w:sz w:val="21"/>
                      <w:szCs w:val="21"/>
                      <w:highlight w:val="none"/>
                    </w:rPr>
                    <w:t>线型号</w:t>
                  </w:r>
                </w:p>
              </w:tc>
              <w:tc>
                <w:tcPr>
                  <w:tcW w:w="3875" w:type="pct"/>
                  <w:tcBorders>
                    <w:tl2br w:val="nil"/>
                    <w:tr2bl w:val="nil"/>
                  </w:tcBorders>
                  <w:noWrap w:val="0"/>
                  <w:vAlign w:val="center"/>
                </w:tcPr>
                <w:p w14:paraId="7D1BE4FA">
                  <w:pPr>
                    <w:keepNext w:val="0"/>
                    <w:keepLines/>
                    <w:pageBreakBefore w:val="0"/>
                    <w:widowControl w:val="0"/>
                    <w:kinsoku/>
                    <w:wordWrap/>
                    <w:overflowPunct/>
                    <w:topLinePunct w:val="0"/>
                    <w:bidi w:val="0"/>
                    <w:adjustRightInd w:val="0"/>
                    <w:snapToGrid w:val="0"/>
                    <w:spacing w:before="95" w:line="360" w:lineRule="auto"/>
                    <w:jc w:val="center"/>
                    <w:rPr>
                      <w:rFonts w:ascii="宋体" w:hAnsi="宋体" w:eastAsia="宋体" w:cs="宋体"/>
                      <w:sz w:val="21"/>
                      <w:szCs w:val="21"/>
                      <w:highlight w:val="none"/>
                    </w:rPr>
                  </w:pPr>
                  <w:r>
                    <w:rPr>
                      <w:rFonts w:ascii="Times New Roman" w:hAnsi="Times New Roman" w:eastAsia="Times New Roman" w:cs="Times New Roman"/>
                      <w:spacing w:val="-12"/>
                      <w:sz w:val="21"/>
                      <w:szCs w:val="21"/>
                      <w:highlight w:val="none"/>
                    </w:rPr>
                    <w:t>2</w:t>
                  </w:r>
                  <w:r>
                    <w:rPr>
                      <w:rFonts w:ascii="宋体" w:hAnsi="宋体" w:eastAsia="宋体" w:cs="宋体"/>
                      <w:spacing w:val="-6"/>
                      <w:sz w:val="21"/>
                      <w:szCs w:val="21"/>
                      <w:highlight w:val="none"/>
                    </w:rPr>
                    <w:t>根</w:t>
                  </w:r>
                  <w:r>
                    <w:rPr>
                      <w:rFonts w:ascii="Times New Roman" w:hAnsi="Times New Roman" w:eastAsia="Times New Roman" w:cs="Times New Roman"/>
                      <w:spacing w:val="-6"/>
                      <w:sz w:val="21"/>
                      <w:szCs w:val="21"/>
                      <w:highlight w:val="none"/>
                    </w:rPr>
                    <w:t>24</w:t>
                  </w:r>
                  <w:r>
                    <w:rPr>
                      <w:rFonts w:ascii="宋体" w:hAnsi="宋体" w:eastAsia="宋体" w:cs="宋体"/>
                      <w:spacing w:val="-6"/>
                      <w:sz w:val="21"/>
                      <w:szCs w:val="21"/>
                      <w:highlight w:val="none"/>
                    </w:rPr>
                    <w:t>芯</w:t>
                  </w:r>
                  <w:r>
                    <w:rPr>
                      <w:rFonts w:ascii="Times New Roman" w:hAnsi="Times New Roman" w:eastAsia="Times New Roman" w:cs="Times New Roman"/>
                      <w:spacing w:val="-6"/>
                      <w:sz w:val="21"/>
                      <w:szCs w:val="21"/>
                      <w:highlight w:val="none"/>
                    </w:rPr>
                    <w:t>OPGW</w:t>
                  </w:r>
                  <w:r>
                    <w:rPr>
                      <w:rFonts w:hint="eastAsia" w:ascii="Times New Roman" w:hAnsi="Times New Roman" w:eastAsia="宋体" w:cs="Times New Roman"/>
                      <w:spacing w:val="-6"/>
                      <w:sz w:val="21"/>
                      <w:szCs w:val="21"/>
                      <w:highlight w:val="none"/>
                      <w:lang w:val="en-US" w:eastAsia="zh-CN"/>
                    </w:rPr>
                    <w:t>-17-150-3型</w:t>
                  </w:r>
                  <w:r>
                    <w:rPr>
                      <w:rFonts w:ascii="宋体" w:hAnsi="宋体" w:eastAsia="宋体" w:cs="宋体"/>
                      <w:spacing w:val="-6"/>
                      <w:sz w:val="21"/>
                      <w:szCs w:val="21"/>
                      <w:highlight w:val="none"/>
                    </w:rPr>
                    <w:t>光缆</w:t>
                  </w:r>
                </w:p>
              </w:tc>
            </w:tr>
            <w:tr w14:paraId="6FA68BB0">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5" w:hRule="atLeast"/>
              </w:trPr>
              <w:tc>
                <w:tcPr>
                  <w:tcW w:w="1124" w:type="pct"/>
                  <w:tcBorders>
                    <w:tl2br w:val="nil"/>
                    <w:tr2bl w:val="nil"/>
                  </w:tcBorders>
                  <w:noWrap w:val="0"/>
                  <w:vAlign w:val="center"/>
                </w:tcPr>
                <w:p w14:paraId="758F3605">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rPr>
                    <w:t>主要塔基基础型式</w:t>
                  </w:r>
                </w:p>
              </w:tc>
              <w:tc>
                <w:tcPr>
                  <w:tcW w:w="3875" w:type="pct"/>
                  <w:tcBorders>
                    <w:tl2br w:val="nil"/>
                    <w:tr2bl w:val="nil"/>
                  </w:tcBorders>
                  <w:noWrap w:val="0"/>
                  <w:vAlign w:val="center"/>
                </w:tcPr>
                <w:p w14:paraId="55778B00">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rPr>
                    <w:t>台阶刚性基础、灌注桩基础</w:t>
                  </w:r>
                </w:p>
              </w:tc>
            </w:tr>
            <w:tr w14:paraId="237A5FA2">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trPr>
              <w:tc>
                <w:tcPr>
                  <w:tcW w:w="1124" w:type="pct"/>
                  <w:tcBorders>
                    <w:tl2br w:val="nil"/>
                    <w:tr2bl w:val="nil"/>
                  </w:tcBorders>
                  <w:noWrap w:val="0"/>
                  <w:vAlign w:val="top"/>
                </w:tcPr>
                <w:p w14:paraId="07B7162E">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hint="eastAsia" w:ascii="Times New Roman" w:hAnsi="Times New Roman" w:eastAsia="宋体" w:cs="Times New Roman"/>
                      <w:color w:val="auto"/>
                      <w:sz w:val="21"/>
                      <w:szCs w:val="21"/>
                      <w:highlight w:val="none"/>
                      <w:lang w:val="en-US" w:eastAsia="en-US"/>
                    </w:rPr>
                  </w:pPr>
                  <w:r>
                    <w:rPr>
                      <w:rFonts w:hint="eastAsia" w:ascii="Times New Roman" w:hAnsi="Times New Roman" w:eastAsia="宋体" w:cs="Times New Roman"/>
                      <w:color w:val="auto"/>
                      <w:sz w:val="21"/>
                      <w:szCs w:val="21"/>
                      <w:highlight w:val="none"/>
                    </w:rPr>
                    <w:t>占地类型</w:t>
                  </w:r>
                </w:p>
              </w:tc>
              <w:tc>
                <w:tcPr>
                  <w:tcW w:w="3875" w:type="pct"/>
                  <w:tcBorders>
                    <w:tl2br w:val="nil"/>
                    <w:tr2bl w:val="nil"/>
                  </w:tcBorders>
                  <w:noWrap w:val="0"/>
                  <w:vAlign w:val="top"/>
                </w:tcPr>
                <w:p w14:paraId="33D1EFDC">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林地/草地</w:t>
                  </w:r>
                </w:p>
              </w:tc>
            </w:tr>
            <w:tr w14:paraId="1B88C04A">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5" w:hRule="atLeast"/>
              </w:trPr>
              <w:tc>
                <w:tcPr>
                  <w:tcW w:w="1124" w:type="pct"/>
                  <w:tcBorders>
                    <w:tl2br w:val="nil"/>
                    <w:tr2bl w:val="nil"/>
                  </w:tcBorders>
                  <w:noWrap w:val="0"/>
                  <w:vAlign w:val="top"/>
                </w:tcPr>
                <w:p w14:paraId="0DE560F9">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hint="eastAsia" w:ascii="Times New Roman" w:hAnsi="Times New Roman" w:eastAsia="宋体" w:cs="Times New Roman"/>
                      <w:color w:val="auto"/>
                      <w:sz w:val="21"/>
                      <w:szCs w:val="21"/>
                      <w:highlight w:val="none"/>
                      <w:lang w:val="en-US" w:eastAsia="en-US"/>
                    </w:rPr>
                  </w:pPr>
                  <w:r>
                    <w:rPr>
                      <w:rFonts w:hint="eastAsia" w:ascii="Times New Roman" w:hAnsi="Times New Roman" w:eastAsia="宋体" w:cs="Times New Roman"/>
                      <w:color w:val="auto"/>
                      <w:sz w:val="21"/>
                      <w:szCs w:val="21"/>
                      <w:highlight w:val="none"/>
                    </w:rPr>
                    <w:t>工程特点</w:t>
                  </w:r>
                </w:p>
              </w:tc>
              <w:tc>
                <w:tcPr>
                  <w:tcW w:w="3875" w:type="pct"/>
                  <w:tcBorders>
                    <w:tl2br w:val="nil"/>
                    <w:tr2bl w:val="nil"/>
                  </w:tcBorders>
                  <w:noWrap w:val="0"/>
                  <w:vAlign w:val="top"/>
                </w:tcPr>
                <w:p w14:paraId="5429C76D">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hint="eastAsia" w:ascii="Times New Roman" w:hAnsi="Times New Roman" w:eastAsia="宋体" w:cs="Times New Roman"/>
                      <w:color w:val="auto"/>
                      <w:sz w:val="21"/>
                      <w:szCs w:val="21"/>
                      <w:highlight w:val="none"/>
                      <w:lang w:val="en-US" w:eastAsia="en-US"/>
                    </w:rPr>
                  </w:pPr>
                  <w:r>
                    <w:rPr>
                      <w:rFonts w:hint="eastAsia" w:ascii="Times New Roman" w:hAnsi="Times New Roman" w:eastAsia="宋体" w:cs="Times New Roman"/>
                      <w:color w:val="auto"/>
                      <w:sz w:val="21"/>
                      <w:szCs w:val="21"/>
                      <w:highlight w:val="none"/>
                    </w:rPr>
                    <w:t>线路沿线地势起伏及高差变化较大，多为山地</w:t>
                  </w:r>
                </w:p>
              </w:tc>
            </w:tr>
            <w:tr w14:paraId="0DAD2B41">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5" w:hRule="atLeast"/>
              </w:trPr>
              <w:tc>
                <w:tcPr>
                  <w:tcW w:w="1124" w:type="pct"/>
                  <w:tcBorders>
                    <w:tl2br w:val="nil"/>
                    <w:tr2bl w:val="nil"/>
                  </w:tcBorders>
                  <w:noWrap w:val="0"/>
                  <w:vAlign w:val="top"/>
                </w:tcPr>
                <w:p w14:paraId="6DCC8B23">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hint="eastAsia" w:ascii="Times New Roman" w:hAnsi="Times New Roman" w:eastAsia="宋体" w:cs="Times New Roman"/>
                      <w:color w:val="auto"/>
                      <w:sz w:val="21"/>
                      <w:szCs w:val="21"/>
                      <w:highlight w:val="none"/>
                    </w:rPr>
                  </w:pPr>
                </w:p>
                <w:p w14:paraId="37FCBAAA">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hint="eastAsia" w:ascii="Times New Roman" w:hAnsi="Times New Roman" w:eastAsia="宋体" w:cs="Times New Roman"/>
                      <w:color w:val="auto"/>
                      <w:sz w:val="21"/>
                      <w:szCs w:val="21"/>
                      <w:highlight w:val="none"/>
                      <w:lang w:val="en-US" w:eastAsia="en-US"/>
                    </w:rPr>
                  </w:pPr>
                  <w:r>
                    <w:rPr>
                      <w:rFonts w:hint="eastAsia" w:ascii="Times New Roman" w:hAnsi="Times New Roman" w:eastAsia="宋体" w:cs="Times New Roman"/>
                      <w:color w:val="auto"/>
                      <w:sz w:val="21"/>
                      <w:szCs w:val="21"/>
                      <w:highlight w:val="none"/>
                    </w:rPr>
                    <w:t>依托工程</w:t>
                  </w:r>
                </w:p>
              </w:tc>
              <w:tc>
                <w:tcPr>
                  <w:tcW w:w="3875" w:type="pct"/>
                  <w:tcBorders>
                    <w:tl2br w:val="nil"/>
                    <w:tr2bl w:val="nil"/>
                  </w:tcBorders>
                  <w:noWrap w:val="0"/>
                  <w:vAlign w:val="top"/>
                </w:tcPr>
                <w:p w14:paraId="71A06930">
                  <w:pPr>
                    <w:pStyle w:val="29"/>
                    <w:keepNext w:val="0"/>
                    <w:keepLines/>
                    <w:pageBreakBefore w:val="0"/>
                    <w:widowControl w:val="0"/>
                    <w:kinsoku/>
                    <w:wordWrap/>
                    <w:overflowPunct/>
                    <w:topLinePunct w:val="0"/>
                    <w:bidi w:val="0"/>
                    <w:adjustRightInd w:val="0"/>
                    <w:snapToGrid w:val="0"/>
                    <w:spacing w:line="360" w:lineRule="auto"/>
                    <w:ind w:firstLine="420" w:firstLineChars="200"/>
                    <w:jc w:val="both"/>
                    <w:rPr>
                      <w:rFonts w:hint="eastAsia" w:ascii="Times New Roman" w:hAnsi="Times New Roman" w:eastAsia="宋体" w:cs="Times New Roman"/>
                      <w:color w:val="auto"/>
                      <w:sz w:val="21"/>
                      <w:szCs w:val="21"/>
                      <w:highlight w:val="none"/>
                      <w:lang w:val="en-US" w:eastAsia="en-US"/>
                    </w:rPr>
                  </w:pPr>
                  <w:r>
                    <w:rPr>
                      <w:rFonts w:hint="eastAsia" w:ascii="Times New Roman" w:hAnsi="Times New Roman" w:eastAsia="宋体" w:cs="Times New Roman"/>
                      <w:color w:val="auto"/>
                      <w:sz w:val="21"/>
                      <w:szCs w:val="21"/>
                      <w:highlight w:val="none"/>
                    </w:rPr>
                    <w:t>施工期施工人员租用周边民房，生活污水纳入当地居民生活污水处理系统</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运营期线路巡检人员依托</w:t>
                  </w:r>
                  <w:r>
                    <w:rPr>
                      <w:rFonts w:hint="eastAsia" w:ascii="Times New Roman" w:hAnsi="Times New Roman" w:eastAsia="宋体" w:cs="Times New Roman"/>
                      <w:color w:val="auto"/>
                      <w:sz w:val="21"/>
                      <w:szCs w:val="21"/>
                      <w:highlight w:val="none"/>
                      <w:lang w:val="en-US" w:eastAsia="zh-CN"/>
                    </w:rPr>
                    <w:t>风电</w:t>
                  </w:r>
                  <w:r>
                    <w:rPr>
                      <w:rFonts w:hint="eastAsia" w:ascii="Times New Roman" w:hAnsi="Times New Roman" w:eastAsia="宋体" w:cs="Times New Roman"/>
                      <w:color w:val="auto"/>
                      <w:sz w:val="21"/>
                      <w:szCs w:val="21"/>
                      <w:highlight w:val="none"/>
                    </w:rPr>
                    <w:t>项目工作人员</w:t>
                  </w:r>
                </w:p>
              </w:tc>
            </w:tr>
          </w:tbl>
          <w:p w14:paraId="1F1C2898">
            <w:pPr>
              <w:pStyle w:val="24"/>
              <w:keepNext w:val="0"/>
              <w:keepLines/>
              <w:pageBreakBefore w:val="0"/>
              <w:widowControl w:val="0"/>
              <w:numPr>
                <w:ilvl w:val="0"/>
                <w:numId w:val="0"/>
              </w:numPr>
              <w:kinsoku/>
              <w:wordWrap/>
              <w:overflowPunct/>
              <w:topLinePunct w:val="0"/>
              <w:bidi w:val="0"/>
              <w:adjustRightInd w:val="0"/>
              <w:snapToGrid w:val="0"/>
              <w:spacing w:before="207" w:line="221" w:lineRule="auto"/>
              <w:rPr>
                <w:b/>
                <w:bCs/>
                <w:spacing w:val="-2"/>
                <w:sz w:val="24"/>
                <w:szCs w:val="24"/>
              </w:rPr>
            </w:pPr>
          </w:p>
          <w:p w14:paraId="592AC60C">
            <w:pPr>
              <w:pStyle w:val="24"/>
              <w:keepNext w:val="0"/>
              <w:keepLines/>
              <w:pageBreakBefore w:val="0"/>
              <w:widowControl w:val="0"/>
              <w:numPr>
                <w:ilvl w:val="0"/>
                <w:numId w:val="0"/>
              </w:numPr>
              <w:kinsoku/>
              <w:wordWrap/>
              <w:overflowPunct/>
              <w:topLinePunct w:val="0"/>
              <w:bidi w:val="0"/>
              <w:adjustRightInd w:val="0"/>
              <w:snapToGrid w:val="0"/>
              <w:spacing w:before="207" w:line="221" w:lineRule="auto"/>
              <w:rPr>
                <w:b/>
                <w:bCs/>
                <w:spacing w:val="-2"/>
                <w:sz w:val="24"/>
                <w:szCs w:val="24"/>
              </w:rPr>
            </w:pPr>
          </w:p>
          <w:p w14:paraId="4382DCF5">
            <w:pPr>
              <w:pStyle w:val="24"/>
              <w:keepNext w:val="0"/>
              <w:keepLines/>
              <w:pageBreakBefore w:val="0"/>
              <w:widowControl w:val="0"/>
              <w:numPr>
                <w:ilvl w:val="0"/>
                <w:numId w:val="0"/>
              </w:numPr>
              <w:kinsoku/>
              <w:wordWrap/>
              <w:overflowPunct/>
              <w:topLinePunct w:val="0"/>
              <w:bidi w:val="0"/>
              <w:adjustRightInd w:val="0"/>
              <w:snapToGrid w:val="0"/>
              <w:spacing w:before="207" w:line="221" w:lineRule="auto"/>
              <w:rPr>
                <w:b/>
                <w:bCs/>
                <w:spacing w:val="-2"/>
                <w:sz w:val="24"/>
                <w:szCs w:val="24"/>
              </w:rPr>
            </w:pPr>
          </w:p>
          <w:p w14:paraId="6A526A23">
            <w:pPr>
              <w:pStyle w:val="24"/>
              <w:keepNext w:val="0"/>
              <w:keepLines/>
              <w:pageBreakBefore w:val="0"/>
              <w:widowControl w:val="0"/>
              <w:numPr>
                <w:ilvl w:val="0"/>
                <w:numId w:val="0"/>
              </w:numPr>
              <w:kinsoku/>
              <w:wordWrap/>
              <w:overflowPunct/>
              <w:topLinePunct w:val="0"/>
              <w:bidi w:val="0"/>
              <w:adjustRightInd w:val="0"/>
              <w:snapToGrid w:val="0"/>
              <w:spacing w:before="207" w:line="221" w:lineRule="auto"/>
              <w:rPr>
                <w:b/>
                <w:bCs/>
                <w:spacing w:val="-2"/>
                <w:sz w:val="24"/>
                <w:szCs w:val="24"/>
              </w:rPr>
            </w:pPr>
          </w:p>
          <w:p w14:paraId="0ABC1E67">
            <w:pPr>
              <w:pStyle w:val="24"/>
              <w:keepNext w:val="0"/>
              <w:keepLines/>
              <w:pageBreakBefore w:val="0"/>
              <w:widowControl w:val="0"/>
              <w:numPr>
                <w:ilvl w:val="0"/>
                <w:numId w:val="6"/>
              </w:numPr>
              <w:kinsoku/>
              <w:wordWrap/>
              <w:overflowPunct/>
              <w:topLinePunct w:val="0"/>
              <w:bidi w:val="0"/>
              <w:adjustRightInd w:val="0"/>
              <w:snapToGrid w:val="0"/>
              <w:spacing w:before="207" w:line="221" w:lineRule="auto"/>
              <w:ind w:firstLine="474" w:firstLineChars="200"/>
              <w:rPr>
                <w:b/>
                <w:bCs/>
                <w:spacing w:val="-2"/>
                <w:sz w:val="24"/>
                <w:szCs w:val="24"/>
              </w:rPr>
            </w:pPr>
            <w:r>
              <w:rPr>
                <w:b/>
                <w:bCs/>
                <w:spacing w:val="-2"/>
                <w:sz w:val="24"/>
                <w:szCs w:val="24"/>
              </w:rPr>
              <w:t>接入系统方案</w:t>
            </w:r>
          </w:p>
          <w:p w14:paraId="2974FFC9">
            <w:pPr>
              <w:pStyle w:val="24"/>
              <w:keepNext w:val="0"/>
              <w:keepLines/>
              <w:pageBreakBefore w:val="0"/>
              <w:widowControl w:val="0"/>
              <w:kinsoku/>
              <w:wordWrap/>
              <w:overflowPunct/>
              <w:topLinePunct w:val="0"/>
              <w:bidi w:val="0"/>
              <w:adjustRightInd w:val="0"/>
              <w:snapToGrid w:val="0"/>
              <w:spacing w:before="207" w:line="360" w:lineRule="auto"/>
              <w:ind w:firstLine="480" w:firstLineChars="200"/>
              <w:rPr>
                <w:rFonts w:hint="default" w:ascii="Times New Roman" w:hAnsi="Times New Roman" w:eastAsia="宋体" w:cs="Times New Roman"/>
                <w:spacing w:val="-1"/>
                <w:sz w:val="24"/>
                <w:szCs w:val="24"/>
              </w:rPr>
            </w:pPr>
            <w:r>
              <w:rPr>
                <w:rFonts w:hint="default" w:ascii="Times New Roman" w:hAnsi="Times New Roman" w:eastAsia="宋体" w:cs="Times New Roman"/>
                <w:sz w:val="24"/>
                <w:szCs w:val="24"/>
              </w:rPr>
              <w:drawing>
                <wp:anchor distT="0" distB="0" distL="114300" distR="114300" simplePos="0" relativeHeight="251663360" behindDoc="1" locked="0" layoutInCell="1" allowOverlap="1">
                  <wp:simplePos x="0" y="0"/>
                  <wp:positionH relativeFrom="column">
                    <wp:posOffset>835660</wp:posOffset>
                  </wp:positionH>
                  <wp:positionV relativeFrom="paragraph">
                    <wp:posOffset>1282700</wp:posOffset>
                  </wp:positionV>
                  <wp:extent cx="3606165" cy="1960245"/>
                  <wp:effectExtent l="0" t="0" r="13335" b="1905"/>
                  <wp:wrapThrough wrapText="bothSides">
                    <wp:wrapPolygon>
                      <wp:start x="0" y="0"/>
                      <wp:lineTo x="0" y="21411"/>
                      <wp:lineTo x="21452" y="21411"/>
                      <wp:lineTo x="21452" y="0"/>
                      <wp:lineTo x="0" y="0"/>
                    </wp:wrapPolygon>
                  </wp:wrapThrough>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3606165" cy="1960245"/>
                          </a:xfrm>
                          <a:prstGeom prst="rect">
                            <a:avLst/>
                          </a:prstGeom>
                          <a:noFill/>
                          <a:ln>
                            <a:noFill/>
                          </a:ln>
                        </pic:spPr>
                      </pic:pic>
                    </a:graphicData>
                  </a:graphic>
                </wp:anchor>
              </w:drawing>
            </w:r>
            <w:r>
              <w:rPr>
                <w:rFonts w:hint="default" w:ascii="Times New Roman" w:hAnsi="Times New Roman" w:eastAsia="宋体" w:cs="Times New Roman"/>
                <w:sz w:val="24"/>
                <w:szCs w:val="24"/>
              </w:rPr>
              <w:t>根据国网冀北电力有限公司关于印发华能围场“风光储氢热一体化”项目（风电</w:t>
            </w:r>
            <w:r>
              <w:rPr>
                <w:rFonts w:hint="default" w:ascii="Times New Roman" w:hAnsi="Times New Roman" w:eastAsia="宋体" w:cs="Times New Roman"/>
                <w:sz w:val="24"/>
                <w:szCs w:val="24"/>
                <w:highlight w:val="none"/>
              </w:rPr>
              <w:t>200MW）项目接入系统设计</w:t>
            </w:r>
            <w:r>
              <w:rPr>
                <w:rFonts w:hint="default" w:ascii="Times New Roman" w:hAnsi="Times New Roman" w:eastAsia="宋体" w:cs="Times New Roman"/>
                <w:sz w:val="24"/>
                <w:szCs w:val="24"/>
                <w:highlight w:val="none"/>
                <w:lang w:val="en-US" w:eastAsia="zh-CN"/>
              </w:rPr>
              <w:t>的评审意见</w:t>
            </w:r>
            <w:r>
              <w:rPr>
                <w:rFonts w:hint="default" w:ascii="Times New Roman" w:hAnsi="Times New Roman" w:eastAsia="宋体" w:cs="Times New Roman"/>
                <w:spacing w:val="-2"/>
                <w:sz w:val="24"/>
                <w:szCs w:val="24"/>
                <w:highlight w:val="none"/>
              </w:rPr>
              <w:t>（冀北</w:t>
            </w:r>
            <w:r>
              <w:rPr>
                <w:rFonts w:hint="default" w:ascii="Times New Roman" w:hAnsi="Times New Roman" w:eastAsia="宋体" w:cs="Times New Roman"/>
                <w:spacing w:val="-2"/>
                <w:sz w:val="24"/>
                <w:szCs w:val="24"/>
                <w:highlight w:val="none"/>
                <w:lang w:val="en-US" w:eastAsia="zh-CN"/>
              </w:rPr>
              <w:t>经研</w:t>
            </w:r>
            <w:r>
              <w:rPr>
                <w:rFonts w:hint="default" w:ascii="Times New Roman" w:hAnsi="Times New Roman" w:eastAsia="宋体" w:cs="Times New Roman"/>
                <w:color w:val="auto"/>
                <w:kern w:val="21"/>
                <w:sz w:val="24"/>
                <w:szCs w:val="24"/>
                <w:highlight w:val="none"/>
                <w:lang w:val="en-US" w:eastAsia="zh-CN"/>
              </w:rPr>
              <w:t>〔2023〕3</w:t>
            </w:r>
            <w:r>
              <w:rPr>
                <w:rFonts w:hint="default" w:ascii="Times New Roman" w:hAnsi="Times New Roman" w:eastAsia="宋体" w:cs="Times New Roman"/>
                <w:spacing w:val="-2"/>
                <w:sz w:val="24"/>
                <w:szCs w:val="24"/>
                <w:highlight w:val="none"/>
                <w:lang w:val="en-US" w:eastAsia="zh-CN"/>
              </w:rPr>
              <w:t>01</w:t>
            </w:r>
            <w:r>
              <w:rPr>
                <w:rFonts w:hint="default" w:ascii="Times New Roman" w:hAnsi="Times New Roman" w:eastAsia="宋体" w:cs="Times New Roman"/>
                <w:spacing w:val="-2"/>
                <w:sz w:val="24"/>
                <w:szCs w:val="24"/>
                <w:highlight w:val="none"/>
              </w:rPr>
              <w:t>号</w:t>
            </w:r>
            <w:r>
              <w:rPr>
                <w:rFonts w:hint="default" w:ascii="Times New Roman" w:hAnsi="Times New Roman" w:eastAsia="宋体" w:cs="Times New Roman"/>
                <w:spacing w:val="4"/>
                <w:sz w:val="24"/>
                <w:szCs w:val="24"/>
                <w:highlight w:val="none"/>
              </w:rPr>
              <w:t>），</w:t>
            </w:r>
            <w:r>
              <w:rPr>
                <w:rFonts w:hint="default" w:ascii="Times New Roman" w:hAnsi="Times New Roman" w:eastAsia="宋体" w:cs="Times New Roman"/>
                <w:spacing w:val="-2"/>
                <w:sz w:val="24"/>
                <w:szCs w:val="24"/>
                <w:highlight w:val="none"/>
              </w:rPr>
              <w:t>本工程200兆瓦</w:t>
            </w:r>
            <w:r>
              <w:rPr>
                <w:rFonts w:hint="default" w:ascii="Times New Roman" w:hAnsi="Times New Roman" w:eastAsia="宋体" w:cs="Times New Roman"/>
                <w:spacing w:val="-2"/>
                <w:sz w:val="24"/>
                <w:szCs w:val="24"/>
                <w:highlight w:val="none"/>
                <w:lang w:val="en-US" w:eastAsia="zh-CN"/>
              </w:rPr>
              <w:t>风电</w:t>
            </w:r>
            <w:r>
              <w:rPr>
                <w:rFonts w:hint="default" w:ascii="Times New Roman" w:hAnsi="Times New Roman" w:eastAsia="宋体" w:cs="Times New Roman"/>
                <w:spacing w:val="-2"/>
                <w:sz w:val="24"/>
                <w:szCs w:val="24"/>
                <w:highlight w:val="none"/>
              </w:rPr>
              <w:t>通</w:t>
            </w:r>
            <w:r>
              <w:rPr>
                <w:rFonts w:hint="default" w:ascii="Times New Roman" w:hAnsi="Times New Roman" w:eastAsia="宋体" w:cs="Times New Roman"/>
                <w:spacing w:val="-2"/>
                <w:sz w:val="24"/>
                <w:szCs w:val="24"/>
              </w:rPr>
              <w:t>过</w:t>
            </w:r>
            <w:r>
              <w:rPr>
                <w:rFonts w:hint="default" w:ascii="Times New Roman" w:hAnsi="Times New Roman" w:eastAsia="宋体" w:cs="Times New Roman"/>
                <w:spacing w:val="-2"/>
                <w:sz w:val="24"/>
                <w:szCs w:val="24"/>
                <w:lang w:val="en-US" w:eastAsia="zh-CN"/>
              </w:rPr>
              <w:t>7</w:t>
            </w:r>
            <w:r>
              <w:rPr>
                <w:rFonts w:hint="default" w:ascii="Times New Roman" w:hAnsi="Times New Roman" w:eastAsia="宋体" w:cs="Times New Roman"/>
                <w:spacing w:val="-2"/>
                <w:sz w:val="24"/>
                <w:szCs w:val="24"/>
              </w:rPr>
              <w:t>回35kV集电线路接入</w:t>
            </w:r>
            <w:r>
              <w:rPr>
                <w:rFonts w:hint="default" w:ascii="Times New Roman" w:hAnsi="Times New Roman" w:eastAsia="宋体" w:cs="Times New Roman"/>
                <w:spacing w:val="-2"/>
                <w:sz w:val="24"/>
                <w:szCs w:val="24"/>
                <w:lang w:val="en-US" w:eastAsia="zh-CN"/>
              </w:rPr>
              <w:t>华能风电220</w:t>
            </w:r>
            <w:r>
              <w:rPr>
                <w:rFonts w:hint="default" w:ascii="Times New Roman" w:hAnsi="Times New Roman" w:eastAsia="宋体" w:cs="Times New Roman"/>
                <w:spacing w:val="-3"/>
                <w:sz w:val="24"/>
                <w:szCs w:val="24"/>
              </w:rPr>
              <w:t>kV</w:t>
            </w:r>
            <w:r>
              <w:rPr>
                <w:rFonts w:hint="default" w:ascii="Times New Roman" w:hAnsi="Times New Roman" w:eastAsia="宋体" w:cs="Times New Roman"/>
                <w:spacing w:val="-2"/>
                <w:sz w:val="24"/>
                <w:szCs w:val="24"/>
              </w:rPr>
              <w:t>升</w:t>
            </w:r>
            <w:r>
              <w:rPr>
                <w:rFonts w:hint="default" w:ascii="Times New Roman" w:hAnsi="Times New Roman" w:eastAsia="宋体" w:cs="Times New Roman"/>
                <w:spacing w:val="-3"/>
                <w:sz w:val="24"/>
                <w:szCs w:val="24"/>
              </w:rPr>
              <w:t>压站主变低压侧。升压后通过</w:t>
            </w:r>
            <w:r>
              <w:rPr>
                <w:rFonts w:hint="default" w:ascii="Times New Roman" w:hAnsi="Times New Roman" w:eastAsia="宋体" w:cs="Times New Roman"/>
                <w:spacing w:val="-3"/>
                <w:sz w:val="24"/>
                <w:szCs w:val="24"/>
                <w:lang w:val="en-US" w:eastAsia="zh-CN"/>
              </w:rPr>
              <w:t>华能220</w:t>
            </w:r>
            <w:r>
              <w:rPr>
                <w:rFonts w:hint="default" w:ascii="Times New Roman" w:hAnsi="Times New Roman" w:eastAsia="宋体" w:cs="Times New Roman"/>
                <w:spacing w:val="-3"/>
                <w:sz w:val="24"/>
                <w:szCs w:val="24"/>
              </w:rPr>
              <w:t>kV升压站</w:t>
            </w:r>
            <w:r>
              <w:rPr>
                <w:rFonts w:hint="default" w:ascii="Times New Roman" w:hAnsi="Times New Roman" w:eastAsia="宋体" w:cs="Times New Roman"/>
                <w:spacing w:val="-3"/>
                <w:sz w:val="24"/>
                <w:szCs w:val="24"/>
                <w:lang w:val="en-US" w:eastAsia="zh-CN"/>
              </w:rPr>
              <w:t>~</w:t>
            </w:r>
            <w:r>
              <w:rPr>
                <w:rFonts w:hint="default" w:ascii="Times New Roman" w:hAnsi="Times New Roman" w:eastAsia="宋体" w:cs="Times New Roman"/>
                <w:spacing w:val="-3"/>
                <w:sz w:val="24"/>
                <w:szCs w:val="24"/>
              </w:rPr>
              <w:t>牌楼500kV变电站的220千伏</w:t>
            </w:r>
            <w:r>
              <w:rPr>
                <w:rFonts w:hint="default" w:ascii="Times New Roman" w:hAnsi="Times New Roman" w:eastAsia="宋体" w:cs="Times New Roman"/>
                <w:spacing w:val="-1"/>
                <w:sz w:val="24"/>
                <w:szCs w:val="24"/>
              </w:rPr>
              <w:t>线路并网运行。</w:t>
            </w:r>
          </w:p>
          <w:p w14:paraId="58980BCE">
            <w:pPr>
              <w:pStyle w:val="24"/>
              <w:keepNext w:val="0"/>
              <w:keepLines/>
              <w:pageBreakBefore w:val="0"/>
              <w:widowControl w:val="0"/>
              <w:kinsoku/>
              <w:wordWrap/>
              <w:overflowPunct/>
              <w:topLinePunct w:val="0"/>
              <w:bidi w:val="0"/>
              <w:adjustRightInd w:val="0"/>
              <w:snapToGrid w:val="0"/>
              <w:spacing w:before="207" w:line="360" w:lineRule="auto"/>
              <w:ind w:firstLine="476" w:firstLineChars="200"/>
              <w:rPr>
                <w:rFonts w:hint="default" w:ascii="Times New Roman" w:hAnsi="Times New Roman" w:eastAsia="宋体" w:cs="Times New Roman"/>
                <w:spacing w:val="-1"/>
                <w:sz w:val="24"/>
                <w:szCs w:val="24"/>
              </w:rPr>
            </w:pPr>
          </w:p>
          <w:p w14:paraId="3B9CA153">
            <w:pPr>
              <w:pStyle w:val="24"/>
              <w:keepNext w:val="0"/>
              <w:keepLines/>
              <w:pageBreakBefore w:val="0"/>
              <w:widowControl w:val="0"/>
              <w:kinsoku/>
              <w:wordWrap/>
              <w:overflowPunct/>
              <w:topLinePunct w:val="0"/>
              <w:bidi w:val="0"/>
              <w:adjustRightInd w:val="0"/>
              <w:snapToGrid w:val="0"/>
              <w:spacing w:before="207" w:line="360" w:lineRule="auto"/>
              <w:ind w:firstLine="476" w:firstLineChars="200"/>
              <w:rPr>
                <w:rFonts w:hint="default" w:ascii="Times New Roman" w:hAnsi="Times New Roman" w:eastAsia="宋体" w:cs="Times New Roman"/>
                <w:spacing w:val="-1"/>
                <w:sz w:val="24"/>
                <w:szCs w:val="24"/>
              </w:rPr>
            </w:pPr>
          </w:p>
          <w:p w14:paraId="0DEC43D4">
            <w:pPr>
              <w:pStyle w:val="24"/>
              <w:keepNext w:val="0"/>
              <w:keepLines/>
              <w:pageBreakBefore w:val="0"/>
              <w:widowControl w:val="0"/>
              <w:kinsoku/>
              <w:wordWrap/>
              <w:overflowPunct/>
              <w:topLinePunct w:val="0"/>
              <w:bidi w:val="0"/>
              <w:adjustRightInd w:val="0"/>
              <w:snapToGrid w:val="0"/>
              <w:spacing w:before="207" w:line="360" w:lineRule="auto"/>
              <w:ind w:firstLine="476" w:firstLineChars="200"/>
              <w:rPr>
                <w:rFonts w:hint="default" w:ascii="Times New Roman" w:hAnsi="Times New Roman" w:eastAsia="宋体" w:cs="Times New Roman"/>
                <w:spacing w:val="-1"/>
                <w:sz w:val="24"/>
                <w:szCs w:val="24"/>
              </w:rPr>
            </w:pPr>
          </w:p>
          <w:p w14:paraId="0F6B79FA">
            <w:pPr>
              <w:pStyle w:val="24"/>
              <w:keepNext w:val="0"/>
              <w:keepLines/>
              <w:pageBreakBefore w:val="0"/>
              <w:widowControl w:val="0"/>
              <w:kinsoku/>
              <w:wordWrap/>
              <w:overflowPunct/>
              <w:topLinePunct w:val="0"/>
              <w:bidi w:val="0"/>
              <w:adjustRightInd w:val="0"/>
              <w:snapToGrid w:val="0"/>
              <w:spacing w:before="207" w:line="360" w:lineRule="auto"/>
              <w:ind w:firstLine="476" w:firstLineChars="200"/>
              <w:rPr>
                <w:rFonts w:hint="default" w:ascii="Times New Roman" w:hAnsi="Times New Roman" w:eastAsia="宋体" w:cs="Times New Roman"/>
                <w:spacing w:val="-1"/>
                <w:sz w:val="24"/>
                <w:szCs w:val="24"/>
              </w:rPr>
            </w:pPr>
          </w:p>
          <w:p w14:paraId="587C36D4">
            <w:pPr>
              <w:pStyle w:val="24"/>
              <w:keepNext w:val="0"/>
              <w:keepLines/>
              <w:pageBreakBefore w:val="0"/>
              <w:widowControl w:val="0"/>
              <w:kinsoku/>
              <w:wordWrap/>
              <w:overflowPunct/>
              <w:topLinePunct w:val="0"/>
              <w:bidi w:val="0"/>
              <w:adjustRightInd w:val="0"/>
              <w:snapToGrid w:val="0"/>
              <w:spacing w:before="207" w:line="360" w:lineRule="auto"/>
              <w:rPr>
                <w:rFonts w:hint="default" w:ascii="Times New Roman" w:hAnsi="Times New Roman" w:eastAsia="宋体" w:cs="Times New Roman"/>
                <w:spacing w:val="-1"/>
                <w:sz w:val="24"/>
                <w:szCs w:val="24"/>
              </w:rPr>
            </w:pPr>
          </w:p>
          <w:p w14:paraId="6B56B9EB">
            <w:pPr>
              <w:pStyle w:val="24"/>
              <w:keepNext w:val="0"/>
              <w:keepLines/>
              <w:pageBreakBefore w:val="0"/>
              <w:widowControl w:val="0"/>
              <w:kinsoku/>
              <w:wordWrap/>
              <w:overflowPunct/>
              <w:topLinePunct w:val="0"/>
              <w:bidi w:val="0"/>
              <w:adjustRightInd w:val="0"/>
              <w:snapToGrid w:val="0"/>
              <w:spacing w:before="36" w:line="220" w:lineRule="auto"/>
              <w:jc w:val="center"/>
              <w:rPr>
                <w:b/>
                <w:bCs/>
                <w:spacing w:val="-3"/>
                <w:sz w:val="24"/>
                <w:szCs w:val="24"/>
              </w:rPr>
            </w:pPr>
            <w:r>
              <w:rPr>
                <w:b/>
                <w:bCs/>
                <w:spacing w:val="-2"/>
                <w:sz w:val="24"/>
                <w:szCs w:val="24"/>
              </w:rPr>
              <w:t>图</w:t>
            </w:r>
            <w:r>
              <w:rPr>
                <w:rFonts w:ascii="Times New Roman" w:hAnsi="Times New Roman" w:eastAsia="Times New Roman" w:cs="Times New Roman"/>
                <w:b/>
                <w:bCs/>
                <w:spacing w:val="-2"/>
                <w:sz w:val="24"/>
                <w:szCs w:val="24"/>
              </w:rPr>
              <w:t>2</w:t>
            </w:r>
            <w:r>
              <w:rPr>
                <w:rFonts w:hint="eastAsia" w:ascii="Times New Roman" w:hAnsi="Times New Roman" w:eastAsia="宋体" w:cs="Times New Roman"/>
                <w:b/>
                <w:bCs/>
                <w:spacing w:val="-2"/>
                <w:sz w:val="24"/>
                <w:szCs w:val="24"/>
                <w:lang w:val="en-US" w:eastAsia="zh-CN"/>
              </w:rPr>
              <w:t>-3</w:t>
            </w:r>
            <w:r>
              <w:rPr>
                <w:b/>
                <w:bCs/>
                <w:spacing w:val="-2"/>
                <w:sz w:val="24"/>
                <w:szCs w:val="24"/>
              </w:rPr>
              <w:t>接入系统</w:t>
            </w:r>
            <w:r>
              <w:rPr>
                <w:b/>
                <w:bCs/>
                <w:spacing w:val="-3"/>
                <w:sz w:val="24"/>
                <w:szCs w:val="24"/>
              </w:rPr>
              <w:t>设计方案示意图</w:t>
            </w:r>
          </w:p>
          <w:p w14:paraId="29BA5B15">
            <w:pPr>
              <w:pStyle w:val="24"/>
              <w:keepNext w:val="0"/>
              <w:keepLines/>
              <w:pageBreakBefore w:val="0"/>
              <w:widowControl w:val="0"/>
              <w:numPr>
                <w:ilvl w:val="0"/>
                <w:numId w:val="7"/>
              </w:numPr>
              <w:kinsoku/>
              <w:wordWrap/>
              <w:overflowPunct/>
              <w:topLinePunct w:val="0"/>
              <w:bidi w:val="0"/>
              <w:adjustRightInd w:val="0"/>
              <w:snapToGrid w:val="0"/>
              <w:spacing w:before="36" w:line="360" w:lineRule="auto"/>
              <w:ind w:left="0" w:leftChars="0" w:firstLine="470" w:firstLineChars="200"/>
              <w:jc w:val="left"/>
              <w:rPr>
                <w:rFonts w:hint="eastAsia"/>
                <w:b/>
                <w:bCs/>
                <w:spacing w:val="-3"/>
                <w:sz w:val="24"/>
                <w:szCs w:val="24"/>
                <w:lang w:val="en-US" w:eastAsia="zh-CN"/>
              </w:rPr>
            </w:pPr>
            <w:r>
              <w:rPr>
                <w:rFonts w:hint="eastAsia"/>
                <w:b/>
                <w:bCs/>
                <w:spacing w:val="-3"/>
                <w:sz w:val="24"/>
                <w:szCs w:val="24"/>
                <w:lang w:val="en-US" w:eastAsia="zh-CN"/>
              </w:rPr>
              <w:t>线路路径</w:t>
            </w:r>
          </w:p>
          <w:p w14:paraId="43E88101">
            <w:pPr>
              <w:pStyle w:val="24"/>
              <w:keepNext w:val="0"/>
              <w:keepLines/>
              <w:pageBreakBefore w:val="0"/>
              <w:widowControl w:val="0"/>
              <w:numPr>
                <w:ilvl w:val="0"/>
                <w:numId w:val="0"/>
              </w:numPr>
              <w:kinsoku/>
              <w:wordWrap/>
              <w:overflowPunct/>
              <w:topLinePunct w:val="0"/>
              <w:bidi w:val="0"/>
              <w:adjustRightInd w:val="0"/>
              <w:snapToGrid w:val="0"/>
              <w:spacing w:before="36" w:line="360" w:lineRule="auto"/>
              <w:ind w:left="420" w:leftChars="200"/>
              <w:jc w:val="left"/>
              <w:rPr>
                <w:rFonts w:hint="eastAsia"/>
                <w:b w:val="0"/>
                <w:bCs w:val="0"/>
                <w:spacing w:val="-3"/>
                <w:sz w:val="24"/>
                <w:szCs w:val="24"/>
                <w:lang w:val="en-US" w:eastAsia="zh-CN"/>
              </w:rPr>
            </w:pPr>
            <w:r>
              <w:rPr>
                <w:rFonts w:hint="eastAsia" w:ascii="宋体" w:hAnsi="宋体" w:eastAsia="宋体" w:cs="宋体"/>
                <w:b w:val="0"/>
                <w:bCs w:val="0"/>
                <w:spacing w:val="-3"/>
                <w:kern w:val="2"/>
                <w:sz w:val="24"/>
                <w:szCs w:val="24"/>
                <w:lang w:val="en-US" w:eastAsia="zh-CN" w:bidi="ar-SA"/>
              </w:rPr>
              <w:t>（1）</w:t>
            </w:r>
            <w:r>
              <w:rPr>
                <w:rFonts w:hint="eastAsia"/>
                <w:b w:val="0"/>
                <w:bCs w:val="0"/>
                <w:spacing w:val="-3"/>
                <w:sz w:val="24"/>
                <w:szCs w:val="24"/>
                <w:lang w:val="en-US" w:eastAsia="zh-CN"/>
              </w:rPr>
              <w:t>线路两端情况</w:t>
            </w:r>
          </w:p>
          <w:p w14:paraId="164E0D3E">
            <w:pPr>
              <w:pStyle w:val="24"/>
              <w:keepNext w:val="0"/>
              <w:keepLines/>
              <w:pageBreakBefore w:val="0"/>
              <w:widowControl w:val="0"/>
              <w:numPr>
                <w:ilvl w:val="0"/>
                <w:numId w:val="0"/>
              </w:numPr>
              <w:kinsoku/>
              <w:wordWrap/>
              <w:overflowPunct/>
              <w:topLinePunct w:val="0"/>
              <w:bidi w:val="0"/>
              <w:adjustRightInd w:val="0"/>
              <w:snapToGrid w:val="0"/>
              <w:spacing w:before="36" w:line="360" w:lineRule="auto"/>
              <w:ind w:firstLine="468" w:firstLineChars="200"/>
              <w:jc w:val="left"/>
              <w:rPr>
                <w:rFonts w:hint="eastAsia"/>
                <w:b w:val="0"/>
                <w:bCs w:val="0"/>
                <w:spacing w:val="-3"/>
                <w:sz w:val="24"/>
                <w:szCs w:val="24"/>
                <w:lang w:val="en-US" w:eastAsia="zh-CN"/>
              </w:rPr>
            </w:pPr>
            <w:r>
              <w:rPr>
                <w:rFonts w:hint="eastAsia" w:ascii="宋体" w:hAnsi="宋体" w:eastAsia="宋体" w:cs="宋体"/>
                <w:b w:val="0"/>
                <w:bCs w:val="0"/>
                <w:spacing w:val="-3"/>
                <w:kern w:val="2"/>
                <w:sz w:val="24"/>
                <w:szCs w:val="24"/>
                <w:lang w:val="en-US" w:eastAsia="zh-CN" w:bidi="ar-SA"/>
              </w:rPr>
              <w:t>1）</w:t>
            </w:r>
            <w:r>
              <w:rPr>
                <w:rFonts w:hint="eastAsia"/>
                <w:b w:val="0"/>
                <w:bCs w:val="0"/>
                <w:spacing w:val="-3"/>
                <w:sz w:val="24"/>
                <w:szCs w:val="24"/>
                <w:lang w:val="en-US" w:eastAsia="zh-CN"/>
              </w:rPr>
              <w:t>华能风电220kV升压站</w:t>
            </w:r>
          </w:p>
          <w:p w14:paraId="0CAE2485">
            <w:pPr>
              <w:pStyle w:val="24"/>
              <w:keepNext w:val="0"/>
              <w:keepLines/>
              <w:pageBreakBefore w:val="0"/>
              <w:widowControl w:val="0"/>
              <w:numPr>
                <w:ilvl w:val="0"/>
                <w:numId w:val="0"/>
              </w:numPr>
              <w:kinsoku/>
              <w:wordWrap/>
              <w:overflowPunct/>
              <w:topLinePunct w:val="0"/>
              <w:bidi w:val="0"/>
              <w:adjustRightInd w:val="0"/>
              <w:snapToGrid w:val="0"/>
              <w:spacing w:before="36" w:line="360" w:lineRule="auto"/>
              <w:ind w:firstLine="480" w:firstLineChars="200"/>
              <w:jc w:val="left"/>
              <w:rPr>
                <w:rFonts w:hint="default"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4384" behindDoc="1" locked="0" layoutInCell="1" allowOverlap="1">
                  <wp:simplePos x="0" y="0"/>
                  <wp:positionH relativeFrom="column">
                    <wp:posOffset>952500</wp:posOffset>
                  </wp:positionH>
                  <wp:positionV relativeFrom="paragraph">
                    <wp:posOffset>851535</wp:posOffset>
                  </wp:positionV>
                  <wp:extent cx="3201670" cy="2348865"/>
                  <wp:effectExtent l="0" t="0" r="17780" b="13335"/>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3201670" cy="2348865"/>
                          </a:xfrm>
                          <a:prstGeom prst="rect">
                            <a:avLst/>
                          </a:prstGeom>
                          <a:noFill/>
                          <a:ln>
                            <a:noFill/>
                          </a:ln>
                        </pic:spPr>
                      </pic:pic>
                    </a:graphicData>
                  </a:graphic>
                </wp:anchor>
              </w:drawing>
            </w:r>
            <w:r>
              <w:rPr>
                <w:rFonts w:hint="default" w:ascii="Times New Roman" w:hAnsi="Times New Roman" w:cs="Times New Roman"/>
                <w:sz w:val="24"/>
                <w:szCs w:val="24"/>
              </w:rPr>
              <w:t>华能风电220kV升压站为待建变电站，本工程线路由该升压站220kV架构的向西南出线，面向变电站相序排列为自左向右ABC。220kV进出线共为4回，本工程本期占用1回（面向变电站自左向右第四间隔）。</w:t>
            </w:r>
          </w:p>
          <w:p w14:paraId="52405782">
            <w:pPr>
              <w:pStyle w:val="24"/>
              <w:keepNext w:val="0"/>
              <w:keepLines/>
              <w:pageBreakBefore w:val="0"/>
              <w:widowControl w:val="0"/>
              <w:numPr>
                <w:ilvl w:val="0"/>
                <w:numId w:val="0"/>
              </w:numPr>
              <w:kinsoku/>
              <w:wordWrap/>
              <w:overflowPunct/>
              <w:topLinePunct w:val="0"/>
              <w:bidi w:val="0"/>
              <w:adjustRightInd w:val="0"/>
              <w:snapToGrid w:val="0"/>
              <w:spacing w:before="36" w:line="360" w:lineRule="auto"/>
              <w:ind w:firstLine="480" w:firstLineChars="200"/>
              <w:jc w:val="left"/>
              <w:rPr>
                <w:rFonts w:hint="default" w:ascii="Times New Roman" w:hAnsi="Times New Roman" w:cs="Times New Roman"/>
                <w:sz w:val="24"/>
                <w:szCs w:val="24"/>
              </w:rPr>
            </w:pPr>
          </w:p>
          <w:p w14:paraId="29A0C61E">
            <w:pPr>
              <w:pStyle w:val="24"/>
              <w:keepNext w:val="0"/>
              <w:keepLines/>
              <w:pageBreakBefore w:val="0"/>
              <w:widowControl w:val="0"/>
              <w:numPr>
                <w:ilvl w:val="0"/>
                <w:numId w:val="0"/>
              </w:numPr>
              <w:kinsoku/>
              <w:wordWrap/>
              <w:overflowPunct/>
              <w:topLinePunct w:val="0"/>
              <w:bidi w:val="0"/>
              <w:adjustRightInd w:val="0"/>
              <w:snapToGrid w:val="0"/>
              <w:spacing w:before="36" w:line="360" w:lineRule="auto"/>
              <w:ind w:firstLine="480" w:firstLineChars="200"/>
              <w:jc w:val="left"/>
              <w:rPr>
                <w:rFonts w:hint="default" w:ascii="Times New Roman" w:hAnsi="Times New Roman" w:cs="Times New Roman"/>
                <w:sz w:val="24"/>
                <w:szCs w:val="24"/>
              </w:rPr>
            </w:pPr>
          </w:p>
          <w:p w14:paraId="3B68DB38">
            <w:pPr>
              <w:pStyle w:val="24"/>
              <w:keepNext w:val="0"/>
              <w:keepLines/>
              <w:pageBreakBefore w:val="0"/>
              <w:widowControl w:val="0"/>
              <w:numPr>
                <w:ilvl w:val="0"/>
                <w:numId w:val="0"/>
              </w:numPr>
              <w:kinsoku/>
              <w:wordWrap/>
              <w:overflowPunct/>
              <w:topLinePunct w:val="0"/>
              <w:bidi w:val="0"/>
              <w:adjustRightInd w:val="0"/>
              <w:snapToGrid w:val="0"/>
              <w:spacing w:before="36" w:line="360" w:lineRule="auto"/>
              <w:ind w:firstLine="480" w:firstLineChars="200"/>
              <w:jc w:val="left"/>
              <w:rPr>
                <w:rFonts w:hint="default" w:ascii="Times New Roman" w:hAnsi="Times New Roman" w:cs="Times New Roman"/>
                <w:sz w:val="24"/>
                <w:szCs w:val="24"/>
              </w:rPr>
            </w:pPr>
          </w:p>
          <w:p w14:paraId="21707CB1">
            <w:pPr>
              <w:pStyle w:val="24"/>
              <w:keepNext w:val="0"/>
              <w:keepLines/>
              <w:pageBreakBefore w:val="0"/>
              <w:widowControl w:val="0"/>
              <w:numPr>
                <w:ilvl w:val="0"/>
                <w:numId w:val="0"/>
              </w:numPr>
              <w:kinsoku/>
              <w:wordWrap/>
              <w:overflowPunct/>
              <w:topLinePunct w:val="0"/>
              <w:bidi w:val="0"/>
              <w:adjustRightInd w:val="0"/>
              <w:snapToGrid w:val="0"/>
              <w:spacing w:before="36" w:line="360" w:lineRule="auto"/>
              <w:ind w:firstLine="480" w:firstLineChars="200"/>
              <w:jc w:val="left"/>
              <w:rPr>
                <w:rFonts w:hint="default" w:ascii="Times New Roman" w:hAnsi="Times New Roman" w:cs="Times New Roman"/>
                <w:sz w:val="24"/>
                <w:szCs w:val="24"/>
              </w:rPr>
            </w:pPr>
          </w:p>
          <w:p w14:paraId="296406BB">
            <w:pPr>
              <w:pStyle w:val="24"/>
              <w:keepNext w:val="0"/>
              <w:keepLines/>
              <w:pageBreakBefore w:val="0"/>
              <w:widowControl w:val="0"/>
              <w:numPr>
                <w:ilvl w:val="0"/>
                <w:numId w:val="0"/>
              </w:numPr>
              <w:kinsoku/>
              <w:wordWrap/>
              <w:overflowPunct/>
              <w:topLinePunct w:val="0"/>
              <w:bidi w:val="0"/>
              <w:adjustRightInd w:val="0"/>
              <w:snapToGrid w:val="0"/>
              <w:spacing w:before="36" w:line="360" w:lineRule="auto"/>
              <w:ind w:firstLine="480" w:firstLineChars="200"/>
              <w:jc w:val="left"/>
              <w:rPr>
                <w:rFonts w:hint="default" w:ascii="Times New Roman" w:hAnsi="Times New Roman" w:cs="Times New Roman"/>
                <w:sz w:val="24"/>
                <w:szCs w:val="24"/>
              </w:rPr>
            </w:pPr>
          </w:p>
          <w:p w14:paraId="56F16ED3">
            <w:pPr>
              <w:pStyle w:val="24"/>
              <w:keepNext w:val="0"/>
              <w:keepLines/>
              <w:pageBreakBefore w:val="0"/>
              <w:widowControl w:val="0"/>
              <w:numPr>
                <w:ilvl w:val="0"/>
                <w:numId w:val="0"/>
              </w:numPr>
              <w:kinsoku/>
              <w:wordWrap/>
              <w:overflowPunct/>
              <w:topLinePunct w:val="0"/>
              <w:bidi w:val="0"/>
              <w:adjustRightInd w:val="0"/>
              <w:snapToGrid w:val="0"/>
              <w:spacing w:before="36" w:line="360" w:lineRule="auto"/>
              <w:ind w:firstLine="480" w:firstLineChars="200"/>
              <w:jc w:val="left"/>
              <w:rPr>
                <w:rFonts w:hint="default" w:ascii="Times New Roman" w:hAnsi="Times New Roman" w:cs="Times New Roman"/>
                <w:sz w:val="24"/>
                <w:szCs w:val="24"/>
              </w:rPr>
            </w:pPr>
          </w:p>
          <w:p w14:paraId="1699F5B1">
            <w:pPr>
              <w:pStyle w:val="24"/>
              <w:keepNext w:val="0"/>
              <w:keepLines/>
              <w:pageBreakBefore w:val="0"/>
              <w:widowControl w:val="0"/>
              <w:numPr>
                <w:ilvl w:val="0"/>
                <w:numId w:val="0"/>
              </w:numPr>
              <w:kinsoku/>
              <w:wordWrap/>
              <w:overflowPunct/>
              <w:topLinePunct w:val="0"/>
              <w:bidi w:val="0"/>
              <w:adjustRightInd w:val="0"/>
              <w:snapToGrid w:val="0"/>
              <w:spacing w:before="36" w:line="360" w:lineRule="auto"/>
              <w:ind w:firstLine="480" w:firstLineChars="200"/>
              <w:jc w:val="left"/>
              <w:rPr>
                <w:rFonts w:hint="eastAsia" w:ascii="Times New Roman" w:hAnsi="Times New Roman" w:cs="Times New Roman"/>
                <w:sz w:val="24"/>
                <w:szCs w:val="24"/>
                <w:lang w:val="en-US" w:eastAsia="zh-CN"/>
              </w:rPr>
            </w:pPr>
          </w:p>
          <w:p w14:paraId="6A124665">
            <w:pPr>
              <w:keepNext w:val="0"/>
              <w:keepLines/>
              <w:pageBreakBefore w:val="0"/>
              <w:widowControl w:val="0"/>
              <w:kinsoku/>
              <w:wordWrap/>
              <w:overflowPunct/>
              <w:topLinePunct w:val="0"/>
              <w:bidi w:val="0"/>
              <w:adjustRightInd w:val="0"/>
              <w:snapToGrid w:val="0"/>
              <w:ind w:firstLine="0" w:firstLineChars="0"/>
              <w:jc w:val="center"/>
              <w:rPr>
                <w:rFonts w:hint="default" w:ascii="Times New Roman" w:hAnsi="Times New Roman" w:cs="Times New Roman"/>
                <w:sz w:val="24"/>
                <w:szCs w:val="24"/>
              </w:rPr>
            </w:pPr>
          </w:p>
          <w:p w14:paraId="2F9DD087">
            <w:pPr>
              <w:keepNext w:val="0"/>
              <w:keepLines/>
              <w:pageBreakBefore w:val="0"/>
              <w:widowControl w:val="0"/>
              <w:kinsoku/>
              <w:wordWrap/>
              <w:overflowPunct/>
              <w:topLinePunct w:val="0"/>
              <w:bidi w:val="0"/>
              <w:adjustRightInd w:val="0"/>
              <w:snapToGrid w:val="0"/>
              <w:ind w:firstLine="0" w:firstLineChars="0"/>
              <w:jc w:val="center"/>
              <w:rPr>
                <w:rFonts w:hint="default" w:ascii="Times New Roman" w:hAnsi="Times New Roman" w:cs="Times New Roman"/>
                <w:b/>
                <w:bCs/>
                <w:sz w:val="24"/>
                <w:szCs w:val="24"/>
              </w:rPr>
            </w:pPr>
          </w:p>
          <w:p w14:paraId="76BBDF70">
            <w:pPr>
              <w:keepNext w:val="0"/>
              <w:keepLines/>
              <w:pageBreakBefore w:val="0"/>
              <w:widowControl w:val="0"/>
              <w:kinsoku/>
              <w:wordWrap/>
              <w:overflowPunct/>
              <w:topLinePunct w:val="0"/>
              <w:bidi w:val="0"/>
              <w:adjustRightInd w:val="0"/>
              <w:snapToGrid w:val="0"/>
              <w:ind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图</w:t>
            </w:r>
            <w:r>
              <w:rPr>
                <w:rFonts w:hint="eastAsia" w:ascii="Times New Roman" w:hAnsi="Times New Roman" w:cs="Times New Roman"/>
                <w:b/>
                <w:bCs/>
                <w:sz w:val="24"/>
                <w:szCs w:val="24"/>
                <w:lang w:val="en-US" w:eastAsia="zh-CN"/>
              </w:rPr>
              <w:t>2-4</w:t>
            </w:r>
            <w:r>
              <w:rPr>
                <w:rFonts w:hint="default" w:ascii="Times New Roman" w:hAnsi="Times New Roman" w:cs="Times New Roman"/>
                <w:b/>
                <w:bCs/>
                <w:sz w:val="24"/>
                <w:szCs w:val="24"/>
              </w:rPr>
              <w:t>华能风电220kV升压站进出线示意图</w:t>
            </w:r>
          </w:p>
          <w:p w14:paraId="1A58D907">
            <w:pPr>
              <w:pStyle w:val="24"/>
              <w:keepNext w:val="0"/>
              <w:keepLines/>
              <w:pageBreakBefore w:val="0"/>
              <w:widowControl w:val="0"/>
              <w:numPr>
                <w:ilvl w:val="0"/>
                <w:numId w:val="0"/>
              </w:numPr>
              <w:kinsoku/>
              <w:wordWrap/>
              <w:overflowPunct/>
              <w:topLinePunct w:val="0"/>
              <w:bidi w:val="0"/>
              <w:adjustRightInd w:val="0"/>
              <w:snapToGrid w:val="0"/>
              <w:spacing w:before="229" w:line="220" w:lineRule="auto"/>
              <w:ind w:left="534" w:leftChars="0"/>
              <w:rPr>
                <w:rFonts w:ascii="Times New Roman" w:hAnsi="Times New Roman" w:cs="Times New Roman"/>
                <w:sz w:val="24"/>
                <w:szCs w:val="24"/>
              </w:rPr>
            </w:pPr>
            <w:r>
              <w:rPr>
                <w:rFonts w:ascii="Times New Roman" w:hAnsi="Times New Roman" w:eastAsia="宋体" w:cs="Times New Roman"/>
                <w:kern w:val="2"/>
                <w:sz w:val="24"/>
                <w:szCs w:val="24"/>
                <w:lang w:val="en-US" w:eastAsia="en-US" w:bidi="ar-SA"/>
              </w:rPr>
              <w:t>2）</w:t>
            </w:r>
            <w:r>
              <w:rPr>
                <w:rFonts w:hint="default" w:ascii="Times New Roman" w:hAnsi="Times New Roman" w:cs="Times New Roman"/>
                <w:sz w:val="24"/>
                <w:szCs w:val="24"/>
              </w:rPr>
              <w:t>牌楼50</w:t>
            </w:r>
            <w:r>
              <w:rPr>
                <w:rFonts w:ascii="Times New Roman" w:hAnsi="Times New Roman" w:cs="Times New Roman"/>
                <w:sz w:val="24"/>
                <w:szCs w:val="24"/>
              </w:rPr>
              <w:t>0kV</w:t>
            </w:r>
            <w:r>
              <w:rPr>
                <w:rFonts w:hint="default" w:ascii="Times New Roman" w:hAnsi="Times New Roman" w:cs="Times New Roman"/>
                <w:sz w:val="24"/>
                <w:szCs w:val="24"/>
              </w:rPr>
              <w:t>变电站</w:t>
            </w:r>
          </w:p>
          <w:p w14:paraId="3ED2EB6C">
            <w:pPr>
              <w:pStyle w:val="24"/>
              <w:keepNext w:val="0"/>
              <w:keepLines/>
              <w:pageBreakBefore w:val="0"/>
              <w:widowControl w:val="0"/>
              <w:numPr>
                <w:ilvl w:val="0"/>
                <w:numId w:val="0"/>
              </w:numPr>
              <w:kinsoku/>
              <w:wordWrap/>
              <w:overflowPunct/>
              <w:topLinePunct w:val="0"/>
              <w:bidi w:val="0"/>
              <w:adjustRightInd w:val="0"/>
              <w:snapToGrid w:val="0"/>
              <w:spacing w:before="229" w:line="360" w:lineRule="auto"/>
              <w:rPr>
                <w:rFonts w:ascii="Times New Roman" w:hAnsi="Times New Roman" w:cs="Times New Roman"/>
                <w:sz w:val="24"/>
                <w:szCs w:val="24"/>
              </w:rPr>
            </w:pPr>
            <w:r>
              <w:rPr>
                <w:rFonts w:hint="default" w:ascii="Times New Roman" w:hAnsi="Times New Roman" w:cs="Times New Roman"/>
                <w:sz w:val="24"/>
                <w:szCs w:val="24"/>
              </w:rPr>
              <w:t>牌楼500kV变电站为在建变电站，本工程线路由该变电站220kV架构的由西向东进线，面向变电站相序排列为自左向右ABC。220kV进出线共为12回，本工程为其中1回（面向变电站自左向右第四间隔）。</w:t>
            </w:r>
          </w:p>
          <w:p w14:paraId="7525D57D">
            <w:pPr>
              <w:pStyle w:val="24"/>
              <w:keepNext w:val="0"/>
              <w:keepLines/>
              <w:pageBreakBefore w:val="0"/>
              <w:widowControl w:val="0"/>
              <w:numPr>
                <w:ilvl w:val="0"/>
                <w:numId w:val="0"/>
              </w:numPr>
              <w:kinsoku/>
              <w:wordWrap/>
              <w:overflowPunct/>
              <w:topLinePunct w:val="0"/>
              <w:bidi w:val="0"/>
              <w:adjustRightInd w:val="0"/>
              <w:snapToGrid w:val="0"/>
              <w:spacing w:before="229" w:line="220" w:lineRule="auto"/>
              <w:jc w:val="center"/>
              <w:rPr>
                <w:rFonts w:hint="default" w:ascii="Times New Roman" w:hAnsi="Times New Roman" w:eastAsia="宋体" w:cs="Times New Roman"/>
                <w:sz w:val="24"/>
                <w:szCs w:val="24"/>
                <w:highlight w:val="none"/>
              </w:rPr>
            </w:pPr>
            <w:r>
              <w:rPr>
                <w:rFonts w:ascii="Times New Roman" w:hAnsi="Times New Roman" w:cs="Times New Roman"/>
                <w:b/>
                <w:bCs/>
                <w:sz w:val="24"/>
                <w:szCs w:val="24"/>
              </w:rPr>
              <w:drawing>
                <wp:anchor distT="0" distB="0" distL="114300" distR="114300" simplePos="0" relativeHeight="251665408" behindDoc="0" locked="0" layoutInCell="1" allowOverlap="1">
                  <wp:simplePos x="0" y="0"/>
                  <wp:positionH relativeFrom="column">
                    <wp:posOffset>595630</wp:posOffset>
                  </wp:positionH>
                  <wp:positionV relativeFrom="paragraph">
                    <wp:posOffset>39370</wp:posOffset>
                  </wp:positionV>
                  <wp:extent cx="4157980" cy="3082290"/>
                  <wp:effectExtent l="0" t="0" r="13970" b="3810"/>
                  <wp:wrapTopAndBottom/>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5"/>
                          <a:stretch>
                            <a:fillRect/>
                          </a:stretch>
                        </pic:blipFill>
                        <pic:spPr>
                          <a:xfrm>
                            <a:off x="0" y="0"/>
                            <a:ext cx="4157980" cy="3082290"/>
                          </a:xfrm>
                          <a:prstGeom prst="rect">
                            <a:avLst/>
                          </a:prstGeom>
                          <a:noFill/>
                          <a:ln>
                            <a:noFill/>
                          </a:ln>
                        </pic:spPr>
                      </pic:pic>
                    </a:graphicData>
                  </a:graphic>
                </wp:anchor>
              </w:drawing>
            </w:r>
            <w:r>
              <w:rPr>
                <w:rFonts w:hint="default" w:ascii="Times New Roman" w:hAnsi="Times New Roman" w:cs="Times New Roman"/>
                <w:b/>
                <w:bCs/>
                <w:sz w:val="24"/>
                <w:szCs w:val="24"/>
              </w:rPr>
              <w:t>图</w:t>
            </w:r>
            <w:r>
              <w:rPr>
                <w:rFonts w:hint="eastAsia" w:ascii="Times New Roman" w:hAnsi="Times New Roman" w:cs="Times New Roman"/>
                <w:b/>
                <w:bCs/>
                <w:sz w:val="24"/>
                <w:szCs w:val="24"/>
                <w:lang w:val="en-US" w:eastAsia="zh-CN"/>
              </w:rPr>
              <w:t xml:space="preserve">2-5 </w:t>
            </w:r>
            <w:r>
              <w:rPr>
                <w:rFonts w:hint="default" w:ascii="Times New Roman" w:hAnsi="Times New Roman" w:cs="Times New Roman"/>
                <w:b/>
                <w:bCs/>
                <w:sz w:val="24"/>
                <w:szCs w:val="24"/>
              </w:rPr>
              <w:t>牌楼500kV变电站进线示意图</w:t>
            </w:r>
          </w:p>
        </w:tc>
      </w:tr>
      <w:tr w14:paraId="7CB84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33" w:type="dxa"/>
            <w:tcBorders>
              <w:bottom w:val="single" w:color="000000" w:sz="2" w:space="0"/>
              <w:right w:val="single" w:color="000000" w:sz="2" w:space="0"/>
            </w:tcBorders>
            <w:textDirection w:val="tbRlV"/>
            <w:vAlign w:val="top"/>
          </w:tcPr>
          <w:p w14:paraId="4F825BE5">
            <w:pPr>
              <w:pStyle w:val="24"/>
              <w:keepNext w:val="0"/>
              <w:keepLines/>
              <w:pageBreakBefore w:val="0"/>
              <w:widowControl w:val="0"/>
              <w:kinsoku/>
              <w:wordWrap/>
              <w:overflowPunct/>
              <w:topLinePunct w:val="0"/>
              <w:bidi w:val="0"/>
              <w:adjustRightInd w:val="0"/>
              <w:snapToGrid w:val="0"/>
              <w:spacing w:before="109" w:line="201" w:lineRule="auto"/>
              <w:ind w:left="4598" w:leftChars="0"/>
              <w:rPr>
                <w:rFonts w:hint="default" w:ascii="Times New Roman" w:hAnsi="Times New Roman" w:eastAsia="宋体" w:cs="Times New Roman"/>
                <w:spacing w:val="21"/>
                <w:w w:val="115"/>
                <w:sz w:val="24"/>
                <w:szCs w:val="24"/>
              </w:rPr>
            </w:pPr>
          </w:p>
        </w:tc>
        <w:tc>
          <w:tcPr>
            <w:tcW w:w="8741" w:type="dxa"/>
            <w:tcBorders>
              <w:left w:val="single" w:color="000000" w:sz="2" w:space="0"/>
              <w:bottom w:val="single" w:color="000000" w:sz="2" w:space="0"/>
            </w:tcBorders>
            <w:vAlign w:val="top"/>
          </w:tcPr>
          <w:p w14:paraId="09675EB2">
            <w:pPr>
              <w:pStyle w:val="24"/>
              <w:keepNext w:val="0"/>
              <w:keepLines/>
              <w:pageBreakBefore w:val="0"/>
              <w:widowControl w:val="0"/>
              <w:numPr>
                <w:ilvl w:val="0"/>
                <w:numId w:val="0"/>
              </w:numPr>
              <w:kinsoku/>
              <w:wordWrap/>
              <w:overflowPunct/>
              <w:topLinePunct w:val="0"/>
              <w:bidi w:val="0"/>
              <w:adjustRightInd w:val="0"/>
              <w:snapToGrid w:val="0"/>
              <w:spacing w:before="229" w:line="220" w:lineRule="auto"/>
              <w:ind w:left="420" w:leftChars="200" w:firstLine="0" w:firstLineChars="0"/>
              <w:rPr>
                <w:rFonts w:hint="default" w:ascii="Times New Roman" w:hAnsi="Times New Roman" w:cs="Times New Roman"/>
                <w:sz w:val="24"/>
                <w:szCs w:val="24"/>
              </w:rPr>
            </w:pPr>
            <w:r>
              <w:rPr>
                <w:rFonts w:hint="default" w:ascii="Times New Roman" w:hAnsi="Times New Roman" w:eastAsia="宋体" w:cs="Times New Roman"/>
                <w:kern w:val="2"/>
                <w:sz w:val="24"/>
                <w:szCs w:val="24"/>
                <w:lang w:val="en-US" w:eastAsia="en-US" w:bidi="ar-SA"/>
              </w:rPr>
              <w:t>（2）</w:t>
            </w:r>
            <w:r>
              <w:rPr>
                <w:rFonts w:hint="eastAsia"/>
                <w:b w:val="0"/>
                <w:bCs w:val="0"/>
                <w:spacing w:val="-3"/>
                <w:sz w:val="24"/>
                <w:szCs w:val="24"/>
                <w:lang w:val="en-US" w:eastAsia="zh-CN"/>
              </w:rPr>
              <w:t>线路路径描述</w:t>
            </w:r>
          </w:p>
          <w:p w14:paraId="51CC7266">
            <w:pPr>
              <w:pStyle w:val="24"/>
              <w:keepNext w:val="0"/>
              <w:keepLines/>
              <w:pageBreakBefore w:val="0"/>
              <w:widowControl w:val="0"/>
              <w:numPr>
                <w:ilvl w:val="0"/>
                <w:numId w:val="0"/>
              </w:numPr>
              <w:kinsoku/>
              <w:wordWrap/>
              <w:overflowPunct/>
              <w:topLinePunct w:val="0"/>
              <w:bidi w:val="0"/>
              <w:adjustRightInd w:val="0"/>
              <w:snapToGrid w:val="0"/>
              <w:spacing w:before="229"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线路自拟建220kV华能风电升压站向南架空出线，线路经J1终端塔左转向东走线至J2，然后线路左转跨越35kV牌后线、规划高速公路后，线路经J3右转穿过风电场后，线路继续向东走线至J8后线路左转东北走线，线路前行至J12后右转向东走线至J16，然后线路经J16右转向南走线至J18，然后线路左转向东走线，线路绕过半截塔矿产探矿权和矿产要求距离范围后，线路经J23、J24右转，线路前行至J25利用牌楼500kV变电站进出线规划的预留线路进入牌楼500kV变电站。</w:t>
            </w:r>
          </w:p>
          <w:p w14:paraId="7CDCF965">
            <w:pPr>
              <w:pStyle w:val="24"/>
              <w:keepNext w:val="0"/>
              <w:keepLines/>
              <w:pageBreakBefore w:val="0"/>
              <w:widowControl w:val="0"/>
              <w:numPr>
                <w:ilvl w:val="0"/>
                <w:numId w:val="0"/>
              </w:numPr>
              <w:kinsoku/>
              <w:wordWrap/>
              <w:overflowPunct/>
              <w:topLinePunct w:val="0"/>
              <w:bidi w:val="0"/>
              <w:adjustRightInd w:val="0"/>
              <w:snapToGrid w:val="0"/>
              <w:spacing w:before="229" w:line="360" w:lineRule="auto"/>
              <w:ind w:firstLine="470" w:firstLineChars="200"/>
              <w:jc w:val="center"/>
              <w:rPr>
                <w:b/>
                <w:bCs/>
                <w:spacing w:val="-3"/>
                <w:sz w:val="24"/>
                <w:szCs w:val="24"/>
              </w:rPr>
            </w:pPr>
            <w:r>
              <w:rPr>
                <w:b/>
                <w:bCs/>
                <w:spacing w:val="-3"/>
                <w:sz w:val="24"/>
                <w:szCs w:val="24"/>
              </w:rPr>
              <w:t>表</w:t>
            </w:r>
            <w:r>
              <w:rPr>
                <w:rFonts w:hint="eastAsia" w:ascii="Times New Roman" w:hAnsi="Times New Roman" w:eastAsia="宋体" w:cs="Times New Roman"/>
                <w:b/>
                <w:bCs/>
                <w:spacing w:val="-3"/>
                <w:sz w:val="24"/>
                <w:szCs w:val="24"/>
                <w:lang w:val="en-US" w:eastAsia="zh-CN"/>
              </w:rPr>
              <w:t>2-2</w:t>
            </w:r>
            <w:r>
              <w:rPr>
                <w:b/>
                <w:bCs/>
                <w:spacing w:val="-3"/>
                <w:sz w:val="24"/>
                <w:szCs w:val="24"/>
              </w:rPr>
              <w:t>线路工程概况</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3450"/>
              <w:gridCol w:w="3450"/>
            </w:tblGrid>
            <w:tr w14:paraId="7241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39FDCF86">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塔基号</w:t>
                  </w:r>
                </w:p>
              </w:tc>
              <w:tc>
                <w:tcPr>
                  <w:tcW w:w="3450" w:type="dxa"/>
                  <w:vAlign w:val="center"/>
                </w:tcPr>
                <w:p w14:paraId="7E4C108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000000"/>
                      <w:kern w:val="0"/>
                      <w:sz w:val="21"/>
                      <w:szCs w:val="21"/>
                      <w:u w:val="none"/>
                      <w:lang w:eastAsia="zh-CN" w:bidi="ar"/>
                    </w:rPr>
                  </w:pPr>
                  <w:r>
                    <w:rPr>
                      <w:rFonts w:hint="default" w:ascii="Times New Roman" w:hAnsi="Times New Roman" w:eastAsia="宋体" w:cs="Times New Roman"/>
                      <w:i w:val="0"/>
                      <w:iCs w:val="0"/>
                      <w:color w:val="000000"/>
                      <w:kern w:val="0"/>
                      <w:sz w:val="21"/>
                      <w:szCs w:val="21"/>
                      <w:u w:val="none"/>
                      <w:lang w:eastAsia="zh-CN" w:bidi="ar"/>
                    </w:rPr>
                    <w:t>东经</w:t>
                  </w:r>
                </w:p>
              </w:tc>
              <w:tc>
                <w:tcPr>
                  <w:tcW w:w="3450" w:type="dxa"/>
                  <w:vAlign w:val="center"/>
                </w:tcPr>
                <w:p w14:paraId="320B042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000000"/>
                      <w:kern w:val="0"/>
                      <w:sz w:val="21"/>
                      <w:szCs w:val="21"/>
                      <w:u w:val="none"/>
                      <w:lang w:eastAsia="zh-CN" w:bidi="ar"/>
                    </w:rPr>
                  </w:pPr>
                  <w:r>
                    <w:rPr>
                      <w:rFonts w:hint="default" w:ascii="Times New Roman" w:hAnsi="Times New Roman" w:eastAsia="宋体" w:cs="Times New Roman"/>
                      <w:i w:val="0"/>
                      <w:iCs w:val="0"/>
                      <w:color w:val="000000"/>
                      <w:kern w:val="0"/>
                      <w:sz w:val="21"/>
                      <w:szCs w:val="21"/>
                      <w:u w:val="none"/>
                      <w:lang w:eastAsia="zh-CN" w:bidi="ar"/>
                    </w:rPr>
                    <w:t>北纬</w:t>
                  </w:r>
                </w:p>
              </w:tc>
            </w:tr>
            <w:tr w14:paraId="300B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0D9E93C5">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450" w:type="dxa"/>
                  <w:vAlign w:val="center"/>
                </w:tcPr>
                <w:p w14:paraId="2E60D2D1">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117°14′19.064″</w:t>
                  </w:r>
                </w:p>
              </w:tc>
              <w:tc>
                <w:tcPr>
                  <w:tcW w:w="3450" w:type="dxa"/>
                  <w:vAlign w:val="center"/>
                </w:tcPr>
                <w:p w14:paraId="5FD00B6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41°58′1.882″</w:t>
                  </w:r>
                </w:p>
              </w:tc>
            </w:tr>
            <w:tr w14:paraId="6308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656C74F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3450" w:type="dxa"/>
                  <w:vAlign w:val="center"/>
                </w:tcPr>
                <w:p w14:paraId="3661CBA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117°24′24.956″</w:t>
                  </w:r>
                </w:p>
              </w:tc>
              <w:tc>
                <w:tcPr>
                  <w:tcW w:w="3450" w:type="dxa"/>
                  <w:vAlign w:val="center"/>
                </w:tcPr>
                <w:p w14:paraId="040EA91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41°58′16.458″</w:t>
                  </w:r>
                </w:p>
              </w:tc>
            </w:tr>
            <w:tr w14:paraId="63BB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695DB2E5">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3450" w:type="dxa"/>
                  <w:vAlign w:val="center"/>
                </w:tcPr>
                <w:p w14:paraId="6C22250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117°24′9.883″</w:t>
                  </w:r>
                </w:p>
              </w:tc>
              <w:tc>
                <w:tcPr>
                  <w:tcW w:w="3450" w:type="dxa"/>
                  <w:vAlign w:val="center"/>
                </w:tcPr>
                <w:p w14:paraId="64DD7C0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41°58′34.573″</w:t>
                  </w:r>
                </w:p>
              </w:tc>
            </w:tr>
            <w:tr w14:paraId="08C6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045D1168">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3450" w:type="dxa"/>
                  <w:vAlign w:val="center"/>
                </w:tcPr>
                <w:p w14:paraId="4240827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117°23′43.512″</w:t>
                  </w:r>
                </w:p>
              </w:tc>
              <w:tc>
                <w:tcPr>
                  <w:tcW w:w="3450" w:type="dxa"/>
                  <w:vAlign w:val="center"/>
                </w:tcPr>
                <w:p w14:paraId="41938E7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41°58′51.693″</w:t>
                  </w:r>
                </w:p>
              </w:tc>
            </w:tr>
            <w:tr w14:paraId="4FD5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5D80EB28">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3450" w:type="dxa"/>
                  <w:vAlign w:val="center"/>
                </w:tcPr>
                <w:p w14:paraId="379A0497">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117°21′56.457″</w:t>
                  </w:r>
                </w:p>
              </w:tc>
              <w:tc>
                <w:tcPr>
                  <w:tcW w:w="3450" w:type="dxa"/>
                  <w:vAlign w:val="center"/>
                </w:tcPr>
                <w:p w14:paraId="090F87F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41°59′14.090″</w:t>
                  </w:r>
                </w:p>
              </w:tc>
            </w:tr>
            <w:tr w14:paraId="76C9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48C0189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3450" w:type="dxa"/>
                  <w:vAlign w:val="center"/>
                </w:tcPr>
                <w:p w14:paraId="77AD7416">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117°20′52.103″</w:t>
                  </w:r>
                </w:p>
              </w:tc>
              <w:tc>
                <w:tcPr>
                  <w:tcW w:w="3450" w:type="dxa"/>
                  <w:vAlign w:val="center"/>
                </w:tcPr>
                <w:p w14:paraId="2300FA20">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41°59′12.616″</w:t>
                  </w:r>
                </w:p>
              </w:tc>
            </w:tr>
            <w:tr w14:paraId="220A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6E8CE76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3450" w:type="dxa"/>
                  <w:vAlign w:val="center"/>
                </w:tcPr>
                <w:p w14:paraId="5085CC3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117°20′2.645″</w:t>
                  </w:r>
                </w:p>
              </w:tc>
              <w:tc>
                <w:tcPr>
                  <w:tcW w:w="3450" w:type="dxa"/>
                  <w:vAlign w:val="center"/>
                </w:tcPr>
                <w:p w14:paraId="5835EE8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41°59′6.818″</w:t>
                  </w:r>
                </w:p>
              </w:tc>
            </w:tr>
            <w:tr w14:paraId="37F74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163213E0">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3450" w:type="dxa"/>
                  <w:vAlign w:val="center"/>
                </w:tcPr>
                <w:p w14:paraId="533DFE0E">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117°19′46.037″</w:t>
                  </w:r>
                </w:p>
              </w:tc>
              <w:tc>
                <w:tcPr>
                  <w:tcW w:w="3450" w:type="dxa"/>
                  <w:vAlign w:val="center"/>
                </w:tcPr>
                <w:p w14:paraId="678AB2F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41°59′4.008″</w:t>
                  </w:r>
                </w:p>
              </w:tc>
            </w:tr>
            <w:tr w14:paraId="05A8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4ACB3E58">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3450" w:type="dxa"/>
                  <w:vAlign w:val="center"/>
                </w:tcPr>
                <w:p w14:paraId="703EF7E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117°19′25.402″</w:t>
                  </w:r>
                </w:p>
              </w:tc>
              <w:tc>
                <w:tcPr>
                  <w:tcW w:w="3450" w:type="dxa"/>
                  <w:vAlign w:val="center"/>
                </w:tcPr>
                <w:p w14:paraId="4A52201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41°59′0.396″</w:t>
                  </w:r>
                </w:p>
              </w:tc>
            </w:tr>
            <w:tr w14:paraId="26C4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776B7BD5">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3450" w:type="dxa"/>
                  <w:vAlign w:val="center"/>
                </w:tcPr>
                <w:p w14:paraId="4337267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117°17′49.032″</w:t>
                  </w:r>
                </w:p>
              </w:tc>
              <w:tc>
                <w:tcPr>
                  <w:tcW w:w="3450" w:type="dxa"/>
                  <w:vAlign w:val="center"/>
                </w:tcPr>
                <w:p w14:paraId="15DEEC2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41°58′36.825″</w:t>
                  </w:r>
                </w:p>
              </w:tc>
            </w:tr>
            <w:tr w14:paraId="450E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32B742D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3450" w:type="dxa"/>
                  <w:vAlign w:val="center"/>
                </w:tcPr>
                <w:p w14:paraId="29A7971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117°15′59.113″</w:t>
                  </w:r>
                </w:p>
              </w:tc>
              <w:tc>
                <w:tcPr>
                  <w:tcW w:w="3450" w:type="dxa"/>
                  <w:vAlign w:val="center"/>
                </w:tcPr>
                <w:p w14:paraId="5D4D9251">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41°58′21.593″</w:t>
                  </w:r>
                </w:p>
              </w:tc>
            </w:tr>
            <w:tr w14:paraId="540E8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2AE5C53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3450" w:type="dxa"/>
                  <w:vAlign w:val="center"/>
                </w:tcPr>
                <w:p w14:paraId="0E96F21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117°15′16.244″</w:t>
                  </w:r>
                </w:p>
              </w:tc>
              <w:tc>
                <w:tcPr>
                  <w:tcW w:w="3450" w:type="dxa"/>
                  <w:vAlign w:val="center"/>
                </w:tcPr>
                <w:p w14:paraId="489D647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41°58′14.783″</w:t>
                  </w:r>
                </w:p>
              </w:tc>
            </w:tr>
            <w:tr w14:paraId="6251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545B25B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3450" w:type="dxa"/>
                  <w:vAlign w:val="center"/>
                </w:tcPr>
                <w:p w14:paraId="52EEB9BE">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117°22′4.505″</w:t>
                  </w:r>
                </w:p>
              </w:tc>
              <w:tc>
                <w:tcPr>
                  <w:tcW w:w="3450" w:type="dxa"/>
                  <w:vAlign w:val="center"/>
                </w:tcPr>
                <w:p w14:paraId="3DFE091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41°59′14.225″</w:t>
                  </w:r>
                </w:p>
              </w:tc>
            </w:tr>
            <w:tr w14:paraId="78EE7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6559ECC6">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3450" w:type="dxa"/>
                  <w:vAlign w:val="center"/>
                </w:tcPr>
                <w:p w14:paraId="788EBA6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117°21′47.148″</w:t>
                  </w:r>
                </w:p>
              </w:tc>
              <w:tc>
                <w:tcPr>
                  <w:tcW w:w="3450" w:type="dxa"/>
                  <w:vAlign w:val="center"/>
                </w:tcPr>
                <w:p w14:paraId="2692B74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41°59′13.723″</w:t>
                  </w:r>
                </w:p>
              </w:tc>
            </w:tr>
            <w:tr w14:paraId="39C4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1FE3CA1B">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450" w:type="dxa"/>
                  <w:vAlign w:val="center"/>
                </w:tcPr>
                <w:p w14:paraId="18DAD5F1">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117°21′38.978″</w:t>
                  </w:r>
                </w:p>
              </w:tc>
              <w:tc>
                <w:tcPr>
                  <w:tcW w:w="3450" w:type="dxa"/>
                  <w:vAlign w:val="center"/>
                </w:tcPr>
                <w:p w14:paraId="68E8D151">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41°59′13.516″</w:t>
                  </w:r>
                </w:p>
              </w:tc>
            </w:tr>
            <w:tr w14:paraId="78BF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03DD664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3450" w:type="dxa"/>
                  <w:vAlign w:val="center"/>
                </w:tcPr>
                <w:p w14:paraId="24269868">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117°21′30.992″</w:t>
                  </w:r>
                </w:p>
              </w:tc>
              <w:tc>
                <w:tcPr>
                  <w:tcW w:w="3450" w:type="dxa"/>
                  <w:vAlign w:val="center"/>
                </w:tcPr>
                <w:p w14:paraId="5897E43E">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41°59′13.279″</w:t>
                  </w:r>
                </w:p>
              </w:tc>
            </w:tr>
            <w:tr w14:paraId="4CE50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5F0BDC46">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3450" w:type="dxa"/>
                  <w:vAlign w:val="center"/>
                </w:tcPr>
                <w:p w14:paraId="0653623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117°21′22.070″</w:t>
                  </w:r>
                </w:p>
              </w:tc>
              <w:tc>
                <w:tcPr>
                  <w:tcW w:w="3450" w:type="dxa"/>
                  <w:vAlign w:val="center"/>
                </w:tcPr>
                <w:p w14:paraId="65EEA3E5">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41°59′13.023″</w:t>
                  </w:r>
                </w:p>
              </w:tc>
            </w:tr>
            <w:tr w14:paraId="71A6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236A7626">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3450" w:type="dxa"/>
                  <w:vAlign w:val="center"/>
                </w:tcPr>
                <w:p w14:paraId="039545E1">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117°21′9.489″</w:t>
                  </w:r>
                </w:p>
              </w:tc>
              <w:tc>
                <w:tcPr>
                  <w:tcW w:w="3450" w:type="dxa"/>
                  <w:vAlign w:val="center"/>
                </w:tcPr>
                <w:p w14:paraId="5982F5C8">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41°59′12.685″</w:t>
                  </w:r>
                </w:p>
              </w:tc>
            </w:tr>
            <w:tr w14:paraId="7A69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66B43B2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3450" w:type="dxa"/>
                  <w:vAlign w:val="center"/>
                </w:tcPr>
                <w:p w14:paraId="79A5E2B6">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117°21′1.030″</w:t>
                  </w:r>
                </w:p>
              </w:tc>
              <w:tc>
                <w:tcPr>
                  <w:tcW w:w="3450" w:type="dxa"/>
                  <w:vAlign w:val="center"/>
                </w:tcPr>
                <w:p w14:paraId="38E194F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41°59′12.442″</w:t>
                  </w:r>
                </w:p>
              </w:tc>
            </w:tr>
            <w:tr w14:paraId="3353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670A7A61">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3450" w:type="dxa"/>
                  <w:vAlign w:val="center"/>
                </w:tcPr>
                <w:p w14:paraId="09001CD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117°20′44.064″</w:t>
                  </w:r>
                </w:p>
              </w:tc>
              <w:tc>
                <w:tcPr>
                  <w:tcW w:w="3450" w:type="dxa"/>
                  <w:vAlign w:val="center"/>
                </w:tcPr>
                <w:p w14:paraId="00B153C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41°59′11.984″</w:t>
                  </w:r>
                </w:p>
              </w:tc>
            </w:tr>
            <w:tr w14:paraId="7918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0C473158">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3450" w:type="dxa"/>
                  <w:vAlign w:val="center"/>
                </w:tcPr>
                <w:p w14:paraId="552337EC">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117°22′16.522″</w:t>
                  </w:r>
                </w:p>
              </w:tc>
              <w:tc>
                <w:tcPr>
                  <w:tcW w:w="3450" w:type="dxa"/>
                  <w:vAlign w:val="center"/>
                </w:tcPr>
                <w:p w14:paraId="1F3CAE4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41°59′10.025″</w:t>
                  </w:r>
                </w:p>
              </w:tc>
            </w:tr>
            <w:tr w14:paraId="47A1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04DEB4CC">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3450" w:type="dxa"/>
                  <w:vAlign w:val="center"/>
                </w:tcPr>
                <w:p w14:paraId="48E84E0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117°20′11.393″</w:t>
                  </w:r>
                </w:p>
              </w:tc>
              <w:tc>
                <w:tcPr>
                  <w:tcW w:w="3450" w:type="dxa"/>
                  <w:vAlign w:val="center"/>
                </w:tcPr>
                <w:p w14:paraId="38C6A2D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41°59′8.290″</w:t>
                  </w:r>
                </w:p>
              </w:tc>
            </w:tr>
            <w:tr w14:paraId="0962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7DE243E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3450" w:type="dxa"/>
                  <w:vAlign w:val="center"/>
                </w:tcPr>
                <w:p w14:paraId="2C4E66C0">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117°22′28.312″</w:t>
                  </w:r>
                </w:p>
              </w:tc>
              <w:tc>
                <w:tcPr>
                  <w:tcW w:w="3450" w:type="dxa"/>
                  <w:vAlign w:val="center"/>
                </w:tcPr>
                <w:p w14:paraId="1755583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41°59′5.945″</w:t>
                  </w:r>
                </w:p>
              </w:tc>
            </w:tr>
            <w:tr w14:paraId="4CCB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091A87C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3450" w:type="dxa"/>
                  <w:vAlign w:val="center"/>
                </w:tcPr>
                <w:p w14:paraId="2D66EA8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117°19′54.534″</w:t>
                  </w:r>
                </w:p>
              </w:tc>
              <w:tc>
                <w:tcPr>
                  <w:tcW w:w="3450" w:type="dxa"/>
                  <w:vAlign w:val="center"/>
                </w:tcPr>
                <w:p w14:paraId="6F28E846">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41°59′5.389″</w:t>
                  </w:r>
                </w:p>
              </w:tc>
            </w:tr>
            <w:tr w14:paraId="2E9D7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072841F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3450" w:type="dxa"/>
                  <w:vAlign w:val="center"/>
                </w:tcPr>
                <w:p w14:paraId="7647C00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117°19′37.269″</w:t>
                  </w:r>
                </w:p>
              </w:tc>
              <w:tc>
                <w:tcPr>
                  <w:tcW w:w="3450" w:type="dxa"/>
                  <w:vAlign w:val="center"/>
                </w:tcPr>
                <w:p w14:paraId="303A58C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41°59′2.434″</w:t>
                  </w:r>
                </w:p>
              </w:tc>
            </w:tr>
            <w:tr w14:paraId="102B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0CD7ACF8">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3450" w:type="dxa"/>
                  <w:vAlign w:val="center"/>
                </w:tcPr>
                <w:p w14:paraId="1B4C42F7">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117°22′49.255″</w:t>
                  </w:r>
                </w:p>
              </w:tc>
              <w:tc>
                <w:tcPr>
                  <w:tcW w:w="3450" w:type="dxa"/>
                  <w:vAlign w:val="center"/>
                </w:tcPr>
                <w:p w14:paraId="7C2CF01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41°58′58.645″</w:t>
                  </w:r>
                </w:p>
              </w:tc>
            </w:tr>
            <w:tr w14:paraId="6822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34E11A58">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3450" w:type="dxa"/>
                  <w:vAlign w:val="center"/>
                </w:tcPr>
                <w:p w14:paraId="640496D8">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117°19′14.886″</w:t>
                  </w:r>
                </w:p>
              </w:tc>
              <w:tc>
                <w:tcPr>
                  <w:tcW w:w="3450" w:type="dxa"/>
                  <w:vAlign w:val="center"/>
                </w:tcPr>
                <w:p w14:paraId="1552F94C">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41°58′58.533″</w:t>
                  </w:r>
                </w:p>
              </w:tc>
            </w:tr>
            <w:tr w14:paraId="35F1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33AE67E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3450" w:type="dxa"/>
                  <w:vAlign w:val="center"/>
                </w:tcPr>
                <w:p w14:paraId="6DBF216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117°19′8.378″</w:t>
                  </w:r>
                </w:p>
              </w:tc>
              <w:tc>
                <w:tcPr>
                  <w:tcW w:w="3450" w:type="dxa"/>
                  <w:vAlign w:val="center"/>
                </w:tcPr>
                <w:p w14:paraId="6C2201A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41°58′57.393″</w:t>
                  </w:r>
                </w:p>
              </w:tc>
            </w:tr>
            <w:tr w14:paraId="7EFF5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6EA539E5">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3450" w:type="dxa"/>
                  <w:vAlign w:val="center"/>
                </w:tcPr>
                <w:p w14:paraId="45EA936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117°22′59.162″</w:t>
                  </w:r>
                </w:p>
              </w:tc>
              <w:tc>
                <w:tcPr>
                  <w:tcW w:w="3450" w:type="dxa"/>
                  <w:vAlign w:val="center"/>
                </w:tcPr>
                <w:p w14:paraId="7ACBABF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41°58′55.227″</w:t>
                  </w:r>
                </w:p>
              </w:tc>
            </w:tr>
            <w:tr w14:paraId="43A2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32F5FB6E">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3450" w:type="dxa"/>
                  <w:vAlign w:val="center"/>
                </w:tcPr>
                <w:p w14:paraId="4B7F198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117°18′59.929″</w:t>
                  </w:r>
                </w:p>
              </w:tc>
              <w:tc>
                <w:tcPr>
                  <w:tcW w:w="3450" w:type="dxa"/>
                  <w:vAlign w:val="center"/>
                </w:tcPr>
                <w:p w14:paraId="7B864C3B">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41°58′55.916″</w:t>
                  </w:r>
                </w:p>
              </w:tc>
            </w:tr>
            <w:tr w14:paraId="4A09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3CB3B3F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3450" w:type="dxa"/>
                  <w:vAlign w:val="center"/>
                </w:tcPr>
                <w:p w14:paraId="1F7B6E0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117°18′48.381″</w:t>
                  </w:r>
                </w:p>
              </w:tc>
              <w:tc>
                <w:tcPr>
                  <w:tcW w:w="3450" w:type="dxa"/>
                  <w:vAlign w:val="center"/>
                </w:tcPr>
                <w:p w14:paraId="37B3648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41°58′53.946″</w:t>
                  </w:r>
                </w:p>
              </w:tc>
            </w:tr>
            <w:tr w14:paraId="5C71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5930135C">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3450" w:type="dxa"/>
                  <w:vAlign w:val="center"/>
                </w:tcPr>
                <w:p w14:paraId="71715C3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117°23′53.641″</w:t>
                  </w:r>
                </w:p>
              </w:tc>
              <w:tc>
                <w:tcPr>
                  <w:tcW w:w="3450" w:type="dxa"/>
                  <w:vAlign w:val="center"/>
                </w:tcPr>
                <w:p w14:paraId="5E8519C1">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41°58′51.577″</w:t>
                  </w:r>
                </w:p>
              </w:tc>
            </w:tr>
            <w:tr w14:paraId="4E4E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4820F397">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3450" w:type="dxa"/>
                  <w:vAlign w:val="center"/>
                </w:tcPr>
                <w:p w14:paraId="120AE50B">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117°23′33.093″</w:t>
                  </w:r>
                </w:p>
              </w:tc>
              <w:tc>
                <w:tcPr>
                  <w:tcW w:w="3450" w:type="dxa"/>
                  <w:vAlign w:val="center"/>
                </w:tcPr>
                <w:p w14:paraId="5181631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41°58′51.249″</w:t>
                  </w:r>
                </w:p>
              </w:tc>
            </w:tr>
            <w:tr w14:paraId="1654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4D3989F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3450" w:type="dxa"/>
                  <w:vAlign w:val="center"/>
                </w:tcPr>
                <w:p w14:paraId="036CA63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117°23′59.020″</w:t>
                  </w:r>
                </w:p>
              </w:tc>
              <w:tc>
                <w:tcPr>
                  <w:tcW w:w="3450" w:type="dxa"/>
                  <w:vAlign w:val="center"/>
                </w:tcPr>
                <w:p w14:paraId="2F18BBBC">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41°58′45.861″</w:t>
                  </w:r>
                </w:p>
              </w:tc>
            </w:tr>
            <w:tr w14:paraId="1C72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4B37305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3450" w:type="dxa"/>
                  <w:vAlign w:val="center"/>
                </w:tcPr>
                <w:p w14:paraId="0DC300C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117°18′21.611″</w:t>
                  </w:r>
                </w:p>
              </w:tc>
              <w:tc>
                <w:tcPr>
                  <w:tcW w:w="3450" w:type="dxa"/>
                  <w:vAlign w:val="center"/>
                </w:tcPr>
                <w:p w14:paraId="16D5BB7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41°58′46.220″</w:t>
                  </w:r>
                </w:p>
              </w:tc>
            </w:tr>
            <w:tr w14:paraId="0F84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735BD190">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3450" w:type="dxa"/>
                  <w:vAlign w:val="center"/>
                </w:tcPr>
                <w:p w14:paraId="23FA4A1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117°18′6.451″</w:t>
                  </w:r>
                </w:p>
              </w:tc>
              <w:tc>
                <w:tcPr>
                  <w:tcW w:w="3450" w:type="dxa"/>
                  <w:vAlign w:val="center"/>
                </w:tcPr>
                <w:p w14:paraId="176FB91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41°58′41.846″</w:t>
                  </w:r>
                </w:p>
              </w:tc>
            </w:tr>
            <w:tr w14:paraId="25C2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06B4AF6C">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3450" w:type="dxa"/>
                  <w:vAlign w:val="center"/>
                </w:tcPr>
                <w:p w14:paraId="34661F0E">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117°24′5.422″</w:t>
                  </w:r>
                </w:p>
              </w:tc>
              <w:tc>
                <w:tcPr>
                  <w:tcW w:w="3450" w:type="dxa"/>
                  <w:vAlign w:val="center"/>
                </w:tcPr>
                <w:p w14:paraId="328063FC">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41°58′39.102″</w:t>
                  </w:r>
                </w:p>
              </w:tc>
            </w:tr>
            <w:tr w14:paraId="231E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6771B87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3450" w:type="dxa"/>
                  <w:vAlign w:val="center"/>
                </w:tcPr>
                <w:p w14:paraId="5AB1DFE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117°17′57.577″</w:t>
                  </w:r>
                </w:p>
              </w:tc>
              <w:tc>
                <w:tcPr>
                  <w:tcW w:w="3450" w:type="dxa"/>
                  <w:vAlign w:val="center"/>
                </w:tcPr>
                <w:p w14:paraId="65210FF6">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41°58′39.249″</w:t>
                  </w:r>
                </w:p>
              </w:tc>
            </w:tr>
            <w:tr w14:paraId="405E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49333B10">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3450" w:type="dxa"/>
                  <w:vAlign w:val="center"/>
                </w:tcPr>
                <w:p w14:paraId="49817DE6">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117°17′38.743″</w:t>
                  </w:r>
                </w:p>
              </w:tc>
              <w:tc>
                <w:tcPr>
                  <w:tcW w:w="3450" w:type="dxa"/>
                  <w:vAlign w:val="center"/>
                </w:tcPr>
                <w:p w14:paraId="16932245">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41°58′33.890″</w:t>
                  </w:r>
                </w:p>
              </w:tc>
            </w:tr>
            <w:tr w14:paraId="356DF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5C3FF2A0">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3450" w:type="dxa"/>
                  <w:vAlign w:val="center"/>
                </w:tcPr>
                <w:p w14:paraId="13D0A42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117°17′28.344″</w:t>
                  </w:r>
                </w:p>
              </w:tc>
              <w:tc>
                <w:tcPr>
                  <w:tcW w:w="3450" w:type="dxa"/>
                  <w:vAlign w:val="center"/>
                </w:tcPr>
                <w:p w14:paraId="0B8B9B51">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41°58′32.552″</w:t>
                  </w:r>
                </w:p>
              </w:tc>
            </w:tr>
            <w:tr w14:paraId="580B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1544A17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3450" w:type="dxa"/>
                  <w:vAlign w:val="center"/>
                </w:tcPr>
                <w:p w14:paraId="2BD51B87">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117°24′13.619″</w:t>
                  </w:r>
                </w:p>
              </w:tc>
              <w:tc>
                <w:tcPr>
                  <w:tcW w:w="3450" w:type="dxa"/>
                  <w:vAlign w:val="center"/>
                </w:tcPr>
                <w:p w14:paraId="7B666515">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41°58′30.459″</w:t>
                  </w:r>
                </w:p>
              </w:tc>
            </w:tr>
            <w:tr w14:paraId="70BE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1A6472A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3450" w:type="dxa"/>
                  <w:vAlign w:val="center"/>
                </w:tcPr>
                <w:p w14:paraId="6212CBB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117°17′13.676″</w:t>
                  </w:r>
                </w:p>
              </w:tc>
              <w:tc>
                <w:tcPr>
                  <w:tcW w:w="3450" w:type="dxa"/>
                  <w:vAlign w:val="center"/>
                </w:tcPr>
                <w:p w14:paraId="3E93602B">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41°58′30.756″</w:t>
                  </w:r>
                </w:p>
              </w:tc>
            </w:tr>
            <w:tr w14:paraId="3CC4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478051C1">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3450" w:type="dxa"/>
                  <w:vAlign w:val="center"/>
                </w:tcPr>
                <w:p w14:paraId="4E4DE318">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117°17′2.881″</w:t>
                  </w:r>
                </w:p>
              </w:tc>
              <w:tc>
                <w:tcPr>
                  <w:tcW w:w="3450" w:type="dxa"/>
                  <w:vAlign w:val="center"/>
                </w:tcPr>
                <w:p w14:paraId="0F0758CE">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41°58′29.376″</w:t>
                  </w:r>
                </w:p>
              </w:tc>
            </w:tr>
            <w:tr w14:paraId="4923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505F7301">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3450" w:type="dxa"/>
                  <w:vAlign w:val="center"/>
                </w:tcPr>
                <w:p w14:paraId="6E2FE1B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117°16′50.241″</w:t>
                  </w:r>
                </w:p>
              </w:tc>
              <w:tc>
                <w:tcPr>
                  <w:tcW w:w="3450" w:type="dxa"/>
                  <w:vAlign w:val="center"/>
                </w:tcPr>
                <w:p w14:paraId="79D94EA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41°58′27.792″</w:t>
                  </w:r>
                </w:p>
              </w:tc>
            </w:tr>
            <w:tr w14:paraId="1609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283D8277">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3450" w:type="dxa"/>
                  <w:vAlign w:val="center"/>
                </w:tcPr>
                <w:p w14:paraId="7E67A49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117°16′28.245″</w:t>
                  </w:r>
                </w:p>
              </w:tc>
              <w:tc>
                <w:tcPr>
                  <w:tcW w:w="3450" w:type="dxa"/>
                  <w:vAlign w:val="center"/>
                </w:tcPr>
                <w:p w14:paraId="640AFCB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41°58′25.011″</w:t>
                  </w:r>
                </w:p>
              </w:tc>
            </w:tr>
            <w:tr w14:paraId="613D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663D113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3450" w:type="dxa"/>
                  <w:vAlign w:val="center"/>
                </w:tcPr>
                <w:p w14:paraId="6CAEF41B">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117°24′21.914″</w:t>
                  </w:r>
                </w:p>
              </w:tc>
              <w:tc>
                <w:tcPr>
                  <w:tcW w:w="3450" w:type="dxa"/>
                  <w:vAlign w:val="center"/>
                </w:tcPr>
                <w:p w14:paraId="09B5DE4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41°58′21.692″</w:t>
                  </w:r>
                </w:p>
              </w:tc>
            </w:tr>
            <w:tr w14:paraId="20DF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559425F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3450" w:type="dxa"/>
                  <w:vAlign w:val="center"/>
                </w:tcPr>
                <w:p w14:paraId="00C711D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117°16′7.620″</w:t>
                  </w:r>
                </w:p>
              </w:tc>
              <w:tc>
                <w:tcPr>
                  <w:tcW w:w="3450" w:type="dxa"/>
                  <w:vAlign w:val="center"/>
                </w:tcPr>
                <w:p w14:paraId="520BD298">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41°58′22.452″</w:t>
                  </w:r>
                </w:p>
              </w:tc>
            </w:tr>
            <w:tr w14:paraId="1174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07CC5BD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3450" w:type="dxa"/>
                  <w:vAlign w:val="center"/>
                </w:tcPr>
                <w:p w14:paraId="288AEFBC">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117°15′50.790″</w:t>
                  </w:r>
                </w:p>
              </w:tc>
              <w:tc>
                <w:tcPr>
                  <w:tcW w:w="3450" w:type="dxa"/>
                  <w:vAlign w:val="center"/>
                </w:tcPr>
                <w:p w14:paraId="358E30D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41°58′20.342″</w:t>
                  </w:r>
                </w:p>
              </w:tc>
            </w:tr>
            <w:tr w14:paraId="16B6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50BBE71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3450" w:type="dxa"/>
                  <w:vAlign w:val="center"/>
                </w:tcPr>
                <w:p w14:paraId="22694BE8">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117°15′36.349″</w:t>
                  </w:r>
                </w:p>
              </w:tc>
              <w:tc>
                <w:tcPr>
                  <w:tcW w:w="3450" w:type="dxa"/>
                  <w:vAlign w:val="center"/>
                </w:tcPr>
                <w:p w14:paraId="17FC9EA0">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41°58′17.933″</w:t>
                  </w:r>
                </w:p>
              </w:tc>
            </w:tr>
            <w:tr w14:paraId="6F6E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7D3A372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3450" w:type="dxa"/>
                  <w:vAlign w:val="center"/>
                </w:tcPr>
                <w:p w14:paraId="102CC935">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117°15′25.123″</w:t>
                  </w:r>
                </w:p>
              </w:tc>
              <w:tc>
                <w:tcPr>
                  <w:tcW w:w="3450" w:type="dxa"/>
                  <w:vAlign w:val="center"/>
                </w:tcPr>
                <w:p w14:paraId="3A13EEB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41°58′16.028″</w:t>
                  </w:r>
                </w:p>
              </w:tc>
            </w:tr>
            <w:tr w14:paraId="1267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3CBE09E8">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3450" w:type="dxa"/>
                  <w:vAlign w:val="center"/>
                </w:tcPr>
                <w:p w14:paraId="302BCF0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117°15′8.172″</w:t>
                  </w:r>
                </w:p>
              </w:tc>
              <w:tc>
                <w:tcPr>
                  <w:tcW w:w="3450" w:type="dxa"/>
                  <w:vAlign w:val="center"/>
                </w:tcPr>
                <w:p w14:paraId="78D80EE1">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41°58′13.233″</w:t>
                  </w:r>
                </w:p>
              </w:tc>
            </w:tr>
            <w:tr w14:paraId="219F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5888273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3450" w:type="dxa"/>
                  <w:vAlign w:val="center"/>
                </w:tcPr>
                <w:p w14:paraId="5AA58D5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117°24′27.640″</w:t>
                  </w:r>
                </w:p>
              </w:tc>
              <w:tc>
                <w:tcPr>
                  <w:tcW w:w="3450" w:type="dxa"/>
                  <w:vAlign w:val="center"/>
                </w:tcPr>
                <w:p w14:paraId="5CA7B04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41°58′9.487″</w:t>
                  </w:r>
                </w:p>
              </w:tc>
            </w:tr>
            <w:tr w14:paraId="253E9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041E4C4E">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3450" w:type="dxa"/>
                  <w:vAlign w:val="center"/>
                </w:tcPr>
                <w:p w14:paraId="736A4DA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117°14′58.772″</w:t>
                  </w:r>
                </w:p>
              </w:tc>
              <w:tc>
                <w:tcPr>
                  <w:tcW w:w="3450" w:type="dxa"/>
                  <w:vAlign w:val="center"/>
                </w:tcPr>
                <w:p w14:paraId="138E5711">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41°58′11.046″</w:t>
                  </w:r>
                </w:p>
              </w:tc>
            </w:tr>
            <w:tr w14:paraId="14E2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677B455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3450" w:type="dxa"/>
                  <w:vAlign w:val="center"/>
                </w:tcPr>
                <w:p w14:paraId="43F4DDB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117°12′13.502″</w:t>
                  </w:r>
                </w:p>
              </w:tc>
              <w:tc>
                <w:tcPr>
                  <w:tcW w:w="3450" w:type="dxa"/>
                  <w:vAlign w:val="center"/>
                </w:tcPr>
                <w:p w14:paraId="60E4787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41°58′9.428″</w:t>
                  </w:r>
                </w:p>
              </w:tc>
            </w:tr>
            <w:tr w14:paraId="6C71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79F6B52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3450" w:type="dxa"/>
                  <w:vAlign w:val="center"/>
                </w:tcPr>
                <w:p w14:paraId="498879CB">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117°11′59.742″</w:t>
                  </w:r>
                </w:p>
              </w:tc>
              <w:tc>
                <w:tcPr>
                  <w:tcW w:w="3450" w:type="dxa"/>
                  <w:vAlign w:val="center"/>
                </w:tcPr>
                <w:p w14:paraId="0BEC564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41°58′8.752″</w:t>
                  </w:r>
                </w:p>
              </w:tc>
            </w:tr>
            <w:tr w14:paraId="54FA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1757E62E">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3450" w:type="dxa"/>
                  <w:vAlign w:val="center"/>
                </w:tcPr>
                <w:p w14:paraId="387AA926">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117°14′46.827″</w:t>
                  </w:r>
                </w:p>
              </w:tc>
              <w:tc>
                <w:tcPr>
                  <w:tcW w:w="3450" w:type="dxa"/>
                  <w:vAlign w:val="center"/>
                </w:tcPr>
                <w:p w14:paraId="368B6F2C">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41°58′8.304″</w:t>
                  </w:r>
                </w:p>
              </w:tc>
            </w:tr>
            <w:tr w14:paraId="4D12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2811B9E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3450" w:type="dxa"/>
                  <w:vAlign w:val="center"/>
                </w:tcPr>
                <w:p w14:paraId="3E2228CC">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117°11′43.646″</w:t>
                  </w:r>
                </w:p>
              </w:tc>
              <w:tc>
                <w:tcPr>
                  <w:tcW w:w="3450" w:type="dxa"/>
                  <w:vAlign w:val="center"/>
                </w:tcPr>
                <w:p w14:paraId="196E7F9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41°58′8.019″</w:t>
                  </w:r>
                </w:p>
              </w:tc>
            </w:tr>
            <w:tr w14:paraId="5DBF5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4BC4EAC7">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3450" w:type="dxa"/>
                  <w:vAlign w:val="center"/>
                </w:tcPr>
                <w:p w14:paraId="08533331">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117°14′37.287″</w:t>
                  </w:r>
                </w:p>
              </w:tc>
              <w:tc>
                <w:tcPr>
                  <w:tcW w:w="3450" w:type="dxa"/>
                  <w:vAlign w:val="center"/>
                </w:tcPr>
                <w:p w14:paraId="13AD9667">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41°58′6.170″</w:t>
                  </w:r>
                </w:p>
              </w:tc>
            </w:tr>
            <w:tr w14:paraId="5DB1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1B8DD72B">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3450" w:type="dxa"/>
                  <w:vAlign w:val="center"/>
                </w:tcPr>
                <w:p w14:paraId="0727A22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117°14′23.650″</w:t>
                  </w:r>
                </w:p>
              </w:tc>
              <w:tc>
                <w:tcPr>
                  <w:tcW w:w="3450" w:type="dxa"/>
                  <w:vAlign w:val="center"/>
                </w:tcPr>
                <w:p w14:paraId="675AADA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41°58′2.988″</w:t>
                  </w:r>
                </w:p>
              </w:tc>
            </w:tr>
            <w:tr w14:paraId="4D67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11EE77C5">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3450" w:type="dxa"/>
                  <w:vAlign w:val="center"/>
                </w:tcPr>
                <w:p w14:paraId="35DC47E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117°14′14.882″</w:t>
                  </w:r>
                </w:p>
              </w:tc>
              <w:tc>
                <w:tcPr>
                  <w:tcW w:w="3450" w:type="dxa"/>
                  <w:vAlign w:val="center"/>
                </w:tcPr>
                <w:p w14:paraId="5934B4D5">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41°58′0.994″</w:t>
                  </w:r>
                </w:p>
              </w:tc>
            </w:tr>
            <w:tr w14:paraId="618A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2348C8CC">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3450" w:type="dxa"/>
                  <w:vAlign w:val="center"/>
                </w:tcPr>
                <w:p w14:paraId="42C804E6">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117°13′1.825″</w:t>
                  </w:r>
                </w:p>
              </w:tc>
              <w:tc>
                <w:tcPr>
                  <w:tcW w:w="3450" w:type="dxa"/>
                  <w:vAlign w:val="center"/>
                </w:tcPr>
                <w:p w14:paraId="01136060">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41°58′0.555″</w:t>
                  </w:r>
                </w:p>
              </w:tc>
            </w:tr>
            <w:tr w14:paraId="74432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22AA0CB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3450" w:type="dxa"/>
                  <w:vAlign w:val="center"/>
                </w:tcPr>
                <w:p w14:paraId="652263C5">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117°14′9.214″</w:t>
                  </w:r>
                </w:p>
              </w:tc>
              <w:tc>
                <w:tcPr>
                  <w:tcW w:w="3450" w:type="dxa"/>
                  <w:vAlign w:val="center"/>
                </w:tcPr>
                <w:p w14:paraId="62F7571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41°57′59.661″</w:t>
                  </w:r>
                </w:p>
              </w:tc>
            </w:tr>
            <w:tr w14:paraId="53D7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60D012B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3450" w:type="dxa"/>
                  <w:vAlign w:val="center"/>
                </w:tcPr>
                <w:p w14:paraId="36702C30">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117°13′38.277″</w:t>
                  </w:r>
                </w:p>
              </w:tc>
              <w:tc>
                <w:tcPr>
                  <w:tcW w:w="3450" w:type="dxa"/>
                  <w:vAlign w:val="center"/>
                </w:tcPr>
                <w:p w14:paraId="2547135E">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41°57′59.130″</w:t>
                  </w:r>
                </w:p>
              </w:tc>
            </w:tr>
            <w:tr w14:paraId="3F71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2AC8ECE7">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3450" w:type="dxa"/>
                  <w:vAlign w:val="center"/>
                </w:tcPr>
                <w:p w14:paraId="1FF971D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117°13′30.272″</w:t>
                  </w:r>
                </w:p>
              </w:tc>
              <w:tc>
                <w:tcPr>
                  <w:tcW w:w="3450" w:type="dxa"/>
                  <w:vAlign w:val="center"/>
                </w:tcPr>
                <w:p w14:paraId="1FF65BF1">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41°57′58.203″</w:t>
                  </w:r>
                </w:p>
              </w:tc>
            </w:tr>
            <w:tr w14:paraId="6A2B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40EE928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3450" w:type="dxa"/>
                  <w:vAlign w:val="center"/>
                </w:tcPr>
                <w:p w14:paraId="0F94E22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117°13′59.829″</w:t>
                  </w:r>
                </w:p>
              </w:tc>
              <w:tc>
                <w:tcPr>
                  <w:tcW w:w="3450" w:type="dxa"/>
                  <w:vAlign w:val="center"/>
                </w:tcPr>
                <w:p w14:paraId="4F9EDAEB">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41°57′57.508″</w:t>
                  </w:r>
                </w:p>
              </w:tc>
            </w:tr>
            <w:tr w14:paraId="48649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52E3186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3450" w:type="dxa"/>
                  <w:vAlign w:val="center"/>
                </w:tcPr>
                <w:p w14:paraId="6DDEF72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117°13′14.687″</w:t>
                  </w:r>
                </w:p>
              </w:tc>
              <w:tc>
                <w:tcPr>
                  <w:tcW w:w="3450" w:type="dxa"/>
                  <w:vAlign w:val="center"/>
                </w:tcPr>
                <w:p w14:paraId="07DCEB2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41°57′56.393″</w:t>
                  </w:r>
                </w:p>
              </w:tc>
            </w:tr>
            <w:tr w14:paraId="7017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2F0C0EAC">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3450" w:type="dxa"/>
                  <w:vAlign w:val="center"/>
                </w:tcPr>
                <w:p w14:paraId="6F17F51C">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117°13′51.158″</w:t>
                  </w:r>
                </w:p>
              </w:tc>
              <w:tc>
                <w:tcPr>
                  <w:tcW w:w="3450" w:type="dxa"/>
                  <w:vAlign w:val="center"/>
                </w:tcPr>
                <w:p w14:paraId="1BEC878B">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41°57′55.480″</w:t>
                  </w:r>
                </w:p>
              </w:tc>
            </w:tr>
            <w:tr w14:paraId="72F5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65878CA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3450" w:type="dxa"/>
                  <w:vAlign w:val="center"/>
                </w:tcPr>
                <w:p w14:paraId="1065202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117°24′36.016″</w:t>
                  </w:r>
                </w:p>
              </w:tc>
              <w:tc>
                <w:tcPr>
                  <w:tcW w:w="3450" w:type="dxa"/>
                  <w:vAlign w:val="center"/>
                </w:tcPr>
                <w:p w14:paraId="4A9CD1B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41°57′51.829″</w:t>
                  </w:r>
                </w:p>
              </w:tc>
            </w:tr>
            <w:tr w14:paraId="58E5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01FE157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3450" w:type="dxa"/>
                  <w:vAlign w:val="center"/>
                </w:tcPr>
                <w:p w14:paraId="3620F98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117°24′39.028″</w:t>
                  </w:r>
                </w:p>
              </w:tc>
              <w:tc>
                <w:tcPr>
                  <w:tcW w:w="3450" w:type="dxa"/>
                  <w:vAlign w:val="center"/>
                </w:tcPr>
                <w:p w14:paraId="235350E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41°57′45.543″</w:t>
                  </w:r>
                </w:p>
              </w:tc>
            </w:tr>
            <w:tr w14:paraId="7BB4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1D51307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3450" w:type="dxa"/>
                  <w:vAlign w:val="center"/>
                </w:tcPr>
                <w:p w14:paraId="5D76FFA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117°24′42.533″</w:t>
                  </w:r>
                </w:p>
              </w:tc>
              <w:tc>
                <w:tcPr>
                  <w:tcW w:w="3450" w:type="dxa"/>
                  <w:vAlign w:val="center"/>
                </w:tcPr>
                <w:p w14:paraId="2542EC8E">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41°57′37.963″</w:t>
                  </w:r>
                </w:p>
              </w:tc>
            </w:tr>
            <w:tr w14:paraId="3DE2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63FCF8A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3450" w:type="dxa"/>
                  <w:vAlign w:val="center"/>
                </w:tcPr>
                <w:p w14:paraId="1643B86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117°24′49.611″</w:t>
                  </w:r>
                </w:p>
              </w:tc>
              <w:tc>
                <w:tcPr>
                  <w:tcW w:w="3450" w:type="dxa"/>
                  <w:vAlign w:val="center"/>
                </w:tcPr>
                <w:p w14:paraId="0EE0668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41°57′37.181″</w:t>
                  </w:r>
                </w:p>
              </w:tc>
            </w:tr>
            <w:tr w14:paraId="3240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326156A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3450" w:type="dxa"/>
                  <w:vAlign w:val="center"/>
                </w:tcPr>
                <w:p w14:paraId="76AAFAA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117°24′56.013″</w:t>
                  </w:r>
                </w:p>
              </w:tc>
              <w:tc>
                <w:tcPr>
                  <w:tcW w:w="3450" w:type="dxa"/>
                  <w:vAlign w:val="center"/>
                </w:tcPr>
                <w:p w14:paraId="3184162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41°57′36.438″</w:t>
                  </w:r>
                </w:p>
              </w:tc>
            </w:tr>
            <w:tr w14:paraId="4AE3A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5E616DC7">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3450" w:type="dxa"/>
                  <w:vAlign w:val="center"/>
                </w:tcPr>
                <w:p w14:paraId="5B4502A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117°25′20.182″</w:t>
                  </w:r>
                </w:p>
              </w:tc>
              <w:tc>
                <w:tcPr>
                  <w:tcW w:w="3450" w:type="dxa"/>
                  <w:vAlign w:val="center"/>
                </w:tcPr>
                <w:p w14:paraId="49C43AD7">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41°57′33.657″</w:t>
                  </w:r>
                </w:p>
              </w:tc>
            </w:tr>
            <w:tr w14:paraId="05A8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6D0A4D1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3450" w:type="dxa"/>
                  <w:vAlign w:val="center"/>
                </w:tcPr>
                <w:p w14:paraId="07589EA7">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117°25′39.880″</w:t>
                  </w:r>
                </w:p>
              </w:tc>
              <w:tc>
                <w:tcPr>
                  <w:tcW w:w="3450" w:type="dxa"/>
                  <w:vAlign w:val="center"/>
                </w:tcPr>
                <w:p w14:paraId="5BFFB3FB">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41°57′31.436″</w:t>
                  </w:r>
                </w:p>
              </w:tc>
            </w:tr>
            <w:tr w14:paraId="2AEA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553B5C8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3450" w:type="dxa"/>
                  <w:vAlign w:val="center"/>
                </w:tcPr>
                <w:p w14:paraId="6052F03A">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117°25′55.718″</w:t>
                  </w:r>
                </w:p>
              </w:tc>
              <w:tc>
                <w:tcPr>
                  <w:tcW w:w="3450" w:type="dxa"/>
                  <w:vAlign w:val="center"/>
                </w:tcPr>
                <w:p w14:paraId="6C1223C0">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41°57′29.629″</w:t>
                  </w:r>
                </w:p>
              </w:tc>
            </w:tr>
            <w:tr w14:paraId="7388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4E1BAE3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3450" w:type="dxa"/>
                  <w:vAlign w:val="center"/>
                </w:tcPr>
                <w:p w14:paraId="2FEADDA1">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117°26′5.596″</w:t>
                  </w:r>
                </w:p>
              </w:tc>
              <w:tc>
                <w:tcPr>
                  <w:tcW w:w="3450" w:type="dxa"/>
                  <w:vAlign w:val="center"/>
                </w:tcPr>
                <w:p w14:paraId="1EA8D30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41°57′18.418″</w:t>
                  </w:r>
                </w:p>
              </w:tc>
            </w:tr>
            <w:tr w14:paraId="526B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217B2627">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3450" w:type="dxa"/>
                  <w:vAlign w:val="center"/>
                </w:tcPr>
                <w:p w14:paraId="1ECDC8A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117°26′10.656″</w:t>
                  </w:r>
                </w:p>
              </w:tc>
              <w:tc>
                <w:tcPr>
                  <w:tcW w:w="3450" w:type="dxa"/>
                  <w:vAlign w:val="center"/>
                </w:tcPr>
                <w:p w14:paraId="72673BF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41°57′12.682″</w:t>
                  </w:r>
                </w:p>
              </w:tc>
            </w:tr>
            <w:tr w14:paraId="0B83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1039DCF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3450" w:type="dxa"/>
                  <w:vAlign w:val="center"/>
                </w:tcPr>
                <w:p w14:paraId="595FD581">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117°26′14.054″</w:t>
                  </w:r>
                </w:p>
              </w:tc>
              <w:tc>
                <w:tcPr>
                  <w:tcW w:w="3450" w:type="dxa"/>
                  <w:vAlign w:val="center"/>
                </w:tcPr>
                <w:p w14:paraId="744FA64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41°57′8.791″</w:t>
                  </w:r>
                </w:p>
              </w:tc>
            </w:tr>
            <w:tr w14:paraId="1EFD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4B749A6E">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3450" w:type="dxa"/>
                  <w:vAlign w:val="center"/>
                </w:tcPr>
                <w:p w14:paraId="2E6E039E">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117°26′29.253″</w:t>
                  </w:r>
                </w:p>
              </w:tc>
              <w:tc>
                <w:tcPr>
                  <w:tcW w:w="3450" w:type="dxa"/>
                  <w:vAlign w:val="center"/>
                </w:tcPr>
                <w:p w14:paraId="2365445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41°57′4.214″</w:t>
                  </w:r>
                </w:p>
              </w:tc>
            </w:tr>
            <w:tr w14:paraId="2814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3C561EC6">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3450" w:type="dxa"/>
                  <w:vAlign w:val="center"/>
                </w:tcPr>
                <w:p w14:paraId="3D569380">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117°26′47.290″</w:t>
                  </w:r>
                </w:p>
              </w:tc>
              <w:tc>
                <w:tcPr>
                  <w:tcW w:w="3450" w:type="dxa"/>
                  <w:vAlign w:val="center"/>
                </w:tcPr>
                <w:p w14:paraId="0170EF11">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41°56′58.768″</w:t>
                  </w:r>
                </w:p>
              </w:tc>
            </w:tr>
            <w:tr w14:paraId="0635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168E1138">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3450" w:type="dxa"/>
                  <w:vAlign w:val="center"/>
                </w:tcPr>
                <w:p w14:paraId="1A58E9B1">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117°26′58.800″</w:t>
                  </w:r>
                </w:p>
              </w:tc>
              <w:tc>
                <w:tcPr>
                  <w:tcW w:w="3450" w:type="dxa"/>
                  <w:vAlign w:val="center"/>
                </w:tcPr>
                <w:p w14:paraId="1FED3E8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41°56′55.311″</w:t>
                  </w:r>
                </w:p>
              </w:tc>
            </w:tr>
            <w:tr w14:paraId="49AFC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48FB54A7">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3450" w:type="dxa"/>
                  <w:vAlign w:val="center"/>
                </w:tcPr>
                <w:p w14:paraId="0B58DE9E">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117°28′4.345″</w:t>
                  </w:r>
                </w:p>
              </w:tc>
              <w:tc>
                <w:tcPr>
                  <w:tcW w:w="3450" w:type="dxa"/>
                  <w:vAlign w:val="center"/>
                </w:tcPr>
                <w:p w14:paraId="073671B5">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41°56′53.380″</w:t>
                  </w:r>
                </w:p>
              </w:tc>
            </w:tr>
            <w:tr w14:paraId="4A22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642299BE">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3450" w:type="dxa"/>
                  <w:vAlign w:val="center"/>
                </w:tcPr>
                <w:p w14:paraId="01300186">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117°27′58.464″</w:t>
                  </w:r>
                </w:p>
              </w:tc>
              <w:tc>
                <w:tcPr>
                  <w:tcW w:w="3450" w:type="dxa"/>
                  <w:vAlign w:val="center"/>
                </w:tcPr>
                <w:p w14:paraId="0A7F9D1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41°56′53.158″</w:t>
                  </w:r>
                </w:p>
              </w:tc>
            </w:tr>
            <w:tr w14:paraId="2283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5A35A41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3450" w:type="dxa"/>
                  <w:vAlign w:val="center"/>
                </w:tcPr>
                <w:p w14:paraId="4A33562B">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117°27′49.687″</w:t>
                  </w:r>
                </w:p>
              </w:tc>
              <w:tc>
                <w:tcPr>
                  <w:tcW w:w="3450" w:type="dxa"/>
                  <w:vAlign w:val="center"/>
                </w:tcPr>
                <w:p w14:paraId="0239AA1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41°56′52.743″</w:t>
                  </w:r>
                </w:p>
              </w:tc>
            </w:tr>
            <w:tr w14:paraId="30D2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4C4546F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3450" w:type="dxa"/>
                  <w:vAlign w:val="center"/>
                </w:tcPr>
                <w:p w14:paraId="29EB159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117°28′9.607″</w:t>
                  </w:r>
                </w:p>
              </w:tc>
              <w:tc>
                <w:tcPr>
                  <w:tcW w:w="3450" w:type="dxa"/>
                  <w:vAlign w:val="center"/>
                </w:tcPr>
                <w:p w14:paraId="3FF85036">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41°56′52.154″</w:t>
                  </w:r>
                </w:p>
              </w:tc>
            </w:tr>
            <w:tr w14:paraId="4D53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3B834DD7">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3450" w:type="dxa"/>
                  <w:vAlign w:val="center"/>
                </w:tcPr>
                <w:p w14:paraId="39554BDC">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117°27′20.063″</w:t>
                  </w:r>
                </w:p>
              </w:tc>
              <w:tc>
                <w:tcPr>
                  <w:tcW w:w="3450" w:type="dxa"/>
                  <w:vAlign w:val="center"/>
                </w:tcPr>
                <w:p w14:paraId="2BCE9233">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41°56′51.584″</w:t>
                  </w:r>
                </w:p>
              </w:tc>
            </w:tr>
            <w:tr w14:paraId="555B2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30A3FD9E">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3450" w:type="dxa"/>
                  <w:vAlign w:val="center"/>
                </w:tcPr>
                <w:p w14:paraId="09FF13D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117°27′12.454″</w:t>
                  </w:r>
                </w:p>
              </w:tc>
              <w:tc>
                <w:tcPr>
                  <w:tcW w:w="3450" w:type="dxa"/>
                  <w:vAlign w:val="center"/>
                </w:tcPr>
                <w:p w14:paraId="41BDDDE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41°56′51.217″</w:t>
                  </w:r>
                </w:p>
              </w:tc>
            </w:tr>
            <w:tr w14:paraId="692B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35FFB127">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3450" w:type="dxa"/>
                  <w:vAlign w:val="center"/>
                </w:tcPr>
                <w:p w14:paraId="4A39656E">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117°28′19.601″</w:t>
                  </w:r>
                </w:p>
              </w:tc>
              <w:tc>
                <w:tcPr>
                  <w:tcW w:w="3450" w:type="dxa"/>
                  <w:vAlign w:val="center"/>
                </w:tcPr>
                <w:p w14:paraId="598308B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41°56′49.778″</w:t>
                  </w:r>
                </w:p>
              </w:tc>
            </w:tr>
            <w:tr w14:paraId="28A9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48A37CE8">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3450" w:type="dxa"/>
                  <w:vAlign w:val="center"/>
                </w:tcPr>
                <w:p w14:paraId="1CFDF249">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117°28′27.509″</w:t>
                  </w:r>
                </w:p>
              </w:tc>
              <w:tc>
                <w:tcPr>
                  <w:tcW w:w="3450" w:type="dxa"/>
                  <w:vAlign w:val="center"/>
                </w:tcPr>
                <w:p w14:paraId="7824EC4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41°56′47.992″</w:t>
                  </w:r>
                </w:p>
              </w:tc>
            </w:tr>
            <w:tr w14:paraId="7C5ED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4196D8B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3450" w:type="dxa"/>
                  <w:vAlign w:val="center"/>
                </w:tcPr>
                <w:p w14:paraId="41C63EBC">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117°28′33.679″</w:t>
                  </w:r>
                </w:p>
              </w:tc>
              <w:tc>
                <w:tcPr>
                  <w:tcW w:w="3450" w:type="dxa"/>
                  <w:vAlign w:val="center"/>
                </w:tcPr>
                <w:p w14:paraId="6C4ADF65">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41°56′46.563″</w:t>
                  </w:r>
                </w:p>
              </w:tc>
            </w:tr>
            <w:tr w14:paraId="3607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1119BC97">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3450" w:type="dxa"/>
                  <w:vAlign w:val="center"/>
                </w:tcPr>
                <w:p w14:paraId="07C3914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117°28′41.723″</w:t>
                  </w:r>
                </w:p>
              </w:tc>
              <w:tc>
                <w:tcPr>
                  <w:tcW w:w="3450" w:type="dxa"/>
                  <w:vAlign w:val="center"/>
                </w:tcPr>
                <w:p w14:paraId="7FA2663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41°56′37.911″</w:t>
                  </w:r>
                </w:p>
              </w:tc>
            </w:tr>
            <w:tr w14:paraId="4C7F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54A08D2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3450" w:type="dxa"/>
                  <w:vAlign w:val="center"/>
                </w:tcPr>
                <w:p w14:paraId="677F23AB">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117°28′48.897″</w:t>
                  </w:r>
                </w:p>
              </w:tc>
              <w:tc>
                <w:tcPr>
                  <w:tcW w:w="3450" w:type="dxa"/>
                  <w:vAlign w:val="center"/>
                </w:tcPr>
                <w:p w14:paraId="76DECAD2">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41°56′30.302″</w:t>
                  </w:r>
                </w:p>
              </w:tc>
            </w:tr>
            <w:tr w14:paraId="14A9D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5366A3FB">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3450" w:type="dxa"/>
                  <w:vAlign w:val="center"/>
                </w:tcPr>
                <w:p w14:paraId="0EF3C546">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117°28′56.178″</w:t>
                  </w:r>
                </w:p>
              </w:tc>
              <w:tc>
                <w:tcPr>
                  <w:tcW w:w="3450" w:type="dxa"/>
                  <w:vAlign w:val="center"/>
                </w:tcPr>
                <w:p w14:paraId="622223B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41°56′22.481″</w:t>
                  </w:r>
                </w:p>
              </w:tc>
            </w:tr>
            <w:tr w14:paraId="41EA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2BB25FF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3450" w:type="dxa"/>
                  <w:vAlign w:val="center"/>
                </w:tcPr>
                <w:p w14:paraId="67892E64">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117°28′52.335″</w:t>
                  </w:r>
                </w:p>
              </w:tc>
              <w:tc>
                <w:tcPr>
                  <w:tcW w:w="3450" w:type="dxa"/>
                  <w:vAlign w:val="center"/>
                </w:tcPr>
                <w:p w14:paraId="0F493A86">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41°56′14.660″</w:t>
                  </w:r>
                </w:p>
              </w:tc>
            </w:tr>
            <w:tr w14:paraId="0E75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Align w:val="center"/>
                </w:tcPr>
                <w:p w14:paraId="360315BF">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3450" w:type="dxa"/>
                  <w:vAlign w:val="center"/>
                </w:tcPr>
                <w:p w14:paraId="04604E3D">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117°28′50.248″</w:t>
                  </w:r>
                </w:p>
              </w:tc>
              <w:tc>
                <w:tcPr>
                  <w:tcW w:w="3450" w:type="dxa"/>
                  <w:vAlign w:val="center"/>
                </w:tcPr>
                <w:p w14:paraId="514E6155">
                  <w:pPr>
                    <w:keepNext w:val="0"/>
                    <w:keepLines/>
                    <w:pageBreakBefore w:val="0"/>
                    <w:widowControl w:val="0"/>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41°56′10.521″</w:t>
                  </w:r>
                </w:p>
              </w:tc>
            </w:tr>
          </w:tbl>
          <w:p w14:paraId="041082D4">
            <w:pPr>
              <w:pStyle w:val="24"/>
              <w:keepNext w:val="0"/>
              <w:keepLines/>
              <w:pageBreakBefore w:val="0"/>
              <w:widowControl w:val="0"/>
              <w:numPr>
                <w:ilvl w:val="0"/>
                <w:numId w:val="0"/>
              </w:numPr>
              <w:kinsoku/>
              <w:wordWrap/>
              <w:overflowPunct/>
              <w:topLinePunct w:val="0"/>
              <w:bidi w:val="0"/>
              <w:adjustRightInd w:val="0"/>
              <w:snapToGrid w:val="0"/>
              <w:spacing w:before="229" w:line="360" w:lineRule="auto"/>
              <w:ind w:firstLine="482" w:firstLineChars="200"/>
              <w:rPr>
                <w:rFonts w:hint="eastAsia" w:ascii="Times New Roman" w:hAnsi="Times New Roman" w:eastAsia="宋体" w:cs="Times New Roman"/>
                <w:b/>
                <w:bCs/>
                <w:color w:val="auto"/>
                <w:spacing w:val="0"/>
                <w:w w:val="100"/>
                <w:kern w:val="2"/>
                <w:sz w:val="24"/>
                <w:szCs w:val="24"/>
                <w:highlight w:val="none"/>
                <w:lang w:val="en-US" w:eastAsia="zh-CN" w:bidi="ar-SA"/>
              </w:rPr>
            </w:pPr>
            <w:r>
              <w:rPr>
                <w:rFonts w:hint="eastAsia" w:ascii="Times New Roman" w:hAnsi="Times New Roman" w:eastAsia="宋体" w:cs="Times New Roman"/>
                <w:b/>
                <w:bCs/>
                <w:color w:val="auto"/>
                <w:spacing w:val="0"/>
                <w:w w:val="100"/>
                <w:kern w:val="2"/>
                <w:sz w:val="24"/>
                <w:szCs w:val="24"/>
                <w:lang w:val="en-US" w:eastAsia="zh-CN" w:bidi="ar-SA"/>
              </w:rPr>
              <w:t>（3）</w:t>
            </w:r>
            <w:r>
              <w:rPr>
                <w:rFonts w:hint="eastAsia"/>
                <w:b/>
                <w:bCs/>
                <w:spacing w:val="-3"/>
                <w:sz w:val="24"/>
                <w:szCs w:val="24"/>
                <w:lang w:val="en-US" w:eastAsia="zh-CN"/>
              </w:rPr>
              <w:t>线路沿线路径现状</w:t>
            </w:r>
          </w:p>
          <w:p w14:paraId="39AD5604">
            <w:pPr>
              <w:pStyle w:val="24"/>
              <w:keepNext w:val="0"/>
              <w:keepLines/>
              <w:pageBreakBefore w:val="0"/>
              <w:widowControl w:val="0"/>
              <w:numPr>
                <w:ilvl w:val="0"/>
                <w:numId w:val="0"/>
              </w:numPr>
              <w:kinsoku/>
              <w:wordWrap/>
              <w:overflowPunct/>
              <w:topLinePunct w:val="0"/>
              <w:bidi w:val="0"/>
              <w:adjustRightInd w:val="0"/>
              <w:snapToGrid w:val="0"/>
              <w:spacing w:before="229" w:line="360" w:lineRule="auto"/>
              <w:rPr>
                <w:rFonts w:hint="default"/>
                <w:b w:val="0"/>
                <w:bCs w:val="0"/>
                <w:spacing w:val="-3"/>
                <w:sz w:val="24"/>
                <w:szCs w:val="24"/>
                <w:lang w:val="en-US" w:eastAsia="zh-CN"/>
              </w:rPr>
            </w:pPr>
            <w:r>
              <w:rPr>
                <w:rFonts w:hint="eastAsia" w:ascii="Times New Roman" w:hAnsi="Times New Roman" w:eastAsia="宋体" w:cs="Times New Roman"/>
                <w:b w:val="0"/>
                <w:bCs w:val="0"/>
                <w:color w:val="auto"/>
                <w:spacing w:val="0"/>
                <w:w w:val="100"/>
                <w:kern w:val="2"/>
                <w:sz w:val="24"/>
                <w:szCs w:val="24"/>
                <w:highlight w:val="none"/>
                <w:lang w:val="en-US" w:eastAsia="zh-CN" w:bidi="ar-SA"/>
              </w:rPr>
              <w:t>本线路工程沿线主要为：土地现状主要为林地和草地。动物种类较为简单，主要以啮齿类动物为主，主要为田鼠，家畜主要为牛，羊。</w:t>
            </w:r>
          </w:p>
          <w:p w14:paraId="05F81034">
            <w:pPr>
              <w:pStyle w:val="24"/>
              <w:keepNext w:val="0"/>
              <w:keepLines/>
              <w:pageBreakBefore w:val="0"/>
              <w:widowControl w:val="0"/>
              <w:numPr>
                <w:ilvl w:val="0"/>
                <w:numId w:val="0"/>
              </w:numPr>
              <w:kinsoku/>
              <w:wordWrap/>
              <w:overflowPunct/>
              <w:topLinePunct w:val="0"/>
              <w:bidi w:val="0"/>
              <w:adjustRightInd w:val="0"/>
              <w:snapToGrid w:val="0"/>
              <w:spacing w:before="229" w:line="220" w:lineRule="auto"/>
              <w:ind w:left="0" w:leftChars="0" w:firstLine="470" w:firstLineChars="200"/>
              <w:rPr>
                <w:rFonts w:hint="eastAsia"/>
                <w:b/>
                <w:bCs/>
                <w:spacing w:val="-3"/>
                <w:sz w:val="24"/>
                <w:szCs w:val="24"/>
                <w:lang w:val="en-US" w:eastAsia="zh-CN"/>
              </w:rPr>
            </w:pPr>
            <w:r>
              <w:rPr>
                <w:rFonts w:hint="eastAsia" w:ascii="宋体" w:hAnsi="宋体" w:eastAsia="宋体" w:cs="宋体"/>
                <w:b/>
                <w:bCs/>
                <w:spacing w:val="-3"/>
                <w:kern w:val="2"/>
                <w:sz w:val="24"/>
                <w:szCs w:val="24"/>
                <w:lang w:val="en-US" w:eastAsia="zh-CN" w:bidi="ar-SA"/>
              </w:rPr>
              <w:t>（4）</w:t>
            </w:r>
            <w:r>
              <w:rPr>
                <w:rFonts w:hint="eastAsia"/>
                <w:b/>
                <w:bCs/>
                <w:spacing w:val="-3"/>
                <w:sz w:val="24"/>
                <w:szCs w:val="24"/>
                <w:lang w:val="en-US" w:eastAsia="zh-CN"/>
              </w:rPr>
              <w:t>线路交叉穿越情况</w:t>
            </w:r>
          </w:p>
          <w:p w14:paraId="65DDD2DD">
            <w:pPr>
              <w:pStyle w:val="24"/>
              <w:keepNext w:val="0"/>
              <w:keepLines/>
              <w:pageBreakBefore w:val="0"/>
              <w:widowControl w:val="0"/>
              <w:numPr>
                <w:ilvl w:val="0"/>
                <w:numId w:val="0"/>
              </w:numPr>
              <w:kinsoku/>
              <w:wordWrap/>
              <w:overflowPunct/>
              <w:topLinePunct w:val="0"/>
              <w:bidi w:val="0"/>
              <w:adjustRightInd w:val="0"/>
              <w:snapToGrid w:val="0"/>
              <w:spacing w:before="229" w:line="360" w:lineRule="auto"/>
              <w:ind w:firstLine="480" w:firstLineChars="200"/>
              <w:rPr>
                <w:rFonts w:hint="eastAsia"/>
                <w:highlight w:val="none"/>
                <w:lang w:val="en-US" w:eastAsia="zh-CN"/>
              </w:rPr>
            </w:pPr>
            <w:r>
              <w:rPr>
                <w:rFonts w:hint="default" w:ascii="Times New Roman" w:hAnsi="Times New Roman" w:eastAsia="宋体" w:cs="Times New Roman"/>
                <w:color w:val="auto"/>
                <w:sz w:val="24"/>
                <w:szCs w:val="24"/>
                <w:highlight w:val="none"/>
                <w:lang w:val="en-US" w:eastAsia="zh-CN"/>
              </w:rPr>
              <w:t>本工程与其他220kV线路、500kV线路有交叉，其跨钻越情况见下表：</w:t>
            </w:r>
          </w:p>
          <w:p w14:paraId="224AB0C9">
            <w:pPr>
              <w:pStyle w:val="16"/>
              <w:keepNext w:val="0"/>
              <w:keepLines/>
              <w:pageBreakBefore w:val="0"/>
              <w:widowControl w:val="0"/>
              <w:kinsoku/>
              <w:wordWrap/>
              <w:overflowPunct/>
              <w:topLinePunct w:val="0"/>
              <w:bidi w:val="0"/>
              <w:adjustRightInd w:val="0"/>
              <w:snapToGrid w:val="0"/>
              <w:spacing w:line="360" w:lineRule="auto"/>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表2-</w:t>
            </w:r>
            <w:r>
              <w:rPr>
                <w:rFonts w:hint="eastAsia"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lang w:val="en-US" w:eastAsia="zh-CN"/>
              </w:rPr>
              <w:t>本工程与其他线路交叉情况一览表</w:t>
            </w:r>
          </w:p>
          <w:tbl>
            <w:tblPr>
              <w:tblStyle w:val="20"/>
              <w:tblW w:w="49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986"/>
              <w:gridCol w:w="1034"/>
              <w:gridCol w:w="1090"/>
              <w:gridCol w:w="3668"/>
              <w:gridCol w:w="1087"/>
            </w:tblGrid>
            <w:tr w14:paraId="75CA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Merge w:val="restart"/>
                  <w:noWrap w:val="0"/>
                  <w:vAlign w:val="center"/>
                </w:tcPr>
                <w:p w14:paraId="0E8C0F84">
                  <w:pPr>
                    <w:pStyle w:val="16"/>
                    <w:keepNext w:val="0"/>
                    <w:keepLines/>
                    <w:pageBreakBefore w:val="0"/>
                    <w:widowControl w:val="0"/>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序号</w:t>
                  </w:r>
                </w:p>
              </w:tc>
              <w:tc>
                <w:tcPr>
                  <w:tcW w:w="1169" w:type="pct"/>
                  <w:gridSpan w:val="2"/>
                  <w:noWrap w:val="0"/>
                  <w:vAlign w:val="center"/>
                </w:tcPr>
                <w:p w14:paraId="5B7A220B">
                  <w:pPr>
                    <w:pStyle w:val="16"/>
                    <w:keepNext w:val="0"/>
                    <w:keepLines/>
                    <w:pageBreakBefore w:val="0"/>
                    <w:widowControl w:val="0"/>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交叉处本工程塔号</w:t>
                  </w:r>
                </w:p>
              </w:tc>
              <w:tc>
                <w:tcPr>
                  <w:tcW w:w="3382" w:type="pct"/>
                  <w:gridSpan w:val="3"/>
                  <w:noWrap w:val="0"/>
                  <w:vAlign w:val="center"/>
                </w:tcPr>
                <w:p w14:paraId="3B587EF4">
                  <w:pPr>
                    <w:pStyle w:val="16"/>
                    <w:keepNext w:val="0"/>
                    <w:keepLines/>
                    <w:pageBreakBefore w:val="0"/>
                    <w:widowControl w:val="0"/>
                    <w:kinsoku/>
                    <w:wordWrap/>
                    <w:overflowPunct/>
                    <w:topLinePunct w:val="0"/>
                    <w:bidi w:val="0"/>
                    <w:adjustRightInd w:val="0"/>
                    <w:snapToGrid w:val="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交叉线路情况</w:t>
                  </w:r>
                </w:p>
              </w:tc>
            </w:tr>
            <w:tr w14:paraId="2F5E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Merge w:val="continue"/>
                  <w:noWrap w:val="0"/>
                  <w:vAlign w:val="center"/>
                </w:tcPr>
                <w:p w14:paraId="6093D260">
                  <w:pPr>
                    <w:pStyle w:val="16"/>
                    <w:keepNext w:val="0"/>
                    <w:keepLines/>
                    <w:pageBreakBefore w:val="0"/>
                    <w:widowControl w:val="0"/>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p>
              </w:tc>
              <w:tc>
                <w:tcPr>
                  <w:tcW w:w="570" w:type="pct"/>
                  <w:noWrap w:val="0"/>
                  <w:vAlign w:val="center"/>
                </w:tcPr>
                <w:p w14:paraId="6111E4F9">
                  <w:pPr>
                    <w:keepNext w:val="0"/>
                    <w:keepLines/>
                    <w:pageBreakBefore w:val="0"/>
                    <w:widowControl w:val="0"/>
                    <w:suppressLineNumbers w:val="0"/>
                    <w:kinsoku/>
                    <w:wordWrap/>
                    <w:overflowPunct/>
                    <w:topLinePunct w:val="0"/>
                    <w:bidi w:val="0"/>
                    <w:adjustRightInd w:val="0"/>
                    <w:snapToGrid w:val="0"/>
                    <w:jc w:val="center"/>
                    <w:textAlignment w:val="bottom"/>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小号侧</w:t>
                  </w:r>
                </w:p>
              </w:tc>
              <w:tc>
                <w:tcPr>
                  <w:tcW w:w="598" w:type="pct"/>
                  <w:noWrap w:val="0"/>
                  <w:vAlign w:val="center"/>
                </w:tcPr>
                <w:p w14:paraId="118369D4">
                  <w:pPr>
                    <w:keepNext w:val="0"/>
                    <w:keepLines/>
                    <w:pageBreakBefore w:val="0"/>
                    <w:widowControl w:val="0"/>
                    <w:suppressLineNumbers w:val="0"/>
                    <w:kinsoku/>
                    <w:wordWrap/>
                    <w:overflowPunct/>
                    <w:topLinePunct w:val="0"/>
                    <w:bidi w:val="0"/>
                    <w:adjustRightInd w:val="0"/>
                    <w:snapToGrid w:val="0"/>
                    <w:jc w:val="center"/>
                    <w:textAlignment w:val="bottom"/>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大号侧</w:t>
                  </w:r>
                </w:p>
              </w:tc>
              <w:tc>
                <w:tcPr>
                  <w:tcW w:w="630" w:type="pct"/>
                  <w:noWrap w:val="0"/>
                  <w:vAlign w:val="center"/>
                </w:tcPr>
                <w:p w14:paraId="08819984">
                  <w:pPr>
                    <w:keepNext w:val="0"/>
                    <w:keepLines/>
                    <w:pageBreakBefore w:val="0"/>
                    <w:widowControl w:val="0"/>
                    <w:suppressLineNumbers w:val="0"/>
                    <w:kinsoku/>
                    <w:wordWrap/>
                    <w:overflowPunct/>
                    <w:topLinePunct w:val="0"/>
                    <w:bidi w:val="0"/>
                    <w:adjustRightInd w:val="0"/>
                    <w:snapToGrid w:val="0"/>
                    <w:jc w:val="center"/>
                    <w:textAlignment w:val="bottom"/>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电压等级</w:t>
                  </w:r>
                </w:p>
              </w:tc>
              <w:tc>
                <w:tcPr>
                  <w:tcW w:w="2122" w:type="pct"/>
                  <w:noWrap w:val="0"/>
                  <w:vAlign w:val="center"/>
                </w:tcPr>
                <w:p w14:paraId="7B65D16B">
                  <w:pPr>
                    <w:keepNext w:val="0"/>
                    <w:keepLines/>
                    <w:pageBreakBefore w:val="0"/>
                    <w:widowControl w:val="0"/>
                    <w:suppressLineNumbers w:val="0"/>
                    <w:kinsoku/>
                    <w:wordWrap/>
                    <w:overflowPunct/>
                    <w:topLinePunct w:val="0"/>
                    <w:bidi w:val="0"/>
                    <w:adjustRightInd w:val="0"/>
                    <w:snapToGrid w:val="0"/>
                    <w:jc w:val="center"/>
                    <w:textAlignment w:val="bottom"/>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线路名称</w:t>
                  </w:r>
                </w:p>
              </w:tc>
              <w:tc>
                <w:tcPr>
                  <w:tcW w:w="629" w:type="pct"/>
                  <w:noWrap w:val="0"/>
                  <w:vAlign w:val="center"/>
                </w:tcPr>
                <w:p w14:paraId="4B2738E4">
                  <w:pPr>
                    <w:keepNext w:val="0"/>
                    <w:keepLines/>
                    <w:pageBreakBefore w:val="0"/>
                    <w:widowControl w:val="0"/>
                    <w:suppressLineNumbers w:val="0"/>
                    <w:kinsoku/>
                    <w:wordWrap/>
                    <w:overflowPunct/>
                    <w:topLinePunct w:val="0"/>
                    <w:bidi w:val="0"/>
                    <w:adjustRightInd w:val="0"/>
                    <w:snapToGrid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4"/>
                      <w:szCs w:val="24"/>
                      <w:highlight w:val="none"/>
                      <w:lang w:val="en-US" w:eastAsia="zh-CN"/>
                    </w:rPr>
                    <w:t>穿越形式</w:t>
                  </w:r>
                </w:p>
              </w:tc>
            </w:tr>
            <w:tr w14:paraId="3746F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noWrap w:val="0"/>
                  <w:vAlign w:val="center"/>
                </w:tcPr>
                <w:p w14:paraId="7989ED9C">
                  <w:pPr>
                    <w:pStyle w:val="16"/>
                    <w:keepNext w:val="0"/>
                    <w:keepLines/>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570" w:type="pct"/>
                  <w:noWrap w:val="0"/>
                  <w:vAlign w:val="center"/>
                </w:tcPr>
                <w:p w14:paraId="455FC1E9">
                  <w:pPr>
                    <w:keepNext w:val="0"/>
                    <w:keepLines/>
                    <w:pageBreakBefore w:val="0"/>
                    <w:widowControl w:val="0"/>
                    <w:suppressLineNumbers w:val="0"/>
                    <w:kinsoku/>
                    <w:wordWrap/>
                    <w:overflowPunct/>
                    <w:topLinePunct w:val="0"/>
                    <w:bidi w:val="0"/>
                    <w:adjustRightInd w:val="0"/>
                    <w:snapToGrid w:val="0"/>
                    <w:jc w:val="center"/>
                    <w:textAlignment w:val="bottom"/>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91</w:t>
                  </w:r>
                </w:p>
              </w:tc>
              <w:tc>
                <w:tcPr>
                  <w:tcW w:w="598" w:type="pct"/>
                  <w:noWrap w:val="0"/>
                  <w:vAlign w:val="center"/>
                </w:tcPr>
                <w:p w14:paraId="74916A22">
                  <w:pPr>
                    <w:keepNext w:val="0"/>
                    <w:keepLines/>
                    <w:pageBreakBefore w:val="0"/>
                    <w:widowControl w:val="0"/>
                    <w:suppressLineNumbers w:val="0"/>
                    <w:kinsoku/>
                    <w:wordWrap/>
                    <w:overflowPunct/>
                    <w:topLinePunct w:val="0"/>
                    <w:bidi w:val="0"/>
                    <w:adjustRightInd w:val="0"/>
                    <w:snapToGrid w:val="0"/>
                    <w:jc w:val="center"/>
                    <w:textAlignment w:val="bottom"/>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92</w:t>
                  </w:r>
                </w:p>
              </w:tc>
              <w:tc>
                <w:tcPr>
                  <w:tcW w:w="630" w:type="pct"/>
                  <w:noWrap w:val="0"/>
                  <w:vAlign w:val="center"/>
                </w:tcPr>
                <w:p w14:paraId="54D0B170">
                  <w:pPr>
                    <w:keepNext w:val="0"/>
                    <w:keepLines/>
                    <w:pageBreakBefore w:val="0"/>
                    <w:widowControl w:val="0"/>
                    <w:suppressLineNumbers w:val="0"/>
                    <w:kinsoku/>
                    <w:wordWrap/>
                    <w:overflowPunct/>
                    <w:topLinePunct w:val="0"/>
                    <w:bidi w:val="0"/>
                    <w:adjustRightInd w:val="0"/>
                    <w:snapToGrid w:val="0"/>
                    <w:jc w:val="center"/>
                    <w:textAlignment w:val="bottom"/>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110kV</w:t>
                  </w:r>
                </w:p>
              </w:tc>
              <w:tc>
                <w:tcPr>
                  <w:tcW w:w="2122" w:type="pct"/>
                  <w:noWrap w:val="0"/>
                  <w:vAlign w:val="center"/>
                </w:tcPr>
                <w:p w14:paraId="0CDD0BCB">
                  <w:pPr>
                    <w:keepNext w:val="0"/>
                    <w:keepLines/>
                    <w:pageBreakBefore w:val="0"/>
                    <w:widowControl w:val="0"/>
                    <w:suppressLineNumbers w:val="0"/>
                    <w:kinsoku/>
                    <w:wordWrap/>
                    <w:overflowPunct/>
                    <w:topLinePunct w:val="0"/>
                    <w:bidi w:val="0"/>
                    <w:adjustRightInd w:val="0"/>
                    <w:snapToGrid w:val="0"/>
                    <w:jc w:val="center"/>
                    <w:textAlignment w:val="bottom"/>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sz w:val="24"/>
                      <w:szCs w:val="24"/>
                    </w:rPr>
                    <w:t>110kV木牌线</w:t>
                  </w:r>
                </w:p>
              </w:tc>
              <w:tc>
                <w:tcPr>
                  <w:tcW w:w="629" w:type="pct"/>
                  <w:noWrap w:val="0"/>
                  <w:vAlign w:val="center"/>
                </w:tcPr>
                <w:p w14:paraId="37DA4FFD">
                  <w:pPr>
                    <w:keepNext w:val="0"/>
                    <w:keepLines/>
                    <w:pageBreakBefore w:val="0"/>
                    <w:widowControl w:val="0"/>
                    <w:suppressLineNumbers w:val="0"/>
                    <w:kinsoku/>
                    <w:wordWrap/>
                    <w:overflowPunct/>
                    <w:topLinePunct w:val="0"/>
                    <w:bidi w:val="0"/>
                    <w:adjustRightInd w:val="0"/>
                    <w:snapToGrid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跨越</w:t>
                  </w:r>
                </w:p>
              </w:tc>
            </w:tr>
          </w:tbl>
          <w:p w14:paraId="2A0043F3">
            <w:pPr>
              <w:pStyle w:val="24"/>
              <w:keepNext w:val="0"/>
              <w:keepLines/>
              <w:pageBreakBefore w:val="0"/>
              <w:widowControl w:val="0"/>
              <w:numPr>
                <w:ilvl w:val="0"/>
                <w:numId w:val="0"/>
              </w:numPr>
              <w:kinsoku/>
              <w:wordWrap/>
              <w:overflowPunct/>
              <w:topLinePunct w:val="0"/>
              <w:bidi w:val="0"/>
              <w:adjustRightInd w:val="0"/>
              <w:snapToGrid w:val="0"/>
              <w:spacing w:before="229" w:line="360" w:lineRule="auto"/>
              <w:ind w:left="0" w:leftChars="0" w:firstLine="478" w:firstLineChars="200"/>
              <w:jc w:val="both"/>
              <w:rPr>
                <w:rFonts w:hint="eastAsia"/>
                <w:b/>
                <w:bCs/>
                <w:spacing w:val="-1"/>
                <w:sz w:val="24"/>
                <w:szCs w:val="24"/>
                <w:lang w:val="en-US" w:eastAsia="zh-CN"/>
              </w:rPr>
            </w:pPr>
            <w:r>
              <w:rPr>
                <w:rFonts w:hint="eastAsia" w:ascii="宋体" w:hAnsi="宋体" w:eastAsia="宋体" w:cs="宋体"/>
                <w:b/>
                <w:bCs/>
                <w:spacing w:val="-1"/>
                <w:kern w:val="2"/>
                <w:sz w:val="24"/>
                <w:szCs w:val="24"/>
                <w:lang w:val="en-US" w:eastAsia="zh-CN" w:bidi="ar-SA"/>
              </w:rPr>
              <w:t>（5）</w:t>
            </w:r>
            <w:r>
              <w:rPr>
                <w:rFonts w:hint="eastAsia"/>
                <w:b/>
                <w:bCs/>
                <w:spacing w:val="-1"/>
                <w:sz w:val="24"/>
                <w:szCs w:val="24"/>
                <w:lang w:val="en-US" w:eastAsia="zh-CN"/>
              </w:rPr>
              <w:t>塔型、塔线情况</w:t>
            </w:r>
          </w:p>
          <w:p w14:paraId="02341E47">
            <w:pPr>
              <w:keepNext w:val="0"/>
              <w:keepLines/>
              <w:pageBreakBefore w:val="0"/>
              <w:widowControl w:val="0"/>
              <w:kinsoku/>
              <w:wordWrap/>
              <w:overflowPunct/>
              <w:topLinePunct w:val="0"/>
              <w:autoSpaceDE/>
              <w:autoSpaceDN/>
              <w:bidi w:val="0"/>
              <w:adjustRightInd w:val="0"/>
              <w:snapToGrid w:val="0"/>
              <w:spacing w:beforeAutospacing="0" w:afterAutospacing="0" w:line="360" w:lineRule="auto"/>
              <w:ind w:right="0" w:firstLine="482" w:firstLineChars="200"/>
              <w:jc w:val="both"/>
              <w:textAlignment w:val="auto"/>
              <w:rPr>
                <w:rFonts w:hint="default" w:ascii="Times New Roman" w:hAnsi="Times New Roman" w:eastAsia="宋体" w:cs="Times New Roman"/>
                <w:b w:val="0"/>
                <w:bCs w:val="0"/>
                <w:color w:val="auto"/>
                <w:spacing w:val="0"/>
                <w:w w:val="100"/>
                <w:sz w:val="24"/>
                <w:szCs w:val="24"/>
                <w:highlight w:val="none"/>
                <w:lang w:val="en-US" w:eastAsia="zh-CN"/>
              </w:rPr>
            </w:pPr>
            <w:r>
              <w:rPr>
                <w:rFonts w:hint="eastAsia" w:ascii="Times New Roman" w:hAnsi="Times New Roman" w:eastAsia="宋体" w:cs="Times New Roman"/>
                <w:b/>
                <w:bCs/>
                <w:color w:val="auto"/>
                <w:spacing w:val="0"/>
                <w:w w:val="100"/>
                <w:sz w:val="24"/>
                <w:szCs w:val="24"/>
                <w:highlight w:val="none"/>
                <w:lang w:val="en-US" w:eastAsia="zh-CN"/>
              </w:rPr>
              <w:t>导线</w:t>
            </w:r>
            <w:r>
              <w:rPr>
                <w:rFonts w:hint="eastAsia" w:ascii="Times New Roman" w:hAnsi="Times New Roman" w:eastAsia="宋体" w:cs="Times New Roman"/>
                <w:b w:val="0"/>
                <w:bCs w:val="0"/>
                <w:color w:val="auto"/>
                <w:spacing w:val="0"/>
                <w:w w:val="100"/>
                <w:sz w:val="24"/>
                <w:szCs w:val="24"/>
                <w:highlight w:val="none"/>
                <w:lang w:val="en-US" w:eastAsia="zh-CN"/>
              </w:rPr>
              <w:t>：采用</w:t>
            </w:r>
            <w:r>
              <w:rPr>
                <w:rFonts w:hint="default" w:ascii="Times New Roman" w:hAnsi="Times New Roman" w:eastAsia="宋体" w:cs="Times New Roman"/>
                <w:b w:val="0"/>
                <w:bCs w:val="0"/>
                <w:color w:val="auto"/>
                <w:spacing w:val="0"/>
                <w:w w:val="100"/>
                <w:sz w:val="24"/>
                <w:szCs w:val="24"/>
                <w:highlight w:val="none"/>
                <w:lang w:val="en-US" w:eastAsia="zh-CN"/>
              </w:rPr>
              <w:t>JL/G1A-</w:t>
            </w:r>
            <w:r>
              <w:rPr>
                <w:rFonts w:hint="eastAsia" w:ascii="Times New Roman" w:hAnsi="Times New Roman" w:eastAsia="宋体" w:cs="Times New Roman"/>
                <w:b w:val="0"/>
                <w:bCs w:val="0"/>
                <w:color w:val="auto"/>
                <w:spacing w:val="0"/>
                <w:w w:val="100"/>
                <w:sz w:val="24"/>
                <w:szCs w:val="24"/>
                <w:highlight w:val="none"/>
                <w:lang w:val="en-US" w:eastAsia="zh-CN"/>
              </w:rPr>
              <w:t>630</w:t>
            </w:r>
            <w:r>
              <w:rPr>
                <w:rFonts w:hint="default" w:ascii="Times New Roman" w:hAnsi="Times New Roman" w:eastAsia="宋体" w:cs="Times New Roman"/>
                <w:b w:val="0"/>
                <w:bCs w:val="0"/>
                <w:color w:val="auto"/>
                <w:spacing w:val="0"/>
                <w:w w:val="100"/>
                <w:sz w:val="24"/>
                <w:szCs w:val="24"/>
                <w:highlight w:val="none"/>
                <w:lang w:val="en-US" w:eastAsia="zh-CN"/>
              </w:rPr>
              <w:t>/</w:t>
            </w:r>
            <w:r>
              <w:rPr>
                <w:rFonts w:hint="eastAsia" w:ascii="Times New Roman" w:hAnsi="Times New Roman" w:eastAsia="宋体" w:cs="Times New Roman"/>
                <w:b w:val="0"/>
                <w:bCs w:val="0"/>
                <w:color w:val="auto"/>
                <w:spacing w:val="0"/>
                <w:w w:val="100"/>
                <w:sz w:val="24"/>
                <w:szCs w:val="24"/>
                <w:highlight w:val="none"/>
                <w:lang w:val="en-US" w:eastAsia="zh-CN"/>
              </w:rPr>
              <w:t>4</w:t>
            </w:r>
            <w:r>
              <w:rPr>
                <w:rFonts w:hint="default" w:ascii="Times New Roman" w:hAnsi="Times New Roman" w:eastAsia="宋体" w:cs="Times New Roman"/>
                <w:b w:val="0"/>
                <w:bCs w:val="0"/>
                <w:color w:val="auto"/>
                <w:spacing w:val="0"/>
                <w:w w:val="100"/>
                <w:sz w:val="24"/>
                <w:szCs w:val="24"/>
                <w:highlight w:val="none"/>
                <w:lang w:val="en-US" w:eastAsia="zh-CN"/>
              </w:rPr>
              <w:t>5钢芯铝绞线</w:t>
            </w:r>
            <w:r>
              <w:rPr>
                <w:rFonts w:hint="eastAsia" w:ascii="Times New Roman" w:hAnsi="Times New Roman" w:eastAsia="宋体" w:cs="Times New Roman"/>
                <w:b w:val="0"/>
                <w:bCs w:val="0"/>
                <w:color w:val="auto"/>
                <w:spacing w:val="0"/>
                <w:w w:val="100"/>
                <w:sz w:val="24"/>
                <w:szCs w:val="24"/>
                <w:highlight w:val="none"/>
                <w:lang w:val="en-US" w:eastAsia="zh-CN"/>
              </w:rPr>
              <w:t>。</w:t>
            </w:r>
          </w:p>
          <w:p w14:paraId="47BDE793">
            <w:pPr>
              <w:keepNext w:val="0"/>
              <w:keepLines/>
              <w:pageBreakBefore w:val="0"/>
              <w:widowControl w:val="0"/>
              <w:kinsoku/>
              <w:wordWrap/>
              <w:overflowPunct/>
              <w:topLinePunct w:val="0"/>
              <w:autoSpaceDE/>
              <w:autoSpaceDN/>
              <w:bidi w:val="0"/>
              <w:adjustRightInd w:val="0"/>
              <w:snapToGrid w:val="0"/>
              <w:spacing w:beforeAutospacing="0" w:afterAutospacing="0" w:line="360" w:lineRule="auto"/>
              <w:ind w:right="0" w:firstLine="482" w:firstLineChars="200"/>
              <w:jc w:val="both"/>
              <w:textAlignment w:val="auto"/>
              <w:rPr>
                <w:rFonts w:hint="default" w:ascii="Times New Roman" w:hAnsi="Times New Roman" w:eastAsia="宋体" w:cs="Times New Roman"/>
                <w:b w:val="0"/>
                <w:bCs w:val="0"/>
                <w:color w:val="auto"/>
                <w:spacing w:val="0"/>
                <w:w w:val="100"/>
                <w:sz w:val="24"/>
                <w:szCs w:val="24"/>
                <w:highlight w:val="none"/>
                <w:lang w:val="en-US" w:eastAsia="zh-CN"/>
              </w:rPr>
            </w:pPr>
            <w:r>
              <w:rPr>
                <w:rFonts w:hint="eastAsia" w:ascii="Times New Roman" w:hAnsi="Times New Roman" w:eastAsia="宋体" w:cs="Times New Roman"/>
                <w:b/>
                <w:bCs/>
                <w:color w:val="auto"/>
                <w:spacing w:val="0"/>
                <w:w w:val="100"/>
                <w:sz w:val="24"/>
                <w:szCs w:val="24"/>
                <w:highlight w:val="none"/>
                <w:lang w:val="en-US" w:eastAsia="zh-CN"/>
              </w:rPr>
              <w:t>地线：</w:t>
            </w:r>
            <w:r>
              <w:rPr>
                <w:rFonts w:hint="default" w:ascii="Times New Roman" w:hAnsi="Times New Roman" w:eastAsia="宋体" w:cs="Times New Roman"/>
                <w:b w:val="0"/>
                <w:bCs w:val="0"/>
                <w:color w:val="auto"/>
                <w:spacing w:val="0"/>
                <w:w w:val="100"/>
                <w:sz w:val="24"/>
                <w:szCs w:val="24"/>
                <w:highlight w:val="none"/>
                <w:lang w:val="en-US" w:eastAsia="zh-CN"/>
              </w:rPr>
              <w:t>本工程全线架设双地线，两侧均为OPGW光缆，形成</w:t>
            </w:r>
            <w:r>
              <w:rPr>
                <w:rFonts w:hint="eastAsia" w:ascii="Times New Roman" w:hAnsi="Times New Roman" w:eastAsia="宋体" w:cs="Times New Roman"/>
                <w:b w:val="0"/>
                <w:bCs w:val="0"/>
                <w:color w:val="auto"/>
                <w:spacing w:val="0"/>
                <w:w w:val="100"/>
                <w:sz w:val="24"/>
                <w:szCs w:val="24"/>
                <w:highlight w:val="none"/>
                <w:lang w:val="en-US" w:eastAsia="zh-CN"/>
              </w:rPr>
              <w:t>华能风电220kV升压站</w:t>
            </w:r>
            <w:r>
              <w:rPr>
                <w:rFonts w:hint="default" w:ascii="Times New Roman" w:hAnsi="Times New Roman" w:eastAsia="宋体" w:cs="Times New Roman"/>
                <w:b w:val="0"/>
                <w:bCs w:val="0"/>
                <w:color w:val="auto"/>
                <w:spacing w:val="0"/>
                <w:w w:val="100"/>
                <w:sz w:val="24"/>
                <w:szCs w:val="24"/>
                <w:highlight w:val="none"/>
                <w:lang w:val="en-US" w:eastAsia="zh-CN"/>
              </w:rPr>
              <w:t>-</w:t>
            </w:r>
            <w:r>
              <w:rPr>
                <w:rFonts w:hint="eastAsia" w:ascii="Times New Roman" w:hAnsi="Times New Roman" w:eastAsia="宋体" w:cs="Times New Roman"/>
                <w:b w:val="0"/>
                <w:bCs w:val="0"/>
                <w:color w:val="auto"/>
                <w:spacing w:val="0"/>
                <w:w w:val="100"/>
                <w:sz w:val="24"/>
                <w:szCs w:val="24"/>
                <w:highlight w:val="none"/>
                <w:lang w:val="en-US" w:eastAsia="zh-CN"/>
              </w:rPr>
              <w:t>牌楼500kV变电站</w:t>
            </w:r>
            <w:r>
              <w:rPr>
                <w:rFonts w:hint="default" w:ascii="Times New Roman" w:hAnsi="Times New Roman" w:eastAsia="宋体" w:cs="Times New Roman"/>
                <w:b w:val="0"/>
                <w:bCs w:val="0"/>
                <w:color w:val="auto"/>
                <w:spacing w:val="0"/>
                <w:w w:val="100"/>
                <w:sz w:val="24"/>
                <w:szCs w:val="24"/>
                <w:highlight w:val="none"/>
                <w:lang w:val="en-US" w:eastAsia="zh-CN"/>
              </w:rPr>
              <w:t>两条光纤通路。光纤芯数最终以接入系统批复意见为准。</w:t>
            </w:r>
          </w:p>
          <w:p w14:paraId="3DC96E89">
            <w:pPr>
              <w:keepNext w:val="0"/>
              <w:keepLines/>
              <w:pageBreakBefore w:val="0"/>
              <w:widowControl w:val="0"/>
              <w:kinsoku/>
              <w:wordWrap/>
              <w:overflowPunct/>
              <w:topLinePunct w:val="0"/>
              <w:autoSpaceDE/>
              <w:autoSpaceDN/>
              <w:bidi w:val="0"/>
              <w:adjustRightInd w:val="0"/>
              <w:snapToGrid w:val="0"/>
              <w:spacing w:beforeAutospacing="0" w:afterAutospacing="0" w:line="360" w:lineRule="auto"/>
              <w:ind w:right="0" w:firstLine="482" w:firstLineChars="200"/>
              <w:jc w:val="both"/>
              <w:textAlignment w:val="auto"/>
              <w:rPr>
                <w:rFonts w:hint="eastAsia" w:ascii="Times New Roman" w:hAnsi="Times New Roman" w:eastAsia="宋体" w:cs="Times New Roman"/>
                <w:b w:val="0"/>
                <w:bCs w:val="0"/>
                <w:color w:val="auto"/>
                <w:spacing w:val="0"/>
                <w:w w:val="100"/>
                <w:sz w:val="24"/>
                <w:szCs w:val="24"/>
                <w:highlight w:val="none"/>
                <w:lang w:val="en-US" w:eastAsia="zh-CN"/>
              </w:rPr>
            </w:pPr>
            <w:r>
              <w:rPr>
                <w:rFonts w:hint="eastAsia" w:ascii="Times New Roman" w:hAnsi="Times New Roman" w:eastAsia="宋体" w:cs="Times New Roman"/>
                <w:b/>
                <w:bCs/>
                <w:color w:val="auto"/>
                <w:spacing w:val="0"/>
                <w:w w:val="100"/>
                <w:sz w:val="24"/>
                <w:szCs w:val="24"/>
                <w:highlight w:val="none"/>
                <w:lang w:val="en-US" w:eastAsia="zh-CN"/>
              </w:rPr>
              <w:t>杆塔：</w:t>
            </w:r>
            <w:r>
              <w:rPr>
                <w:rFonts w:hint="default" w:ascii="Times New Roman" w:hAnsi="Times New Roman" w:eastAsia="宋体" w:cs="Times New Roman"/>
                <w:b w:val="0"/>
                <w:bCs w:val="0"/>
                <w:color w:val="auto"/>
                <w:spacing w:val="0"/>
                <w:w w:val="100"/>
                <w:sz w:val="24"/>
                <w:szCs w:val="24"/>
                <w:highlight w:val="none"/>
                <w:lang w:val="en-US" w:eastAsia="zh-CN"/>
              </w:rPr>
              <w:t>根据选定的路径方案及沿线地形地貌特征，综合分析比较各类塔型的技术条件、经济指标后</w:t>
            </w:r>
            <w:r>
              <w:rPr>
                <w:rFonts w:hint="eastAsia" w:ascii="Times New Roman" w:hAnsi="Times New Roman" w:eastAsia="宋体" w:cs="Times New Roman"/>
                <w:b w:val="0"/>
                <w:bCs w:val="0"/>
                <w:color w:val="auto"/>
                <w:spacing w:val="0"/>
                <w:w w:val="100"/>
                <w:sz w:val="24"/>
                <w:szCs w:val="24"/>
                <w:highlight w:val="none"/>
                <w:lang w:val="en-US" w:eastAsia="zh-CN"/>
              </w:rPr>
              <w:t>，</w:t>
            </w:r>
            <w:r>
              <w:rPr>
                <w:rFonts w:hint="default" w:ascii="Times New Roman" w:hAnsi="Times New Roman" w:eastAsia="宋体" w:cs="Times New Roman"/>
                <w:b w:val="0"/>
                <w:bCs w:val="0"/>
                <w:color w:val="auto"/>
                <w:spacing w:val="0"/>
                <w:w w:val="100"/>
                <w:sz w:val="24"/>
                <w:szCs w:val="24"/>
                <w:highlight w:val="none"/>
                <w:lang w:val="en-US" w:eastAsia="zh-CN"/>
              </w:rPr>
              <w:t>对本工程新建铁塔进行了规划。按气象条件V=2</w:t>
            </w:r>
            <w:r>
              <w:rPr>
                <w:rFonts w:hint="eastAsia" w:ascii="Times New Roman" w:hAnsi="Times New Roman" w:eastAsia="宋体" w:cs="Times New Roman"/>
                <w:b w:val="0"/>
                <w:bCs w:val="0"/>
                <w:color w:val="auto"/>
                <w:spacing w:val="0"/>
                <w:w w:val="100"/>
                <w:sz w:val="24"/>
                <w:szCs w:val="24"/>
                <w:highlight w:val="none"/>
                <w:lang w:val="en-US" w:eastAsia="zh-CN"/>
              </w:rPr>
              <w:t>8</w:t>
            </w:r>
            <w:r>
              <w:rPr>
                <w:rFonts w:hint="default" w:ascii="Times New Roman" w:hAnsi="Times New Roman" w:eastAsia="宋体" w:cs="Times New Roman"/>
                <w:b w:val="0"/>
                <w:bCs w:val="0"/>
                <w:color w:val="auto"/>
                <w:spacing w:val="0"/>
                <w:w w:val="100"/>
                <w:sz w:val="24"/>
                <w:szCs w:val="24"/>
                <w:highlight w:val="none"/>
                <w:lang w:val="en-US" w:eastAsia="zh-CN"/>
              </w:rPr>
              <w:t>m/s(10m高)、C=10mm(导线)、C=15mm(地线)，海拔1000-2000m</w:t>
            </w:r>
            <w:r>
              <w:rPr>
                <w:rFonts w:hint="eastAsia" w:ascii="Times New Roman" w:hAnsi="Times New Roman" w:eastAsia="宋体" w:cs="Times New Roman"/>
                <w:b w:val="0"/>
                <w:bCs w:val="0"/>
                <w:color w:val="auto"/>
                <w:spacing w:val="0"/>
                <w:w w:val="100"/>
                <w:sz w:val="24"/>
                <w:szCs w:val="24"/>
                <w:highlight w:val="none"/>
                <w:lang w:val="en-US" w:eastAsia="zh-CN"/>
              </w:rPr>
              <w:t>进行铁塔模块选型</w:t>
            </w:r>
            <w:r>
              <w:rPr>
                <w:rFonts w:hint="default" w:ascii="Times New Roman" w:hAnsi="Times New Roman" w:eastAsia="宋体" w:cs="Times New Roman"/>
                <w:b w:val="0"/>
                <w:bCs w:val="0"/>
                <w:color w:val="auto"/>
                <w:spacing w:val="0"/>
                <w:w w:val="100"/>
                <w:sz w:val="24"/>
                <w:szCs w:val="24"/>
                <w:highlight w:val="none"/>
                <w:lang w:val="en-US" w:eastAsia="zh-CN"/>
              </w:rPr>
              <w:t>。</w:t>
            </w:r>
          </w:p>
          <w:p w14:paraId="02AFDA71">
            <w:pPr>
              <w:keepNext w:val="0"/>
              <w:keepLines/>
              <w:pageBreakBefore w:val="0"/>
              <w:widowControl w:val="0"/>
              <w:kinsoku/>
              <w:wordWrap/>
              <w:overflowPunct/>
              <w:topLinePunct w:val="0"/>
              <w:bidi w:val="0"/>
              <w:adjustRightInd w:val="0"/>
              <w:snapToGrid w:val="0"/>
              <w:spacing w:line="360" w:lineRule="auto"/>
              <w:ind w:firstLine="448" w:firstLineChars="200"/>
              <w:rPr>
                <w:rFonts w:hint="eastAsia" w:ascii="宋体" w:hAnsi="宋体" w:eastAsia="宋体" w:cs="宋体"/>
                <w:spacing w:val="-4"/>
                <w:sz w:val="24"/>
                <w:szCs w:val="24"/>
                <w:highlight w:val="none"/>
                <w:lang w:val="en-US" w:eastAsia="zh-CN"/>
              </w:rPr>
            </w:pPr>
            <w:r>
              <w:rPr>
                <w:rFonts w:hint="eastAsia" w:ascii="宋体" w:hAnsi="宋体" w:eastAsia="宋体" w:cs="宋体"/>
                <w:spacing w:val="-8"/>
                <w:sz w:val="24"/>
                <w:szCs w:val="24"/>
                <w:highlight w:val="none"/>
                <w:lang w:val="en-US" w:eastAsia="zh-CN"/>
              </w:rPr>
              <w:t>本项目</w:t>
            </w:r>
            <w:r>
              <w:rPr>
                <w:rFonts w:ascii="宋体" w:hAnsi="宋体" w:eastAsia="宋体" w:cs="宋体"/>
                <w:spacing w:val="-8"/>
                <w:sz w:val="24"/>
                <w:szCs w:val="24"/>
                <w:highlight w:val="none"/>
              </w:rPr>
              <w:t>各种塔</w:t>
            </w:r>
            <w:r>
              <w:rPr>
                <w:rFonts w:ascii="宋体" w:hAnsi="宋体" w:eastAsia="宋体" w:cs="宋体"/>
                <w:spacing w:val="-6"/>
                <w:sz w:val="24"/>
                <w:szCs w:val="24"/>
                <w:highlight w:val="none"/>
              </w:rPr>
              <w:t>型</w:t>
            </w:r>
            <w:r>
              <w:rPr>
                <w:rFonts w:ascii="宋体" w:hAnsi="宋体" w:eastAsia="宋体" w:cs="宋体"/>
                <w:spacing w:val="-4"/>
                <w:sz w:val="24"/>
                <w:szCs w:val="24"/>
                <w:highlight w:val="none"/>
              </w:rPr>
              <w:t>的使用详见</w:t>
            </w:r>
            <w:r>
              <w:rPr>
                <w:rFonts w:hint="eastAsia" w:ascii="宋体" w:hAnsi="宋体" w:eastAsia="宋体" w:cs="宋体"/>
                <w:spacing w:val="-4"/>
                <w:sz w:val="24"/>
                <w:szCs w:val="24"/>
                <w:highlight w:val="none"/>
                <w:lang w:val="en-US" w:eastAsia="zh-CN"/>
              </w:rPr>
              <w:t>下表。</w:t>
            </w:r>
          </w:p>
          <w:p w14:paraId="57D8EC20">
            <w:pPr>
              <w:keepNext w:val="0"/>
              <w:keepLines/>
              <w:pageBreakBefore w:val="0"/>
              <w:widowControl w:val="0"/>
              <w:kinsoku/>
              <w:wordWrap/>
              <w:overflowPunct/>
              <w:topLinePunct w:val="0"/>
              <w:autoSpaceDE/>
              <w:autoSpaceDN/>
              <w:bidi w:val="0"/>
              <w:adjustRightInd w:val="0"/>
              <w:snapToGrid w:val="0"/>
              <w:spacing w:beforeAutospacing="0" w:afterAutospacing="0" w:line="360" w:lineRule="auto"/>
              <w:ind w:right="0" w:firstLine="482" w:firstLineChars="200"/>
              <w:jc w:val="center"/>
              <w:textAlignment w:val="auto"/>
              <w:rPr>
                <w:rFonts w:hint="default" w:ascii="Times New Roman" w:hAnsi="Times New Roman" w:eastAsia="宋体" w:cs="Times New Roman"/>
                <w:b/>
                <w:bCs/>
                <w:color w:val="auto"/>
                <w:spacing w:val="0"/>
                <w:w w:val="100"/>
                <w:sz w:val="24"/>
                <w:szCs w:val="24"/>
                <w:highlight w:val="none"/>
                <w:lang w:val="en-US" w:eastAsia="zh-CN"/>
              </w:rPr>
            </w:pPr>
            <w:r>
              <w:rPr>
                <w:rFonts w:hint="eastAsia" w:ascii="Times New Roman" w:hAnsi="Times New Roman" w:eastAsia="宋体" w:cs="Times New Roman"/>
                <w:b/>
                <w:bCs/>
                <w:color w:val="auto"/>
                <w:spacing w:val="0"/>
                <w:w w:val="100"/>
                <w:sz w:val="24"/>
                <w:szCs w:val="24"/>
                <w:highlight w:val="none"/>
                <w:lang w:val="en-US" w:eastAsia="zh-CN"/>
              </w:rPr>
              <w:t>表2-4本项目架空线路杆塔参数一览表</w:t>
            </w:r>
          </w:p>
          <w:tbl>
            <w:tblPr>
              <w:tblStyle w:val="25"/>
              <w:tblW w:w="4903"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21"/>
              <w:gridCol w:w="713"/>
              <w:gridCol w:w="722"/>
              <w:gridCol w:w="517"/>
              <w:gridCol w:w="756"/>
              <w:gridCol w:w="833"/>
              <w:gridCol w:w="893"/>
              <w:gridCol w:w="647"/>
              <w:gridCol w:w="637"/>
              <w:gridCol w:w="721"/>
            </w:tblGrid>
            <w:tr w14:paraId="737CE2F4">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90" w:hRule="atLeast"/>
                <w:jc w:val="center"/>
              </w:trPr>
              <w:tc>
                <w:tcPr>
                  <w:tcW w:w="1239" w:type="pct"/>
                  <w:tcBorders>
                    <w:tl2br w:val="nil"/>
                    <w:tr2bl w:val="nil"/>
                  </w:tcBorders>
                  <w:noWrap w:val="0"/>
                  <w:vAlign w:val="center"/>
                </w:tcPr>
                <w:p w14:paraId="68B9D94E">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塔</w:t>
                  </w:r>
                  <w:r>
                    <w:rPr>
                      <w:rFonts w:hint="default" w:ascii="Times New Roman" w:hAnsi="Times New Roman" w:eastAsia="宋体" w:cs="Times New Roman"/>
                      <w:spacing w:val="-1"/>
                      <w:sz w:val="21"/>
                      <w:szCs w:val="21"/>
                      <w:highlight w:val="none"/>
                    </w:rPr>
                    <w:t>型</w:t>
                  </w:r>
                </w:p>
              </w:tc>
              <w:tc>
                <w:tcPr>
                  <w:tcW w:w="416" w:type="pct"/>
                  <w:tcBorders>
                    <w:tl2br w:val="nil"/>
                    <w:tr2bl w:val="nil"/>
                  </w:tcBorders>
                  <w:noWrap w:val="0"/>
                  <w:vAlign w:val="center"/>
                </w:tcPr>
                <w:p w14:paraId="388ED94C">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呼</w:t>
                  </w:r>
                  <w:r>
                    <w:rPr>
                      <w:rFonts w:hint="default" w:ascii="Times New Roman" w:hAnsi="Times New Roman" w:eastAsia="宋体" w:cs="Times New Roman"/>
                      <w:spacing w:val="-3"/>
                      <w:sz w:val="21"/>
                      <w:szCs w:val="21"/>
                      <w:highlight w:val="none"/>
                    </w:rPr>
                    <w:t>高(m)</w:t>
                  </w:r>
                </w:p>
              </w:tc>
              <w:tc>
                <w:tcPr>
                  <w:tcW w:w="421" w:type="pct"/>
                  <w:tcBorders>
                    <w:tl2br w:val="nil"/>
                    <w:tr2bl w:val="nil"/>
                  </w:tcBorders>
                  <w:noWrap w:val="0"/>
                  <w:vAlign w:val="center"/>
                </w:tcPr>
                <w:p w14:paraId="337D0E86">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5"/>
                      <w:sz w:val="21"/>
                      <w:szCs w:val="21"/>
                      <w:highlight w:val="none"/>
                      <w:lang w:val="en-US" w:eastAsia="zh-CN"/>
                    </w:rPr>
                  </w:pPr>
                  <w:r>
                    <w:rPr>
                      <w:rFonts w:hint="eastAsia" w:ascii="Times New Roman" w:hAnsi="Times New Roman" w:eastAsia="宋体" w:cs="Times New Roman"/>
                      <w:spacing w:val="-5"/>
                      <w:sz w:val="21"/>
                      <w:szCs w:val="21"/>
                      <w:highlight w:val="none"/>
                      <w:lang w:val="en-US" w:eastAsia="zh-CN"/>
                    </w:rPr>
                    <w:t>基数</w:t>
                  </w:r>
                </w:p>
              </w:tc>
              <w:tc>
                <w:tcPr>
                  <w:tcW w:w="301" w:type="pct"/>
                  <w:tcBorders>
                    <w:tl2br w:val="nil"/>
                    <w:tr2bl w:val="nil"/>
                  </w:tcBorders>
                  <w:noWrap w:val="0"/>
                  <w:vAlign w:val="center"/>
                </w:tcPr>
                <w:p w14:paraId="4E1EE157">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水平档距（m）</w:t>
                  </w:r>
                </w:p>
              </w:tc>
              <w:tc>
                <w:tcPr>
                  <w:tcW w:w="441" w:type="pct"/>
                  <w:tcBorders>
                    <w:tl2br w:val="nil"/>
                    <w:tr2bl w:val="nil"/>
                  </w:tcBorders>
                  <w:noWrap w:val="0"/>
                  <w:vAlign w:val="center"/>
                </w:tcPr>
                <w:p w14:paraId="62DC7626">
                  <w:pPr>
                    <w:keepNext w:val="0"/>
                    <w:keepLines/>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垂直档距（m）</w:t>
                  </w:r>
                </w:p>
              </w:tc>
              <w:tc>
                <w:tcPr>
                  <w:tcW w:w="486" w:type="pct"/>
                  <w:tcBorders>
                    <w:tl2br w:val="nil"/>
                    <w:tr2bl w:val="nil"/>
                  </w:tcBorders>
                  <w:noWrap w:val="0"/>
                  <w:vAlign w:val="center"/>
                </w:tcPr>
                <w:p w14:paraId="2097CB9B">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6"/>
                      <w:sz w:val="21"/>
                      <w:szCs w:val="21"/>
                      <w:highlight w:val="none"/>
                      <w:lang w:val="en-US" w:eastAsia="zh-CN"/>
                    </w:rPr>
                  </w:pPr>
                  <w:r>
                    <w:rPr>
                      <w:rFonts w:hint="default" w:ascii="Times New Roman" w:hAnsi="Times New Roman" w:eastAsia="宋体" w:cs="Times New Roman"/>
                      <w:spacing w:val="-6"/>
                      <w:sz w:val="21"/>
                      <w:szCs w:val="21"/>
                      <w:highlight w:val="none"/>
                      <w:lang w:val="en-US" w:eastAsia="zh-CN"/>
                    </w:rPr>
                    <w:t>最大转角（度）</w:t>
                  </w:r>
                </w:p>
              </w:tc>
              <w:tc>
                <w:tcPr>
                  <w:tcW w:w="522" w:type="pct"/>
                  <w:tcBorders>
                    <w:tl2br w:val="nil"/>
                    <w:tr2bl w:val="nil"/>
                  </w:tcBorders>
                  <w:noWrap w:val="0"/>
                  <w:vAlign w:val="center"/>
                </w:tcPr>
                <w:p w14:paraId="616CE462">
                  <w:pPr>
                    <w:keepNext w:val="0"/>
                    <w:keepLines/>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rPr>
                    <w:t>设</w:t>
                  </w:r>
                  <w:r>
                    <w:rPr>
                      <w:rFonts w:hint="default" w:ascii="Times New Roman" w:hAnsi="Times New Roman" w:eastAsia="宋体" w:cs="Times New Roman"/>
                      <w:spacing w:val="-4"/>
                      <w:sz w:val="21"/>
                      <w:szCs w:val="21"/>
                      <w:highlight w:val="none"/>
                    </w:rPr>
                    <w:t>计</w:t>
                  </w:r>
                  <w:r>
                    <w:rPr>
                      <w:rFonts w:hint="default" w:ascii="Times New Roman" w:hAnsi="Times New Roman" w:eastAsia="宋体" w:cs="Times New Roman"/>
                      <w:spacing w:val="5"/>
                      <w:sz w:val="21"/>
                      <w:szCs w:val="21"/>
                      <w:highlight w:val="none"/>
                    </w:rPr>
                    <w:t>风</w:t>
                  </w:r>
                  <w:r>
                    <w:rPr>
                      <w:rFonts w:hint="default" w:ascii="Times New Roman" w:hAnsi="Times New Roman" w:eastAsia="宋体" w:cs="Times New Roman"/>
                      <w:spacing w:val="4"/>
                      <w:sz w:val="21"/>
                      <w:szCs w:val="21"/>
                      <w:highlight w:val="none"/>
                    </w:rPr>
                    <w:t>速</w:t>
                  </w:r>
                  <w:r>
                    <w:rPr>
                      <w:rFonts w:hint="default" w:ascii="Times New Roman" w:hAnsi="Times New Roman" w:eastAsia="宋体" w:cs="Times New Roman"/>
                      <w:spacing w:val="-11"/>
                      <w:sz w:val="21"/>
                      <w:szCs w:val="21"/>
                      <w:highlight w:val="none"/>
                    </w:rPr>
                    <w:t>(</w:t>
                  </w:r>
                  <w:r>
                    <w:rPr>
                      <w:rFonts w:hint="default" w:ascii="Times New Roman" w:hAnsi="Times New Roman" w:eastAsia="宋体" w:cs="Times New Roman"/>
                      <w:spacing w:val="-8"/>
                      <w:sz w:val="21"/>
                      <w:szCs w:val="21"/>
                      <w:highlight w:val="none"/>
                    </w:rPr>
                    <w:t>m/s)</w:t>
                  </w:r>
                </w:p>
              </w:tc>
              <w:tc>
                <w:tcPr>
                  <w:tcW w:w="377" w:type="pct"/>
                  <w:tcBorders>
                    <w:tl2br w:val="nil"/>
                    <w:tr2bl w:val="nil"/>
                  </w:tcBorders>
                  <w:noWrap w:val="0"/>
                  <w:vAlign w:val="center"/>
                </w:tcPr>
                <w:p w14:paraId="24435464">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覆</w:t>
                  </w:r>
                  <w:r>
                    <w:rPr>
                      <w:rFonts w:hint="default" w:ascii="Times New Roman" w:hAnsi="Times New Roman" w:eastAsia="宋体" w:cs="Times New Roman"/>
                      <w:spacing w:val="-3"/>
                      <w:sz w:val="21"/>
                      <w:szCs w:val="21"/>
                      <w:highlight w:val="none"/>
                    </w:rPr>
                    <w:t>冰</w:t>
                  </w:r>
                  <w:r>
                    <w:rPr>
                      <w:rFonts w:hint="default" w:ascii="Times New Roman" w:hAnsi="Times New Roman" w:eastAsia="宋体" w:cs="Times New Roman"/>
                      <w:spacing w:val="-14"/>
                      <w:sz w:val="21"/>
                      <w:szCs w:val="21"/>
                      <w:highlight w:val="none"/>
                    </w:rPr>
                    <w:t>(</w:t>
                  </w:r>
                  <w:r>
                    <w:rPr>
                      <w:rFonts w:hint="default" w:ascii="Times New Roman" w:hAnsi="Times New Roman" w:eastAsia="宋体" w:cs="Times New Roman"/>
                      <w:spacing w:val="-10"/>
                      <w:sz w:val="21"/>
                      <w:szCs w:val="21"/>
                      <w:highlight w:val="none"/>
                    </w:rPr>
                    <w:t>mm)</w:t>
                  </w:r>
                </w:p>
              </w:tc>
              <w:tc>
                <w:tcPr>
                  <w:tcW w:w="371" w:type="pct"/>
                  <w:tcBorders>
                    <w:tl2br w:val="nil"/>
                    <w:tr2bl w:val="nil"/>
                  </w:tcBorders>
                  <w:noWrap w:val="0"/>
                  <w:vAlign w:val="center"/>
                </w:tcPr>
                <w:p w14:paraId="7CC8520C">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3"/>
                      <w:sz w:val="21"/>
                      <w:szCs w:val="21"/>
                      <w:highlight w:val="none"/>
                    </w:rPr>
                  </w:pPr>
                  <w:r>
                    <w:rPr>
                      <w:rFonts w:hint="default" w:ascii="Times New Roman" w:hAnsi="Times New Roman" w:eastAsia="宋体" w:cs="Times New Roman"/>
                      <w:spacing w:val="-4"/>
                      <w:sz w:val="21"/>
                      <w:szCs w:val="21"/>
                      <w:highlight w:val="none"/>
                    </w:rPr>
                    <w:t>导</w:t>
                  </w:r>
                  <w:r>
                    <w:rPr>
                      <w:rFonts w:hint="default" w:ascii="Times New Roman" w:hAnsi="Times New Roman" w:eastAsia="宋体" w:cs="Times New Roman"/>
                      <w:spacing w:val="-3"/>
                      <w:sz w:val="21"/>
                      <w:szCs w:val="21"/>
                      <w:highlight w:val="none"/>
                    </w:rPr>
                    <w:t>线</w:t>
                  </w:r>
                </w:p>
                <w:p w14:paraId="1C0CE985">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型号</w:t>
                  </w:r>
                </w:p>
              </w:tc>
              <w:tc>
                <w:tcPr>
                  <w:tcW w:w="421" w:type="pct"/>
                  <w:tcBorders>
                    <w:tl2br w:val="nil"/>
                    <w:tr2bl w:val="nil"/>
                  </w:tcBorders>
                  <w:noWrap w:val="0"/>
                  <w:vAlign w:val="center"/>
                </w:tcPr>
                <w:p w14:paraId="76C8EF70">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1"/>
                      <w:sz w:val="21"/>
                      <w:szCs w:val="21"/>
                      <w:highlight w:val="none"/>
                    </w:rPr>
                  </w:pPr>
                  <w:r>
                    <w:rPr>
                      <w:rFonts w:hint="default" w:ascii="Times New Roman" w:hAnsi="Times New Roman" w:eastAsia="宋体" w:cs="Times New Roman"/>
                      <w:spacing w:val="-2"/>
                      <w:sz w:val="21"/>
                      <w:szCs w:val="21"/>
                      <w:highlight w:val="none"/>
                    </w:rPr>
                    <w:t>地</w:t>
                  </w:r>
                  <w:r>
                    <w:rPr>
                      <w:rFonts w:hint="default" w:ascii="Times New Roman" w:hAnsi="Times New Roman" w:eastAsia="宋体" w:cs="Times New Roman"/>
                      <w:spacing w:val="-1"/>
                      <w:sz w:val="21"/>
                      <w:szCs w:val="21"/>
                      <w:highlight w:val="none"/>
                    </w:rPr>
                    <w:t>线</w:t>
                  </w:r>
                </w:p>
                <w:p w14:paraId="15132042">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型号</w:t>
                  </w:r>
                </w:p>
              </w:tc>
            </w:tr>
            <w:tr w14:paraId="50823B31">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 w:hRule="atLeast"/>
                <w:jc w:val="center"/>
              </w:trPr>
              <w:tc>
                <w:tcPr>
                  <w:tcW w:w="1239" w:type="pct"/>
                  <w:tcBorders>
                    <w:tl2br w:val="nil"/>
                    <w:tr2bl w:val="nil"/>
                  </w:tcBorders>
                  <w:noWrap w:val="0"/>
                  <w:vAlign w:val="center"/>
                </w:tcPr>
                <w:p w14:paraId="118F55F6">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eastAsia"/>
                    </w:rPr>
                    <w:t>220-HD22DH-ZBC3</w:t>
                  </w:r>
                </w:p>
              </w:tc>
              <w:tc>
                <w:tcPr>
                  <w:tcW w:w="416" w:type="pct"/>
                  <w:tcBorders>
                    <w:tl2br w:val="nil"/>
                    <w:tr2bl w:val="nil"/>
                  </w:tcBorders>
                  <w:noWrap w:val="0"/>
                  <w:vAlign w:val="center"/>
                </w:tcPr>
                <w:p w14:paraId="3E37445E">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21~45</w:t>
                  </w:r>
                </w:p>
              </w:tc>
              <w:tc>
                <w:tcPr>
                  <w:tcW w:w="421" w:type="pct"/>
                  <w:tcBorders>
                    <w:tl2br w:val="nil"/>
                    <w:tr2bl w:val="nil"/>
                  </w:tcBorders>
                  <w:noWrap w:val="0"/>
                  <w:vAlign w:val="center"/>
                </w:tcPr>
                <w:p w14:paraId="11345BBE">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36</w:t>
                  </w:r>
                </w:p>
              </w:tc>
              <w:tc>
                <w:tcPr>
                  <w:tcW w:w="301" w:type="pct"/>
                  <w:tcBorders>
                    <w:tl2br w:val="nil"/>
                    <w:tr2bl w:val="nil"/>
                  </w:tcBorders>
                  <w:noWrap w:val="0"/>
                  <w:vAlign w:val="center"/>
                </w:tcPr>
                <w:p w14:paraId="0368CA5D">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460</w:t>
                  </w:r>
                </w:p>
              </w:tc>
              <w:tc>
                <w:tcPr>
                  <w:tcW w:w="441" w:type="pct"/>
                  <w:tcBorders>
                    <w:tl2br w:val="nil"/>
                    <w:tr2bl w:val="nil"/>
                  </w:tcBorders>
                  <w:noWrap w:val="0"/>
                  <w:vAlign w:val="center"/>
                </w:tcPr>
                <w:p w14:paraId="24C2FA5A">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550</w:t>
                  </w:r>
                </w:p>
              </w:tc>
              <w:tc>
                <w:tcPr>
                  <w:tcW w:w="486" w:type="pct"/>
                  <w:tcBorders>
                    <w:tl2br w:val="nil"/>
                    <w:tr2bl w:val="nil"/>
                  </w:tcBorders>
                  <w:noWrap w:val="0"/>
                  <w:vAlign w:val="center"/>
                </w:tcPr>
                <w:p w14:paraId="32515592">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3"/>
                      <w:sz w:val="21"/>
                      <w:szCs w:val="21"/>
                      <w:highlight w:val="none"/>
                      <w:lang w:val="en-US" w:eastAsia="zh-CN"/>
                    </w:rPr>
                  </w:pPr>
                  <w:r>
                    <w:rPr>
                      <w:rFonts w:hint="default" w:ascii="Times New Roman" w:hAnsi="Times New Roman" w:eastAsia="宋体" w:cs="Times New Roman"/>
                      <w:spacing w:val="-3"/>
                      <w:sz w:val="21"/>
                      <w:szCs w:val="21"/>
                      <w:highlight w:val="none"/>
                      <w:lang w:val="en-US" w:eastAsia="zh-CN"/>
                    </w:rPr>
                    <w:t>0</w:t>
                  </w:r>
                </w:p>
              </w:tc>
              <w:tc>
                <w:tcPr>
                  <w:tcW w:w="522" w:type="pct"/>
                  <w:vMerge w:val="restart"/>
                  <w:tcBorders>
                    <w:tl2br w:val="nil"/>
                    <w:tr2bl w:val="nil"/>
                  </w:tcBorders>
                  <w:noWrap w:val="0"/>
                  <w:vAlign w:val="center"/>
                </w:tcPr>
                <w:p w14:paraId="13A91B9F">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3"/>
                      <w:sz w:val="21"/>
                      <w:szCs w:val="21"/>
                      <w:highlight w:val="none"/>
                      <w:lang w:val="en-US" w:eastAsia="zh-CN"/>
                    </w:rPr>
                  </w:pPr>
                  <w:r>
                    <w:rPr>
                      <w:rFonts w:hint="default" w:ascii="Times New Roman" w:hAnsi="Times New Roman" w:eastAsia="宋体" w:cs="Times New Roman"/>
                      <w:spacing w:val="-3"/>
                      <w:sz w:val="21"/>
                      <w:szCs w:val="21"/>
                      <w:highlight w:val="none"/>
                      <w:lang w:val="en-US" w:eastAsia="zh-CN"/>
                    </w:rPr>
                    <w:t>27</w:t>
                  </w:r>
                </w:p>
              </w:tc>
              <w:tc>
                <w:tcPr>
                  <w:tcW w:w="377" w:type="pct"/>
                  <w:vMerge w:val="restart"/>
                  <w:tcBorders>
                    <w:tl2br w:val="nil"/>
                    <w:tr2bl w:val="nil"/>
                  </w:tcBorders>
                  <w:noWrap w:val="0"/>
                  <w:vAlign w:val="center"/>
                </w:tcPr>
                <w:p w14:paraId="6A7D9F40">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1</w:t>
                  </w:r>
                  <w:r>
                    <w:rPr>
                      <w:rFonts w:hint="default" w:ascii="Times New Roman" w:hAnsi="Times New Roman" w:eastAsia="宋体" w:cs="Times New Roman"/>
                      <w:spacing w:val="-5"/>
                      <w:sz w:val="21"/>
                      <w:szCs w:val="21"/>
                      <w:highlight w:val="none"/>
                    </w:rPr>
                    <w:t>0</w:t>
                  </w:r>
                </w:p>
              </w:tc>
              <w:tc>
                <w:tcPr>
                  <w:tcW w:w="371" w:type="pct"/>
                  <w:vMerge w:val="restart"/>
                  <w:tcBorders>
                    <w:tl2br w:val="nil"/>
                    <w:tr2bl w:val="nil"/>
                  </w:tcBorders>
                  <w:noWrap w:val="0"/>
                  <w:vAlign w:val="center"/>
                </w:tcPr>
                <w:p w14:paraId="5EC3A445">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1"/>
                      <w:sz w:val="21"/>
                      <w:szCs w:val="21"/>
                      <w:highlight w:val="none"/>
                    </w:rPr>
                    <w:t>2×</w:t>
                  </w:r>
                  <w:r>
                    <w:rPr>
                      <w:rFonts w:hint="default" w:ascii="Times New Roman" w:hAnsi="Times New Roman" w:eastAsia="宋体" w:cs="Times New Roman"/>
                      <w:sz w:val="21"/>
                      <w:szCs w:val="21"/>
                      <w:highlight w:val="none"/>
                    </w:rPr>
                    <w:t>JL</w:t>
                  </w:r>
                  <w:r>
                    <w:rPr>
                      <w:rFonts w:hint="default" w:ascii="Times New Roman" w:hAnsi="Times New Roman" w:eastAsia="宋体" w:cs="Times New Roman"/>
                      <w:spacing w:val="-1"/>
                      <w:sz w:val="21"/>
                      <w:szCs w:val="21"/>
                      <w:highlight w:val="none"/>
                    </w:rPr>
                    <w:t>/</w:t>
                  </w:r>
                  <w:r>
                    <w:rPr>
                      <w:rFonts w:hint="default" w:ascii="Times New Roman" w:hAnsi="Times New Roman" w:eastAsia="宋体" w:cs="Times New Roman"/>
                      <w:sz w:val="21"/>
                      <w:szCs w:val="21"/>
                      <w:highlight w:val="none"/>
                    </w:rPr>
                    <w:t>G</w:t>
                  </w:r>
                  <w:r>
                    <w:rPr>
                      <w:rFonts w:hint="default" w:ascii="Times New Roman" w:hAnsi="Times New Roman" w:eastAsia="宋体" w:cs="Times New Roman"/>
                      <w:spacing w:val="-1"/>
                      <w:sz w:val="21"/>
                      <w:szCs w:val="21"/>
                      <w:highlight w:val="none"/>
                    </w:rPr>
                    <w:t>1</w:t>
                  </w:r>
                  <w:r>
                    <w:rPr>
                      <w:rFonts w:hint="default" w:ascii="Times New Roman" w:hAnsi="Times New Roman" w:eastAsia="宋体" w:cs="Times New Roman"/>
                      <w:sz w:val="21"/>
                      <w:szCs w:val="21"/>
                      <w:highlight w:val="none"/>
                    </w:rPr>
                    <w:t>A</w:t>
                  </w:r>
                  <w:r>
                    <w:rPr>
                      <w:rFonts w:hint="default" w:ascii="Times New Roman" w:hAnsi="Times New Roman" w:eastAsia="宋体" w:cs="Times New Roman"/>
                      <w:spacing w:val="-1"/>
                      <w:sz w:val="21"/>
                      <w:szCs w:val="21"/>
                      <w:highlight w:val="none"/>
                    </w:rPr>
                    <w:t>-</w:t>
                  </w:r>
                  <w:r>
                    <w:rPr>
                      <w:rFonts w:hint="default" w:ascii="Times New Roman" w:hAnsi="Times New Roman" w:eastAsia="宋体" w:cs="Times New Roman"/>
                      <w:spacing w:val="-1"/>
                      <w:sz w:val="21"/>
                      <w:szCs w:val="21"/>
                      <w:highlight w:val="none"/>
                      <w:lang w:val="en-US" w:eastAsia="zh-CN"/>
                    </w:rPr>
                    <w:t>630/4</w:t>
                  </w:r>
                  <w:r>
                    <w:rPr>
                      <w:rFonts w:hint="default" w:ascii="Times New Roman" w:hAnsi="Times New Roman" w:eastAsia="宋体" w:cs="Times New Roman"/>
                      <w:sz w:val="21"/>
                      <w:szCs w:val="21"/>
                      <w:highlight w:val="none"/>
                      <w:lang w:val="en-US" w:eastAsia="zh-CN"/>
                    </w:rPr>
                    <w:t>5</w:t>
                  </w:r>
                </w:p>
              </w:tc>
              <w:tc>
                <w:tcPr>
                  <w:tcW w:w="421" w:type="pct"/>
                  <w:vMerge w:val="restart"/>
                  <w:tcBorders>
                    <w:tl2br w:val="nil"/>
                    <w:tr2bl w:val="nil"/>
                  </w:tcBorders>
                  <w:noWrap w:val="0"/>
                  <w:vAlign w:val="center"/>
                </w:tcPr>
                <w:p w14:paraId="14466DEE">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JLB-</w:t>
                  </w:r>
                </w:p>
                <w:p w14:paraId="14522821">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150</w:t>
                  </w:r>
                </w:p>
              </w:tc>
            </w:tr>
            <w:tr w14:paraId="11380CFE">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9" w:hRule="atLeast"/>
                <w:jc w:val="center"/>
              </w:trPr>
              <w:tc>
                <w:tcPr>
                  <w:tcW w:w="1239" w:type="pct"/>
                  <w:tcBorders>
                    <w:tl2br w:val="nil"/>
                    <w:tr2bl w:val="nil"/>
                  </w:tcBorders>
                  <w:noWrap w:val="0"/>
                  <w:vAlign w:val="center"/>
                </w:tcPr>
                <w:p w14:paraId="6E4DAFBC">
                  <w:pPr>
                    <w:keepNext w:val="0"/>
                    <w:keepLines/>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rPr>
                    <w:t>220-HD22DH-ZBC</w:t>
                  </w:r>
                  <w:r>
                    <w:rPr>
                      <w:rFonts w:hint="eastAsia"/>
                      <w:lang w:val="en-US" w:eastAsia="zh-CN"/>
                    </w:rPr>
                    <w:t>4</w:t>
                  </w:r>
                </w:p>
              </w:tc>
              <w:tc>
                <w:tcPr>
                  <w:tcW w:w="416" w:type="pct"/>
                  <w:tcBorders>
                    <w:tl2br w:val="nil"/>
                    <w:tr2bl w:val="nil"/>
                  </w:tcBorders>
                  <w:noWrap w:val="0"/>
                  <w:vAlign w:val="center"/>
                </w:tcPr>
                <w:p w14:paraId="282C3638">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21~45</w:t>
                  </w:r>
                </w:p>
              </w:tc>
              <w:tc>
                <w:tcPr>
                  <w:tcW w:w="421" w:type="pct"/>
                  <w:tcBorders>
                    <w:tl2br w:val="nil"/>
                    <w:tr2bl w:val="nil"/>
                  </w:tcBorders>
                  <w:noWrap w:val="0"/>
                  <w:vAlign w:val="center"/>
                </w:tcPr>
                <w:p w14:paraId="7141F68D">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15</w:t>
                  </w:r>
                </w:p>
              </w:tc>
              <w:tc>
                <w:tcPr>
                  <w:tcW w:w="301" w:type="pct"/>
                  <w:tcBorders>
                    <w:tl2br w:val="nil"/>
                    <w:tr2bl w:val="nil"/>
                  </w:tcBorders>
                  <w:noWrap w:val="0"/>
                  <w:vAlign w:val="center"/>
                </w:tcPr>
                <w:p w14:paraId="5957FD6C">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580</w:t>
                  </w:r>
                </w:p>
              </w:tc>
              <w:tc>
                <w:tcPr>
                  <w:tcW w:w="441" w:type="pct"/>
                  <w:tcBorders>
                    <w:tl2br w:val="nil"/>
                    <w:tr2bl w:val="nil"/>
                  </w:tcBorders>
                  <w:noWrap w:val="0"/>
                  <w:vAlign w:val="center"/>
                </w:tcPr>
                <w:p w14:paraId="30BABC09">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700</w:t>
                  </w:r>
                </w:p>
              </w:tc>
              <w:tc>
                <w:tcPr>
                  <w:tcW w:w="486" w:type="pct"/>
                  <w:tcBorders>
                    <w:tl2br w:val="nil"/>
                    <w:tr2bl w:val="nil"/>
                  </w:tcBorders>
                  <w:noWrap w:val="0"/>
                  <w:vAlign w:val="center"/>
                </w:tcPr>
                <w:p w14:paraId="58ABF218">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3"/>
                      <w:sz w:val="21"/>
                      <w:szCs w:val="21"/>
                      <w:highlight w:val="none"/>
                      <w:lang w:val="en-US" w:eastAsia="zh-CN"/>
                    </w:rPr>
                  </w:pPr>
                  <w:r>
                    <w:rPr>
                      <w:rFonts w:hint="default" w:ascii="Times New Roman" w:hAnsi="Times New Roman" w:eastAsia="宋体" w:cs="Times New Roman"/>
                      <w:spacing w:val="-3"/>
                      <w:sz w:val="21"/>
                      <w:szCs w:val="21"/>
                      <w:highlight w:val="none"/>
                      <w:lang w:val="en-US" w:eastAsia="zh-CN"/>
                    </w:rPr>
                    <w:t>0</w:t>
                  </w:r>
                </w:p>
              </w:tc>
              <w:tc>
                <w:tcPr>
                  <w:tcW w:w="522" w:type="pct"/>
                  <w:vMerge w:val="continue"/>
                  <w:tcBorders>
                    <w:tl2br w:val="nil"/>
                    <w:tr2bl w:val="nil"/>
                  </w:tcBorders>
                  <w:noWrap w:val="0"/>
                  <w:vAlign w:val="center"/>
                </w:tcPr>
                <w:p w14:paraId="16C4BFCA">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3"/>
                      <w:sz w:val="21"/>
                      <w:szCs w:val="21"/>
                      <w:highlight w:val="none"/>
                      <w:lang w:val="en-US" w:eastAsia="zh-CN"/>
                    </w:rPr>
                  </w:pPr>
                </w:p>
              </w:tc>
              <w:tc>
                <w:tcPr>
                  <w:tcW w:w="377" w:type="pct"/>
                  <w:vMerge w:val="continue"/>
                  <w:tcBorders>
                    <w:tl2br w:val="nil"/>
                    <w:tr2bl w:val="nil"/>
                  </w:tcBorders>
                  <w:noWrap w:val="0"/>
                  <w:vAlign w:val="center"/>
                </w:tcPr>
                <w:p w14:paraId="3CC035BD">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yellow"/>
                      <w:lang w:val="en-US" w:eastAsia="zh-CN"/>
                    </w:rPr>
                  </w:pPr>
                </w:p>
              </w:tc>
              <w:tc>
                <w:tcPr>
                  <w:tcW w:w="371" w:type="pct"/>
                  <w:vMerge w:val="continue"/>
                  <w:tcBorders>
                    <w:tl2br w:val="nil"/>
                    <w:tr2bl w:val="nil"/>
                  </w:tcBorders>
                  <w:noWrap w:val="0"/>
                  <w:vAlign w:val="center"/>
                </w:tcPr>
                <w:p w14:paraId="5AE755E8">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yellow"/>
                      <w:lang w:val="en-US" w:eastAsia="zh-CN"/>
                    </w:rPr>
                  </w:pPr>
                </w:p>
              </w:tc>
              <w:tc>
                <w:tcPr>
                  <w:tcW w:w="421" w:type="pct"/>
                  <w:vMerge w:val="continue"/>
                  <w:tcBorders>
                    <w:tl2br w:val="nil"/>
                    <w:tr2bl w:val="nil"/>
                  </w:tcBorders>
                  <w:noWrap w:val="0"/>
                  <w:vAlign w:val="center"/>
                </w:tcPr>
                <w:p w14:paraId="158F5A9B">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yellow"/>
                      <w:lang w:val="en-US" w:eastAsia="zh-CN"/>
                    </w:rPr>
                  </w:pPr>
                </w:p>
              </w:tc>
            </w:tr>
            <w:tr w14:paraId="2540C18E">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239" w:type="pct"/>
                  <w:tcBorders>
                    <w:tl2br w:val="nil"/>
                    <w:tr2bl w:val="nil"/>
                  </w:tcBorders>
                  <w:noWrap w:val="0"/>
                  <w:vAlign w:val="center"/>
                </w:tcPr>
                <w:p w14:paraId="4A2B6E3C">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rPr>
                    <w:t>220- HD22DH-ZMCK</w:t>
                  </w:r>
                </w:p>
              </w:tc>
              <w:tc>
                <w:tcPr>
                  <w:tcW w:w="416" w:type="pct"/>
                  <w:tcBorders>
                    <w:tl2br w:val="nil"/>
                    <w:tr2bl w:val="nil"/>
                  </w:tcBorders>
                  <w:noWrap w:val="0"/>
                  <w:vAlign w:val="center"/>
                </w:tcPr>
                <w:p w14:paraId="5F30E7E4">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48~54</w:t>
                  </w:r>
                </w:p>
              </w:tc>
              <w:tc>
                <w:tcPr>
                  <w:tcW w:w="421" w:type="pct"/>
                  <w:tcBorders>
                    <w:tl2br w:val="nil"/>
                    <w:tr2bl w:val="nil"/>
                  </w:tcBorders>
                  <w:noWrap w:val="0"/>
                  <w:vAlign w:val="center"/>
                </w:tcPr>
                <w:p w14:paraId="651DF1E9">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11</w:t>
                  </w:r>
                </w:p>
              </w:tc>
              <w:tc>
                <w:tcPr>
                  <w:tcW w:w="301" w:type="pct"/>
                  <w:tcBorders>
                    <w:tl2br w:val="nil"/>
                    <w:tr2bl w:val="nil"/>
                  </w:tcBorders>
                  <w:noWrap w:val="0"/>
                  <w:vAlign w:val="center"/>
                </w:tcPr>
                <w:p w14:paraId="5D2227D4">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850</w:t>
                  </w:r>
                </w:p>
              </w:tc>
              <w:tc>
                <w:tcPr>
                  <w:tcW w:w="441" w:type="pct"/>
                  <w:tcBorders>
                    <w:tl2br w:val="nil"/>
                    <w:tr2bl w:val="nil"/>
                  </w:tcBorders>
                  <w:noWrap w:val="0"/>
                  <w:vAlign w:val="center"/>
                </w:tcPr>
                <w:p w14:paraId="18630147">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1200</w:t>
                  </w:r>
                </w:p>
              </w:tc>
              <w:tc>
                <w:tcPr>
                  <w:tcW w:w="486" w:type="pct"/>
                  <w:tcBorders>
                    <w:tl2br w:val="nil"/>
                    <w:tr2bl w:val="nil"/>
                  </w:tcBorders>
                  <w:noWrap w:val="0"/>
                  <w:vAlign w:val="center"/>
                </w:tcPr>
                <w:p w14:paraId="3BA8F6AE">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3"/>
                      <w:sz w:val="21"/>
                      <w:szCs w:val="21"/>
                      <w:highlight w:val="none"/>
                      <w:lang w:val="en-US" w:eastAsia="zh-CN"/>
                    </w:rPr>
                  </w:pPr>
                  <w:r>
                    <w:rPr>
                      <w:rFonts w:hint="default" w:ascii="Times New Roman" w:hAnsi="Times New Roman" w:eastAsia="宋体" w:cs="Times New Roman"/>
                      <w:spacing w:val="-3"/>
                      <w:sz w:val="21"/>
                      <w:szCs w:val="21"/>
                      <w:highlight w:val="none"/>
                      <w:lang w:val="en-US" w:eastAsia="zh-CN"/>
                    </w:rPr>
                    <w:t>0</w:t>
                  </w:r>
                </w:p>
              </w:tc>
              <w:tc>
                <w:tcPr>
                  <w:tcW w:w="522" w:type="pct"/>
                  <w:vMerge w:val="continue"/>
                  <w:tcBorders>
                    <w:tl2br w:val="nil"/>
                    <w:tr2bl w:val="nil"/>
                  </w:tcBorders>
                  <w:noWrap w:val="0"/>
                  <w:vAlign w:val="center"/>
                </w:tcPr>
                <w:p w14:paraId="775E46A6">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3"/>
                      <w:sz w:val="21"/>
                      <w:szCs w:val="21"/>
                      <w:highlight w:val="none"/>
                      <w:lang w:val="en-US" w:eastAsia="zh-CN"/>
                    </w:rPr>
                  </w:pPr>
                </w:p>
              </w:tc>
              <w:tc>
                <w:tcPr>
                  <w:tcW w:w="377" w:type="pct"/>
                  <w:vMerge w:val="continue"/>
                  <w:tcBorders>
                    <w:tl2br w:val="nil"/>
                    <w:tr2bl w:val="nil"/>
                  </w:tcBorders>
                  <w:noWrap w:val="0"/>
                  <w:vAlign w:val="center"/>
                </w:tcPr>
                <w:p w14:paraId="3F69C4A4">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371" w:type="pct"/>
                  <w:vMerge w:val="continue"/>
                  <w:tcBorders>
                    <w:tl2br w:val="nil"/>
                    <w:tr2bl w:val="nil"/>
                  </w:tcBorders>
                  <w:noWrap w:val="0"/>
                  <w:vAlign w:val="center"/>
                </w:tcPr>
                <w:p w14:paraId="70E0E90B">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421" w:type="pct"/>
                  <w:vMerge w:val="continue"/>
                  <w:tcBorders>
                    <w:tl2br w:val="nil"/>
                    <w:tr2bl w:val="nil"/>
                  </w:tcBorders>
                  <w:noWrap w:val="0"/>
                  <w:vAlign w:val="center"/>
                </w:tcPr>
                <w:p w14:paraId="31D45F31">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r>
            <w:tr w14:paraId="531634B4">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39" w:type="pct"/>
                  <w:tcBorders>
                    <w:tl2br w:val="nil"/>
                    <w:tr2bl w:val="nil"/>
                  </w:tcBorders>
                  <w:noWrap w:val="0"/>
                  <w:vAlign w:val="center"/>
                </w:tcPr>
                <w:p w14:paraId="2E52C82B">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220- HE22D -JC1</w:t>
                  </w:r>
                </w:p>
              </w:tc>
              <w:tc>
                <w:tcPr>
                  <w:tcW w:w="416" w:type="pct"/>
                  <w:tcBorders>
                    <w:tl2br w:val="nil"/>
                    <w:tr2bl w:val="nil"/>
                  </w:tcBorders>
                  <w:noWrap w:val="0"/>
                  <w:vAlign w:val="center"/>
                </w:tcPr>
                <w:p w14:paraId="5F5ACBFC">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18～30</w:t>
                  </w:r>
                </w:p>
              </w:tc>
              <w:tc>
                <w:tcPr>
                  <w:tcW w:w="421" w:type="pct"/>
                  <w:tcBorders>
                    <w:tl2br w:val="nil"/>
                    <w:tr2bl w:val="nil"/>
                  </w:tcBorders>
                  <w:noWrap w:val="0"/>
                  <w:vAlign w:val="center"/>
                </w:tcPr>
                <w:p w14:paraId="47CDB1D5">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14</w:t>
                  </w:r>
                </w:p>
              </w:tc>
              <w:tc>
                <w:tcPr>
                  <w:tcW w:w="301" w:type="pct"/>
                  <w:tcBorders>
                    <w:tl2br w:val="nil"/>
                    <w:tr2bl w:val="nil"/>
                  </w:tcBorders>
                  <w:noWrap w:val="0"/>
                  <w:vAlign w:val="center"/>
                </w:tcPr>
                <w:p w14:paraId="005BC949">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460</w:t>
                  </w:r>
                </w:p>
              </w:tc>
              <w:tc>
                <w:tcPr>
                  <w:tcW w:w="441" w:type="pct"/>
                  <w:tcBorders>
                    <w:tl2br w:val="nil"/>
                    <w:tr2bl w:val="nil"/>
                  </w:tcBorders>
                  <w:noWrap w:val="0"/>
                  <w:vAlign w:val="center"/>
                </w:tcPr>
                <w:p w14:paraId="79890226">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550</w:t>
                  </w:r>
                </w:p>
              </w:tc>
              <w:tc>
                <w:tcPr>
                  <w:tcW w:w="486" w:type="pct"/>
                  <w:tcBorders>
                    <w:tl2br w:val="nil"/>
                    <w:tr2bl w:val="nil"/>
                  </w:tcBorders>
                  <w:noWrap w:val="0"/>
                  <w:vAlign w:val="center"/>
                </w:tcPr>
                <w:p w14:paraId="356C830C">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3"/>
                      <w:sz w:val="21"/>
                      <w:szCs w:val="21"/>
                      <w:highlight w:val="none"/>
                      <w:lang w:val="en-US" w:eastAsia="zh-CN"/>
                    </w:rPr>
                  </w:pPr>
                  <w:r>
                    <w:rPr>
                      <w:rFonts w:hint="default" w:ascii="Times New Roman" w:hAnsi="Times New Roman" w:eastAsia="宋体" w:cs="Times New Roman"/>
                      <w:spacing w:val="-3"/>
                      <w:sz w:val="21"/>
                      <w:szCs w:val="21"/>
                      <w:highlight w:val="none"/>
                      <w:lang w:val="en-US" w:eastAsia="zh-CN"/>
                    </w:rPr>
                    <w:t>0</w:t>
                  </w:r>
                </w:p>
              </w:tc>
              <w:tc>
                <w:tcPr>
                  <w:tcW w:w="522" w:type="pct"/>
                  <w:vMerge w:val="continue"/>
                  <w:tcBorders>
                    <w:tl2br w:val="nil"/>
                    <w:tr2bl w:val="nil"/>
                  </w:tcBorders>
                  <w:noWrap w:val="0"/>
                  <w:vAlign w:val="center"/>
                </w:tcPr>
                <w:p w14:paraId="1FA74751">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377" w:type="pct"/>
                  <w:vMerge w:val="continue"/>
                  <w:tcBorders>
                    <w:tl2br w:val="nil"/>
                    <w:tr2bl w:val="nil"/>
                  </w:tcBorders>
                  <w:noWrap w:val="0"/>
                  <w:vAlign w:val="center"/>
                </w:tcPr>
                <w:p w14:paraId="017DBE7D">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371" w:type="pct"/>
                  <w:vMerge w:val="continue"/>
                  <w:tcBorders>
                    <w:tl2br w:val="nil"/>
                    <w:tr2bl w:val="nil"/>
                  </w:tcBorders>
                  <w:noWrap w:val="0"/>
                  <w:vAlign w:val="center"/>
                </w:tcPr>
                <w:p w14:paraId="6E2BEE96">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421" w:type="pct"/>
                  <w:vMerge w:val="continue"/>
                  <w:tcBorders>
                    <w:tl2br w:val="nil"/>
                    <w:tr2bl w:val="nil"/>
                  </w:tcBorders>
                  <w:noWrap w:val="0"/>
                  <w:vAlign w:val="center"/>
                </w:tcPr>
                <w:p w14:paraId="39DBBE1D">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r>
            <w:tr w14:paraId="6BAAA760">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239" w:type="pct"/>
                  <w:tcBorders>
                    <w:tl2br w:val="nil"/>
                    <w:tr2bl w:val="nil"/>
                  </w:tcBorders>
                  <w:noWrap w:val="0"/>
                  <w:vAlign w:val="center"/>
                </w:tcPr>
                <w:p w14:paraId="56ADBC18">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220- HE22D -JC2</w:t>
                  </w:r>
                </w:p>
              </w:tc>
              <w:tc>
                <w:tcPr>
                  <w:tcW w:w="416" w:type="pct"/>
                  <w:tcBorders>
                    <w:tl2br w:val="nil"/>
                    <w:tr2bl w:val="nil"/>
                  </w:tcBorders>
                  <w:noWrap w:val="0"/>
                  <w:vAlign w:val="center"/>
                </w:tcPr>
                <w:p w14:paraId="0E5B9F84">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18～30</w:t>
                  </w:r>
                </w:p>
              </w:tc>
              <w:tc>
                <w:tcPr>
                  <w:tcW w:w="421" w:type="pct"/>
                  <w:tcBorders>
                    <w:tl2br w:val="nil"/>
                    <w:tr2bl w:val="nil"/>
                  </w:tcBorders>
                  <w:noWrap w:val="0"/>
                  <w:vAlign w:val="center"/>
                </w:tcPr>
                <w:p w14:paraId="296F3252">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w:t>
                  </w:r>
                </w:p>
              </w:tc>
              <w:tc>
                <w:tcPr>
                  <w:tcW w:w="301" w:type="pct"/>
                  <w:tcBorders>
                    <w:tl2br w:val="nil"/>
                    <w:tr2bl w:val="nil"/>
                  </w:tcBorders>
                  <w:noWrap w:val="0"/>
                  <w:vAlign w:val="center"/>
                </w:tcPr>
                <w:p w14:paraId="5A851F55">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450</w:t>
                  </w:r>
                </w:p>
              </w:tc>
              <w:tc>
                <w:tcPr>
                  <w:tcW w:w="441" w:type="pct"/>
                  <w:tcBorders>
                    <w:tl2br w:val="nil"/>
                    <w:tr2bl w:val="nil"/>
                  </w:tcBorders>
                  <w:noWrap w:val="0"/>
                  <w:vAlign w:val="center"/>
                </w:tcPr>
                <w:p w14:paraId="21522D75">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600</w:t>
                  </w:r>
                </w:p>
              </w:tc>
              <w:tc>
                <w:tcPr>
                  <w:tcW w:w="486" w:type="pct"/>
                  <w:tcBorders>
                    <w:tl2br w:val="nil"/>
                    <w:tr2bl w:val="nil"/>
                  </w:tcBorders>
                  <w:noWrap w:val="0"/>
                  <w:vAlign w:val="center"/>
                </w:tcPr>
                <w:p w14:paraId="5FA5A260">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3"/>
                      <w:sz w:val="21"/>
                      <w:szCs w:val="21"/>
                      <w:highlight w:val="none"/>
                      <w:lang w:val="en-US" w:eastAsia="zh-CN"/>
                    </w:rPr>
                  </w:pPr>
                  <w:r>
                    <w:rPr>
                      <w:rFonts w:hint="default" w:ascii="Times New Roman" w:hAnsi="Times New Roman" w:eastAsia="宋体" w:cs="Times New Roman"/>
                      <w:spacing w:val="-3"/>
                      <w:sz w:val="21"/>
                      <w:szCs w:val="21"/>
                      <w:highlight w:val="none"/>
                      <w:lang w:val="en-US" w:eastAsia="zh-CN"/>
                    </w:rPr>
                    <w:t>90</w:t>
                  </w:r>
                </w:p>
              </w:tc>
              <w:tc>
                <w:tcPr>
                  <w:tcW w:w="522" w:type="pct"/>
                  <w:vMerge w:val="continue"/>
                  <w:tcBorders>
                    <w:tl2br w:val="nil"/>
                    <w:tr2bl w:val="nil"/>
                  </w:tcBorders>
                  <w:noWrap w:val="0"/>
                  <w:vAlign w:val="center"/>
                </w:tcPr>
                <w:p w14:paraId="376E45B2">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377" w:type="pct"/>
                  <w:vMerge w:val="continue"/>
                  <w:tcBorders>
                    <w:tl2br w:val="nil"/>
                    <w:tr2bl w:val="nil"/>
                  </w:tcBorders>
                  <w:noWrap w:val="0"/>
                  <w:vAlign w:val="center"/>
                </w:tcPr>
                <w:p w14:paraId="1D4EF3D0">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371" w:type="pct"/>
                  <w:vMerge w:val="continue"/>
                  <w:tcBorders>
                    <w:tl2br w:val="nil"/>
                    <w:tr2bl w:val="nil"/>
                  </w:tcBorders>
                  <w:noWrap w:val="0"/>
                  <w:vAlign w:val="center"/>
                </w:tcPr>
                <w:p w14:paraId="6BDA612B">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421" w:type="pct"/>
                  <w:vMerge w:val="continue"/>
                  <w:tcBorders>
                    <w:tl2br w:val="nil"/>
                    <w:tr2bl w:val="nil"/>
                  </w:tcBorders>
                  <w:noWrap w:val="0"/>
                  <w:vAlign w:val="center"/>
                </w:tcPr>
                <w:p w14:paraId="7EC3156B">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r>
            <w:tr w14:paraId="399C3715">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239" w:type="pct"/>
                  <w:tcBorders>
                    <w:tl2br w:val="nil"/>
                    <w:tr2bl w:val="nil"/>
                  </w:tcBorders>
                  <w:noWrap w:val="0"/>
                  <w:vAlign w:val="center"/>
                </w:tcPr>
                <w:p w14:paraId="3217CBEB">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220- HE22D -JC3</w:t>
                  </w:r>
                </w:p>
              </w:tc>
              <w:tc>
                <w:tcPr>
                  <w:tcW w:w="416" w:type="pct"/>
                  <w:tcBorders>
                    <w:tl2br w:val="nil"/>
                    <w:tr2bl w:val="nil"/>
                  </w:tcBorders>
                  <w:noWrap w:val="0"/>
                  <w:vAlign w:val="center"/>
                </w:tcPr>
                <w:p w14:paraId="69D3D7C4">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18～30</w:t>
                  </w:r>
                </w:p>
              </w:tc>
              <w:tc>
                <w:tcPr>
                  <w:tcW w:w="421" w:type="pct"/>
                  <w:tcBorders>
                    <w:tl2br w:val="nil"/>
                    <w:tr2bl w:val="nil"/>
                  </w:tcBorders>
                  <w:noWrap w:val="0"/>
                  <w:vAlign w:val="center"/>
                </w:tcPr>
                <w:p w14:paraId="397DF4BF">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w:t>
                  </w:r>
                </w:p>
              </w:tc>
              <w:tc>
                <w:tcPr>
                  <w:tcW w:w="301" w:type="pct"/>
                  <w:tcBorders>
                    <w:tl2br w:val="nil"/>
                    <w:tr2bl w:val="nil"/>
                  </w:tcBorders>
                  <w:noWrap w:val="0"/>
                  <w:vAlign w:val="center"/>
                </w:tcPr>
                <w:p w14:paraId="1447CB36">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450</w:t>
                  </w:r>
                </w:p>
              </w:tc>
              <w:tc>
                <w:tcPr>
                  <w:tcW w:w="441" w:type="pct"/>
                  <w:tcBorders>
                    <w:tl2br w:val="nil"/>
                    <w:tr2bl w:val="nil"/>
                  </w:tcBorders>
                  <w:noWrap w:val="0"/>
                  <w:vAlign w:val="center"/>
                </w:tcPr>
                <w:p w14:paraId="7D8F91C6">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600</w:t>
                  </w:r>
                </w:p>
              </w:tc>
              <w:tc>
                <w:tcPr>
                  <w:tcW w:w="486" w:type="pct"/>
                  <w:tcBorders>
                    <w:tl2br w:val="nil"/>
                    <w:tr2bl w:val="nil"/>
                  </w:tcBorders>
                  <w:noWrap w:val="0"/>
                  <w:vAlign w:val="center"/>
                </w:tcPr>
                <w:p w14:paraId="58D6E0CA">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3"/>
                      <w:sz w:val="21"/>
                      <w:szCs w:val="21"/>
                      <w:highlight w:val="none"/>
                      <w:lang w:val="en-US" w:eastAsia="zh-CN"/>
                    </w:rPr>
                  </w:pPr>
                  <w:r>
                    <w:rPr>
                      <w:rFonts w:hint="default" w:ascii="Times New Roman" w:hAnsi="Times New Roman" w:eastAsia="宋体" w:cs="Times New Roman"/>
                      <w:spacing w:val="-3"/>
                      <w:sz w:val="21"/>
                      <w:szCs w:val="21"/>
                      <w:highlight w:val="none"/>
                      <w:lang w:val="en-US" w:eastAsia="zh-CN"/>
                    </w:rPr>
                    <w:t>20</w:t>
                  </w:r>
                </w:p>
              </w:tc>
              <w:tc>
                <w:tcPr>
                  <w:tcW w:w="522" w:type="pct"/>
                  <w:vMerge w:val="continue"/>
                  <w:tcBorders>
                    <w:tl2br w:val="nil"/>
                    <w:tr2bl w:val="nil"/>
                  </w:tcBorders>
                  <w:noWrap w:val="0"/>
                  <w:vAlign w:val="center"/>
                </w:tcPr>
                <w:p w14:paraId="56130FE7">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377" w:type="pct"/>
                  <w:vMerge w:val="continue"/>
                  <w:tcBorders>
                    <w:tl2br w:val="nil"/>
                    <w:tr2bl w:val="nil"/>
                  </w:tcBorders>
                  <w:noWrap w:val="0"/>
                  <w:vAlign w:val="center"/>
                </w:tcPr>
                <w:p w14:paraId="61ECD5F9">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371" w:type="pct"/>
                  <w:vMerge w:val="continue"/>
                  <w:tcBorders>
                    <w:tl2br w:val="nil"/>
                    <w:tr2bl w:val="nil"/>
                  </w:tcBorders>
                  <w:noWrap w:val="0"/>
                  <w:vAlign w:val="center"/>
                </w:tcPr>
                <w:p w14:paraId="390B07E9">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421" w:type="pct"/>
                  <w:vMerge w:val="continue"/>
                  <w:tcBorders>
                    <w:tl2br w:val="nil"/>
                    <w:tr2bl w:val="nil"/>
                  </w:tcBorders>
                  <w:noWrap w:val="0"/>
                  <w:vAlign w:val="center"/>
                </w:tcPr>
                <w:p w14:paraId="59A20864">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r>
            <w:tr w14:paraId="6228511E">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239" w:type="pct"/>
                  <w:tcBorders>
                    <w:tl2br w:val="nil"/>
                    <w:tr2bl w:val="nil"/>
                  </w:tcBorders>
                  <w:noWrap w:val="0"/>
                  <w:vAlign w:val="center"/>
                </w:tcPr>
                <w:p w14:paraId="46A5C01E">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220- HE22D -JC4</w:t>
                  </w:r>
                </w:p>
              </w:tc>
              <w:tc>
                <w:tcPr>
                  <w:tcW w:w="416" w:type="pct"/>
                  <w:tcBorders>
                    <w:tl2br w:val="nil"/>
                    <w:tr2bl w:val="nil"/>
                  </w:tcBorders>
                  <w:noWrap w:val="0"/>
                  <w:vAlign w:val="center"/>
                </w:tcPr>
                <w:p w14:paraId="798FED6D">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18～30</w:t>
                  </w:r>
                </w:p>
              </w:tc>
              <w:tc>
                <w:tcPr>
                  <w:tcW w:w="421" w:type="pct"/>
                  <w:tcBorders>
                    <w:tl2br w:val="nil"/>
                    <w:tr2bl w:val="nil"/>
                  </w:tcBorders>
                  <w:noWrap w:val="0"/>
                  <w:vAlign w:val="center"/>
                </w:tcPr>
                <w:p w14:paraId="17B8D537">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301" w:type="pct"/>
                  <w:tcBorders>
                    <w:tl2br w:val="nil"/>
                    <w:tr2bl w:val="nil"/>
                  </w:tcBorders>
                  <w:noWrap w:val="0"/>
                  <w:vAlign w:val="center"/>
                </w:tcPr>
                <w:p w14:paraId="472533AE">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450</w:t>
                  </w:r>
                </w:p>
              </w:tc>
              <w:tc>
                <w:tcPr>
                  <w:tcW w:w="441" w:type="pct"/>
                  <w:tcBorders>
                    <w:tl2br w:val="nil"/>
                    <w:tr2bl w:val="nil"/>
                  </w:tcBorders>
                  <w:noWrap w:val="0"/>
                  <w:vAlign w:val="center"/>
                </w:tcPr>
                <w:p w14:paraId="51D77468">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600</w:t>
                  </w:r>
                </w:p>
              </w:tc>
              <w:tc>
                <w:tcPr>
                  <w:tcW w:w="486" w:type="pct"/>
                  <w:tcBorders>
                    <w:tl2br w:val="nil"/>
                    <w:tr2bl w:val="nil"/>
                  </w:tcBorders>
                  <w:noWrap w:val="0"/>
                  <w:vAlign w:val="center"/>
                </w:tcPr>
                <w:p w14:paraId="07FF85DE">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3"/>
                      <w:sz w:val="21"/>
                      <w:szCs w:val="21"/>
                      <w:highlight w:val="none"/>
                      <w:lang w:val="en-US" w:eastAsia="zh-CN"/>
                    </w:rPr>
                  </w:pPr>
                  <w:r>
                    <w:rPr>
                      <w:rFonts w:hint="default" w:ascii="Times New Roman" w:hAnsi="Times New Roman" w:eastAsia="宋体" w:cs="Times New Roman"/>
                      <w:spacing w:val="-3"/>
                      <w:sz w:val="21"/>
                      <w:szCs w:val="21"/>
                      <w:highlight w:val="none"/>
                      <w:lang w:val="en-US" w:eastAsia="zh-CN"/>
                    </w:rPr>
                    <w:t>90</w:t>
                  </w:r>
                </w:p>
              </w:tc>
              <w:tc>
                <w:tcPr>
                  <w:tcW w:w="522" w:type="pct"/>
                  <w:vMerge w:val="continue"/>
                  <w:tcBorders>
                    <w:tl2br w:val="nil"/>
                    <w:tr2bl w:val="nil"/>
                  </w:tcBorders>
                  <w:noWrap w:val="0"/>
                  <w:vAlign w:val="center"/>
                </w:tcPr>
                <w:p w14:paraId="3A829897">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377" w:type="pct"/>
                  <w:vMerge w:val="continue"/>
                  <w:tcBorders>
                    <w:tl2br w:val="nil"/>
                    <w:tr2bl w:val="nil"/>
                  </w:tcBorders>
                  <w:noWrap w:val="0"/>
                  <w:vAlign w:val="center"/>
                </w:tcPr>
                <w:p w14:paraId="41E537DC">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371" w:type="pct"/>
                  <w:vMerge w:val="continue"/>
                  <w:tcBorders>
                    <w:tl2br w:val="nil"/>
                    <w:tr2bl w:val="nil"/>
                  </w:tcBorders>
                  <w:noWrap w:val="0"/>
                  <w:vAlign w:val="center"/>
                </w:tcPr>
                <w:p w14:paraId="1FB994EF">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421" w:type="pct"/>
                  <w:vMerge w:val="continue"/>
                  <w:tcBorders>
                    <w:tl2br w:val="nil"/>
                    <w:tr2bl w:val="nil"/>
                  </w:tcBorders>
                  <w:noWrap w:val="0"/>
                  <w:vAlign w:val="center"/>
                </w:tcPr>
                <w:p w14:paraId="21FF580E">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r>
            <w:tr w14:paraId="0334126B">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239" w:type="pct"/>
                  <w:tcBorders>
                    <w:tl2br w:val="nil"/>
                    <w:tr2bl w:val="nil"/>
                  </w:tcBorders>
                  <w:noWrap w:val="0"/>
                  <w:vAlign w:val="center"/>
                </w:tcPr>
                <w:p w14:paraId="6CC9D8CA">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220- HE22D -DJC1</w:t>
                  </w:r>
                </w:p>
              </w:tc>
              <w:tc>
                <w:tcPr>
                  <w:tcW w:w="416" w:type="pct"/>
                  <w:tcBorders>
                    <w:tl2br w:val="nil"/>
                    <w:tr2bl w:val="nil"/>
                  </w:tcBorders>
                  <w:noWrap w:val="0"/>
                  <w:vAlign w:val="center"/>
                </w:tcPr>
                <w:p w14:paraId="39D725ED">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18～30</w:t>
                  </w:r>
                </w:p>
              </w:tc>
              <w:tc>
                <w:tcPr>
                  <w:tcW w:w="421" w:type="pct"/>
                  <w:tcBorders>
                    <w:tl2br w:val="nil"/>
                    <w:tr2bl w:val="nil"/>
                  </w:tcBorders>
                  <w:noWrap w:val="0"/>
                  <w:vAlign w:val="center"/>
                </w:tcPr>
                <w:p w14:paraId="7367FE9D">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w:t>
                  </w:r>
                </w:p>
              </w:tc>
              <w:tc>
                <w:tcPr>
                  <w:tcW w:w="301" w:type="pct"/>
                  <w:tcBorders>
                    <w:tl2br w:val="nil"/>
                    <w:tr2bl w:val="nil"/>
                  </w:tcBorders>
                  <w:noWrap w:val="0"/>
                  <w:vAlign w:val="center"/>
                </w:tcPr>
                <w:p w14:paraId="0ADC1B8E">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450</w:t>
                  </w:r>
                </w:p>
              </w:tc>
              <w:tc>
                <w:tcPr>
                  <w:tcW w:w="441" w:type="pct"/>
                  <w:tcBorders>
                    <w:tl2br w:val="nil"/>
                    <w:tr2bl w:val="nil"/>
                  </w:tcBorders>
                  <w:noWrap w:val="0"/>
                  <w:vAlign w:val="center"/>
                </w:tcPr>
                <w:p w14:paraId="1F0D941D">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600</w:t>
                  </w:r>
                </w:p>
              </w:tc>
              <w:tc>
                <w:tcPr>
                  <w:tcW w:w="486" w:type="pct"/>
                  <w:tcBorders>
                    <w:tl2br w:val="nil"/>
                    <w:tr2bl w:val="nil"/>
                  </w:tcBorders>
                  <w:noWrap w:val="0"/>
                  <w:vAlign w:val="center"/>
                </w:tcPr>
                <w:p w14:paraId="4869C06F">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3"/>
                      <w:sz w:val="21"/>
                      <w:szCs w:val="21"/>
                      <w:highlight w:val="none"/>
                      <w:lang w:val="en-US" w:eastAsia="zh-CN"/>
                    </w:rPr>
                  </w:pPr>
                  <w:r>
                    <w:rPr>
                      <w:rFonts w:hint="default" w:ascii="Times New Roman" w:hAnsi="Times New Roman" w:eastAsia="宋体" w:cs="Times New Roman"/>
                      <w:spacing w:val="-3"/>
                      <w:sz w:val="21"/>
                      <w:szCs w:val="21"/>
                      <w:highlight w:val="none"/>
                      <w:lang w:val="en-US" w:eastAsia="zh-CN"/>
                    </w:rPr>
                    <w:t>90</w:t>
                  </w:r>
                </w:p>
              </w:tc>
              <w:tc>
                <w:tcPr>
                  <w:tcW w:w="522" w:type="pct"/>
                  <w:vMerge w:val="continue"/>
                  <w:tcBorders>
                    <w:tl2br w:val="nil"/>
                    <w:tr2bl w:val="nil"/>
                  </w:tcBorders>
                  <w:noWrap w:val="0"/>
                  <w:vAlign w:val="center"/>
                </w:tcPr>
                <w:p w14:paraId="5811AA6B">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377" w:type="pct"/>
                  <w:vMerge w:val="continue"/>
                  <w:tcBorders>
                    <w:tl2br w:val="nil"/>
                    <w:tr2bl w:val="nil"/>
                  </w:tcBorders>
                  <w:noWrap w:val="0"/>
                  <w:vAlign w:val="center"/>
                </w:tcPr>
                <w:p w14:paraId="594603E1">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371" w:type="pct"/>
                  <w:vMerge w:val="continue"/>
                  <w:tcBorders>
                    <w:tl2br w:val="nil"/>
                    <w:tr2bl w:val="nil"/>
                  </w:tcBorders>
                  <w:noWrap w:val="0"/>
                  <w:vAlign w:val="center"/>
                </w:tcPr>
                <w:p w14:paraId="79AB9F91">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421" w:type="pct"/>
                  <w:vMerge w:val="continue"/>
                  <w:tcBorders>
                    <w:tl2br w:val="nil"/>
                    <w:tr2bl w:val="nil"/>
                  </w:tcBorders>
                  <w:noWrap w:val="0"/>
                  <w:vAlign w:val="center"/>
                </w:tcPr>
                <w:p w14:paraId="3A79BF9A">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r>
            <w:tr w14:paraId="0C5983B5">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239" w:type="pct"/>
                  <w:tcBorders>
                    <w:tl2br w:val="nil"/>
                    <w:tr2bl w:val="nil"/>
                  </w:tcBorders>
                  <w:noWrap w:val="0"/>
                  <w:vAlign w:val="center"/>
                </w:tcPr>
                <w:p w14:paraId="3E01FDAA">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220-HD21S-</w:t>
                  </w:r>
                  <w:r>
                    <w:rPr>
                      <w:rFonts w:hint="eastAsia" w:ascii="Times New Roman" w:hAnsi="Times New Roman" w:cs="Times New Roman"/>
                      <w:sz w:val="21"/>
                      <w:szCs w:val="21"/>
                      <w:lang w:val="en-US" w:eastAsia="zh-CN"/>
                    </w:rPr>
                    <w:t>SDJ</w:t>
                  </w:r>
                </w:p>
              </w:tc>
              <w:tc>
                <w:tcPr>
                  <w:tcW w:w="416" w:type="pct"/>
                  <w:tcBorders>
                    <w:tl2br w:val="nil"/>
                    <w:tr2bl w:val="nil"/>
                  </w:tcBorders>
                  <w:noWrap w:val="0"/>
                  <w:vAlign w:val="center"/>
                </w:tcPr>
                <w:p w14:paraId="24CDD602">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18～30</w:t>
                  </w:r>
                </w:p>
              </w:tc>
              <w:tc>
                <w:tcPr>
                  <w:tcW w:w="421" w:type="pct"/>
                  <w:tcBorders>
                    <w:tl2br w:val="nil"/>
                    <w:tr2bl w:val="nil"/>
                  </w:tcBorders>
                  <w:noWrap w:val="0"/>
                  <w:vAlign w:val="center"/>
                </w:tcPr>
                <w:p w14:paraId="23B4E292">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301" w:type="pct"/>
                  <w:tcBorders>
                    <w:tl2br w:val="nil"/>
                    <w:tr2bl w:val="nil"/>
                  </w:tcBorders>
                  <w:noWrap w:val="0"/>
                  <w:vAlign w:val="center"/>
                </w:tcPr>
                <w:p w14:paraId="75873984">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450</w:t>
                  </w:r>
                </w:p>
              </w:tc>
              <w:tc>
                <w:tcPr>
                  <w:tcW w:w="441" w:type="pct"/>
                  <w:tcBorders>
                    <w:tl2br w:val="nil"/>
                    <w:tr2bl w:val="nil"/>
                  </w:tcBorders>
                  <w:noWrap w:val="0"/>
                  <w:vAlign w:val="center"/>
                </w:tcPr>
                <w:p w14:paraId="619CBD9C">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600</w:t>
                  </w:r>
                </w:p>
              </w:tc>
              <w:tc>
                <w:tcPr>
                  <w:tcW w:w="486" w:type="pct"/>
                  <w:tcBorders>
                    <w:tl2br w:val="nil"/>
                    <w:tr2bl w:val="nil"/>
                  </w:tcBorders>
                  <w:noWrap w:val="0"/>
                  <w:vAlign w:val="center"/>
                </w:tcPr>
                <w:p w14:paraId="4A4AF93E">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3"/>
                      <w:sz w:val="21"/>
                      <w:szCs w:val="21"/>
                      <w:highlight w:val="none"/>
                      <w:lang w:val="en-US" w:eastAsia="zh-CN"/>
                    </w:rPr>
                  </w:pPr>
                  <w:r>
                    <w:rPr>
                      <w:rFonts w:hint="default" w:ascii="Times New Roman" w:hAnsi="Times New Roman" w:eastAsia="宋体" w:cs="Times New Roman"/>
                      <w:spacing w:val="-3"/>
                      <w:sz w:val="21"/>
                      <w:szCs w:val="21"/>
                      <w:highlight w:val="none"/>
                      <w:lang w:val="en-US" w:eastAsia="zh-CN"/>
                    </w:rPr>
                    <w:t>90</w:t>
                  </w:r>
                </w:p>
              </w:tc>
              <w:tc>
                <w:tcPr>
                  <w:tcW w:w="522" w:type="pct"/>
                  <w:vMerge w:val="continue"/>
                  <w:tcBorders>
                    <w:tl2br w:val="nil"/>
                    <w:tr2bl w:val="nil"/>
                  </w:tcBorders>
                  <w:noWrap w:val="0"/>
                  <w:vAlign w:val="center"/>
                </w:tcPr>
                <w:p w14:paraId="2E4B09FE">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377" w:type="pct"/>
                  <w:vMerge w:val="continue"/>
                  <w:tcBorders>
                    <w:tl2br w:val="nil"/>
                    <w:tr2bl w:val="nil"/>
                  </w:tcBorders>
                  <w:noWrap w:val="0"/>
                  <w:vAlign w:val="center"/>
                </w:tcPr>
                <w:p w14:paraId="0916828E">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371" w:type="pct"/>
                  <w:vMerge w:val="continue"/>
                  <w:tcBorders>
                    <w:tl2br w:val="nil"/>
                    <w:tr2bl w:val="nil"/>
                  </w:tcBorders>
                  <w:noWrap w:val="0"/>
                  <w:vAlign w:val="center"/>
                </w:tcPr>
                <w:p w14:paraId="655476F5">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c>
                <w:tcPr>
                  <w:tcW w:w="421" w:type="pct"/>
                  <w:vMerge w:val="continue"/>
                  <w:tcBorders>
                    <w:tl2br w:val="nil"/>
                    <w:tr2bl w:val="nil"/>
                  </w:tcBorders>
                  <w:noWrap w:val="0"/>
                  <w:vAlign w:val="center"/>
                </w:tcPr>
                <w:p w14:paraId="2CFAFAD8">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cs="Times New Roman"/>
                      <w:sz w:val="21"/>
                      <w:szCs w:val="21"/>
                      <w:highlight w:val="yellow"/>
                    </w:rPr>
                  </w:pPr>
                </w:p>
              </w:tc>
            </w:tr>
          </w:tbl>
          <w:p w14:paraId="5D62A277">
            <w:pPr>
              <w:keepNext w:val="0"/>
              <w:keepLines/>
              <w:pageBreakBefore w:val="0"/>
              <w:widowControl w:val="0"/>
              <w:kinsoku/>
              <w:wordWrap/>
              <w:overflowPunct/>
              <w:topLinePunct w:val="0"/>
              <w:autoSpaceDE/>
              <w:autoSpaceDN/>
              <w:bidi w:val="0"/>
              <w:adjustRightInd w:val="0"/>
              <w:snapToGrid w:val="0"/>
              <w:spacing w:beforeAutospacing="0" w:afterAutospacing="0" w:line="360" w:lineRule="auto"/>
              <w:ind w:right="0" w:firstLine="482" w:firstLineChars="200"/>
              <w:jc w:val="center"/>
              <w:textAlignment w:val="auto"/>
              <w:rPr>
                <w:rFonts w:hint="default" w:ascii="Times New Roman" w:hAnsi="Times New Roman" w:eastAsia="宋体" w:cs="Times New Roman"/>
                <w:b/>
                <w:bCs/>
                <w:color w:val="auto"/>
                <w:spacing w:val="0"/>
                <w:w w:val="100"/>
                <w:sz w:val="24"/>
                <w:szCs w:val="24"/>
                <w:highlight w:val="none"/>
                <w:lang w:val="en-US" w:eastAsia="zh-CN"/>
              </w:rPr>
            </w:pPr>
            <w:r>
              <w:rPr>
                <w:rFonts w:hint="eastAsia" w:ascii="Times New Roman" w:hAnsi="Times New Roman" w:eastAsia="宋体" w:cs="Times New Roman"/>
                <w:b/>
                <w:bCs/>
                <w:color w:val="auto"/>
                <w:spacing w:val="0"/>
                <w:w w:val="100"/>
                <w:sz w:val="24"/>
                <w:szCs w:val="24"/>
                <w:highlight w:val="none"/>
                <w:lang w:val="en-US" w:eastAsia="zh-CN"/>
              </w:rPr>
              <w:t>表2-5本项目架空线路杆塔一览表</w:t>
            </w:r>
          </w:p>
          <w:tbl>
            <w:tblPr>
              <w:tblStyle w:val="25"/>
              <w:tblpPr w:leftFromText="180" w:rightFromText="180" w:vertAnchor="text" w:horzAnchor="page" w:tblpXSpec="center" w:tblpY="78"/>
              <w:tblOverlap w:val="never"/>
              <w:tblW w:w="4930"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57"/>
              <w:gridCol w:w="918"/>
              <w:gridCol w:w="6533"/>
            </w:tblGrid>
            <w:tr w14:paraId="68E77A84">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672" w:type="pct"/>
                  <w:tcBorders>
                    <w:tl2br w:val="nil"/>
                    <w:tr2bl w:val="nil"/>
                  </w:tcBorders>
                  <w:noWrap w:val="0"/>
                  <w:vAlign w:val="center"/>
                </w:tcPr>
                <w:p w14:paraId="054423A5">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lang w:val="en-US" w:eastAsia="zh-CN"/>
                    </w:rPr>
                    <w:t>杆</w:t>
                  </w:r>
                  <w:r>
                    <w:rPr>
                      <w:rFonts w:hint="default" w:ascii="Times New Roman" w:hAnsi="Times New Roman" w:eastAsia="宋体" w:cs="Times New Roman"/>
                      <w:spacing w:val="-2"/>
                      <w:sz w:val="21"/>
                      <w:szCs w:val="21"/>
                      <w:highlight w:val="none"/>
                    </w:rPr>
                    <w:t>塔</w:t>
                  </w:r>
                  <w:r>
                    <w:rPr>
                      <w:rFonts w:hint="default" w:ascii="Times New Roman" w:hAnsi="Times New Roman" w:eastAsia="宋体" w:cs="Times New Roman"/>
                      <w:spacing w:val="-2"/>
                      <w:sz w:val="21"/>
                      <w:szCs w:val="21"/>
                      <w:highlight w:val="none"/>
                      <w:lang w:val="en-US" w:eastAsia="zh-CN"/>
                    </w:rPr>
                    <w:t>类</w:t>
                  </w:r>
                  <w:r>
                    <w:rPr>
                      <w:rFonts w:hint="default" w:ascii="Times New Roman" w:hAnsi="Times New Roman" w:eastAsia="宋体" w:cs="Times New Roman"/>
                      <w:spacing w:val="-1"/>
                      <w:sz w:val="21"/>
                      <w:szCs w:val="21"/>
                      <w:highlight w:val="none"/>
                    </w:rPr>
                    <w:t>型</w:t>
                  </w:r>
                </w:p>
              </w:tc>
              <w:tc>
                <w:tcPr>
                  <w:tcW w:w="533" w:type="pct"/>
                  <w:tcBorders>
                    <w:tl2br w:val="nil"/>
                    <w:tr2bl w:val="nil"/>
                  </w:tcBorders>
                  <w:noWrap w:val="0"/>
                  <w:vAlign w:val="center"/>
                </w:tcPr>
                <w:p w14:paraId="28FD6B8B">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5"/>
                      <w:sz w:val="21"/>
                      <w:szCs w:val="21"/>
                      <w:highlight w:val="none"/>
                      <w:lang w:val="en-US" w:eastAsia="zh-CN"/>
                    </w:rPr>
                  </w:pPr>
                  <w:r>
                    <w:rPr>
                      <w:rFonts w:hint="default" w:ascii="Times New Roman" w:hAnsi="Times New Roman" w:eastAsia="宋体" w:cs="Times New Roman"/>
                      <w:spacing w:val="-5"/>
                      <w:sz w:val="21"/>
                      <w:szCs w:val="21"/>
                      <w:highlight w:val="none"/>
                      <w:lang w:val="en-US" w:eastAsia="zh-CN"/>
                    </w:rPr>
                    <w:t>数量</w:t>
                  </w:r>
                </w:p>
              </w:tc>
              <w:tc>
                <w:tcPr>
                  <w:tcW w:w="3794" w:type="pct"/>
                  <w:tcBorders>
                    <w:tl2br w:val="nil"/>
                    <w:tr2bl w:val="nil"/>
                  </w:tcBorders>
                  <w:noWrap w:val="0"/>
                  <w:vAlign w:val="center"/>
                </w:tcPr>
                <w:p w14:paraId="3C90399C">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5"/>
                      <w:sz w:val="21"/>
                      <w:szCs w:val="21"/>
                      <w:highlight w:val="none"/>
                      <w:lang w:val="en-US" w:eastAsia="zh-CN"/>
                    </w:rPr>
                  </w:pPr>
                  <w:r>
                    <w:rPr>
                      <w:rFonts w:hint="default" w:ascii="Times New Roman" w:hAnsi="Times New Roman" w:eastAsia="宋体" w:cs="Times New Roman"/>
                      <w:spacing w:val="-5"/>
                      <w:sz w:val="21"/>
                      <w:szCs w:val="21"/>
                      <w:highlight w:val="none"/>
                      <w:lang w:val="en-US" w:eastAsia="zh-CN"/>
                    </w:rPr>
                    <w:t>备注</w:t>
                  </w:r>
                </w:p>
              </w:tc>
            </w:tr>
            <w:tr w14:paraId="1609B333">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9" w:hRule="atLeast"/>
                <w:jc w:val="center"/>
              </w:trPr>
              <w:tc>
                <w:tcPr>
                  <w:tcW w:w="672" w:type="pct"/>
                  <w:tcBorders>
                    <w:tl2br w:val="nil"/>
                    <w:tr2bl w:val="nil"/>
                  </w:tcBorders>
                  <w:noWrap w:val="0"/>
                  <w:vAlign w:val="center"/>
                </w:tcPr>
                <w:p w14:paraId="31464C3F">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耐张塔</w:t>
                  </w:r>
                </w:p>
              </w:tc>
              <w:tc>
                <w:tcPr>
                  <w:tcW w:w="533" w:type="pct"/>
                  <w:tcBorders>
                    <w:tl2br w:val="nil"/>
                    <w:tr2bl w:val="nil"/>
                  </w:tcBorders>
                  <w:noWrap w:val="0"/>
                  <w:vAlign w:val="center"/>
                </w:tcPr>
                <w:p w14:paraId="2617E42D">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33</w:t>
                  </w:r>
                </w:p>
              </w:tc>
              <w:tc>
                <w:tcPr>
                  <w:tcW w:w="3794" w:type="pct"/>
                  <w:tcBorders>
                    <w:tl2br w:val="nil"/>
                    <w:tr2bl w:val="nil"/>
                  </w:tcBorders>
                  <w:noWrap w:val="0"/>
                  <w:vAlign w:val="center"/>
                </w:tcPr>
                <w:p w14:paraId="6EECB2D1">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220-HD22DH-ZMC、220-HD22DH-ZMC3、220-HD22DH-ZMC4、220-HD22DH-ZMCK</w:t>
                  </w:r>
                </w:p>
              </w:tc>
            </w:tr>
            <w:tr w14:paraId="29BBB20B">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72" w:type="pct"/>
                  <w:tcBorders>
                    <w:tl2br w:val="nil"/>
                    <w:tr2bl w:val="nil"/>
                  </w:tcBorders>
                  <w:noWrap w:val="0"/>
                  <w:vAlign w:val="center"/>
                </w:tcPr>
                <w:p w14:paraId="09F6B0E5">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直线塔</w:t>
                  </w:r>
                </w:p>
              </w:tc>
              <w:tc>
                <w:tcPr>
                  <w:tcW w:w="533" w:type="pct"/>
                  <w:tcBorders>
                    <w:tl2br w:val="nil"/>
                    <w:tr2bl w:val="nil"/>
                  </w:tcBorders>
                  <w:noWrap w:val="0"/>
                  <w:vAlign w:val="center"/>
                </w:tcPr>
                <w:p w14:paraId="0AEF0E61">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62</w:t>
                  </w:r>
                </w:p>
              </w:tc>
              <w:tc>
                <w:tcPr>
                  <w:tcW w:w="3794" w:type="pct"/>
                  <w:tcBorders>
                    <w:tl2br w:val="nil"/>
                    <w:tr2bl w:val="nil"/>
                  </w:tcBorders>
                  <w:noWrap w:val="0"/>
                  <w:vAlign w:val="center"/>
                </w:tcPr>
                <w:p w14:paraId="32B2CA77">
                  <w:pPr>
                    <w:keepNext w:val="0"/>
                    <w:keepLines/>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rPr>
                    <w:t>220- HE22D -DJC</w:t>
                  </w:r>
                  <w:r>
                    <w:rPr>
                      <w:rFonts w:hint="default" w:ascii="Times New Roman" w:hAnsi="Times New Roman" w:eastAsia="宋体" w:cs="Times New Roman"/>
                      <w:sz w:val="21"/>
                      <w:szCs w:val="21"/>
                      <w:highlight w:val="none"/>
                      <w:lang w:val="en-US" w:eastAsia="zh-CN"/>
                    </w:rPr>
                    <w:t>、</w:t>
                  </w:r>
                  <w:r>
                    <w:rPr>
                      <w:rFonts w:hint="default" w:ascii="Times New Roman" w:hAnsi="Times New Roman" w:cs="Times New Roman"/>
                      <w:sz w:val="21"/>
                      <w:szCs w:val="21"/>
                    </w:rPr>
                    <w:t>220- HE22D -JC1</w:t>
                  </w:r>
                  <w:r>
                    <w:rPr>
                      <w:rFonts w:hint="default" w:ascii="Times New Roman" w:hAnsi="Times New Roman" w:eastAsia="宋体" w:cs="Times New Roman"/>
                      <w:sz w:val="21"/>
                      <w:szCs w:val="21"/>
                      <w:highlight w:val="none"/>
                      <w:lang w:val="en-US" w:eastAsia="zh-CN"/>
                    </w:rPr>
                    <w:t>、</w:t>
                  </w:r>
                  <w:r>
                    <w:rPr>
                      <w:rFonts w:hint="default" w:ascii="Times New Roman" w:hAnsi="Times New Roman" w:cs="Times New Roman"/>
                      <w:sz w:val="21"/>
                      <w:szCs w:val="21"/>
                    </w:rPr>
                    <w:t>220- HE22D -JC</w:t>
                  </w: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highlight w:val="none"/>
                      <w:lang w:val="en-US" w:eastAsia="zh-CN"/>
                    </w:rPr>
                    <w:t>、</w:t>
                  </w:r>
                  <w:r>
                    <w:rPr>
                      <w:rFonts w:hint="default" w:ascii="Times New Roman" w:hAnsi="Times New Roman" w:cs="Times New Roman"/>
                      <w:sz w:val="21"/>
                      <w:szCs w:val="21"/>
                    </w:rPr>
                    <w:t>220- HE22D -JC</w:t>
                  </w:r>
                  <w:r>
                    <w:rPr>
                      <w:rFonts w:hint="default" w:ascii="Times New Roman" w:hAnsi="Times New Roman" w:cs="Times New Roman"/>
                      <w:sz w:val="21"/>
                      <w:szCs w:val="21"/>
                      <w:lang w:val="en-US" w:eastAsia="zh-CN"/>
                    </w:rPr>
                    <w:t>3</w:t>
                  </w:r>
                  <w:r>
                    <w:rPr>
                      <w:rFonts w:hint="default" w:ascii="Times New Roman" w:hAnsi="Times New Roman" w:eastAsia="宋体" w:cs="Times New Roman"/>
                      <w:sz w:val="21"/>
                      <w:szCs w:val="21"/>
                      <w:highlight w:val="none"/>
                      <w:lang w:val="en-US" w:eastAsia="zh-CN"/>
                    </w:rPr>
                    <w:t>、</w:t>
                  </w:r>
                  <w:r>
                    <w:rPr>
                      <w:rFonts w:hint="default" w:ascii="Times New Roman" w:hAnsi="Times New Roman" w:cs="Times New Roman"/>
                      <w:sz w:val="21"/>
                      <w:szCs w:val="21"/>
                    </w:rPr>
                    <w:t>220- HE22D -JC</w:t>
                  </w:r>
                  <w:r>
                    <w:rPr>
                      <w:rFonts w:hint="default" w:ascii="Times New Roman" w:hAnsi="Times New Roman" w:cs="Times New Roman"/>
                      <w:sz w:val="21"/>
                      <w:szCs w:val="21"/>
                      <w:lang w:val="en-US" w:eastAsia="zh-CN"/>
                    </w:rPr>
                    <w:t>4</w:t>
                  </w:r>
                  <w:r>
                    <w:rPr>
                      <w:rFonts w:hint="default" w:ascii="Times New Roman" w:hAnsi="Times New Roman" w:eastAsia="宋体" w:cs="Times New Roman"/>
                      <w:sz w:val="21"/>
                      <w:szCs w:val="21"/>
                      <w:highlight w:val="none"/>
                      <w:lang w:val="en-US" w:eastAsia="zh-CN"/>
                    </w:rPr>
                    <w:t>、</w:t>
                  </w:r>
                  <w:r>
                    <w:rPr>
                      <w:rFonts w:hint="default" w:ascii="Times New Roman" w:hAnsi="Times New Roman" w:cs="Times New Roman"/>
                      <w:sz w:val="21"/>
                      <w:szCs w:val="21"/>
                    </w:rPr>
                    <w:t>220-HD21S-DJC</w:t>
                  </w:r>
                </w:p>
              </w:tc>
            </w:tr>
          </w:tbl>
          <w:p w14:paraId="26DB38F9">
            <w:pPr>
              <w:keepNext w:val="0"/>
              <w:keepLines/>
              <w:pageBreakBefore w:val="0"/>
              <w:widowControl w:val="0"/>
              <w:numPr>
                <w:ilvl w:val="0"/>
                <w:numId w:val="8"/>
              </w:numPr>
              <w:kinsoku/>
              <w:wordWrap/>
              <w:overflowPunct/>
              <w:topLinePunct w:val="0"/>
              <w:bidi w:val="0"/>
              <w:adjustRightInd w:val="0"/>
              <w:snapToGrid w:val="0"/>
              <w:spacing w:line="360" w:lineRule="auto"/>
              <w:ind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线路交叉跨（钻）越</w:t>
            </w:r>
            <w:r>
              <w:rPr>
                <w:rFonts w:hint="eastAsia" w:ascii="Times New Roman" w:hAnsi="Times New Roman" w:eastAsia="宋体" w:cs="Times New Roman"/>
                <w:b/>
                <w:bCs/>
                <w:color w:val="auto"/>
                <w:kern w:val="2"/>
                <w:sz w:val="24"/>
                <w:szCs w:val="24"/>
                <w:highlight w:val="none"/>
                <w:lang w:val="en-US" w:eastAsia="zh-CN" w:bidi="ar-SA"/>
              </w:rPr>
              <w:t>情况</w:t>
            </w:r>
          </w:p>
          <w:p w14:paraId="6A12A4D2">
            <w:pPr>
              <w:pStyle w:val="27"/>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本线路工程主要交叉跨越公路、电力线、通信线等，本工程线路交叉跨越距离满足《</w:t>
            </w:r>
            <w:r>
              <w:rPr>
                <w:rFonts w:hint="default" w:ascii="Times New Roman" w:hAnsi="Times New Roman" w:eastAsia="宋体" w:cs="Times New Roman"/>
                <w:color w:val="auto"/>
                <w:kern w:val="21"/>
                <w:sz w:val="24"/>
                <w:szCs w:val="24"/>
                <w:highlight w:val="none"/>
                <w:lang w:val="en-US" w:eastAsia="zh-CN"/>
              </w:rPr>
              <w:t>110kV-750kV</w:t>
            </w:r>
            <w:r>
              <w:rPr>
                <w:rFonts w:hint="eastAsia" w:ascii="Times New Roman" w:hAnsi="Times New Roman" w:eastAsia="宋体" w:cs="Times New Roman"/>
                <w:color w:val="auto"/>
                <w:kern w:val="21"/>
                <w:sz w:val="24"/>
                <w:szCs w:val="24"/>
                <w:highlight w:val="none"/>
                <w:lang w:val="en-US" w:eastAsia="zh-CN"/>
              </w:rPr>
              <w:t>架空输电线路设计规范》（</w:t>
            </w:r>
            <w:r>
              <w:rPr>
                <w:rFonts w:hint="default" w:ascii="Times New Roman" w:hAnsi="Times New Roman" w:eastAsia="宋体" w:cs="Times New Roman"/>
                <w:color w:val="auto"/>
                <w:kern w:val="21"/>
                <w:sz w:val="24"/>
                <w:szCs w:val="24"/>
                <w:highlight w:val="none"/>
                <w:lang w:val="en-US" w:eastAsia="zh-CN"/>
              </w:rPr>
              <w:t>GB50545-2010</w:t>
            </w:r>
            <w:r>
              <w:rPr>
                <w:rFonts w:hint="eastAsia" w:ascii="Times New Roman" w:hAnsi="Times New Roman" w:eastAsia="宋体" w:cs="Times New Roman"/>
                <w:color w:val="auto"/>
                <w:kern w:val="21"/>
                <w:sz w:val="24"/>
                <w:szCs w:val="24"/>
                <w:highlight w:val="none"/>
                <w:lang w:val="en-US" w:eastAsia="zh-CN"/>
              </w:rPr>
              <w:t>）相关设计要求。</w:t>
            </w:r>
          </w:p>
          <w:p w14:paraId="6DE62250">
            <w:pPr>
              <w:pStyle w:val="2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b/>
                <w:bCs/>
                <w:color w:val="auto"/>
                <w:kern w:val="21"/>
                <w:sz w:val="24"/>
                <w:szCs w:val="24"/>
                <w:highlight w:val="none"/>
                <w:lang w:val="en-US" w:eastAsia="zh-CN"/>
              </w:rPr>
              <w:t>表</w:t>
            </w:r>
            <w:r>
              <w:rPr>
                <w:rFonts w:hint="eastAsia" w:ascii="Times New Roman" w:hAnsi="Times New Roman" w:eastAsia="宋体" w:cs="Times New Roman"/>
                <w:b/>
                <w:bCs/>
                <w:color w:val="auto"/>
                <w:kern w:val="21"/>
                <w:sz w:val="24"/>
                <w:szCs w:val="24"/>
                <w:highlight w:val="none"/>
                <w:lang w:val="en-US" w:eastAsia="zh-CN"/>
              </w:rPr>
              <w:t>2-6</w:t>
            </w:r>
            <w:r>
              <w:rPr>
                <w:rFonts w:hint="default" w:ascii="Times New Roman" w:hAnsi="Times New Roman" w:eastAsia="宋体" w:cs="Times New Roman"/>
                <w:b/>
                <w:bCs/>
                <w:color w:val="auto"/>
                <w:kern w:val="21"/>
                <w:sz w:val="24"/>
                <w:szCs w:val="24"/>
                <w:highlight w:val="none"/>
                <w:lang w:val="en-US" w:eastAsia="zh-CN"/>
              </w:rPr>
              <w:t>本工程主要跨越表</w:t>
            </w:r>
          </w:p>
          <w:tbl>
            <w:tblPr>
              <w:tblStyle w:val="19"/>
              <w:tblpPr w:leftFromText="180" w:rightFromText="180" w:vertAnchor="text" w:horzAnchor="page" w:tblpX="90" w:tblpY="336"/>
              <w:tblOverlap w:val="never"/>
              <w:tblW w:w="4918" w:type="pct"/>
              <w:tblInd w:w="5" w:type="dxa"/>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25"/>
              <w:gridCol w:w="2388"/>
              <w:gridCol w:w="1090"/>
              <w:gridCol w:w="3684"/>
            </w:tblGrid>
            <w:tr w14:paraId="79E7F92A">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4" w:hRule="exact"/>
              </w:trPr>
              <w:tc>
                <w:tcPr>
                  <w:tcW w:w="2854" w:type="pct"/>
                  <w:gridSpan w:val="3"/>
                  <w:tcBorders>
                    <w:tl2br w:val="nil"/>
                    <w:tr2bl w:val="nil"/>
                  </w:tcBorders>
                  <w:noWrap w:val="0"/>
                  <w:tcMar>
                    <w:left w:w="0" w:type="dxa"/>
                    <w:right w:w="0" w:type="dxa"/>
                  </w:tcMar>
                  <w:vAlign w:val="center"/>
                </w:tcPr>
                <w:p w14:paraId="34C194B3">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交叉跨越</w:t>
                  </w:r>
                </w:p>
              </w:tc>
              <w:tc>
                <w:tcPr>
                  <w:tcW w:w="2145" w:type="pct"/>
                  <w:tcBorders>
                    <w:tl2br w:val="nil"/>
                    <w:tr2bl w:val="nil"/>
                  </w:tcBorders>
                  <w:noWrap w:val="0"/>
                  <w:tcMar>
                    <w:left w:w="0" w:type="dxa"/>
                    <w:right w:w="0" w:type="dxa"/>
                  </w:tcMar>
                  <w:vAlign w:val="center"/>
                </w:tcPr>
                <w:p w14:paraId="2B272FAB">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备注</w:t>
                  </w:r>
                </w:p>
              </w:tc>
            </w:tr>
            <w:tr w14:paraId="01A3DE07">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exact"/>
              </w:trPr>
              <w:tc>
                <w:tcPr>
                  <w:tcW w:w="829" w:type="pct"/>
                  <w:tcBorders>
                    <w:tl2br w:val="nil"/>
                    <w:tr2bl w:val="nil"/>
                  </w:tcBorders>
                  <w:noWrap w:val="0"/>
                  <w:tcMar>
                    <w:left w:w="0" w:type="dxa"/>
                    <w:right w:w="0" w:type="dxa"/>
                  </w:tcMar>
                  <w:vAlign w:val="center"/>
                </w:tcPr>
                <w:p w14:paraId="0561339C">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类型</w:t>
                  </w:r>
                </w:p>
              </w:tc>
              <w:tc>
                <w:tcPr>
                  <w:tcW w:w="1390" w:type="pct"/>
                  <w:tcBorders>
                    <w:tl2br w:val="nil"/>
                    <w:tr2bl w:val="nil"/>
                  </w:tcBorders>
                  <w:noWrap w:val="0"/>
                  <w:tcMar>
                    <w:left w:w="0" w:type="dxa"/>
                    <w:right w:w="0" w:type="dxa"/>
                  </w:tcMar>
                  <w:vAlign w:val="center"/>
                </w:tcPr>
                <w:p w14:paraId="399F0C58">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跨越物名称</w:t>
                  </w:r>
                </w:p>
              </w:tc>
              <w:tc>
                <w:tcPr>
                  <w:tcW w:w="634" w:type="pct"/>
                  <w:tcBorders>
                    <w:tl2br w:val="nil"/>
                    <w:tr2bl w:val="nil"/>
                  </w:tcBorders>
                  <w:noWrap w:val="0"/>
                  <w:tcMar>
                    <w:left w:w="0" w:type="dxa"/>
                    <w:right w:w="0" w:type="dxa"/>
                  </w:tcMar>
                  <w:vAlign w:val="center"/>
                </w:tcPr>
                <w:p w14:paraId="752E1470">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次数</w:t>
                  </w:r>
                </w:p>
              </w:tc>
              <w:tc>
                <w:tcPr>
                  <w:tcW w:w="2145" w:type="pct"/>
                  <w:tcBorders>
                    <w:tl2br w:val="nil"/>
                    <w:tr2bl w:val="nil"/>
                  </w:tcBorders>
                  <w:noWrap w:val="0"/>
                  <w:tcMar>
                    <w:left w:w="0" w:type="dxa"/>
                    <w:right w:w="0" w:type="dxa"/>
                  </w:tcMar>
                  <w:vAlign w:val="center"/>
                </w:tcPr>
                <w:p w14:paraId="77DBAEF3">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14:paraId="21FA6250">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6" w:hRule="exact"/>
              </w:trPr>
              <w:tc>
                <w:tcPr>
                  <w:tcW w:w="829" w:type="pct"/>
                  <w:vMerge w:val="restart"/>
                  <w:tcBorders>
                    <w:tl2br w:val="nil"/>
                    <w:tr2bl w:val="nil"/>
                  </w:tcBorders>
                  <w:noWrap w:val="0"/>
                  <w:tcMar>
                    <w:left w:w="0" w:type="dxa"/>
                    <w:right w:w="0" w:type="dxa"/>
                  </w:tcMar>
                  <w:vAlign w:val="center"/>
                </w:tcPr>
                <w:p w14:paraId="6100DA12">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道路</w:t>
                  </w:r>
                </w:p>
              </w:tc>
              <w:tc>
                <w:tcPr>
                  <w:tcW w:w="1390" w:type="pct"/>
                  <w:tcBorders>
                    <w:tl2br w:val="nil"/>
                    <w:tr2bl w:val="nil"/>
                  </w:tcBorders>
                  <w:noWrap w:val="0"/>
                  <w:tcMar>
                    <w:left w:w="0" w:type="dxa"/>
                    <w:right w:w="0" w:type="dxa"/>
                  </w:tcMar>
                  <w:vAlign w:val="center"/>
                </w:tcPr>
                <w:p w14:paraId="3D1AD836">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规划高速公路</w:t>
                  </w:r>
                </w:p>
              </w:tc>
              <w:tc>
                <w:tcPr>
                  <w:tcW w:w="634" w:type="pct"/>
                  <w:tcBorders>
                    <w:tl2br w:val="nil"/>
                    <w:tr2bl w:val="nil"/>
                  </w:tcBorders>
                  <w:noWrap w:val="0"/>
                  <w:tcMar>
                    <w:left w:w="0" w:type="dxa"/>
                    <w:right w:w="0" w:type="dxa"/>
                  </w:tcMar>
                  <w:vAlign w:val="center"/>
                </w:tcPr>
                <w:p w14:paraId="21477686">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1</w:t>
                  </w:r>
                </w:p>
              </w:tc>
              <w:tc>
                <w:tcPr>
                  <w:tcW w:w="2145" w:type="pct"/>
                  <w:tcBorders>
                    <w:tl2br w:val="nil"/>
                    <w:tr2bl w:val="nil"/>
                  </w:tcBorders>
                  <w:noWrap w:val="0"/>
                  <w:tcMar>
                    <w:left w:w="0" w:type="dxa"/>
                    <w:right w:w="0" w:type="dxa"/>
                  </w:tcMar>
                  <w:vAlign w:val="center"/>
                </w:tcPr>
                <w:p w14:paraId="79CAAFB4">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克什克腾-承德围场K55+990</w:t>
                  </w:r>
                </w:p>
              </w:tc>
            </w:tr>
            <w:tr w14:paraId="728F317D">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6" w:hRule="exact"/>
              </w:trPr>
              <w:tc>
                <w:tcPr>
                  <w:tcW w:w="829" w:type="pct"/>
                  <w:vMerge w:val="continue"/>
                  <w:tcBorders>
                    <w:tl2br w:val="nil"/>
                    <w:tr2bl w:val="nil"/>
                  </w:tcBorders>
                  <w:noWrap w:val="0"/>
                  <w:vAlign w:val="center"/>
                </w:tcPr>
                <w:p w14:paraId="541B4519">
                  <w:pPr>
                    <w:keepNext w:val="0"/>
                    <w:keepLines/>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cs="Times New Roman"/>
                      <w:sz w:val="21"/>
                      <w:szCs w:val="21"/>
                    </w:rPr>
                  </w:pPr>
                </w:p>
              </w:tc>
              <w:tc>
                <w:tcPr>
                  <w:tcW w:w="1390" w:type="pct"/>
                  <w:tcBorders>
                    <w:tl2br w:val="nil"/>
                    <w:tr2bl w:val="nil"/>
                  </w:tcBorders>
                  <w:noWrap w:val="0"/>
                  <w:tcMar>
                    <w:left w:w="0" w:type="dxa"/>
                    <w:right w:w="0" w:type="dxa"/>
                  </w:tcMar>
                  <w:vAlign w:val="center"/>
                </w:tcPr>
                <w:p w14:paraId="661CEF16">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规划高速公路</w:t>
                  </w:r>
                </w:p>
              </w:tc>
              <w:tc>
                <w:tcPr>
                  <w:tcW w:w="634" w:type="pct"/>
                  <w:tcBorders>
                    <w:tl2br w:val="nil"/>
                    <w:tr2bl w:val="nil"/>
                  </w:tcBorders>
                  <w:noWrap w:val="0"/>
                  <w:tcMar>
                    <w:left w:w="0" w:type="dxa"/>
                    <w:right w:w="0" w:type="dxa"/>
                  </w:tcMar>
                  <w:vAlign w:val="center"/>
                </w:tcPr>
                <w:p w14:paraId="06AF7D6E">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1</w:t>
                  </w:r>
                </w:p>
              </w:tc>
              <w:tc>
                <w:tcPr>
                  <w:tcW w:w="2145" w:type="pct"/>
                  <w:tcBorders>
                    <w:tl2br w:val="nil"/>
                    <w:tr2bl w:val="nil"/>
                  </w:tcBorders>
                  <w:noWrap w:val="0"/>
                  <w:tcMar>
                    <w:left w:w="0" w:type="dxa"/>
                    <w:right w:w="0" w:type="dxa"/>
                  </w:tcMar>
                  <w:vAlign w:val="center"/>
                </w:tcPr>
                <w:p w14:paraId="3A0CF9DA">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克什克腾-承德围场K80+500</w:t>
                  </w:r>
                </w:p>
              </w:tc>
            </w:tr>
            <w:tr w14:paraId="1BD22009">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8" w:hRule="exact"/>
              </w:trPr>
              <w:tc>
                <w:tcPr>
                  <w:tcW w:w="829" w:type="pct"/>
                  <w:vMerge w:val="continue"/>
                  <w:tcBorders>
                    <w:tl2br w:val="nil"/>
                    <w:tr2bl w:val="nil"/>
                  </w:tcBorders>
                  <w:noWrap w:val="0"/>
                  <w:vAlign w:val="center"/>
                </w:tcPr>
                <w:p w14:paraId="0944D29E">
                  <w:pPr>
                    <w:keepNext w:val="0"/>
                    <w:keepLines/>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cs="Times New Roman"/>
                      <w:sz w:val="21"/>
                      <w:szCs w:val="21"/>
                    </w:rPr>
                  </w:pPr>
                </w:p>
              </w:tc>
              <w:tc>
                <w:tcPr>
                  <w:tcW w:w="1390" w:type="pct"/>
                  <w:tcBorders>
                    <w:tl2br w:val="nil"/>
                    <w:tr2bl w:val="nil"/>
                  </w:tcBorders>
                  <w:noWrap w:val="0"/>
                  <w:tcMar>
                    <w:left w:w="0" w:type="dxa"/>
                    <w:right w:w="0" w:type="dxa"/>
                  </w:tcMar>
                  <w:vAlign w:val="center"/>
                </w:tcPr>
                <w:p w14:paraId="054277D7">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国道</w:t>
                  </w:r>
                </w:p>
              </w:tc>
              <w:tc>
                <w:tcPr>
                  <w:tcW w:w="634" w:type="pct"/>
                  <w:tcBorders>
                    <w:tl2br w:val="nil"/>
                    <w:tr2bl w:val="nil"/>
                  </w:tcBorders>
                  <w:noWrap w:val="0"/>
                  <w:tcMar>
                    <w:left w:w="0" w:type="dxa"/>
                    <w:right w:w="0" w:type="dxa"/>
                  </w:tcMar>
                  <w:vAlign w:val="center"/>
                </w:tcPr>
                <w:p w14:paraId="30732CD0">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1</w:t>
                  </w:r>
                </w:p>
              </w:tc>
              <w:tc>
                <w:tcPr>
                  <w:tcW w:w="2145" w:type="pct"/>
                  <w:tcBorders>
                    <w:tl2br w:val="nil"/>
                    <w:tr2bl w:val="nil"/>
                  </w:tcBorders>
                  <w:noWrap w:val="0"/>
                  <w:tcMar>
                    <w:left w:w="0" w:type="dxa"/>
                    <w:right w:w="0" w:type="dxa"/>
                  </w:tcMar>
                  <w:vAlign w:val="center"/>
                </w:tcPr>
                <w:p w14:paraId="2028E955">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G510围察线</w:t>
                  </w:r>
                </w:p>
              </w:tc>
            </w:tr>
            <w:tr w14:paraId="1F105014">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6" w:hRule="exact"/>
              </w:trPr>
              <w:tc>
                <w:tcPr>
                  <w:tcW w:w="829" w:type="pct"/>
                  <w:vMerge w:val="continue"/>
                  <w:tcBorders>
                    <w:tl2br w:val="nil"/>
                    <w:tr2bl w:val="nil"/>
                  </w:tcBorders>
                  <w:noWrap w:val="0"/>
                  <w:vAlign w:val="center"/>
                </w:tcPr>
                <w:p w14:paraId="3C88977A">
                  <w:pPr>
                    <w:keepNext w:val="0"/>
                    <w:keepLines/>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cs="Times New Roman"/>
                      <w:sz w:val="21"/>
                      <w:szCs w:val="21"/>
                    </w:rPr>
                  </w:pPr>
                </w:p>
              </w:tc>
              <w:tc>
                <w:tcPr>
                  <w:tcW w:w="1390" w:type="pct"/>
                  <w:tcBorders>
                    <w:tl2br w:val="nil"/>
                    <w:tr2bl w:val="nil"/>
                  </w:tcBorders>
                  <w:noWrap w:val="0"/>
                  <w:tcMar>
                    <w:left w:w="0" w:type="dxa"/>
                    <w:right w:w="0" w:type="dxa"/>
                  </w:tcMar>
                  <w:vAlign w:val="center"/>
                </w:tcPr>
                <w:p w14:paraId="3F313B30">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沥青路</w:t>
                  </w:r>
                </w:p>
              </w:tc>
              <w:tc>
                <w:tcPr>
                  <w:tcW w:w="634" w:type="pct"/>
                  <w:tcBorders>
                    <w:tl2br w:val="nil"/>
                    <w:tr2bl w:val="nil"/>
                  </w:tcBorders>
                  <w:noWrap w:val="0"/>
                  <w:tcMar>
                    <w:left w:w="0" w:type="dxa"/>
                    <w:right w:w="0" w:type="dxa"/>
                  </w:tcMar>
                  <w:vAlign w:val="center"/>
                </w:tcPr>
                <w:p w14:paraId="30896D15">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1</w:t>
                  </w:r>
                </w:p>
              </w:tc>
              <w:tc>
                <w:tcPr>
                  <w:tcW w:w="2145" w:type="pct"/>
                  <w:tcBorders>
                    <w:tl2br w:val="nil"/>
                    <w:tr2bl w:val="nil"/>
                  </w:tcBorders>
                  <w:noWrap w:val="0"/>
                  <w:tcMar>
                    <w:left w:w="0" w:type="dxa"/>
                    <w:right w:w="0" w:type="dxa"/>
                  </w:tcMar>
                  <w:vAlign w:val="center"/>
                </w:tcPr>
                <w:p w14:paraId="70EA52E8">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14:paraId="7BCBF0BC">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exact"/>
              </w:trPr>
              <w:tc>
                <w:tcPr>
                  <w:tcW w:w="829" w:type="pct"/>
                  <w:vMerge w:val="continue"/>
                  <w:tcBorders>
                    <w:tl2br w:val="nil"/>
                    <w:tr2bl w:val="nil"/>
                  </w:tcBorders>
                  <w:noWrap w:val="0"/>
                  <w:vAlign w:val="center"/>
                </w:tcPr>
                <w:p w14:paraId="78843A0C">
                  <w:pPr>
                    <w:keepNext w:val="0"/>
                    <w:keepLines/>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cs="Times New Roman"/>
                      <w:sz w:val="21"/>
                      <w:szCs w:val="21"/>
                    </w:rPr>
                  </w:pPr>
                </w:p>
              </w:tc>
              <w:tc>
                <w:tcPr>
                  <w:tcW w:w="1390" w:type="pct"/>
                  <w:tcBorders>
                    <w:tl2br w:val="nil"/>
                    <w:tr2bl w:val="nil"/>
                  </w:tcBorders>
                  <w:noWrap w:val="0"/>
                  <w:tcMar>
                    <w:left w:w="0" w:type="dxa"/>
                    <w:right w:w="0" w:type="dxa"/>
                  </w:tcMar>
                  <w:vAlign w:val="center"/>
                </w:tcPr>
                <w:p w14:paraId="3AD22C99">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水泥路</w:t>
                  </w:r>
                </w:p>
              </w:tc>
              <w:tc>
                <w:tcPr>
                  <w:tcW w:w="634" w:type="pct"/>
                  <w:tcBorders>
                    <w:tl2br w:val="nil"/>
                    <w:tr2bl w:val="nil"/>
                  </w:tcBorders>
                  <w:noWrap w:val="0"/>
                  <w:tcMar>
                    <w:left w:w="0" w:type="dxa"/>
                    <w:right w:w="0" w:type="dxa"/>
                  </w:tcMar>
                  <w:vAlign w:val="center"/>
                </w:tcPr>
                <w:p w14:paraId="702DE7EE">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7</w:t>
                  </w:r>
                </w:p>
              </w:tc>
              <w:tc>
                <w:tcPr>
                  <w:tcW w:w="2145" w:type="pct"/>
                  <w:tcBorders>
                    <w:tl2br w:val="nil"/>
                    <w:tr2bl w:val="nil"/>
                  </w:tcBorders>
                  <w:noWrap w:val="0"/>
                  <w:tcMar>
                    <w:left w:w="0" w:type="dxa"/>
                    <w:right w:w="0" w:type="dxa"/>
                  </w:tcMar>
                  <w:vAlign w:val="center"/>
                </w:tcPr>
                <w:p w14:paraId="41811AB6">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14:paraId="6F54B4CB">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4" w:hRule="exact"/>
              </w:trPr>
              <w:tc>
                <w:tcPr>
                  <w:tcW w:w="829" w:type="pct"/>
                  <w:vMerge w:val="continue"/>
                  <w:tcBorders>
                    <w:tl2br w:val="nil"/>
                    <w:tr2bl w:val="nil"/>
                  </w:tcBorders>
                  <w:noWrap w:val="0"/>
                  <w:vAlign w:val="center"/>
                </w:tcPr>
                <w:p w14:paraId="144D406F">
                  <w:pPr>
                    <w:keepNext w:val="0"/>
                    <w:keepLines/>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cs="Times New Roman"/>
                      <w:sz w:val="21"/>
                      <w:szCs w:val="21"/>
                    </w:rPr>
                  </w:pPr>
                </w:p>
              </w:tc>
              <w:tc>
                <w:tcPr>
                  <w:tcW w:w="1390" w:type="pct"/>
                  <w:tcBorders>
                    <w:tl2br w:val="nil"/>
                    <w:tr2bl w:val="nil"/>
                  </w:tcBorders>
                  <w:noWrap w:val="0"/>
                  <w:tcMar>
                    <w:left w:w="0" w:type="dxa"/>
                    <w:right w:w="0" w:type="dxa"/>
                  </w:tcMar>
                  <w:vAlign w:val="center"/>
                </w:tcPr>
                <w:p w14:paraId="558D1044">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土路</w:t>
                  </w:r>
                </w:p>
              </w:tc>
              <w:tc>
                <w:tcPr>
                  <w:tcW w:w="634" w:type="pct"/>
                  <w:tcBorders>
                    <w:tl2br w:val="nil"/>
                    <w:tr2bl w:val="nil"/>
                  </w:tcBorders>
                  <w:noWrap w:val="0"/>
                  <w:tcMar>
                    <w:left w:w="0" w:type="dxa"/>
                    <w:right w:w="0" w:type="dxa"/>
                  </w:tcMar>
                  <w:vAlign w:val="center"/>
                </w:tcPr>
                <w:p w14:paraId="3F3E75EE">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31</w:t>
                  </w:r>
                </w:p>
              </w:tc>
              <w:tc>
                <w:tcPr>
                  <w:tcW w:w="2145" w:type="pct"/>
                  <w:tcBorders>
                    <w:tl2br w:val="nil"/>
                    <w:tr2bl w:val="nil"/>
                  </w:tcBorders>
                  <w:noWrap w:val="0"/>
                  <w:tcMar>
                    <w:left w:w="0" w:type="dxa"/>
                    <w:right w:w="0" w:type="dxa"/>
                  </w:tcMar>
                  <w:vAlign w:val="center"/>
                </w:tcPr>
                <w:p w14:paraId="7E8FEE70">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14:paraId="67EB4634">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8" w:hRule="exact"/>
              </w:trPr>
              <w:tc>
                <w:tcPr>
                  <w:tcW w:w="829" w:type="pct"/>
                  <w:vMerge w:val="restart"/>
                  <w:tcBorders>
                    <w:tl2br w:val="nil"/>
                    <w:tr2bl w:val="nil"/>
                  </w:tcBorders>
                  <w:noWrap w:val="0"/>
                  <w:tcMar>
                    <w:left w:w="0" w:type="dxa"/>
                    <w:right w:w="0" w:type="dxa"/>
                  </w:tcMar>
                  <w:vAlign w:val="center"/>
                </w:tcPr>
                <w:p w14:paraId="0E4A4A70">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电力线</w:t>
                  </w:r>
                </w:p>
              </w:tc>
              <w:tc>
                <w:tcPr>
                  <w:tcW w:w="1390" w:type="pct"/>
                  <w:tcBorders>
                    <w:tl2br w:val="nil"/>
                    <w:tr2bl w:val="nil"/>
                  </w:tcBorders>
                  <w:noWrap w:val="0"/>
                  <w:tcMar>
                    <w:left w:w="0" w:type="dxa"/>
                    <w:right w:w="0" w:type="dxa"/>
                  </w:tcMar>
                  <w:vAlign w:val="center"/>
                </w:tcPr>
                <w:p w14:paraId="55F1DF29">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hint="default" w:ascii="Times New Roman" w:hAnsi="Times New Roman" w:cs="Times New Roman"/>
                      <w:color w:val="000000"/>
                      <w:sz w:val="21"/>
                      <w:szCs w:val="21"/>
                    </w:rPr>
                    <w:t>跨越</w:t>
                  </w:r>
                  <w:r>
                    <w:rPr>
                      <w:rFonts w:ascii="Times New Roman" w:hAnsi="Times New Roman" w:cs="Times New Roman"/>
                      <w:color w:val="000000"/>
                      <w:sz w:val="21"/>
                      <w:szCs w:val="21"/>
                    </w:rPr>
                    <w:t>110kV木牌线</w:t>
                  </w:r>
                </w:p>
              </w:tc>
              <w:tc>
                <w:tcPr>
                  <w:tcW w:w="634" w:type="pct"/>
                  <w:tcBorders>
                    <w:tl2br w:val="nil"/>
                    <w:tr2bl w:val="nil"/>
                  </w:tcBorders>
                  <w:noWrap w:val="0"/>
                  <w:tcMar>
                    <w:left w:w="0" w:type="dxa"/>
                    <w:right w:w="0" w:type="dxa"/>
                  </w:tcMar>
                  <w:vAlign w:val="center"/>
                </w:tcPr>
                <w:p w14:paraId="75232D37">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1</w:t>
                  </w:r>
                </w:p>
              </w:tc>
              <w:tc>
                <w:tcPr>
                  <w:tcW w:w="2145" w:type="pct"/>
                  <w:tcBorders>
                    <w:tl2br w:val="nil"/>
                    <w:tr2bl w:val="nil"/>
                  </w:tcBorders>
                  <w:noWrap w:val="0"/>
                  <w:tcMar>
                    <w:left w:w="0" w:type="dxa"/>
                    <w:right w:w="0" w:type="dxa"/>
                  </w:tcMar>
                  <w:vAlign w:val="center"/>
                </w:tcPr>
                <w:p w14:paraId="053B07B0">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64#-65#</w:t>
                  </w:r>
                </w:p>
              </w:tc>
            </w:tr>
            <w:tr w14:paraId="05DCAA2C">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8" w:hRule="exact"/>
              </w:trPr>
              <w:tc>
                <w:tcPr>
                  <w:tcW w:w="829" w:type="pct"/>
                  <w:vMerge w:val="continue"/>
                  <w:tcBorders>
                    <w:tl2br w:val="nil"/>
                    <w:tr2bl w:val="nil"/>
                  </w:tcBorders>
                  <w:noWrap w:val="0"/>
                  <w:vAlign w:val="center"/>
                </w:tcPr>
                <w:p w14:paraId="5CCE89E0">
                  <w:pPr>
                    <w:keepNext w:val="0"/>
                    <w:keepLines/>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cs="Times New Roman"/>
                      <w:sz w:val="21"/>
                      <w:szCs w:val="21"/>
                    </w:rPr>
                  </w:pPr>
                </w:p>
              </w:tc>
              <w:tc>
                <w:tcPr>
                  <w:tcW w:w="1390" w:type="pct"/>
                  <w:tcBorders>
                    <w:tl2br w:val="nil"/>
                    <w:tr2bl w:val="nil"/>
                  </w:tcBorders>
                  <w:noWrap w:val="0"/>
                  <w:tcMar>
                    <w:left w:w="0" w:type="dxa"/>
                    <w:right w:w="0" w:type="dxa"/>
                  </w:tcMar>
                  <w:vAlign w:val="center"/>
                </w:tcPr>
                <w:p w14:paraId="34134C19">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35kV</w:t>
                  </w:r>
                </w:p>
              </w:tc>
              <w:tc>
                <w:tcPr>
                  <w:tcW w:w="634" w:type="pct"/>
                  <w:tcBorders>
                    <w:tl2br w:val="nil"/>
                    <w:tr2bl w:val="nil"/>
                  </w:tcBorders>
                  <w:noWrap w:val="0"/>
                  <w:tcMar>
                    <w:left w:w="0" w:type="dxa"/>
                    <w:right w:w="0" w:type="dxa"/>
                  </w:tcMar>
                  <w:vAlign w:val="center"/>
                </w:tcPr>
                <w:p w14:paraId="021089A3">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4</w:t>
                  </w:r>
                </w:p>
              </w:tc>
              <w:tc>
                <w:tcPr>
                  <w:tcW w:w="2145" w:type="pct"/>
                  <w:tcBorders>
                    <w:tl2br w:val="nil"/>
                    <w:tr2bl w:val="nil"/>
                  </w:tcBorders>
                  <w:noWrap w:val="0"/>
                  <w:tcMar>
                    <w:left w:w="0" w:type="dxa"/>
                    <w:right w:w="0" w:type="dxa"/>
                  </w:tcMar>
                  <w:vAlign w:val="center"/>
                </w:tcPr>
                <w:p w14:paraId="5C5F6F63">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牌呀线、牌燕线、牌后线、牌半线2次</w:t>
                  </w:r>
                </w:p>
              </w:tc>
            </w:tr>
            <w:tr w14:paraId="33BEB401">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4" w:hRule="exact"/>
              </w:trPr>
              <w:tc>
                <w:tcPr>
                  <w:tcW w:w="829" w:type="pct"/>
                  <w:vMerge w:val="continue"/>
                  <w:tcBorders>
                    <w:tl2br w:val="nil"/>
                    <w:tr2bl w:val="nil"/>
                  </w:tcBorders>
                  <w:noWrap w:val="0"/>
                  <w:vAlign w:val="center"/>
                </w:tcPr>
                <w:p w14:paraId="30B96E30">
                  <w:pPr>
                    <w:keepNext w:val="0"/>
                    <w:keepLines/>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cs="Times New Roman"/>
                      <w:sz w:val="21"/>
                      <w:szCs w:val="21"/>
                    </w:rPr>
                  </w:pPr>
                </w:p>
              </w:tc>
              <w:tc>
                <w:tcPr>
                  <w:tcW w:w="1390" w:type="pct"/>
                  <w:tcBorders>
                    <w:tl2br w:val="nil"/>
                    <w:tr2bl w:val="nil"/>
                  </w:tcBorders>
                  <w:noWrap w:val="0"/>
                  <w:tcMar>
                    <w:left w:w="0" w:type="dxa"/>
                    <w:right w:w="0" w:type="dxa"/>
                  </w:tcMar>
                  <w:vAlign w:val="center"/>
                </w:tcPr>
                <w:p w14:paraId="4ABC45ED">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10kV</w:t>
                  </w:r>
                </w:p>
              </w:tc>
              <w:tc>
                <w:tcPr>
                  <w:tcW w:w="634" w:type="pct"/>
                  <w:tcBorders>
                    <w:tl2br w:val="nil"/>
                    <w:tr2bl w:val="nil"/>
                  </w:tcBorders>
                  <w:noWrap w:val="0"/>
                  <w:tcMar>
                    <w:left w:w="0" w:type="dxa"/>
                    <w:right w:w="0" w:type="dxa"/>
                  </w:tcMar>
                  <w:vAlign w:val="center"/>
                </w:tcPr>
                <w:p w14:paraId="3448953E">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16</w:t>
                  </w:r>
                </w:p>
              </w:tc>
              <w:tc>
                <w:tcPr>
                  <w:tcW w:w="2145" w:type="pct"/>
                  <w:tcBorders>
                    <w:tl2br w:val="nil"/>
                    <w:tr2bl w:val="nil"/>
                  </w:tcBorders>
                  <w:noWrap w:val="0"/>
                  <w:tcMar>
                    <w:left w:w="0" w:type="dxa"/>
                    <w:right w:w="0" w:type="dxa"/>
                  </w:tcMar>
                  <w:vAlign w:val="center"/>
                </w:tcPr>
                <w:p w14:paraId="5C8D109C">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14:paraId="77038E44">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exact"/>
              </w:trPr>
              <w:tc>
                <w:tcPr>
                  <w:tcW w:w="829" w:type="pct"/>
                  <w:vMerge w:val="continue"/>
                  <w:tcBorders>
                    <w:tl2br w:val="nil"/>
                    <w:tr2bl w:val="nil"/>
                  </w:tcBorders>
                  <w:noWrap w:val="0"/>
                  <w:vAlign w:val="center"/>
                </w:tcPr>
                <w:p w14:paraId="0196D0E3">
                  <w:pPr>
                    <w:keepNext w:val="0"/>
                    <w:keepLines/>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cs="Times New Roman"/>
                      <w:sz w:val="21"/>
                      <w:szCs w:val="21"/>
                    </w:rPr>
                  </w:pPr>
                </w:p>
              </w:tc>
              <w:tc>
                <w:tcPr>
                  <w:tcW w:w="1390" w:type="pct"/>
                  <w:tcBorders>
                    <w:tl2br w:val="nil"/>
                    <w:tr2bl w:val="nil"/>
                  </w:tcBorders>
                  <w:noWrap w:val="0"/>
                  <w:tcMar>
                    <w:left w:w="0" w:type="dxa"/>
                    <w:right w:w="0" w:type="dxa"/>
                  </w:tcMar>
                  <w:vAlign w:val="center"/>
                </w:tcPr>
                <w:p w14:paraId="7AA6691B">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低压线、通信线</w:t>
                  </w:r>
                </w:p>
              </w:tc>
              <w:tc>
                <w:tcPr>
                  <w:tcW w:w="634" w:type="pct"/>
                  <w:tcBorders>
                    <w:tl2br w:val="nil"/>
                    <w:tr2bl w:val="nil"/>
                  </w:tcBorders>
                  <w:noWrap w:val="0"/>
                  <w:tcMar>
                    <w:left w:w="0" w:type="dxa"/>
                    <w:right w:w="0" w:type="dxa"/>
                  </w:tcMar>
                  <w:vAlign w:val="center"/>
                </w:tcPr>
                <w:p w14:paraId="63676335">
                  <w:pPr>
                    <w:keepNext w:val="0"/>
                    <w:keepLines/>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color w:val="000000"/>
                      <w:sz w:val="21"/>
                      <w:szCs w:val="21"/>
                    </w:rPr>
                    <w:t>22</w:t>
                  </w:r>
                </w:p>
              </w:tc>
              <w:tc>
                <w:tcPr>
                  <w:tcW w:w="2145" w:type="pct"/>
                  <w:tcBorders>
                    <w:tl2br w:val="nil"/>
                    <w:tr2bl w:val="nil"/>
                  </w:tcBorders>
                  <w:noWrap w:val="0"/>
                  <w:tcMar>
                    <w:left w:w="0" w:type="dxa"/>
                    <w:right w:w="0" w:type="dxa"/>
                  </w:tcMar>
                  <w:vAlign w:val="center"/>
                </w:tcPr>
                <w:p w14:paraId="6DEFE922">
                  <w:pPr>
                    <w:keepNext w:val="0"/>
                    <w:keepLines/>
                    <w:pageBreakBefore w:val="0"/>
                    <w:widowControl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bl>
          <w:p w14:paraId="530938F4">
            <w:pPr>
              <w:pStyle w:val="24"/>
              <w:keepNext w:val="0"/>
              <w:keepLines/>
              <w:pageBreakBefore w:val="0"/>
              <w:widowControl w:val="0"/>
              <w:kinsoku/>
              <w:wordWrap/>
              <w:overflowPunct/>
              <w:topLinePunct w:val="0"/>
              <w:bidi w:val="0"/>
              <w:adjustRightInd w:val="0"/>
              <w:snapToGrid w:val="0"/>
              <w:spacing w:before="237" w:line="369" w:lineRule="auto"/>
              <w:ind w:right="22"/>
              <w:jc w:val="both"/>
              <w:rPr>
                <w:rFonts w:hint="eastAsia" w:ascii="Times New Roman" w:hAnsi="Times New Roman" w:eastAsia="宋体" w:cs="Times New Roman"/>
                <w:spacing w:val="-2"/>
                <w:sz w:val="24"/>
                <w:szCs w:val="24"/>
                <w:lang w:eastAsia="zh-CN"/>
              </w:rPr>
            </w:pPr>
          </w:p>
        </w:tc>
      </w:tr>
      <w:tr w14:paraId="0DFFA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33" w:type="dxa"/>
            <w:tcBorders>
              <w:top w:val="single" w:color="000000" w:sz="2" w:space="0"/>
              <w:bottom w:val="single" w:color="000000" w:sz="2" w:space="0"/>
              <w:right w:val="single" w:color="000000" w:sz="2" w:space="0"/>
            </w:tcBorders>
            <w:textDirection w:val="tbRlV"/>
            <w:vAlign w:val="top"/>
          </w:tcPr>
          <w:p w14:paraId="767060B4">
            <w:pPr>
              <w:pStyle w:val="24"/>
              <w:keepNext w:val="0"/>
              <w:keepLines/>
              <w:pageBreakBefore w:val="0"/>
              <w:widowControl w:val="0"/>
              <w:kinsoku/>
              <w:wordWrap/>
              <w:overflowPunct/>
              <w:topLinePunct w:val="0"/>
              <w:bidi w:val="0"/>
              <w:adjustRightInd w:val="0"/>
              <w:snapToGrid w:val="0"/>
              <w:spacing w:before="109" w:line="201" w:lineRule="auto"/>
              <w:ind w:left="4598"/>
              <w:rPr>
                <w:rFonts w:hint="default" w:ascii="Times New Roman" w:hAnsi="Times New Roman" w:eastAsia="宋体" w:cs="Times New Roman"/>
                <w:spacing w:val="21"/>
                <w:w w:val="115"/>
                <w:sz w:val="24"/>
                <w:szCs w:val="24"/>
              </w:rPr>
            </w:pPr>
            <w:r>
              <w:rPr>
                <w:rFonts w:hint="default" w:ascii="Times New Roman" w:hAnsi="Times New Roman" w:cs="Times New Roman"/>
                <w:color w:val="auto"/>
                <w:kern w:val="0"/>
                <w:szCs w:val="21"/>
                <w:highlight w:val="none"/>
              </w:rPr>
              <w:t>总平面及现场布置</w:t>
            </w:r>
          </w:p>
        </w:tc>
        <w:tc>
          <w:tcPr>
            <w:tcW w:w="8741" w:type="dxa"/>
            <w:tcBorders>
              <w:top w:val="single" w:color="000000" w:sz="2" w:space="0"/>
              <w:left w:val="single" w:color="000000" w:sz="2" w:space="0"/>
              <w:bottom w:val="single" w:color="000000" w:sz="2" w:space="0"/>
            </w:tcBorders>
            <w:vAlign w:val="top"/>
          </w:tcPr>
          <w:p w14:paraId="06D50831">
            <w:pPr>
              <w:keepNext w:val="0"/>
              <w:keepLines/>
              <w:pageBreakBefore w:val="0"/>
              <w:widowControl w:val="0"/>
              <w:numPr>
                <w:ilvl w:val="0"/>
                <w:numId w:val="0"/>
              </w:numPr>
              <w:kinsoku/>
              <w:wordWrap/>
              <w:overflowPunct/>
              <w:topLinePunct w:val="0"/>
              <w:autoSpaceDE/>
              <w:autoSpaceDN/>
              <w:bidi w:val="0"/>
              <w:adjustRightInd w:val="0"/>
              <w:snapToGrid w:val="0"/>
              <w:spacing w:line="460" w:lineRule="exact"/>
              <w:ind w:firstLine="474" w:firstLineChars="200"/>
              <w:jc w:val="both"/>
              <w:textAlignment w:val="auto"/>
              <w:outlineLvl w:val="9"/>
              <w:rPr>
                <w:rFonts w:ascii="Times New Roman" w:hAnsi="Times New Roman" w:eastAsia="宋体" w:cs="宋体"/>
                <w:b/>
                <w:bCs/>
                <w:spacing w:val="-2"/>
                <w:sz w:val="24"/>
                <w:szCs w:val="24"/>
                <w:highlight w:val="none"/>
              </w:rPr>
            </w:pPr>
            <w:r>
              <w:rPr>
                <w:rFonts w:ascii="Times New Roman" w:hAnsi="Times New Roman" w:eastAsia="宋体" w:cs="宋体"/>
                <w:b/>
                <w:bCs/>
                <w:spacing w:val="-2"/>
                <w:sz w:val="24"/>
                <w:szCs w:val="24"/>
                <w:highlight w:val="none"/>
              </w:rPr>
              <w:t>1、施工营地的布设</w:t>
            </w:r>
          </w:p>
          <w:p w14:paraId="60BF2CBE">
            <w:pPr>
              <w:keepNext w:val="0"/>
              <w:keepLines/>
              <w:pageBreakBefore w:val="0"/>
              <w:widowControl w:val="0"/>
              <w:numPr>
                <w:ilvl w:val="0"/>
                <w:numId w:val="0"/>
              </w:numPr>
              <w:kinsoku/>
              <w:wordWrap/>
              <w:overflowPunct/>
              <w:topLinePunct w:val="0"/>
              <w:autoSpaceDE/>
              <w:autoSpaceDN/>
              <w:bidi w:val="0"/>
              <w:adjustRightInd w:val="0"/>
              <w:snapToGrid w:val="0"/>
              <w:spacing w:line="460" w:lineRule="exact"/>
              <w:ind w:firstLine="472" w:firstLineChars="200"/>
              <w:jc w:val="both"/>
              <w:textAlignment w:val="auto"/>
              <w:outlineLvl w:val="9"/>
              <w:rPr>
                <w:rFonts w:ascii="Times New Roman" w:hAnsi="Times New Roman" w:eastAsia="宋体" w:cs="宋体"/>
                <w:spacing w:val="-2"/>
                <w:sz w:val="24"/>
                <w:szCs w:val="24"/>
                <w:highlight w:val="none"/>
              </w:rPr>
            </w:pPr>
            <w:r>
              <w:rPr>
                <w:rFonts w:ascii="Times New Roman" w:hAnsi="Times New Roman" w:eastAsia="宋体" w:cs="宋体"/>
                <w:spacing w:val="-2"/>
                <w:sz w:val="24"/>
                <w:szCs w:val="24"/>
                <w:highlight w:val="none"/>
              </w:rPr>
              <w:t>本项目租住附近民房，不设置施工营地。</w:t>
            </w:r>
          </w:p>
          <w:p w14:paraId="5A5458FA">
            <w:pPr>
              <w:pStyle w:val="4"/>
              <w:keepNext w:val="0"/>
              <w:keepLines/>
              <w:pageBreakBefore w:val="0"/>
              <w:widowControl w:val="0"/>
              <w:kinsoku/>
              <w:wordWrap/>
              <w:overflowPunct/>
              <w:topLinePunct w:val="0"/>
              <w:autoSpaceDE/>
              <w:autoSpaceDN/>
              <w:bidi w:val="0"/>
              <w:adjustRightInd w:val="0"/>
              <w:snapToGrid w:val="0"/>
              <w:spacing w:before="0" w:beforeLines="0" w:line="360" w:lineRule="auto"/>
              <w:ind w:left="0" w:leftChars="0" w:firstLine="482" w:firstLineChars="200"/>
              <w:textAlignment w:val="auto"/>
              <w:outlineLvl w:val="2"/>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2、工程占地</w:t>
            </w:r>
          </w:p>
          <w:p w14:paraId="5610512B">
            <w:pPr>
              <w:pStyle w:val="4"/>
              <w:keepNext w:val="0"/>
              <w:keepLines/>
              <w:pageBreakBefore w:val="0"/>
              <w:widowControl w:val="0"/>
              <w:kinsoku/>
              <w:wordWrap/>
              <w:overflowPunct/>
              <w:topLinePunct w:val="0"/>
              <w:autoSpaceDE/>
              <w:autoSpaceDN/>
              <w:bidi w:val="0"/>
              <w:adjustRightInd w:val="0"/>
              <w:snapToGrid w:val="0"/>
              <w:spacing w:before="0" w:beforeLines="0" w:line="360" w:lineRule="auto"/>
              <w:ind w:firstLine="482" w:firstLineChars="200"/>
              <w:textAlignment w:val="auto"/>
              <w:outlineLvl w:val="2"/>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（1）永久占地</w:t>
            </w:r>
          </w:p>
          <w:p w14:paraId="25FA860F">
            <w:pPr>
              <w:pStyle w:val="4"/>
              <w:keepNext w:val="0"/>
              <w:keepLines/>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eastAsia"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本项目架空线路需建杆塔95基，占地为永久占地，每个塔杆占地面积为225m</w:t>
            </w:r>
            <w:r>
              <w:rPr>
                <w:rFonts w:hint="eastAsia" w:ascii="Times New Roman" w:hAnsi="Times New Roman" w:eastAsia="宋体" w:cs="Times New Roman"/>
                <w:b w:val="0"/>
                <w:bCs/>
                <w:color w:val="auto"/>
                <w:kern w:val="0"/>
                <w:sz w:val="24"/>
                <w:szCs w:val="24"/>
                <w:highlight w:val="none"/>
                <w:vertAlign w:val="superscript"/>
                <w:lang w:val="en-US" w:eastAsia="zh-CN"/>
              </w:rPr>
              <w:t>2</w:t>
            </w:r>
            <w:r>
              <w:rPr>
                <w:rFonts w:hint="eastAsia" w:ascii="Times New Roman" w:hAnsi="Times New Roman" w:eastAsia="宋体" w:cs="Times New Roman"/>
                <w:b w:val="0"/>
                <w:bCs/>
                <w:color w:val="auto"/>
                <w:kern w:val="0"/>
                <w:sz w:val="24"/>
                <w:szCs w:val="24"/>
                <w:highlight w:val="none"/>
                <w:vertAlign w:val="baseline"/>
                <w:lang w:val="en-US" w:eastAsia="zh-CN"/>
              </w:rPr>
              <w:t>，</w:t>
            </w:r>
            <w:r>
              <w:rPr>
                <w:rFonts w:hint="eastAsia" w:ascii="Times New Roman" w:hAnsi="Times New Roman" w:eastAsia="宋体" w:cs="Times New Roman"/>
                <w:b w:val="0"/>
                <w:bCs/>
                <w:color w:val="auto"/>
                <w:kern w:val="0"/>
                <w:sz w:val="24"/>
                <w:szCs w:val="24"/>
                <w:highlight w:val="none"/>
                <w:lang w:val="en-US" w:eastAsia="zh-CN"/>
              </w:rPr>
              <w:t>占地总面积为21375</w:t>
            </w:r>
            <w:r>
              <w:rPr>
                <w:rFonts w:hint="default" w:ascii="Times New Roman" w:hAnsi="Times New Roman" w:eastAsia="宋体" w:cs="Times New Roman"/>
                <w:b w:val="0"/>
                <w:bCs/>
                <w:color w:val="auto"/>
                <w:kern w:val="0"/>
                <w:sz w:val="24"/>
                <w:szCs w:val="24"/>
                <w:highlight w:val="none"/>
                <w:lang w:val="en-US" w:eastAsia="zh-CN"/>
              </w:rPr>
              <w:t>m</w:t>
            </w:r>
            <w:r>
              <w:rPr>
                <w:rFonts w:hint="default" w:ascii="Times New Roman" w:hAnsi="Times New Roman" w:eastAsia="宋体" w:cs="Times New Roman"/>
                <w:b w:val="0"/>
                <w:bCs/>
                <w:color w:val="auto"/>
                <w:kern w:val="0"/>
                <w:sz w:val="24"/>
                <w:szCs w:val="24"/>
                <w:highlight w:val="none"/>
                <w:vertAlign w:val="superscript"/>
                <w:lang w:val="en-US" w:eastAsia="zh-CN"/>
              </w:rPr>
              <w:t>2</w:t>
            </w:r>
            <w:r>
              <w:rPr>
                <w:rFonts w:hint="eastAsia" w:ascii="Times New Roman" w:hAnsi="Times New Roman" w:eastAsia="宋体" w:cs="Times New Roman"/>
                <w:b w:val="0"/>
                <w:bCs/>
                <w:color w:val="auto"/>
                <w:kern w:val="0"/>
                <w:sz w:val="24"/>
                <w:szCs w:val="24"/>
                <w:highlight w:val="none"/>
                <w:lang w:val="en-US" w:eastAsia="zh-CN"/>
              </w:rPr>
              <w:t>。</w:t>
            </w:r>
          </w:p>
          <w:p w14:paraId="55672552">
            <w:pPr>
              <w:pStyle w:val="4"/>
              <w:keepNext w:val="0"/>
              <w:keepLines/>
              <w:pageBreakBefore w:val="0"/>
              <w:widowControl w:val="0"/>
              <w:numPr>
                <w:ilvl w:val="0"/>
                <w:numId w:val="9"/>
              </w:numPr>
              <w:kinsoku/>
              <w:wordWrap/>
              <w:overflowPunct/>
              <w:topLinePunct w:val="0"/>
              <w:autoSpaceDE/>
              <w:autoSpaceDN/>
              <w:bidi w:val="0"/>
              <w:adjustRightInd w:val="0"/>
              <w:snapToGrid w:val="0"/>
              <w:spacing w:before="0" w:beforeLines="0" w:line="360" w:lineRule="auto"/>
              <w:ind w:firstLine="482" w:firstLineChars="200"/>
              <w:textAlignment w:val="auto"/>
              <w:outlineLvl w:val="2"/>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临时占地</w:t>
            </w:r>
          </w:p>
          <w:p w14:paraId="25C28195">
            <w:pPr>
              <w:pStyle w:val="4"/>
              <w:keepNext w:val="0"/>
              <w:keepLines/>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eastAsia"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本项目临时占地选址原则如下：施工临时占地应永临结合，优先利用荒地、劣地。避免施工临时占地进入自然保护区、风景名胜区、饮用水水源保护区等环境敏感区域，施工临时道路应尽可能利用机耕路、林区小路等现有道路，新建道路需严格控制道路宽度，以减少临时工程对生态环境的影响。</w:t>
            </w:r>
          </w:p>
          <w:p w14:paraId="647DEE66">
            <w:pPr>
              <w:pStyle w:val="4"/>
              <w:keepNext w:val="0"/>
              <w:keepLines/>
              <w:pageBreakBefore w:val="0"/>
              <w:widowControl w:val="0"/>
              <w:kinsoku/>
              <w:wordWrap/>
              <w:overflowPunct/>
              <w:topLinePunct w:val="0"/>
              <w:autoSpaceDE/>
              <w:autoSpaceDN/>
              <w:bidi w:val="0"/>
              <w:adjustRightInd w:val="0"/>
              <w:snapToGrid w:val="0"/>
              <w:spacing w:before="0" w:beforeLines="0" w:line="360" w:lineRule="auto"/>
              <w:ind w:left="0" w:leftChars="0" w:firstLine="0" w:firstLineChars="0"/>
              <w:textAlignment w:val="auto"/>
              <w:outlineLvl w:val="2"/>
              <w:rPr>
                <w:rFonts w:hint="default"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工程所用直线塔或耐张塔根据铁塔结构特点分解组立。导线采用张力牵引放线，防止导线磨损，所以架空线路都要设置牵张场地。根据以上说明本项目临时占地如下：</w:t>
            </w:r>
          </w:p>
          <w:p w14:paraId="6B2AAE5B">
            <w:pPr>
              <w:pStyle w:val="4"/>
              <w:keepNext w:val="0"/>
              <w:keepLines/>
              <w:pageBreakBefore w:val="0"/>
              <w:widowControl w:val="0"/>
              <w:kinsoku/>
              <w:wordWrap/>
              <w:overflowPunct/>
              <w:topLinePunct w:val="0"/>
              <w:autoSpaceDE/>
              <w:autoSpaceDN/>
              <w:bidi w:val="0"/>
              <w:adjustRightInd w:val="0"/>
              <w:snapToGrid w:val="0"/>
              <w:spacing w:before="0" w:beforeLines="0" w:line="360" w:lineRule="auto"/>
              <w:ind w:left="0" w:leftChars="0" w:firstLine="480" w:firstLineChars="200"/>
              <w:textAlignment w:val="auto"/>
              <w:outlineLvl w:val="2"/>
              <w:rPr>
                <w:rFonts w:hint="default"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①塔基施工区</w:t>
            </w:r>
          </w:p>
          <w:p w14:paraId="21EBCE5E">
            <w:pPr>
              <w:pStyle w:val="4"/>
              <w:keepNext w:val="0"/>
              <w:keepLines/>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eastAsia"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每个塔基附近塔基施工区占地为20m×20m范围内，面积约为4</w:t>
            </w:r>
            <w:r>
              <w:rPr>
                <w:rFonts w:hint="default" w:ascii="Times New Roman" w:hAnsi="Times New Roman" w:eastAsia="宋体" w:cs="Times New Roman"/>
                <w:b w:val="0"/>
                <w:bCs/>
                <w:color w:val="auto"/>
                <w:kern w:val="0"/>
                <w:sz w:val="24"/>
                <w:szCs w:val="24"/>
                <w:highlight w:val="none"/>
                <w:lang w:val="en-US" w:eastAsia="zh-CN"/>
              </w:rPr>
              <w:t>00m</w:t>
            </w:r>
            <w:r>
              <w:rPr>
                <w:rFonts w:hint="default" w:ascii="Times New Roman" w:hAnsi="Times New Roman" w:eastAsia="宋体" w:cs="Times New Roman"/>
                <w:b w:val="0"/>
                <w:bCs/>
                <w:color w:val="auto"/>
                <w:kern w:val="0"/>
                <w:sz w:val="24"/>
                <w:szCs w:val="24"/>
                <w:highlight w:val="none"/>
                <w:vertAlign w:val="superscript"/>
                <w:lang w:val="en-US" w:eastAsia="zh-CN"/>
              </w:rPr>
              <w:t>2</w:t>
            </w:r>
            <w:r>
              <w:rPr>
                <w:rFonts w:hint="eastAsia" w:ascii="Times New Roman" w:hAnsi="Times New Roman" w:eastAsia="宋体" w:cs="Times New Roman"/>
                <w:b w:val="0"/>
                <w:bCs/>
                <w:color w:val="auto"/>
                <w:kern w:val="0"/>
                <w:sz w:val="24"/>
                <w:szCs w:val="24"/>
                <w:highlight w:val="none"/>
                <w:lang w:val="en-US" w:eastAsia="zh-CN"/>
              </w:rPr>
              <w:t>，则95个杆塔塔基施工区占地为38000m</w:t>
            </w:r>
            <w:r>
              <w:rPr>
                <w:rFonts w:hint="default" w:ascii="Times New Roman" w:hAnsi="Times New Roman" w:eastAsia="宋体" w:cs="Times New Roman"/>
                <w:b w:val="0"/>
                <w:bCs/>
                <w:color w:val="auto"/>
                <w:kern w:val="0"/>
                <w:sz w:val="24"/>
                <w:szCs w:val="24"/>
                <w:highlight w:val="none"/>
                <w:vertAlign w:val="superscript"/>
                <w:lang w:val="en-US" w:eastAsia="zh-CN"/>
              </w:rPr>
              <w:t>2</w:t>
            </w:r>
            <w:r>
              <w:rPr>
                <w:rFonts w:hint="eastAsia" w:ascii="Times New Roman" w:hAnsi="Times New Roman" w:eastAsia="宋体" w:cs="Times New Roman"/>
                <w:b w:val="0"/>
                <w:bCs/>
                <w:color w:val="auto"/>
                <w:kern w:val="0"/>
                <w:sz w:val="24"/>
                <w:szCs w:val="24"/>
                <w:highlight w:val="none"/>
                <w:lang w:val="en-US" w:eastAsia="zh-CN"/>
              </w:rPr>
              <w:t>。</w:t>
            </w:r>
          </w:p>
          <w:p w14:paraId="0C7118F8">
            <w:pPr>
              <w:pStyle w:val="4"/>
              <w:keepNext w:val="0"/>
              <w:keepLines/>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②牵张场地</w:t>
            </w:r>
          </w:p>
          <w:p w14:paraId="04173609">
            <w:pPr>
              <w:pStyle w:val="4"/>
              <w:keepNext w:val="0"/>
              <w:keepLines/>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工程所用直线塔或耐张塔根据铁塔结构特点分解组立。导线采用张力牵引放线，防止导线磨损，所以每回线路都要设置牵张场地。牵张场地的设置原则为：控制在塔位不超过16基的线路范围内。张力放线后应尽快进行架线，一般以张力放线施工段作紧线段，以直线塔为紧线操作塔。紧线完毕后应尽快进行耐张塔的附件安装和直线塔的线夹安装、防振金具和间隔棒的安装。</w:t>
            </w:r>
          </w:p>
          <w:p w14:paraId="03353DE1">
            <w:pPr>
              <w:pStyle w:val="4"/>
              <w:keepNext w:val="0"/>
              <w:keepLines/>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根据以上说明本项目设置牵张场地约</w:t>
            </w:r>
            <w:r>
              <w:rPr>
                <w:rFonts w:hint="eastAsia" w:ascii="Times New Roman" w:hAnsi="Times New Roman" w:eastAsia="宋体" w:cs="Times New Roman"/>
                <w:b w:val="0"/>
                <w:bCs/>
                <w:color w:val="auto"/>
                <w:kern w:val="0"/>
                <w:sz w:val="24"/>
                <w:szCs w:val="24"/>
                <w:highlight w:val="none"/>
                <w:lang w:val="en-US" w:eastAsia="zh-CN"/>
              </w:rPr>
              <w:t>6</w:t>
            </w:r>
            <w:r>
              <w:rPr>
                <w:rFonts w:hint="default" w:ascii="Times New Roman" w:hAnsi="Times New Roman" w:eastAsia="宋体" w:cs="Times New Roman"/>
                <w:b w:val="0"/>
                <w:bCs/>
                <w:color w:val="auto"/>
                <w:kern w:val="0"/>
                <w:sz w:val="24"/>
                <w:szCs w:val="24"/>
                <w:highlight w:val="none"/>
                <w:lang w:val="en-US" w:eastAsia="zh-CN"/>
              </w:rPr>
              <w:t>处，属临时占地，单个牵张场占地约3000m</w:t>
            </w:r>
            <w:r>
              <w:rPr>
                <w:rFonts w:hint="default" w:ascii="Times New Roman" w:hAnsi="Times New Roman" w:eastAsia="宋体" w:cs="Times New Roman"/>
                <w:b w:val="0"/>
                <w:bCs/>
                <w:color w:val="auto"/>
                <w:kern w:val="0"/>
                <w:sz w:val="24"/>
                <w:szCs w:val="24"/>
                <w:highlight w:val="none"/>
                <w:vertAlign w:val="superscript"/>
                <w:lang w:val="en-US" w:eastAsia="zh-CN"/>
              </w:rPr>
              <w:t>2</w:t>
            </w:r>
            <w:r>
              <w:rPr>
                <w:rFonts w:hint="default" w:ascii="Times New Roman" w:hAnsi="Times New Roman" w:eastAsia="宋体" w:cs="Times New Roman"/>
                <w:b w:val="0"/>
                <w:bCs/>
                <w:color w:val="auto"/>
                <w:kern w:val="0"/>
                <w:sz w:val="24"/>
                <w:szCs w:val="24"/>
                <w:highlight w:val="none"/>
                <w:lang w:val="en-US" w:eastAsia="zh-CN"/>
              </w:rPr>
              <w:t>，则</w:t>
            </w:r>
            <w:r>
              <w:rPr>
                <w:rFonts w:hint="eastAsia" w:ascii="Times New Roman" w:hAnsi="Times New Roman" w:eastAsia="宋体" w:cs="Times New Roman"/>
                <w:b w:val="0"/>
                <w:bCs/>
                <w:color w:val="auto"/>
                <w:kern w:val="0"/>
                <w:sz w:val="24"/>
                <w:szCs w:val="24"/>
                <w:highlight w:val="none"/>
                <w:lang w:val="en-US" w:eastAsia="zh-CN"/>
              </w:rPr>
              <w:t>6</w:t>
            </w:r>
            <w:r>
              <w:rPr>
                <w:rFonts w:hint="default" w:ascii="Times New Roman" w:hAnsi="Times New Roman" w:eastAsia="宋体" w:cs="Times New Roman"/>
                <w:b w:val="0"/>
                <w:bCs/>
                <w:color w:val="auto"/>
                <w:kern w:val="0"/>
                <w:sz w:val="24"/>
                <w:szCs w:val="24"/>
                <w:highlight w:val="none"/>
                <w:lang w:val="en-US" w:eastAsia="zh-CN"/>
              </w:rPr>
              <w:t>处牵张场地占地为</w:t>
            </w:r>
            <w:r>
              <w:rPr>
                <w:rFonts w:hint="eastAsia" w:ascii="Times New Roman" w:hAnsi="Times New Roman" w:eastAsia="宋体" w:cs="Times New Roman"/>
                <w:b w:val="0"/>
                <w:bCs/>
                <w:color w:val="auto"/>
                <w:kern w:val="0"/>
                <w:sz w:val="24"/>
                <w:szCs w:val="24"/>
                <w:highlight w:val="none"/>
                <w:lang w:val="en-US" w:eastAsia="zh-CN"/>
              </w:rPr>
              <w:t>18</w:t>
            </w:r>
            <w:r>
              <w:rPr>
                <w:rFonts w:hint="default" w:ascii="Times New Roman" w:hAnsi="Times New Roman" w:eastAsia="宋体" w:cs="Times New Roman"/>
                <w:b w:val="0"/>
                <w:bCs/>
                <w:color w:val="auto"/>
                <w:kern w:val="0"/>
                <w:sz w:val="24"/>
                <w:szCs w:val="24"/>
                <w:highlight w:val="none"/>
                <w:lang w:val="en-US" w:eastAsia="zh-CN"/>
              </w:rPr>
              <w:t>000m</w:t>
            </w:r>
            <w:r>
              <w:rPr>
                <w:rFonts w:hint="default" w:ascii="Times New Roman" w:hAnsi="Times New Roman" w:eastAsia="宋体" w:cs="Times New Roman"/>
                <w:b w:val="0"/>
                <w:bCs/>
                <w:color w:val="auto"/>
                <w:kern w:val="0"/>
                <w:sz w:val="24"/>
                <w:szCs w:val="24"/>
                <w:highlight w:val="none"/>
                <w:vertAlign w:val="superscript"/>
                <w:lang w:val="en-US" w:eastAsia="zh-CN"/>
              </w:rPr>
              <w:t>2</w:t>
            </w:r>
            <w:r>
              <w:rPr>
                <w:rFonts w:hint="default" w:ascii="Times New Roman" w:hAnsi="Times New Roman" w:eastAsia="宋体" w:cs="Times New Roman"/>
                <w:b w:val="0"/>
                <w:bCs/>
                <w:color w:val="auto"/>
                <w:kern w:val="0"/>
                <w:sz w:val="24"/>
                <w:szCs w:val="24"/>
                <w:highlight w:val="none"/>
                <w:lang w:val="en-US" w:eastAsia="zh-CN"/>
              </w:rPr>
              <w:t>；</w:t>
            </w:r>
          </w:p>
          <w:p w14:paraId="64E3AD18">
            <w:pPr>
              <w:pStyle w:val="4"/>
              <w:keepNext w:val="0"/>
              <w:keepLines/>
              <w:pageBreakBefore w:val="0"/>
              <w:widowControl w:val="0"/>
              <w:kinsoku/>
              <w:wordWrap/>
              <w:overflowPunct/>
              <w:topLinePunct w:val="0"/>
              <w:autoSpaceDE/>
              <w:autoSpaceDN/>
              <w:bidi w:val="0"/>
              <w:adjustRightInd w:val="0"/>
              <w:snapToGrid w:val="0"/>
              <w:spacing w:before="0" w:beforeLines="0" w:line="360" w:lineRule="auto"/>
              <w:ind w:firstLine="482" w:firstLineChars="200"/>
              <w:textAlignment w:val="auto"/>
              <w:outlineLvl w:val="2"/>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③临时道路</w:t>
            </w:r>
          </w:p>
          <w:p w14:paraId="29144C8D">
            <w:pPr>
              <w:pStyle w:val="4"/>
              <w:keepNext w:val="0"/>
              <w:keepLines/>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临时</w:t>
            </w:r>
            <w:r>
              <w:rPr>
                <w:rFonts w:hint="default" w:ascii="Times New Roman" w:hAnsi="Times New Roman" w:eastAsia="宋体" w:cs="Times New Roman"/>
                <w:b w:val="0"/>
                <w:bCs/>
                <w:color w:val="000000"/>
                <w:kern w:val="0"/>
                <w:sz w:val="24"/>
                <w:szCs w:val="24"/>
                <w:lang w:val="en-US" w:eastAsia="zh-CN" w:bidi="ar"/>
              </w:rPr>
              <w:t>道路多利用现有道路，各塔基无道路通达时，需修建临时道路，以线路的 10%塔基永久占地、15%的塔基施工区占地、15%牵张场占地之和进行估算。估算结果为10540m</w:t>
            </w:r>
            <w:r>
              <w:rPr>
                <w:rFonts w:hint="default" w:ascii="Times New Roman" w:hAnsi="Times New Roman" w:eastAsia="宋体" w:cs="Times New Roman"/>
                <w:b w:val="0"/>
                <w:bCs/>
                <w:color w:val="000000"/>
                <w:kern w:val="0"/>
                <w:sz w:val="24"/>
                <w:szCs w:val="24"/>
                <w:vertAlign w:val="superscript"/>
                <w:lang w:val="en-US" w:eastAsia="zh-CN" w:bidi="ar"/>
              </w:rPr>
              <w:t>2</w:t>
            </w:r>
            <w:r>
              <w:rPr>
                <w:rFonts w:hint="default" w:ascii="Times New Roman" w:hAnsi="Times New Roman" w:eastAsia="宋体" w:cs="Times New Roman"/>
                <w:b w:val="0"/>
                <w:bCs/>
                <w:color w:val="000000"/>
                <w:kern w:val="0"/>
                <w:sz w:val="24"/>
                <w:szCs w:val="24"/>
                <w:lang w:val="en-US" w:eastAsia="zh-CN" w:bidi="ar"/>
              </w:rPr>
              <w:t>，临时道路宽 4m，长2635m</w:t>
            </w:r>
            <w:r>
              <w:rPr>
                <w:rFonts w:hint="default" w:ascii="Times New Roman" w:hAnsi="Times New Roman" w:eastAsia="宋体" w:cs="Times New Roman"/>
                <w:b w:val="0"/>
                <w:bCs/>
                <w:color w:val="000000"/>
                <w:kern w:val="0"/>
                <w:sz w:val="24"/>
                <w:szCs w:val="24"/>
                <w:vertAlign w:val="superscript"/>
                <w:lang w:val="en-US" w:eastAsia="zh-CN" w:bidi="ar"/>
              </w:rPr>
              <w:t>2</w:t>
            </w:r>
            <w:r>
              <w:rPr>
                <w:rFonts w:hint="default" w:ascii="Times New Roman" w:hAnsi="Times New Roman" w:eastAsia="宋体" w:cs="Times New Roman"/>
                <w:b w:val="0"/>
                <w:bCs/>
                <w:color w:val="000000"/>
                <w:kern w:val="0"/>
                <w:sz w:val="24"/>
                <w:szCs w:val="24"/>
                <w:lang w:val="en-US" w:eastAsia="zh-CN" w:bidi="ar"/>
              </w:rPr>
              <w:t>。</w:t>
            </w:r>
          </w:p>
          <w:p w14:paraId="4B10E42B">
            <w:pPr>
              <w:pStyle w:val="4"/>
              <w:keepNext w:val="0"/>
              <w:keepLines/>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综上，本项目永久占地21375</w:t>
            </w:r>
            <w:r>
              <w:rPr>
                <w:rFonts w:hint="default" w:ascii="Times New Roman" w:hAnsi="Times New Roman" w:eastAsia="宋体" w:cs="Times New Roman"/>
                <w:b w:val="0"/>
                <w:bCs/>
                <w:color w:val="auto"/>
                <w:kern w:val="0"/>
                <w:sz w:val="24"/>
                <w:szCs w:val="24"/>
                <w:highlight w:val="none"/>
                <w:lang w:val="en-US" w:eastAsia="zh-CN"/>
              </w:rPr>
              <w:t>m</w:t>
            </w:r>
            <w:r>
              <w:rPr>
                <w:rFonts w:hint="default" w:ascii="Times New Roman" w:hAnsi="Times New Roman" w:eastAsia="宋体" w:cs="Times New Roman"/>
                <w:b w:val="0"/>
                <w:bCs/>
                <w:color w:val="auto"/>
                <w:kern w:val="0"/>
                <w:sz w:val="24"/>
                <w:szCs w:val="24"/>
                <w:highlight w:val="none"/>
                <w:vertAlign w:val="superscript"/>
                <w:lang w:val="en-US" w:eastAsia="zh-CN"/>
              </w:rPr>
              <w:t>2</w:t>
            </w:r>
            <w:r>
              <w:rPr>
                <w:rFonts w:hint="eastAsia" w:ascii="Times New Roman" w:hAnsi="Times New Roman" w:eastAsia="宋体" w:cs="Times New Roman"/>
                <w:b w:val="0"/>
                <w:bCs/>
                <w:color w:val="auto"/>
                <w:kern w:val="0"/>
                <w:sz w:val="24"/>
                <w:szCs w:val="24"/>
                <w:highlight w:val="none"/>
                <w:lang w:val="en-US" w:eastAsia="zh-CN"/>
              </w:rPr>
              <w:t>，临时占地66540</w:t>
            </w:r>
            <w:r>
              <w:rPr>
                <w:rFonts w:hint="default" w:ascii="Times New Roman" w:hAnsi="Times New Roman" w:eastAsia="宋体" w:cs="Times New Roman"/>
                <w:b w:val="0"/>
                <w:bCs/>
                <w:color w:val="auto"/>
                <w:kern w:val="0"/>
                <w:sz w:val="24"/>
                <w:szCs w:val="24"/>
                <w:highlight w:val="none"/>
                <w:lang w:val="en-US" w:eastAsia="zh-CN"/>
              </w:rPr>
              <w:t>m</w:t>
            </w:r>
            <w:r>
              <w:rPr>
                <w:rFonts w:hint="default" w:ascii="Times New Roman" w:hAnsi="Times New Roman" w:eastAsia="宋体" w:cs="Times New Roman"/>
                <w:b w:val="0"/>
                <w:bCs/>
                <w:color w:val="auto"/>
                <w:kern w:val="0"/>
                <w:sz w:val="24"/>
                <w:szCs w:val="24"/>
                <w:highlight w:val="none"/>
                <w:vertAlign w:val="superscript"/>
                <w:lang w:val="en-US" w:eastAsia="zh-CN"/>
              </w:rPr>
              <w:t>2</w:t>
            </w:r>
            <w:r>
              <w:rPr>
                <w:rFonts w:hint="eastAsia" w:ascii="Times New Roman" w:hAnsi="Times New Roman" w:eastAsia="宋体" w:cs="Times New Roman"/>
                <w:b w:val="0"/>
                <w:bCs/>
                <w:color w:val="auto"/>
                <w:kern w:val="0"/>
                <w:sz w:val="24"/>
                <w:szCs w:val="24"/>
                <w:highlight w:val="none"/>
                <w:lang w:val="en-US" w:eastAsia="zh-CN"/>
              </w:rPr>
              <w:t>。</w:t>
            </w:r>
          </w:p>
          <w:p w14:paraId="5A379889">
            <w:pPr>
              <w:keepNext w:val="0"/>
              <w:keepLines/>
              <w:pageBreakBefore w:val="0"/>
              <w:widowControl w:val="0"/>
              <w:numPr>
                <w:ilvl w:val="0"/>
                <w:numId w:val="10"/>
              </w:numPr>
              <w:kinsoku/>
              <w:wordWrap/>
              <w:overflowPunct/>
              <w:topLinePunct w:val="0"/>
              <w:bidi w:val="0"/>
              <w:adjustRightInd w:val="0"/>
              <w:snapToGrid w:val="0"/>
              <w:spacing w:line="360" w:lineRule="auto"/>
              <w:ind w:firstLine="482" w:firstLineChars="200"/>
              <w:jc w:val="both"/>
              <w:rPr>
                <w:rFonts w:hint="eastAsia"/>
                <w:b/>
                <w:bCs/>
                <w:sz w:val="24"/>
                <w:szCs w:val="24"/>
                <w:lang w:val="en-US" w:eastAsia="zh-CN"/>
              </w:rPr>
            </w:pPr>
            <w:r>
              <w:rPr>
                <w:rFonts w:hint="eastAsia"/>
                <w:b/>
                <w:bCs/>
                <w:sz w:val="24"/>
                <w:szCs w:val="24"/>
                <w:lang w:val="en-US" w:eastAsia="zh-CN"/>
              </w:rPr>
              <w:t>土石方量</w:t>
            </w:r>
          </w:p>
          <w:p w14:paraId="52498198">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本项目土石方总量为17600m</w:t>
            </w:r>
            <w:r>
              <w:rPr>
                <w:rFonts w:hint="default" w:ascii="Times New Roman" w:hAnsi="Times New Roman" w:eastAsia="宋体" w:cs="Times New Roman"/>
                <w:b w:val="0"/>
                <w:bCs/>
                <w:color w:val="auto"/>
                <w:kern w:val="0"/>
                <w:sz w:val="24"/>
                <w:szCs w:val="24"/>
                <w:highlight w:val="none"/>
                <w:vertAlign w:val="superscript"/>
                <w:lang w:val="en-US" w:eastAsia="zh-CN"/>
              </w:rPr>
              <w:t>3</w:t>
            </w:r>
            <w:r>
              <w:rPr>
                <w:rFonts w:hint="default" w:ascii="Times New Roman" w:hAnsi="Times New Roman" w:eastAsia="宋体" w:cs="Times New Roman"/>
                <w:b w:val="0"/>
                <w:bCs/>
                <w:color w:val="auto"/>
                <w:kern w:val="0"/>
                <w:sz w:val="24"/>
                <w:szCs w:val="24"/>
                <w:highlight w:val="none"/>
                <w:vertAlign w:val="baseline"/>
                <w:lang w:val="en-US" w:eastAsia="zh-CN"/>
              </w:rPr>
              <w:t>，</w:t>
            </w:r>
            <w:r>
              <w:rPr>
                <w:rFonts w:hint="default" w:ascii="Times New Roman" w:hAnsi="Times New Roman" w:eastAsia="宋体" w:cs="Times New Roman"/>
                <w:b w:val="0"/>
                <w:bCs/>
                <w:color w:val="auto"/>
                <w:kern w:val="0"/>
                <w:sz w:val="24"/>
                <w:szCs w:val="24"/>
                <w:highlight w:val="none"/>
                <w:lang w:val="en-US" w:eastAsia="zh-CN"/>
              </w:rPr>
              <w:t>挖方,8800m</w:t>
            </w:r>
            <w:r>
              <w:rPr>
                <w:rFonts w:hint="default" w:ascii="Times New Roman" w:hAnsi="Times New Roman" w:eastAsia="宋体" w:cs="Times New Roman"/>
                <w:b w:val="0"/>
                <w:bCs/>
                <w:color w:val="auto"/>
                <w:kern w:val="0"/>
                <w:sz w:val="24"/>
                <w:szCs w:val="24"/>
                <w:highlight w:val="none"/>
                <w:vertAlign w:val="superscript"/>
                <w:lang w:val="en-US" w:eastAsia="zh-CN"/>
              </w:rPr>
              <w:t>3</w:t>
            </w:r>
            <w:r>
              <w:rPr>
                <w:rFonts w:hint="default" w:ascii="Times New Roman" w:hAnsi="Times New Roman" w:eastAsia="宋体" w:cs="Times New Roman"/>
                <w:b w:val="0"/>
                <w:bCs/>
                <w:color w:val="auto"/>
                <w:kern w:val="0"/>
                <w:sz w:val="24"/>
                <w:szCs w:val="24"/>
                <w:highlight w:val="none"/>
                <w:lang w:val="en-US" w:eastAsia="zh-CN"/>
              </w:rPr>
              <w:t>，土石方填方8800m</w:t>
            </w:r>
            <w:r>
              <w:rPr>
                <w:rFonts w:hint="default" w:ascii="Times New Roman" w:hAnsi="Times New Roman" w:eastAsia="宋体" w:cs="Times New Roman"/>
                <w:b w:val="0"/>
                <w:bCs/>
                <w:color w:val="auto"/>
                <w:kern w:val="0"/>
                <w:sz w:val="24"/>
                <w:szCs w:val="24"/>
                <w:highlight w:val="none"/>
                <w:vertAlign w:val="superscript"/>
                <w:lang w:val="en-US" w:eastAsia="zh-CN"/>
              </w:rPr>
              <w:t>3</w:t>
            </w:r>
            <w:r>
              <w:rPr>
                <w:rFonts w:hint="default" w:ascii="Times New Roman" w:hAnsi="Times New Roman" w:eastAsia="宋体" w:cs="Times New Roman"/>
                <w:b w:val="0"/>
                <w:bCs/>
                <w:color w:val="auto"/>
                <w:kern w:val="0"/>
                <w:sz w:val="24"/>
                <w:szCs w:val="24"/>
                <w:highlight w:val="none"/>
                <w:lang w:val="en-US" w:eastAsia="zh-CN"/>
              </w:rPr>
              <w:t>，塔基区产生的余方平临时道路，无需设置取土场和弃渣场。土石方平衡流向详见表2-7。</w:t>
            </w:r>
          </w:p>
          <w:p w14:paraId="05DA9396">
            <w:pPr>
              <w:spacing w:line="360" w:lineRule="auto"/>
              <w:jc w:val="center"/>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表2-7</w:t>
            </w:r>
            <w:r>
              <w:rPr>
                <w:rFonts w:hint="default" w:ascii="Times New Roman" w:hAnsi="Times New Roman" w:eastAsia="宋体" w:cs="Times New Roman"/>
                <w:b/>
                <w:bCs w:val="0"/>
                <w:color w:val="auto"/>
                <w:sz w:val="24"/>
                <w:szCs w:val="24"/>
                <w:highlight w:val="none"/>
                <w:lang w:val="en-US" w:eastAsia="zh-CN"/>
              </w:rPr>
              <w:tab/>
            </w:r>
            <w:r>
              <w:rPr>
                <w:rFonts w:hint="default" w:ascii="Times New Roman" w:hAnsi="Times New Roman" w:eastAsia="宋体" w:cs="Times New Roman"/>
                <w:b/>
                <w:bCs w:val="0"/>
                <w:color w:val="auto"/>
                <w:sz w:val="24"/>
                <w:szCs w:val="24"/>
                <w:highlight w:val="none"/>
                <w:lang w:val="en-US" w:eastAsia="zh-CN"/>
              </w:rPr>
              <w:t>土石方平衡流向表（m</w:t>
            </w:r>
            <w:r>
              <w:rPr>
                <w:rFonts w:hint="default" w:ascii="Times New Roman" w:hAnsi="Times New Roman" w:eastAsia="宋体" w:cs="Times New Roman"/>
                <w:b/>
                <w:bCs w:val="0"/>
                <w:color w:val="auto"/>
                <w:sz w:val="24"/>
                <w:szCs w:val="24"/>
                <w:highlight w:val="none"/>
                <w:vertAlign w:val="superscript"/>
                <w:lang w:val="en-US" w:eastAsia="zh-CN"/>
              </w:rPr>
              <w:t>3</w:t>
            </w:r>
            <w:r>
              <w:rPr>
                <w:rFonts w:hint="default" w:ascii="Times New Roman" w:hAnsi="Times New Roman" w:eastAsia="宋体" w:cs="Times New Roman"/>
                <w:b/>
                <w:bCs w:val="0"/>
                <w:color w:val="auto"/>
                <w:sz w:val="24"/>
                <w:szCs w:val="24"/>
                <w:highlight w:val="none"/>
                <w:lang w:val="en-US" w:eastAsia="zh-CN"/>
              </w:rPr>
              <w:t>）</w:t>
            </w:r>
          </w:p>
          <w:tbl>
            <w:tblPr>
              <w:tblStyle w:val="19"/>
              <w:tblpPr w:leftFromText="180" w:rightFromText="180" w:vertAnchor="text" w:horzAnchor="page" w:tblpX="152" w:tblpY="23"/>
              <w:tblOverlap w:val="never"/>
              <w:tblW w:w="4823"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21"/>
              <w:gridCol w:w="1484"/>
              <w:gridCol w:w="1568"/>
              <w:gridCol w:w="1730"/>
              <w:gridCol w:w="1559"/>
              <w:gridCol w:w="1460"/>
            </w:tblGrid>
            <w:tr w14:paraId="61B569B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368" w:type="pct"/>
                  <w:tcBorders>
                    <w:tl2br w:val="nil"/>
                    <w:tr2bl w:val="nil"/>
                  </w:tcBorders>
                  <w:noWrap w:val="0"/>
                  <w:vAlign w:val="center"/>
                </w:tcPr>
                <w:p w14:paraId="0831988F">
                  <w:pPr>
                    <w:pStyle w:val="26"/>
                    <w:keepNext w:val="0"/>
                    <w:keepLines w:val="0"/>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序号</w:t>
                  </w:r>
                </w:p>
              </w:tc>
              <w:tc>
                <w:tcPr>
                  <w:tcW w:w="881" w:type="pct"/>
                  <w:tcBorders>
                    <w:tl2br w:val="nil"/>
                    <w:tr2bl w:val="nil"/>
                  </w:tcBorders>
                  <w:noWrap w:val="0"/>
                  <w:vAlign w:val="center"/>
                </w:tcPr>
                <w:p w14:paraId="753405B9">
                  <w:pPr>
                    <w:pStyle w:val="26"/>
                    <w:keepNext w:val="0"/>
                    <w:keepLines w:val="0"/>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项目名称</w:t>
                  </w:r>
                </w:p>
              </w:tc>
              <w:tc>
                <w:tcPr>
                  <w:tcW w:w="930" w:type="pct"/>
                  <w:tcBorders>
                    <w:tl2br w:val="nil"/>
                    <w:tr2bl w:val="nil"/>
                  </w:tcBorders>
                  <w:noWrap w:val="0"/>
                  <w:vAlign w:val="center"/>
                </w:tcPr>
                <w:p w14:paraId="46DF11CF">
                  <w:pPr>
                    <w:pStyle w:val="26"/>
                    <w:keepNext w:val="0"/>
                    <w:keepLines w:val="0"/>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挖方</w:t>
                  </w:r>
                </w:p>
              </w:tc>
              <w:tc>
                <w:tcPr>
                  <w:tcW w:w="1027" w:type="pct"/>
                  <w:tcBorders>
                    <w:tl2br w:val="nil"/>
                    <w:tr2bl w:val="nil"/>
                  </w:tcBorders>
                  <w:noWrap w:val="0"/>
                  <w:vAlign w:val="center"/>
                </w:tcPr>
                <w:p w14:paraId="3ABF0510">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zh-CN"/>
                    </w:rPr>
                  </w:pPr>
                  <w:r>
                    <w:rPr>
                      <w:rFonts w:hint="default" w:ascii="Times New Roman" w:hAnsi="Times New Roman" w:eastAsia="宋体" w:cs="Times New Roman"/>
                      <w:b w:val="0"/>
                      <w:bCs/>
                      <w:color w:val="auto"/>
                      <w:sz w:val="21"/>
                      <w:szCs w:val="21"/>
                      <w:highlight w:val="none"/>
                    </w:rPr>
                    <w:t>填方</w:t>
                  </w:r>
                </w:p>
              </w:tc>
              <w:tc>
                <w:tcPr>
                  <w:tcW w:w="925" w:type="pct"/>
                  <w:tcBorders>
                    <w:tl2br w:val="nil"/>
                    <w:tr2bl w:val="nil"/>
                  </w:tcBorders>
                  <w:noWrap w:val="0"/>
                  <w:vAlign w:val="center"/>
                </w:tcPr>
                <w:p w14:paraId="6EFEF55A">
                  <w:pPr>
                    <w:pStyle w:val="26"/>
                    <w:keepNext w:val="0"/>
                    <w:keepLines w:val="0"/>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调入</w:t>
                  </w:r>
                </w:p>
              </w:tc>
              <w:tc>
                <w:tcPr>
                  <w:tcW w:w="866" w:type="pct"/>
                  <w:tcBorders>
                    <w:tl2br w:val="nil"/>
                    <w:tr2bl w:val="nil"/>
                  </w:tcBorders>
                  <w:noWrap w:val="0"/>
                  <w:vAlign w:val="center"/>
                </w:tcPr>
                <w:p w14:paraId="68B48BA5">
                  <w:pPr>
                    <w:pStyle w:val="26"/>
                    <w:keepNext w:val="0"/>
                    <w:keepLines w:val="0"/>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调出</w:t>
                  </w:r>
                </w:p>
              </w:tc>
            </w:tr>
            <w:tr w14:paraId="3E085B4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368" w:type="pct"/>
                  <w:tcBorders>
                    <w:tl2br w:val="nil"/>
                    <w:tr2bl w:val="nil"/>
                  </w:tcBorders>
                  <w:noWrap w:val="0"/>
                  <w:vAlign w:val="center"/>
                </w:tcPr>
                <w:p w14:paraId="17CF10EB">
                  <w:pPr>
                    <w:pStyle w:val="26"/>
                    <w:keepNext w:val="0"/>
                    <w:keepLines w:val="0"/>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881" w:type="pct"/>
                  <w:tcBorders>
                    <w:tl2br w:val="nil"/>
                    <w:tr2bl w:val="nil"/>
                  </w:tcBorders>
                  <w:noWrap w:val="0"/>
                  <w:vAlign w:val="center"/>
                </w:tcPr>
                <w:p w14:paraId="28DFE825">
                  <w:pPr>
                    <w:pStyle w:val="26"/>
                    <w:keepNext w:val="0"/>
                    <w:keepLines w:val="0"/>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塔基区</w:t>
                  </w:r>
                </w:p>
              </w:tc>
              <w:tc>
                <w:tcPr>
                  <w:tcW w:w="930" w:type="pct"/>
                  <w:tcBorders>
                    <w:tl2br w:val="nil"/>
                    <w:tr2bl w:val="nil"/>
                  </w:tcBorders>
                  <w:noWrap w:val="0"/>
                  <w:vAlign w:val="center"/>
                </w:tcPr>
                <w:p w14:paraId="4ECCF66A">
                  <w:pPr>
                    <w:pStyle w:val="26"/>
                    <w:keepNext w:val="0"/>
                    <w:keepLines w:val="0"/>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4000</w:t>
                  </w:r>
                </w:p>
              </w:tc>
              <w:tc>
                <w:tcPr>
                  <w:tcW w:w="1027" w:type="pct"/>
                  <w:tcBorders>
                    <w:tl2br w:val="nil"/>
                    <w:tr2bl w:val="nil"/>
                  </w:tcBorders>
                  <w:noWrap w:val="0"/>
                  <w:vAlign w:val="center"/>
                </w:tcPr>
                <w:p w14:paraId="4637A4B6">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zh-CN"/>
                    </w:rPr>
                  </w:pPr>
                  <w:r>
                    <w:rPr>
                      <w:rFonts w:hint="default" w:ascii="Times New Roman" w:hAnsi="Times New Roman" w:eastAsia="宋体" w:cs="Times New Roman"/>
                      <w:b w:val="0"/>
                      <w:bCs/>
                      <w:color w:val="auto"/>
                      <w:kern w:val="2"/>
                      <w:sz w:val="21"/>
                      <w:szCs w:val="21"/>
                      <w:highlight w:val="none"/>
                      <w:lang w:val="en-US" w:eastAsia="zh-CN" w:bidi="zh-CN"/>
                    </w:rPr>
                    <w:t>3000</w:t>
                  </w:r>
                </w:p>
              </w:tc>
              <w:tc>
                <w:tcPr>
                  <w:tcW w:w="925" w:type="pct"/>
                  <w:tcBorders>
                    <w:tl2br w:val="nil"/>
                    <w:tr2bl w:val="nil"/>
                  </w:tcBorders>
                  <w:noWrap w:val="0"/>
                  <w:vAlign w:val="center"/>
                </w:tcPr>
                <w:p w14:paraId="2CD70201">
                  <w:pPr>
                    <w:pStyle w:val="26"/>
                    <w:keepNext w:val="0"/>
                    <w:keepLines w:val="0"/>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w:t>
                  </w:r>
                </w:p>
              </w:tc>
              <w:tc>
                <w:tcPr>
                  <w:tcW w:w="866" w:type="pct"/>
                  <w:tcBorders>
                    <w:tl2br w:val="nil"/>
                    <w:tr2bl w:val="nil"/>
                  </w:tcBorders>
                  <w:noWrap w:val="0"/>
                  <w:vAlign w:val="center"/>
                </w:tcPr>
                <w:p w14:paraId="1AB9C152">
                  <w:pPr>
                    <w:pStyle w:val="26"/>
                    <w:keepNext w:val="0"/>
                    <w:keepLines w:val="0"/>
                    <w:pageBreakBefore w:val="0"/>
                    <w:widowControl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w:t>
                  </w:r>
                </w:p>
              </w:tc>
            </w:tr>
            <w:tr w14:paraId="6AFC3F7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368" w:type="pct"/>
                  <w:tcBorders>
                    <w:tl2br w:val="nil"/>
                    <w:tr2bl w:val="nil"/>
                  </w:tcBorders>
                  <w:noWrap w:val="0"/>
                  <w:vAlign w:val="center"/>
                </w:tcPr>
                <w:p w14:paraId="2F572FC6">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zh-CN" w:eastAsia="zh-CN" w:bidi="zh-CN"/>
                    </w:rPr>
                  </w:pPr>
                  <w:r>
                    <w:rPr>
                      <w:rFonts w:hint="default" w:ascii="Times New Roman" w:hAnsi="Times New Roman" w:eastAsia="宋体" w:cs="Times New Roman"/>
                      <w:b w:val="0"/>
                      <w:bCs/>
                      <w:color w:val="auto"/>
                      <w:w w:val="99"/>
                      <w:sz w:val="21"/>
                      <w:szCs w:val="21"/>
                      <w:highlight w:val="none"/>
                      <w:lang w:val="en-US" w:eastAsia="zh-CN"/>
                    </w:rPr>
                    <w:t>2</w:t>
                  </w:r>
                </w:p>
              </w:tc>
              <w:tc>
                <w:tcPr>
                  <w:tcW w:w="881" w:type="pct"/>
                  <w:tcBorders>
                    <w:tl2br w:val="nil"/>
                    <w:tr2bl w:val="nil"/>
                  </w:tcBorders>
                  <w:noWrap w:val="0"/>
                  <w:vAlign w:val="center"/>
                </w:tcPr>
                <w:p w14:paraId="5F8B094B">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zh-CN"/>
                    </w:rPr>
                  </w:pPr>
                  <w:r>
                    <w:rPr>
                      <w:rFonts w:hint="default" w:ascii="Times New Roman" w:hAnsi="Times New Roman" w:eastAsia="宋体" w:cs="Times New Roman"/>
                      <w:b w:val="0"/>
                      <w:bCs/>
                      <w:color w:val="auto"/>
                      <w:sz w:val="21"/>
                      <w:szCs w:val="21"/>
                      <w:highlight w:val="none"/>
                      <w:lang w:val="en-US" w:eastAsia="zh-CN"/>
                    </w:rPr>
                    <w:t>塔基施工区</w:t>
                  </w:r>
                </w:p>
              </w:tc>
              <w:tc>
                <w:tcPr>
                  <w:tcW w:w="930" w:type="pct"/>
                  <w:tcBorders>
                    <w:tl2br w:val="nil"/>
                    <w:tr2bl w:val="nil"/>
                  </w:tcBorders>
                  <w:noWrap w:val="0"/>
                  <w:vAlign w:val="center"/>
                </w:tcPr>
                <w:p w14:paraId="198AE18A">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zh-CN"/>
                    </w:rPr>
                  </w:pPr>
                  <w:r>
                    <w:rPr>
                      <w:rFonts w:hint="default" w:ascii="Times New Roman" w:hAnsi="Times New Roman" w:eastAsia="宋体" w:cs="Times New Roman"/>
                      <w:b w:val="0"/>
                      <w:bCs/>
                      <w:color w:val="auto"/>
                      <w:sz w:val="21"/>
                      <w:szCs w:val="21"/>
                      <w:highlight w:val="none"/>
                      <w:lang w:val="en-US" w:eastAsia="zh-CN"/>
                    </w:rPr>
                    <w:t>3800</w:t>
                  </w:r>
                </w:p>
              </w:tc>
              <w:tc>
                <w:tcPr>
                  <w:tcW w:w="1027" w:type="pct"/>
                  <w:tcBorders>
                    <w:tl2br w:val="nil"/>
                    <w:tr2bl w:val="nil"/>
                  </w:tcBorders>
                  <w:noWrap w:val="0"/>
                  <w:vAlign w:val="center"/>
                </w:tcPr>
                <w:p w14:paraId="34243BBB">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zh-CN"/>
                    </w:rPr>
                  </w:pPr>
                  <w:r>
                    <w:rPr>
                      <w:rFonts w:hint="default" w:ascii="Times New Roman" w:hAnsi="Times New Roman" w:eastAsia="宋体" w:cs="Times New Roman"/>
                      <w:b w:val="0"/>
                      <w:bCs/>
                      <w:color w:val="auto"/>
                      <w:kern w:val="2"/>
                      <w:sz w:val="21"/>
                      <w:szCs w:val="21"/>
                      <w:highlight w:val="none"/>
                      <w:lang w:val="en-US" w:eastAsia="zh-CN" w:bidi="zh-CN"/>
                    </w:rPr>
                    <w:t>3800</w:t>
                  </w:r>
                </w:p>
              </w:tc>
              <w:tc>
                <w:tcPr>
                  <w:tcW w:w="925" w:type="pct"/>
                  <w:tcBorders>
                    <w:tl2br w:val="nil"/>
                    <w:tr2bl w:val="nil"/>
                  </w:tcBorders>
                  <w:noWrap w:val="0"/>
                  <w:vAlign w:val="center"/>
                </w:tcPr>
                <w:p w14:paraId="41A4C8A3">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zh-CN"/>
                    </w:rPr>
                  </w:pPr>
                  <w:r>
                    <w:rPr>
                      <w:rFonts w:hint="default" w:ascii="Times New Roman" w:hAnsi="Times New Roman" w:eastAsia="宋体" w:cs="Times New Roman"/>
                      <w:b w:val="0"/>
                      <w:bCs/>
                      <w:color w:val="auto"/>
                      <w:sz w:val="21"/>
                      <w:szCs w:val="21"/>
                      <w:highlight w:val="none"/>
                      <w:lang w:val="en-US" w:eastAsia="zh-CN"/>
                    </w:rPr>
                    <w:t>0</w:t>
                  </w:r>
                </w:p>
              </w:tc>
              <w:tc>
                <w:tcPr>
                  <w:tcW w:w="866" w:type="pct"/>
                  <w:tcBorders>
                    <w:tl2br w:val="nil"/>
                    <w:tr2bl w:val="nil"/>
                  </w:tcBorders>
                  <w:noWrap w:val="0"/>
                  <w:vAlign w:val="center"/>
                </w:tcPr>
                <w:p w14:paraId="7D6CE280">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zh-CN"/>
                    </w:rPr>
                  </w:pPr>
                  <w:r>
                    <w:rPr>
                      <w:rFonts w:hint="default" w:ascii="Times New Roman" w:hAnsi="Times New Roman" w:eastAsia="宋体" w:cs="Times New Roman"/>
                      <w:b w:val="0"/>
                      <w:bCs/>
                      <w:color w:val="auto"/>
                      <w:sz w:val="21"/>
                      <w:szCs w:val="21"/>
                      <w:highlight w:val="none"/>
                      <w:lang w:val="en-US" w:eastAsia="zh-CN"/>
                    </w:rPr>
                    <w:t>0</w:t>
                  </w:r>
                </w:p>
              </w:tc>
            </w:tr>
            <w:tr w14:paraId="79F1468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368" w:type="pct"/>
                  <w:tcBorders>
                    <w:tl2br w:val="nil"/>
                    <w:tr2bl w:val="nil"/>
                  </w:tcBorders>
                  <w:noWrap w:val="0"/>
                  <w:vAlign w:val="center"/>
                </w:tcPr>
                <w:p w14:paraId="646D16D5">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zh-CN" w:eastAsia="zh-CN" w:bidi="zh-CN"/>
                    </w:rPr>
                  </w:pPr>
                  <w:r>
                    <w:rPr>
                      <w:rFonts w:hint="default" w:ascii="Times New Roman" w:hAnsi="Times New Roman" w:eastAsia="宋体" w:cs="Times New Roman"/>
                      <w:b w:val="0"/>
                      <w:bCs/>
                      <w:color w:val="auto"/>
                      <w:w w:val="99"/>
                      <w:sz w:val="21"/>
                      <w:szCs w:val="21"/>
                      <w:highlight w:val="none"/>
                      <w:lang w:val="en-US" w:eastAsia="zh-CN"/>
                    </w:rPr>
                    <w:t>4</w:t>
                  </w:r>
                </w:p>
              </w:tc>
              <w:tc>
                <w:tcPr>
                  <w:tcW w:w="881" w:type="pct"/>
                  <w:tcBorders>
                    <w:tl2br w:val="nil"/>
                    <w:tr2bl w:val="nil"/>
                  </w:tcBorders>
                  <w:noWrap w:val="0"/>
                  <w:vAlign w:val="center"/>
                </w:tcPr>
                <w:p w14:paraId="0D1C93E0">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zh-CN"/>
                    </w:rPr>
                  </w:pPr>
                  <w:r>
                    <w:rPr>
                      <w:rFonts w:hint="default" w:ascii="Times New Roman" w:hAnsi="Times New Roman" w:eastAsia="宋体" w:cs="Times New Roman"/>
                      <w:b w:val="0"/>
                      <w:bCs/>
                      <w:color w:val="auto"/>
                      <w:sz w:val="21"/>
                      <w:szCs w:val="21"/>
                      <w:highlight w:val="none"/>
                      <w:lang w:val="en-US" w:eastAsia="zh-CN"/>
                    </w:rPr>
                    <w:t>临时道路</w:t>
                  </w:r>
                </w:p>
              </w:tc>
              <w:tc>
                <w:tcPr>
                  <w:tcW w:w="930" w:type="pct"/>
                  <w:tcBorders>
                    <w:tl2br w:val="nil"/>
                    <w:tr2bl w:val="nil"/>
                  </w:tcBorders>
                  <w:noWrap w:val="0"/>
                  <w:vAlign w:val="center"/>
                </w:tcPr>
                <w:p w14:paraId="2DCF2A95">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zh-CN"/>
                    </w:rPr>
                  </w:pPr>
                  <w:r>
                    <w:rPr>
                      <w:rFonts w:hint="default" w:ascii="Times New Roman" w:hAnsi="Times New Roman" w:eastAsia="宋体" w:cs="Times New Roman"/>
                      <w:b w:val="0"/>
                      <w:bCs/>
                      <w:color w:val="auto"/>
                      <w:kern w:val="2"/>
                      <w:sz w:val="21"/>
                      <w:szCs w:val="21"/>
                      <w:highlight w:val="none"/>
                      <w:lang w:val="en-US" w:eastAsia="zh-CN" w:bidi="zh-CN"/>
                    </w:rPr>
                    <w:t>1000</w:t>
                  </w:r>
                </w:p>
              </w:tc>
              <w:tc>
                <w:tcPr>
                  <w:tcW w:w="1027" w:type="pct"/>
                  <w:tcBorders>
                    <w:tl2br w:val="nil"/>
                    <w:tr2bl w:val="nil"/>
                  </w:tcBorders>
                  <w:noWrap w:val="0"/>
                  <w:vAlign w:val="center"/>
                </w:tcPr>
                <w:p w14:paraId="7001D5F8">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zh-CN"/>
                    </w:rPr>
                  </w:pPr>
                  <w:r>
                    <w:rPr>
                      <w:rFonts w:hint="default" w:ascii="Times New Roman" w:hAnsi="Times New Roman" w:eastAsia="宋体" w:cs="Times New Roman"/>
                      <w:b w:val="0"/>
                      <w:bCs/>
                      <w:color w:val="auto"/>
                      <w:kern w:val="2"/>
                      <w:sz w:val="21"/>
                      <w:szCs w:val="21"/>
                      <w:highlight w:val="none"/>
                      <w:lang w:val="en-US" w:eastAsia="zh-CN" w:bidi="zh-CN"/>
                    </w:rPr>
                    <w:t>2000</w:t>
                  </w:r>
                </w:p>
              </w:tc>
              <w:tc>
                <w:tcPr>
                  <w:tcW w:w="925" w:type="pct"/>
                  <w:tcBorders>
                    <w:tl2br w:val="nil"/>
                    <w:tr2bl w:val="nil"/>
                  </w:tcBorders>
                  <w:noWrap w:val="0"/>
                  <w:vAlign w:val="center"/>
                </w:tcPr>
                <w:p w14:paraId="7652B2BC">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zh-CN"/>
                    </w:rPr>
                  </w:pPr>
                  <w:r>
                    <w:rPr>
                      <w:rFonts w:hint="default" w:ascii="Times New Roman" w:hAnsi="Times New Roman" w:eastAsia="宋体" w:cs="Times New Roman"/>
                      <w:b w:val="0"/>
                      <w:bCs/>
                      <w:color w:val="auto"/>
                      <w:kern w:val="2"/>
                      <w:sz w:val="21"/>
                      <w:szCs w:val="21"/>
                      <w:highlight w:val="none"/>
                      <w:lang w:val="en-US" w:eastAsia="zh-CN" w:bidi="zh-CN"/>
                    </w:rPr>
                    <w:t>1000</w:t>
                  </w:r>
                </w:p>
              </w:tc>
              <w:tc>
                <w:tcPr>
                  <w:tcW w:w="866" w:type="pct"/>
                  <w:tcBorders>
                    <w:tl2br w:val="nil"/>
                    <w:tr2bl w:val="nil"/>
                  </w:tcBorders>
                  <w:noWrap w:val="0"/>
                  <w:vAlign w:val="center"/>
                </w:tcPr>
                <w:p w14:paraId="3BEE082F">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zh-CN"/>
                    </w:rPr>
                  </w:pPr>
                  <w:r>
                    <w:rPr>
                      <w:rFonts w:hint="default" w:ascii="Times New Roman" w:hAnsi="Times New Roman" w:eastAsia="宋体" w:cs="Times New Roman"/>
                      <w:b w:val="0"/>
                      <w:bCs/>
                      <w:color w:val="auto"/>
                      <w:sz w:val="21"/>
                      <w:szCs w:val="21"/>
                      <w:highlight w:val="none"/>
                      <w:lang w:val="en-US" w:eastAsia="zh-CN"/>
                    </w:rPr>
                    <w:t>0</w:t>
                  </w:r>
                </w:p>
              </w:tc>
            </w:tr>
            <w:tr w14:paraId="2E6F6A0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368" w:type="pct"/>
                  <w:tcBorders>
                    <w:tl2br w:val="nil"/>
                    <w:tr2bl w:val="nil"/>
                  </w:tcBorders>
                  <w:noWrap w:val="0"/>
                  <w:vAlign w:val="center"/>
                </w:tcPr>
                <w:p w14:paraId="64BB5F19">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zh-CN"/>
                    </w:rPr>
                  </w:pPr>
                </w:p>
              </w:tc>
              <w:tc>
                <w:tcPr>
                  <w:tcW w:w="881" w:type="pct"/>
                  <w:tcBorders>
                    <w:tl2br w:val="nil"/>
                    <w:tr2bl w:val="nil"/>
                  </w:tcBorders>
                  <w:noWrap w:val="0"/>
                  <w:vAlign w:val="center"/>
                </w:tcPr>
                <w:p w14:paraId="0736929B">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zh-CN" w:eastAsia="zh-CN" w:bidi="zh-CN"/>
                    </w:rPr>
                  </w:pPr>
                  <w:r>
                    <w:rPr>
                      <w:rFonts w:hint="default" w:ascii="Times New Roman" w:hAnsi="Times New Roman" w:eastAsia="宋体" w:cs="Times New Roman"/>
                      <w:b w:val="0"/>
                      <w:bCs/>
                      <w:color w:val="auto"/>
                      <w:sz w:val="21"/>
                      <w:szCs w:val="21"/>
                      <w:highlight w:val="none"/>
                    </w:rPr>
                    <w:t>合计</w:t>
                  </w:r>
                </w:p>
              </w:tc>
              <w:tc>
                <w:tcPr>
                  <w:tcW w:w="930" w:type="pct"/>
                  <w:tcBorders>
                    <w:tl2br w:val="nil"/>
                    <w:tr2bl w:val="nil"/>
                  </w:tcBorders>
                  <w:noWrap w:val="0"/>
                  <w:vAlign w:val="center"/>
                </w:tcPr>
                <w:p w14:paraId="00D59DC1">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8800</w:t>
                  </w:r>
                </w:p>
              </w:tc>
              <w:tc>
                <w:tcPr>
                  <w:tcW w:w="1027" w:type="pct"/>
                  <w:tcBorders>
                    <w:tl2br w:val="nil"/>
                    <w:tr2bl w:val="nil"/>
                  </w:tcBorders>
                  <w:noWrap w:val="0"/>
                  <w:vAlign w:val="center"/>
                </w:tcPr>
                <w:p w14:paraId="41D297B8">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zh-CN"/>
                    </w:rPr>
                  </w:pPr>
                  <w:r>
                    <w:rPr>
                      <w:rFonts w:hint="default" w:ascii="Times New Roman" w:hAnsi="Times New Roman" w:eastAsia="宋体" w:cs="Times New Roman"/>
                      <w:b w:val="0"/>
                      <w:bCs/>
                      <w:color w:val="auto"/>
                      <w:kern w:val="2"/>
                      <w:sz w:val="21"/>
                      <w:szCs w:val="21"/>
                      <w:highlight w:val="none"/>
                      <w:lang w:val="en-US" w:eastAsia="zh-CN" w:bidi="zh-CN"/>
                    </w:rPr>
                    <w:t>8800</w:t>
                  </w:r>
                </w:p>
              </w:tc>
              <w:tc>
                <w:tcPr>
                  <w:tcW w:w="925" w:type="pct"/>
                  <w:tcBorders>
                    <w:tl2br w:val="nil"/>
                    <w:tr2bl w:val="nil"/>
                  </w:tcBorders>
                  <w:noWrap w:val="0"/>
                  <w:vAlign w:val="center"/>
                </w:tcPr>
                <w:p w14:paraId="750C13F0">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1000</w:t>
                  </w:r>
                </w:p>
              </w:tc>
              <w:tc>
                <w:tcPr>
                  <w:tcW w:w="866" w:type="pct"/>
                  <w:tcBorders>
                    <w:tl2br w:val="nil"/>
                    <w:tr2bl w:val="nil"/>
                  </w:tcBorders>
                  <w:noWrap w:val="0"/>
                  <w:vAlign w:val="center"/>
                </w:tcPr>
                <w:p w14:paraId="64301051">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1000</w:t>
                  </w:r>
                </w:p>
              </w:tc>
            </w:tr>
          </w:tbl>
          <w:p w14:paraId="514F04A6">
            <w:pPr>
              <w:keepNext w:val="0"/>
              <w:keepLines/>
              <w:pageBreakBefore w:val="0"/>
              <w:widowControl w:val="0"/>
              <w:numPr>
                <w:ilvl w:val="0"/>
                <w:numId w:val="0"/>
              </w:numPr>
              <w:kinsoku/>
              <w:wordWrap/>
              <w:overflowPunct/>
              <w:topLinePunct w:val="0"/>
              <w:bidi w:val="0"/>
              <w:adjustRightInd w:val="0"/>
              <w:snapToGrid w:val="0"/>
              <w:spacing w:line="360" w:lineRule="auto"/>
              <w:jc w:val="both"/>
              <w:rPr>
                <w:rFonts w:hint="default"/>
                <w:b/>
                <w:bCs/>
                <w:sz w:val="24"/>
                <w:szCs w:val="24"/>
                <w:lang w:val="en-US" w:eastAsia="zh-CN"/>
              </w:rPr>
            </w:pPr>
          </w:p>
        </w:tc>
      </w:tr>
      <w:tr w14:paraId="5AC58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33" w:type="dxa"/>
            <w:tcBorders>
              <w:top w:val="single" w:color="000000" w:sz="2" w:space="0"/>
              <w:bottom w:val="single" w:color="000000" w:sz="2" w:space="0"/>
              <w:right w:val="single" w:color="000000" w:sz="2" w:space="0"/>
            </w:tcBorders>
            <w:vAlign w:val="center"/>
          </w:tcPr>
          <w:p w14:paraId="0712F9B1">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施工方案</w:t>
            </w:r>
          </w:p>
        </w:tc>
        <w:tc>
          <w:tcPr>
            <w:tcW w:w="8741" w:type="dxa"/>
            <w:tcBorders>
              <w:top w:val="single" w:color="000000" w:sz="2" w:space="0"/>
              <w:left w:val="single" w:color="000000" w:sz="2" w:space="0"/>
              <w:bottom w:val="single" w:color="000000" w:sz="2" w:space="0"/>
            </w:tcBorders>
            <w:vAlign w:val="top"/>
          </w:tcPr>
          <w:p w14:paraId="5F451A3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1、施工期</w:t>
            </w:r>
          </w:p>
          <w:p w14:paraId="1FD2C6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(1)架空线路施工和工艺</w:t>
            </w:r>
          </w:p>
          <w:p w14:paraId="4ADF6569">
            <w:pPr>
              <w:keepNext w:val="0"/>
              <w:keepLines w:val="0"/>
              <w:widowControl/>
              <w:suppressLineNumbers w:val="0"/>
              <w:spacing w:line="360" w:lineRule="auto"/>
              <w:ind w:firstLine="480" w:firstLineChars="200"/>
              <w:jc w:val="left"/>
              <w:rPr>
                <w:sz w:val="24"/>
                <w:highlight w:val="none"/>
              </w:rPr>
            </w:pPr>
            <w:r>
              <w:rPr>
                <w:sz w:val="24"/>
                <w:highlight w:val="none"/>
              </w:rPr>
              <w:t>线路工程主要有：基础施工、铁塔组装、架线、验收消缺、启动运行几个阶段，采用机械施工与人工施工相结合的方法进行。输电线路工艺流程图详见图</w:t>
            </w:r>
            <w:r>
              <w:rPr>
                <w:rFonts w:hint="eastAsia"/>
                <w:sz w:val="24"/>
                <w:highlight w:val="none"/>
                <w:lang w:val="en-US" w:eastAsia="zh-CN"/>
              </w:rPr>
              <w:t>2-6</w:t>
            </w:r>
            <w:r>
              <w:rPr>
                <w:sz w:val="24"/>
                <w:highlight w:val="none"/>
              </w:rPr>
              <w:t>。</w:t>
            </w:r>
          </w:p>
          <w:p w14:paraId="34E98225">
            <w:pPr>
              <w:keepNext w:val="0"/>
              <w:keepLines w:val="0"/>
              <w:widowControl/>
              <w:suppressLineNumbers w:val="0"/>
              <w:spacing w:line="360" w:lineRule="auto"/>
              <w:jc w:val="left"/>
              <w:rPr>
                <w:rFonts w:hint="eastAsia" w:eastAsia="宋体"/>
                <w:sz w:val="24"/>
                <w:szCs w:val="24"/>
                <w:highlight w:val="none"/>
                <w:lang w:eastAsia="zh-CN"/>
              </w:rPr>
            </w:pPr>
            <w:r>
              <w:rPr>
                <w:highlight w:val="none"/>
              </w:rPr>
              <w:object>
                <v:shape id="_x0000_i1025" o:spt="75" type="#_x0000_t75" style="height:75.75pt;width:406.95pt;" o:ole="t" filled="f" o:preferrelative="t" stroked="f" coordsize="21600,21600">
                  <v:path/>
                  <v:fill on="f" focussize="0,0"/>
                  <v:stroke on="f"/>
                  <v:imagedata r:id="rId17" o:title=""/>
                  <o:lock v:ext="edit" aspectratio="t"/>
                  <w10:wrap type="none"/>
                  <w10:anchorlock/>
                </v:shape>
                <o:OLEObject Type="Embed" ProgID="Visio.Drawing.11" ShapeID="_x0000_i1025" DrawAspect="Content" ObjectID="_1468075725" r:id="rId16">
                  <o:LockedField>false</o:LockedField>
                </o:OLEObject>
              </w:object>
            </w:r>
          </w:p>
          <w:p w14:paraId="22B6DCC9">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图</w:t>
            </w:r>
            <w:r>
              <w:rPr>
                <w:rFonts w:hint="eastAsia" w:ascii="Times New Roman" w:hAnsi="Times New Roman" w:eastAsia="宋体" w:cs="Times New Roman"/>
                <w:b/>
                <w:bCs/>
                <w:color w:val="auto"/>
                <w:kern w:val="0"/>
                <w:sz w:val="24"/>
                <w:szCs w:val="24"/>
                <w:highlight w:val="none"/>
                <w:lang w:val="en-US" w:eastAsia="zh-CN"/>
              </w:rPr>
              <w:t>2</w:t>
            </w:r>
            <w:r>
              <w:rPr>
                <w:rFonts w:hint="default" w:ascii="Times New Roman" w:hAnsi="Times New Roman" w:eastAsia="宋体" w:cs="Times New Roman"/>
                <w:b/>
                <w:bCs/>
                <w:color w:val="auto"/>
                <w:kern w:val="0"/>
                <w:sz w:val="24"/>
                <w:szCs w:val="24"/>
                <w:highlight w:val="none"/>
                <w:lang w:val="en-US" w:eastAsia="zh-CN"/>
              </w:rPr>
              <w:t>-</w:t>
            </w:r>
            <w:r>
              <w:rPr>
                <w:rFonts w:hint="eastAsia" w:ascii="Times New Roman" w:hAnsi="Times New Roman" w:eastAsia="宋体" w:cs="Times New Roman"/>
                <w:b/>
                <w:bCs/>
                <w:color w:val="auto"/>
                <w:kern w:val="0"/>
                <w:sz w:val="24"/>
                <w:szCs w:val="24"/>
                <w:highlight w:val="none"/>
                <w:lang w:val="en-US" w:eastAsia="zh-CN"/>
              </w:rPr>
              <w:t>6架空线路</w:t>
            </w:r>
            <w:r>
              <w:rPr>
                <w:rFonts w:hint="default" w:ascii="Times New Roman" w:hAnsi="Times New Roman" w:eastAsia="宋体" w:cs="Times New Roman"/>
                <w:b/>
                <w:bCs/>
                <w:color w:val="auto"/>
                <w:kern w:val="0"/>
                <w:sz w:val="24"/>
                <w:szCs w:val="24"/>
                <w:highlight w:val="none"/>
                <w:lang w:val="en-US" w:eastAsia="zh-CN"/>
              </w:rPr>
              <w:t>施工期工序流程图</w:t>
            </w:r>
          </w:p>
          <w:p w14:paraId="49390799">
            <w:pPr>
              <w:pStyle w:val="26"/>
              <w:spacing w:line="360" w:lineRule="auto"/>
              <w:ind w:firstLine="480" w:firstLineChars="200"/>
              <w:rPr>
                <w:rFonts w:ascii="Times New Roman" w:hAnsi="Times New Roman" w:cs="Times New Roman"/>
                <w:bCs/>
                <w:sz w:val="24"/>
                <w:szCs w:val="24"/>
                <w:highlight w:val="none"/>
              </w:rPr>
            </w:pPr>
            <w:r>
              <w:rPr>
                <w:rFonts w:hint="eastAsia"/>
                <w:bCs/>
                <w:sz w:val="24"/>
                <w:szCs w:val="24"/>
                <w:highlight w:val="none"/>
              </w:rPr>
              <w:t>①</w:t>
            </w:r>
            <w:r>
              <w:rPr>
                <w:rFonts w:ascii="Times New Roman" w:hAnsi="Times New Roman" w:cs="Times New Roman"/>
                <w:bCs/>
                <w:sz w:val="24"/>
                <w:szCs w:val="24"/>
                <w:highlight w:val="none"/>
              </w:rPr>
              <w:t>塔基施工</w:t>
            </w:r>
          </w:p>
          <w:p w14:paraId="76B53FE4">
            <w:pPr>
              <w:pStyle w:val="26"/>
              <w:spacing w:line="360" w:lineRule="auto"/>
              <w:ind w:firstLine="480" w:firstLineChars="200"/>
              <w:rPr>
                <w:rFonts w:ascii="Times New Roman" w:hAnsi="Times New Roman" w:cs="Times New Roman"/>
                <w:bCs/>
                <w:sz w:val="24"/>
                <w:szCs w:val="24"/>
                <w:highlight w:val="none"/>
              </w:rPr>
            </w:pPr>
            <w:r>
              <w:rPr>
                <w:rFonts w:ascii="Times New Roman" w:hAnsi="Times New Roman" w:cs="Times New Roman"/>
                <w:bCs/>
                <w:sz w:val="24"/>
                <w:szCs w:val="24"/>
                <w:highlight w:val="none"/>
              </w:rPr>
              <w:t>在塔基施工中按照设计要求进行施工，特别注意隐藏部位浇制和基础养护，专职质检员必须严把质量关，逐基对基坑进行验收。</w:t>
            </w:r>
          </w:p>
          <w:p w14:paraId="30582DEF">
            <w:pPr>
              <w:pStyle w:val="26"/>
              <w:spacing w:line="360" w:lineRule="auto"/>
              <w:ind w:firstLine="480" w:firstLineChars="200"/>
              <w:rPr>
                <w:rFonts w:hint="eastAsia" w:ascii="Times New Roman" w:hAnsi="Times New Roman" w:cs="Times New Roman"/>
                <w:bCs/>
                <w:sz w:val="24"/>
                <w:szCs w:val="24"/>
                <w:highlight w:val="none"/>
                <w:lang w:eastAsia="zh-CN"/>
              </w:rPr>
            </w:pPr>
            <w:r>
              <w:rPr>
                <w:rFonts w:ascii="Times New Roman" w:hAnsi="Times New Roman" w:cs="Times New Roman"/>
                <w:bCs/>
                <w:sz w:val="24"/>
                <w:szCs w:val="24"/>
                <w:highlight w:val="none"/>
              </w:rPr>
              <w:t>土方开挖，平地段塔位基坑开挖、以及有条件的地段，应优先采用挖掘机进行基坑开挖工作，提供施工的效率，降低人工开挖的劳动强度。尽量缩短基坑暴露时间，一般随挖随浇基础，同时做好基面工作，保证塔位和基坑不积水</w:t>
            </w:r>
            <w:r>
              <w:rPr>
                <w:rFonts w:hint="eastAsia" w:ascii="Times New Roman" w:hAnsi="Times New Roman" w:cs="Times New Roman"/>
                <w:bCs/>
                <w:sz w:val="24"/>
                <w:szCs w:val="24"/>
                <w:highlight w:val="none"/>
                <w:lang w:eastAsia="zh-CN"/>
              </w:rPr>
              <w:t>；</w:t>
            </w:r>
          </w:p>
          <w:p w14:paraId="21A19D86">
            <w:pPr>
              <w:pStyle w:val="26"/>
              <w:spacing w:line="360" w:lineRule="auto"/>
              <w:ind w:firstLine="480" w:firstLineChars="200"/>
              <w:rPr>
                <w:rFonts w:hint="eastAsia" w:ascii="Times New Roman" w:hAnsi="Times New Roman" w:cs="Times New Roman"/>
                <w:bCs/>
                <w:sz w:val="24"/>
                <w:szCs w:val="24"/>
                <w:highlight w:val="none"/>
                <w:lang w:val="en-US" w:eastAsia="zh-CN"/>
              </w:rPr>
            </w:pPr>
            <w:r>
              <w:rPr>
                <w:rFonts w:hint="eastAsia" w:ascii="Times New Roman" w:hAnsi="Times New Roman" w:cs="Times New Roman"/>
                <w:bCs/>
                <w:sz w:val="24"/>
                <w:szCs w:val="24"/>
                <w:highlight w:val="none"/>
                <w:lang w:val="en-US" w:eastAsia="zh-CN"/>
              </w:rPr>
              <w:t>灌注桩施工：干作业成孔灌注桩施工工艺流程：测定桩位→钻孔→清孔→下钢筋笼→浇筑混凝土。钻孔灌注桩施工技术是一种施工成本低、施工操作简单、无振动及噪音及挤土效应的混凝土技术。钻孔灌注桩施工技术已被广泛应用到建筑工程施工领域。大量实践案例表明，钻孔灌注桩具有较高的安全性及较强的稳定性，即混凝土浆液渗透至土层深处，能使土层与灌注桩体紧密结合起来，从而使地基更加牢固可靠，同时灌注桩能够有效控制地基沉降，从而对土层产生压实效果；钻孔灌注桩对土层起着较好的渗透、压密及劈裂作用，且三者间的相互作用能使土层更加稳固。钻孔灌注桩的施工环境极其恶劣，因此应用过程势必受到诸多因素的影响。可见，加强对钻孔灌注桩施工技术的应用研究具有现实意义。</w:t>
            </w:r>
          </w:p>
          <w:p w14:paraId="1F1DF61D">
            <w:pPr>
              <w:pStyle w:val="26"/>
              <w:spacing w:line="360" w:lineRule="auto"/>
              <w:ind w:firstLine="480" w:firstLineChars="200"/>
              <w:rPr>
                <w:rFonts w:ascii="Times New Roman" w:hAnsi="Times New Roman" w:cs="Times New Roman"/>
                <w:bCs/>
                <w:sz w:val="24"/>
                <w:szCs w:val="24"/>
                <w:highlight w:val="none"/>
              </w:rPr>
            </w:pPr>
            <w:r>
              <w:rPr>
                <w:rFonts w:ascii="Times New Roman" w:hAnsi="Times New Roman" w:cs="Times New Roman"/>
                <w:bCs/>
                <w:sz w:val="24"/>
                <w:szCs w:val="24"/>
                <w:highlight w:val="none"/>
              </w:rPr>
              <w:t>基础混凝土养护，浇筑后应在12小时内开始浇水养护，当天气炎热、干燥有风时，应在3小时内进行浇水养护，养护时应在模板外覆盖草袋等，遮盖物浇水次数应能保持混凝士表面始终湿润。当室外平均气温低于5℃时，不得浇水养护，应按冬季施工养护。</w:t>
            </w:r>
          </w:p>
          <w:p w14:paraId="7F4ED18B">
            <w:pPr>
              <w:pStyle w:val="26"/>
              <w:spacing w:line="360" w:lineRule="auto"/>
              <w:ind w:firstLine="480" w:firstLineChars="200"/>
              <w:rPr>
                <w:rFonts w:hint="eastAsia"/>
                <w:bCs/>
                <w:color w:val="auto"/>
                <w:sz w:val="24"/>
                <w:szCs w:val="24"/>
                <w:highlight w:val="none"/>
              </w:rPr>
            </w:pPr>
            <w:r>
              <w:rPr>
                <w:rFonts w:hint="eastAsia"/>
                <w:bCs/>
                <w:color w:val="auto"/>
                <w:sz w:val="24"/>
                <w:szCs w:val="24"/>
                <w:highlight w:val="none"/>
              </w:rPr>
              <w:t>所采用的基础形式不同，则施工工艺也不同。本项目主要采用的基础类型为台阶式刚性基础和灌注桩基础。</w:t>
            </w:r>
          </w:p>
          <w:p w14:paraId="699B7A82">
            <w:pPr>
              <w:pStyle w:val="26"/>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 xml:space="preserve">②组塔施工 </w:t>
            </w:r>
          </w:p>
          <w:p w14:paraId="5675B1C5">
            <w:pPr>
              <w:pStyle w:val="26"/>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 xml:space="preserve">铁塔组立分为整体组立和分解组立两大类。采用整体组立杆塔施工工艺，须先在地面将杆塔整体组装好，这样不仅能大大减小高空作业，提高施工效率，而且有利于安全作业，并且由于机械设备利用效率高，能提高经济效益。但整体组立杆塔容易受地形条件、铁塔型式和起吊设备的限制，此种情况下，可采用铁塔分解组立的施工方法。本项目铁塔在建设过程中，需根据具体铁塔所处的地形条件和铁塔型式采用适宜的施工方法。 </w:t>
            </w:r>
          </w:p>
          <w:p w14:paraId="098E7EBC">
            <w:pPr>
              <w:pStyle w:val="26"/>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 xml:space="preserve">③架线施工 </w:t>
            </w:r>
          </w:p>
          <w:p w14:paraId="5EA6A694">
            <w:pPr>
              <w:pStyle w:val="26"/>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各线路导、地线均采用张力放线施工方法，防止在放线过程中导、地线落地拖拉及相互摩擦。采用张力放线施工时需设置牵张场地，一般利用当地道路；当塔位离施工道路较远或不能满足要求时，根据工程实际情况设置牵张场地，牵张场应满足牵引机、张力机能直接运达到位，地形应平坦，能满足布置牵张设备、布置导线及施工操作等要求在施工结束后，牵张场地等临时占地应恢复原来使用功能。本项目共设置</w:t>
            </w:r>
            <w:r>
              <w:rPr>
                <w:rFonts w:hint="eastAsia" w:ascii="Times New Roman" w:hAnsi="Times New Roman" w:eastAsia="宋体" w:cs="Times New Roman"/>
                <w:bCs/>
                <w:color w:val="auto"/>
                <w:sz w:val="24"/>
                <w:szCs w:val="24"/>
                <w:highlight w:val="none"/>
                <w:lang w:val="en-US" w:eastAsia="zh-CN"/>
              </w:rPr>
              <w:t>8</w:t>
            </w:r>
            <w:r>
              <w:rPr>
                <w:rFonts w:hint="default" w:ascii="Times New Roman" w:hAnsi="Times New Roman" w:eastAsia="宋体" w:cs="Times New Roman"/>
                <w:bCs/>
                <w:color w:val="auto"/>
                <w:sz w:val="24"/>
                <w:szCs w:val="24"/>
                <w:highlight w:val="none"/>
                <w:lang w:val="en-US" w:eastAsia="zh-CN"/>
              </w:rPr>
              <w:t xml:space="preserve">处牵张场地。 </w:t>
            </w:r>
          </w:p>
          <w:p w14:paraId="07E853CD">
            <w:pPr>
              <w:pStyle w:val="26"/>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 xml:space="preserve">④跨越架搭设 </w:t>
            </w:r>
          </w:p>
          <w:p w14:paraId="334C008A">
            <w:pPr>
              <w:pStyle w:val="26"/>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 xml:space="preserve">本项目输电线路架线施工将跨越各类基础设施，主要包括：电力线、通信线、国道等级公路等。本项目架线采用张力放线施工方法，张力架线全过程中导(地)线是架空状态的，一旦发生张力失控，导(地)线将落至被跨越设施，从而对被跨越设施产生影响。因此，目前跨越架线施工一般采用跨越架施工方式，通过在被跨越设施两侧设立跨越架，跨越架之间架设承力索，通过承力索进行封顶网安装，有效遮护被跨越物，起到保护被跨越物作用。应用跨越架的结构形式有：木（竹）质结构跨越架、悬索式跨越架。 </w:t>
            </w:r>
          </w:p>
          <w:p w14:paraId="51C185E4">
            <w:pPr>
              <w:pStyle w:val="26"/>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 xml:space="preserve">木(竹)质结构跨越架：用经纬仪测出线路与被跨越设施交叉的中心点，定出两侧跨越架的设置位置。跨越架横向中心线必须在线路的中心线上，于指定地点安装木(竹)质结构跨越架，跨越架体搭设完成后，用钢丝绳连接成一体加强跨越架的稳定性，同时钢丝绳作为封顶网的承力索，在承托线上铺封顶网(麻绳或尼龙绳编制)并作为展放导地线的滑道。跨越架线完成后，及时拆除跨越架。 </w:t>
            </w:r>
          </w:p>
          <w:p w14:paraId="7B305B43">
            <w:pPr>
              <w:pStyle w:val="26"/>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 xml:space="preserve">悬索式跨越架：主要是利用被跨越设施两侧跨越塔做支撑，在两塔之间架设承力索，通过承力索进行封顶网安装有效遮护被跨越物，起到保护被跨越物作用。 </w:t>
            </w:r>
          </w:p>
          <w:p w14:paraId="6242A874">
            <w:pPr>
              <w:pStyle w:val="26"/>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线路工程跨越施工时，应对被跨越设施进行现场调查，了解跨越地形条件、跨越设施的位置、跨越物的重要程度等内容，选用合适的跨越方式进行施工，</w:t>
            </w:r>
          </w:p>
          <w:p w14:paraId="0EC8301D">
            <w:pPr>
              <w:pStyle w:val="26"/>
              <w:spacing w:line="360" w:lineRule="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不会对跨越设施产生影响</w:t>
            </w:r>
            <w:r>
              <w:rPr>
                <w:rFonts w:hint="default" w:ascii="Times New Roman" w:hAnsi="Times New Roman" w:eastAsia="宋体" w:cs="Times New Roman"/>
                <w:bCs/>
                <w:color w:val="auto"/>
                <w:sz w:val="24"/>
                <w:szCs w:val="24"/>
                <w:highlight w:val="none"/>
              </w:rPr>
              <w:t>。</w:t>
            </w:r>
          </w:p>
          <w:p w14:paraId="447D4356">
            <w:pPr>
              <w:pStyle w:val="26"/>
              <w:spacing w:line="360" w:lineRule="auto"/>
              <w:ind w:firstLine="482" w:firstLineChars="200"/>
              <w:rPr>
                <w:rFonts w:ascii="Times New Roman" w:hAnsi="Times New Roman" w:cs="Times New Roman"/>
                <w:b/>
                <w:sz w:val="24"/>
                <w:szCs w:val="24"/>
                <w:highlight w:val="none"/>
              </w:rPr>
            </w:pPr>
            <w:r>
              <w:rPr>
                <w:rFonts w:ascii="Times New Roman" w:hAnsi="Times New Roman" w:cs="Times New Roman"/>
                <w:b/>
                <w:sz w:val="24"/>
                <w:szCs w:val="24"/>
                <w:highlight w:val="none"/>
              </w:rPr>
              <w:t>2、运营期</w:t>
            </w:r>
          </w:p>
          <w:p w14:paraId="72504A80">
            <w:pPr>
              <w:pStyle w:val="26"/>
              <w:spacing w:line="360" w:lineRule="auto"/>
              <w:ind w:firstLine="480" w:firstLineChars="200"/>
              <w:rPr>
                <w:rFonts w:ascii="Times New Roman" w:hAnsi="Times New Roman" w:cs="Times New Roman"/>
                <w:bCs/>
                <w:sz w:val="24"/>
                <w:szCs w:val="24"/>
                <w:highlight w:val="none"/>
              </w:rPr>
            </w:pPr>
            <w:r>
              <w:rPr>
                <w:rFonts w:ascii="Times New Roman" w:hAnsi="Times New Roman" w:cs="Times New Roman"/>
                <w:bCs/>
                <w:sz w:val="24"/>
                <w:szCs w:val="24"/>
                <w:highlight w:val="none"/>
              </w:rPr>
              <w:t>项目运营期主要进行电力输送。具体工艺流程如下：</w:t>
            </w:r>
          </w:p>
          <w:p w14:paraId="5291FF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ascii="Times New Roman" w:hAnsi="Times New Roman" w:cs="Times New Roman"/>
                <w:bCs/>
                <w:sz w:val="24"/>
                <w:szCs w:val="24"/>
                <w:highlight w:val="none"/>
              </w:rPr>
            </w:pPr>
            <w:r>
              <w:rPr>
                <w:rFonts w:ascii="Times New Roman" w:hAnsi="Times New Roman" w:cs="Times New Roman"/>
                <w:bCs/>
                <w:sz w:val="24"/>
                <w:highlight w:val="none"/>
              </w:rPr>
              <mc:AlternateContent>
                <mc:Choice Requires="wps">
                  <w:drawing>
                    <wp:anchor distT="0" distB="0" distL="114300" distR="114300" simplePos="0" relativeHeight="251667456" behindDoc="0" locked="0" layoutInCell="1" allowOverlap="1">
                      <wp:simplePos x="0" y="0"/>
                      <wp:positionH relativeFrom="column">
                        <wp:posOffset>628650</wp:posOffset>
                      </wp:positionH>
                      <wp:positionV relativeFrom="paragraph">
                        <wp:posOffset>122555</wp:posOffset>
                      </wp:positionV>
                      <wp:extent cx="614680" cy="891540"/>
                      <wp:effectExtent l="4445" t="4445" r="9525" b="18415"/>
                      <wp:wrapNone/>
                      <wp:docPr id="15" name="文本框 15"/>
                      <wp:cNvGraphicFramePr/>
                      <a:graphic xmlns:a="http://schemas.openxmlformats.org/drawingml/2006/main">
                        <a:graphicData uri="http://schemas.microsoft.com/office/word/2010/wordprocessingShape">
                          <wps:wsp>
                            <wps:cNvSpPr txBox="1"/>
                            <wps:spPr>
                              <a:xfrm>
                                <a:off x="1351915" y="5475605"/>
                                <a:ext cx="614680" cy="474345"/>
                              </a:xfrm>
                              <a:prstGeom prst="rect">
                                <a:avLst/>
                              </a:prstGeom>
                              <a:noFill/>
                              <a:ln w="6350">
                                <a:solidFill>
                                  <a:srgbClr val="000000"/>
                                </a:solidFill>
                              </a:ln>
                              <a:effectLst/>
                            </wps:spPr>
                            <wps:txbx>
                              <w:txbxContent>
                                <w:p w14:paraId="7DBDC9C1">
                                  <w:pPr>
                                    <w:jc w:val="center"/>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华能</w:t>
                                  </w:r>
                                </w:p>
                                <w:p w14:paraId="46028784">
                                  <w:pPr>
                                    <w:jc w:val="center"/>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风电220kV升压站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9.5pt;margin-top:9.65pt;height:70.2pt;width:48.4pt;z-index:251667456;v-text-anchor:middle;mso-width-relative:page;mso-height-relative:page;" filled="f" stroked="t" coordsize="21600,21600" o:gfxdata="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dJbINYAAAAJAQAADwAAAAAAAAABACAAAAAiAAAAZHJzL2Rvd25yZXYueG1sUEsBAhQAFAAA&#10;AAgAh07iQJ3V9oVjAgAArAQAAA4AAAAAAAAAAQAgAAAAJQEAAGRycy9lMm9Eb2MueG1sUEsFBgAA&#10;AAAGAAYAWQEAAPoFAAAAAA==&#10;">
                      <v:fill on="f" focussize="0,0"/>
                      <v:stroke weight="0.5pt" color="#000000" joinstyle="round"/>
                      <v:imagedata o:title=""/>
                      <o:lock v:ext="edit" aspectratio="f"/>
                      <v:textbox>
                        <w:txbxContent>
                          <w:p w14:paraId="7DBDC9C1">
                            <w:pPr>
                              <w:jc w:val="center"/>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华能</w:t>
                            </w:r>
                          </w:p>
                          <w:p w14:paraId="46028784">
                            <w:pPr>
                              <w:jc w:val="center"/>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风电220kV升压站</w:t>
                            </w:r>
                          </w:p>
                        </w:txbxContent>
                      </v:textbox>
                    </v:shape>
                  </w:pict>
                </mc:Fallback>
              </mc:AlternateContent>
            </w:r>
            <w:r>
              <w:rPr>
                <w:rFonts w:ascii="Times New Roman" w:hAnsi="Times New Roman" w:cs="Times New Roman"/>
                <w:bCs/>
                <w:sz w:val="24"/>
                <w:highlight w:val="none"/>
              </w:rPr>
              <mc:AlternateContent>
                <mc:Choice Requires="wps">
                  <w:drawing>
                    <wp:anchor distT="0" distB="0" distL="114300" distR="114300" simplePos="0" relativeHeight="251668480" behindDoc="0" locked="0" layoutInCell="1" allowOverlap="1">
                      <wp:simplePos x="0" y="0"/>
                      <wp:positionH relativeFrom="column">
                        <wp:posOffset>3408680</wp:posOffset>
                      </wp:positionH>
                      <wp:positionV relativeFrom="paragraph">
                        <wp:posOffset>112395</wp:posOffset>
                      </wp:positionV>
                      <wp:extent cx="603885" cy="883920"/>
                      <wp:effectExtent l="5080" t="4445" r="19685" b="6985"/>
                      <wp:wrapNone/>
                      <wp:docPr id="1346595842" name="文本框 1346595842"/>
                      <wp:cNvGraphicFramePr/>
                      <a:graphic xmlns:a="http://schemas.openxmlformats.org/drawingml/2006/main">
                        <a:graphicData uri="http://schemas.microsoft.com/office/word/2010/wordprocessingShape">
                          <wps:wsp>
                            <wps:cNvSpPr txBox="1"/>
                            <wps:spPr>
                              <a:xfrm>
                                <a:off x="1351915" y="5475605"/>
                                <a:ext cx="603885" cy="474345"/>
                              </a:xfrm>
                              <a:prstGeom prst="rect">
                                <a:avLst/>
                              </a:prstGeom>
                              <a:noFill/>
                              <a:ln w="6350">
                                <a:solidFill>
                                  <a:srgbClr val="000000"/>
                                </a:solidFill>
                              </a:ln>
                              <a:effectLst/>
                            </wps:spPr>
                            <wps:txbx>
                              <w:txbxContent>
                                <w:p w14:paraId="18FB21CA">
                                  <w:pPr>
                                    <w:jc w:val="center"/>
                                    <w:rPr>
                                      <w:sz w:val="21"/>
                                      <w:szCs w:val="21"/>
                                    </w:rPr>
                                  </w:pPr>
                                  <w:r>
                                    <w:rPr>
                                      <w:rFonts w:hint="eastAsia" w:ascii="宋体" w:hAnsi="宋体" w:eastAsia="宋体" w:cs="宋体"/>
                                      <w:spacing w:val="3"/>
                                      <w:sz w:val="21"/>
                                      <w:szCs w:val="21"/>
                                      <w:lang w:val="en-US" w:eastAsia="zh-CN"/>
                                    </w:rPr>
                                    <w:t>牌楼500kV变电站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68.4pt;margin-top:8.85pt;height:69.6pt;width:47.55pt;z-index:251668480;v-text-anchor:middle;mso-width-relative:page;mso-height-relative:page;" filled="f" stroked="t" coordsize="21600,21600" o:gfxdata="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OVru2AAAAAoBAAAPAAAAAAAAAAEAIAAAACIAAABkcnMvZG93bnJldi54&#10;bWxQSwECFAAUAAAACACHTuJAt/tccGwCAAC8BAAADgAAAAAAAAABACAAAAAnAQAAZHJzL2Uyb0Rv&#10;Yy54bWxQSwUGAAAAAAYABgBZAQAABQYAAAAA&#10;">
                      <v:fill on="f" focussize="0,0"/>
                      <v:stroke weight="0.5pt" color="#000000" joinstyle="round"/>
                      <v:imagedata o:title=""/>
                      <o:lock v:ext="edit" aspectratio="f"/>
                      <v:textbox>
                        <w:txbxContent>
                          <w:p w14:paraId="18FB21CA">
                            <w:pPr>
                              <w:jc w:val="center"/>
                              <w:rPr>
                                <w:sz w:val="21"/>
                                <w:szCs w:val="21"/>
                              </w:rPr>
                            </w:pPr>
                            <w:r>
                              <w:rPr>
                                <w:rFonts w:hint="eastAsia" w:ascii="宋体" w:hAnsi="宋体" w:eastAsia="宋体" w:cs="宋体"/>
                                <w:spacing w:val="3"/>
                                <w:sz w:val="21"/>
                                <w:szCs w:val="21"/>
                                <w:lang w:val="en-US" w:eastAsia="zh-CN"/>
                              </w:rPr>
                              <w:t>牌楼500kV变电站</w:t>
                            </w:r>
                          </w:p>
                        </w:txbxContent>
                      </v:textbox>
                    </v:shape>
                  </w:pict>
                </mc:Fallback>
              </mc:AlternateContent>
            </w:r>
            <w:r>
              <w:rPr>
                <w:rFonts w:ascii="Times New Roman" w:hAnsi="Times New Roman" w:cs="Times New Roman"/>
                <w:highlight w:val="none"/>
              </w:rPr>
              <w:drawing>
                <wp:anchor distT="0" distB="0" distL="114300" distR="114300" simplePos="0" relativeHeight="251666432" behindDoc="1" locked="0" layoutInCell="1" allowOverlap="1">
                  <wp:simplePos x="0" y="0"/>
                  <wp:positionH relativeFrom="column">
                    <wp:posOffset>1252855</wp:posOffset>
                  </wp:positionH>
                  <wp:positionV relativeFrom="paragraph">
                    <wp:posOffset>121285</wp:posOffset>
                  </wp:positionV>
                  <wp:extent cx="2152650" cy="883285"/>
                  <wp:effectExtent l="0" t="0" r="0" b="12065"/>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8"/>
                          <a:stretch>
                            <a:fillRect/>
                          </a:stretch>
                        </pic:blipFill>
                        <pic:spPr>
                          <a:xfrm>
                            <a:off x="0" y="0"/>
                            <a:ext cx="2152650" cy="883285"/>
                          </a:xfrm>
                          <a:prstGeom prst="rect">
                            <a:avLst/>
                          </a:prstGeom>
                          <a:noFill/>
                          <a:ln>
                            <a:noFill/>
                          </a:ln>
                        </pic:spPr>
                      </pic:pic>
                    </a:graphicData>
                  </a:graphic>
                </wp:anchor>
              </w:drawing>
            </w:r>
          </w:p>
          <w:p w14:paraId="76D80C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ascii="Times New Roman" w:hAnsi="Times New Roman" w:cs="Times New Roman"/>
                <w:bCs/>
                <w:sz w:val="24"/>
                <w:szCs w:val="24"/>
                <w:highlight w:val="none"/>
              </w:rPr>
            </w:pPr>
          </w:p>
          <w:p w14:paraId="117E17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ascii="Times New Roman" w:hAnsi="Times New Roman" w:cs="Times New Roman"/>
                <w:bCs/>
                <w:sz w:val="24"/>
                <w:szCs w:val="24"/>
                <w:highlight w:val="none"/>
              </w:rPr>
            </w:pPr>
          </w:p>
          <w:p w14:paraId="0FBFC6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ascii="Times New Roman" w:hAnsi="Times New Roman" w:cs="Times New Roman"/>
                <w:bCs/>
                <w:sz w:val="24"/>
                <w:szCs w:val="24"/>
                <w:highlight w:val="none"/>
              </w:rPr>
            </w:pPr>
          </w:p>
          <w:p w14:paraId="76B1E439">
            <w:pPr>
              <w:pStyle w:val="26"/>
              <w:spacing w:before="164" w:line="360" w:lineRule="auto"/>
              <w:ind w:firstLine="480" w:firstLineChars="200"/>
              <w:rPr>
                <w:rFonts w:ascii="Times New Roman" w:hAnsi="Times New Roman" w:cs="Times New Roman"/>
                <w:bCs/>
                <w:sz w:val="24"/>
                <w:highlight w:val="none"/>
              </w:rPr>
            </w:pPr>
            <w:r>
              <w:rPr>
                <w:rFonts w:ascii="Times New Roman" w:hAnsi="Times New Roman" w:cs="Times New Roman"/>
                <w:bCs/>
                <w:sz w:val="24"/>
                <w:highlight w:val="none"/>
              </w:rPr>
              <w:t>本项目运营期主要进行电力输送。</w:t>
            </w:r>
          </w:p>
          <w:p w14:paraId="117D47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ascii="Times New Roman" w:hAnsi="Times New Roman" w:cs="Times New Roman"/>
                <w:bCs/>
                <w:sz w:val="24"/>
                <w:highlight w:val="none"/>
              </w:rPr>
              <w:t>此工序中产生的主要污染物为电晕放电噪声和电磁辐射。</w:t>
            </w:r>
          </w:p>
          <w:p w14:paraId="4A9E433A">
            <w:pPr>
              <w:keepNext w:val="0"/>
              <w:keepLines w:val="0"/>
              <w:pageBreakBefore w:val="0"/>
              <w:widowControl/>
              <w:suppressLineNumbers w:val="0"/>
              <w:kinsoku/>
              <w:wordWrap/>
              <w:overflowPunct/>
              <w:topLinePunct w:val="0"/>
              <w:bidi w:val="0"/>
              <w:spacing w:line="360" w:lineRule="auto"/>
              <w:ind w:firstLine="482" w:firstLineChars="200"/>
              <w:jc w:val="left"/>
              <w:rPr>
                <w:rFonts w:hint="default" w:ascii="Times New Roman" w:hAnsi="Times New Roman" w:cs="Times New Roman"/>
                <w:color w:val="auto"/>
                <w:sz w:val="24"/>
                <w:szCs w:val="24"/>
                <w:highlight w:val="none"/>
              </w:rPr>
            </w:pPr>
            <w:r>
              <w:rPr>
                <w:rFonts w:hint="eastAsia" w:ascii="Times New Roman" w:hAnsi="Times New Roman" w:eastAsia="宋体"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eastAsia="zh-CN" w:bidi="ar"/>
              </w:rPr>
              <w:t>、</w:t>
            </w:r>
            <w:r>
              <w:rPr>
                <w:rFonts w:hint="default" w:ascii="Times New Roman" w:hAnsi="Times New Roman" w:eastAsia="宋体" w:cs="Times New Roman"/>
                <w:b/>
                <w:bCs/>
                <w:color w:val="auto"/>
                <w:kern w:val="0"/>
                <w:sz w:val="24"/>
                <w:szCs w:val="24"/>
                <w:highlight w:val="none"/>
                <w:lang w:val="en-US" w:eastAsia="zh-CN" w:bidi="ar"/>
              </w:rPr>
              <w:t>主要污染工序</w:t>
            </w:r>
          </w:p>
          <w:p w14:paraId="0B6740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（1）施工期</w:t>
            </w:r>
          </w:p>
          <w:p w14:paraId="098B0D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①废气：地基挖掘、土方转运等产生的扬尘，车辆运输进出工地所产生的二次扬尘；施工车辆和施工机械尾气，会对周边空气环境造成一定的影响；</w:t>
            </w:r>
          </w:p>
          <w:p w14:paraId="2B3CD9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②废水：施工过程中会产生少量的构件养护所产生的废水</w:t>
            </w:r>
            <w:r>
              <w:rPr>
                <w:rFonts w:hint="eastAsia" w:ascii="Times New Roman" w:hAnsi="Times New Roman" w:eastAsia="宋体" w:cs="Times New Roman"/>
                <w:color w:val="auto"/>
                <w:kern w:val="0"/>
                <w:sz w:val="24"/>
                <w:szCs w:val="24"/>
                <w:highlight w:val="none"/>
                <w:lang w:val="en-US" w:eastAsia="zh-CN"/>
              </w:rPr>
              <w:t>、灌注桩废水</w:t>
            </w:r>
            <w:r>
              <w:rPr>
                <w:rFonts w:hint="default" w:ascii="Times New Roman" w:hAnsi="Times New Roman" w:eastAsia="宋体" w:cs="Times New Roman"/>
                <w:color w:val="auto"/>
                <w:kern w:val="0"/>
                <w:sz w:val="24"/>
                <w:szCs w:val="24"/>
                <w:highlight w:val="none"/>
                <w:lang w:val="en-US" w:eastAsia="zh-CN"/>
              </w:rPr>
              <w:t>及少量施工人员生活污水；</w:t>
            </w:r>
          </w:p>
          <w:p w14:paraId="65DA48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③噪声：建设过程中运输车辆产生的交通噪声，铁塔基础开挖、</w:t>
            </w:r>
            <w:r>
              <w:rPr>
                <w:rFonts w:hint="eastAsia" w:ascii="Times New Roman" w:hAnsi="Times New Roman" w:eastAsia="宋体" w:cs="Times New Roman"/>
                <w:color w:val="auto"/>
                <w:kern w:val="0"/>
                <w:sz w:val="24"/>
                <w:szCs w:val="24"/>
                <w:highlight w:val="none"/>
                <w:lang w:val="en-US" w:eastAsia="zh-CN"/>
              </w:rPr>
              <w:t>钻孔、</w:t>
            </w:r>
            <w:r>
              <w:rPr>
                <w:rFonts w:hint="default" w:ascii="Times New Roman" w:hAnsi="Times New Roman" w:eastAsia="宋体" w:cs="Times New Roman"/>
                <w:color w:val="auto"/>
                <w:kern w:val="0"/>
                <w:sz w:val="24"/>
                <w:szCs w:val="24"/>
                <w:highlight w:val="none"/>
                <w:lang w:val="en-US" w:eastAsia="zh-CN"/>
              </w:rPr>
              <w:t>浇注、管沟挖掘等工程机械产生的机械噪声；</w:t>
            </w:r>
            <w:r>
              <w:rPr>
                <w:rFonts w:hint="eastAsia" w:ascii="Times New Roman" w:hAnsi="Times New Roman" w:eastAsia="宋体" w:cs="Times New Roman"/>
                <w:color w:val="auto"/>
                <w:kern w:val="0"/>
                <w:sz w:val="24"/>
                <w:szCs w:val="24"/>
                <w:highlight w:val="none"/>
                <w:lang w:val="en-US" w:eastAsia="zh-CN"/>
              </w:rPr>
              <w:t>铁塔架设施工机械噪声，线路牵张施工噪声等。</w:t>
            </w:r>
          </w:p>
          <w:p w14:paraId="4E8957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④固体废弃物：固体废物主要为施工人员的生活垃圾和建设过程中产生的水泥块等建筑垃圾，以及少量废弃材料包装和废弃的金具等；</w:t>
            </w:r>
          </w:p>
          <w:p w14:paraId="0A23FB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⑤生态影响：永久占地可能影响土地功能，改变土地用途；施工期还会临时占地将破坏地表植被，多余的土方临时堆放将造成水土流失，对生态环境有一定影响。</w:t>
            </w:r>
          </w:p>
          <w:p w14:paraId="136B71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w:t>
            </w:r>
            <w:r>
              <w:rPr>
                <w:rFonts w:hint="eastAsia" w:cs="Times New Roman"/>
                <w:color w:val="auto"/>
                <w:kern w:val="0"/>
                <w:sz w:val="24"/>
                <w:szCs w:val="24"/>
                <w:highlight w:val="none"/>
                <w:lang w:val="en-US" w:eastAsia="zh-CN"/>
              </w:rPr>
              <w:t>运营期</w:t>
            </w:r>
          </w:p>
          <w:p w14:paraId="675C17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①电磁环境影响</w:t>
            </w:r>
          </w:p>
          <w:p w14:paraId="4B1818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线路运行过程中产生的工频电场、工频磁场。</w:t>
            </w:r>
          </w:p>
          <w:p w14:paraId="5D8677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②噪声</w:t>
            </w:r>
          </w:p>
          <w:p w14:paraId="6120CE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运行线路产生的噪声。</w:t>
            </w:r>
          </w:p>
          <w:p w14:paraId="5A08C0E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4</w:t>
            </w:r>
            <w:r>
              <w:rPr>
                <w:rFonts w:hint="default" w:ascii="Times New Roman" w:hAnsi="Times New Roman" w:eastAsia="宋体" w:cs="Times New Roman"/>
                <w:b/>
                <w:bCs/>
                <w:color w:val="auto"/>
                <w:kern w:val="0"/>
                <w:sz w:val="24"/>
                <w:szCs w:val="24"/>
                <w:highlight w:val="none"/>
                <w:lang w:val="en-US" w:eastAsia="zh-CN"/>
              </w:rPr>
              <w:t>、采取的主要环保措施</w:t>
            </w:r>
          </w:p>
          <w:p w14:paraId="0C1336AD">
            <w:pPr>
              <w:pStyle w:val="26"/>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（1）设计阶段</w:t>
            </w:r>
          </w:p>
          <w:p w14:paraId="466F05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①严禁在生态保护红线内设置</w:t>
            </w:r>
            <w:r>
              <w:rPr>
                <w:rFonts w:hint="eastAsia" w:cs="Times New Roman"/>
                <w:color w:val="auto"/>
                <w:kern w:val="0"/>
                <w:sz w:val="24"/>
                <w:szCs w:val="24"/>
                <w:highlight w:val="none"/>
                <w:lang w:val="en-US" w:eastAsia="zh-CN"/>
              </w:rPr>
              <w:t>临时道路</w:t>
            </w:r>
            <w:r>
              <w:rPr>
                <w:rFonts w:hint="default" w:ascii="Times New Roman" w:hAnsi="Times New Roman" w:eastAsia="宋体" w:cs="Times New Roman"/>
                <w:color w:val="auto"/>
                <w:kern w:val="0"/>
                <w:sz w:val="24"/>
                <w:szCs w:val="24"/>
                <w:highlight w:val="none"/>
                <w:lang w:val="en-US" w:eastAsia="zh-CN"/>
              </w:rPr>
              <w:t>、牵张场。</w:t>
            </w:r>
          </w:p>
          <w:p w14:paraId="19177E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②线路全线采用高铁，采用高质量导线，严格控制架线高度。</w:t>
            </w:r>
          </w:p>
          <w:p w14:paraId="2F78A4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③根据不同的地形选择合适的基础形式。</w:t>
            </w:r>
          </w:p>
          <w:p w14:paraId="73DF31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④合理选择线路路径。</w:t>
            </w:r>
          </w:p>
          <w:p w14:paraId="01F190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（2）施工期</w:t>
            </w:r>
          </w:p>
          <w:p w14:paraId="765953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①施工期不进行现场搅拌，全部采用商品混凝土。</w:t>
            </w:r>
          </w:p>
          <w:p w14:paraId="36843A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②施工期租用附近民房，现场不设施工生活营地；</w:t>
            </w:r>
          </w:p>
          <w:p w14:paraId="5490D2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③施工废水沉淀后泼洒抑尘，不外排；生活废水利用当地设置的防渗旱厕收集粪便，定期委托环卫部门清掏处理。</w:t>
            </w:r>
          </w:p>
          <w:p w14:paraId="099DE5B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（3）运营期</w:t>
            </w:r>
          </w:p>
          <w:p w14:paraId="4B8199D3">
            <w:pPr>
              <w:keepNext w:val="0"/>
              <w:keepLines/>
              <w:pageBreakBefore w:val="0"/>
              <w:widowControl w:val="0"/>
              <w:numPr>
                <w:ilvl w:val="0"/>
                <w:numId w:val="0"/>
              </w:numPr>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加强运行维护。</w:t>
            </w:r>
          </w:p>
          <w:p w14:paraId="008395F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5</w:t>
            </w:r>
            <w:r>
              <w:rPr>
                <w:rFonts w:hint="default" w:ascii="Times New Roman" w:hAnsi="Times New Roman" w:eastAsia="宋体" w:cs="Times New Roman"/>
                <w:b/>
                <w:bCs/>
                <w:color w:val="auto"/>
                <w:kern w:val="0"/>
                <w:sz w:val="24"/>
                <w:szCs w:val="24"/>
                <w:highlight w:val="none"/>
                <w:lang w:val="en-US" w:eastAsia="zh-CN"/>
              </w:rPr>
              <w:t xml:space="preserve">、施工时序及建设周期 </w:t>
            </w:r>
          </w:p>
          <w:p w14:paraId="412678F4">
            <w:pPr>
              <w:keepNext w:val="0"/>
              <w:keepLines w:val="0"/>
              <w:widowControl/>
              <w:suppressLineNumbers w:val="0"/>
              <w:ind w:firstLine="480" w:firstLineChars="200"/>
              <w:jc w:val="left"/>
              <w:rPr>
                <w:sz w:val="24"/>
                <w:szCs w:val="24"/>
              </w:rPr>
            </w:pPr>
            <w:r>
              <w:rPr>
                <w:rFonts w:hint="default" w:ascii="瀹嬩綋" w:hAnsi="瀹嬩綋" w:eastAsia="瀹嬩綋" w:cs="瀹嬩綋"/>
                <w:color w:val="000000"/>
                <w:kern w:val="0"/>
                <w:sz w:val="24"/>
                <w:szCs w:val="24"/>
                <w:lang w:val="en-US" w:eastAsia="zh-CN" w:bidi="ar"/>
              </w:rPr>
              <w:t xml:space="preserve">架空线路施工时序包括塔基施工、架设线路、调试等；整个项目建设周期约为 </w:t>
            </w:r>
            <w:r>
              <w:rPr>
                <w:rFonts w:hint="eastAsia" w:ascii="Times New Roman" w:hAnsi="Times New Roman" w:eastAsia="宋体" w:cs="Times New Roman"/>
                <w:color w:val="000000"/>
                <w:kern w:val="0"/>
                <w:sz w:val="24"/>
                <w:szCs w:val="24"/>
                <w:lang w:val="en-US" w:eastAsia="zh-CN" w:bidi="ar"/>
              </w:rPr>
              <w:t>8</w:t>
            </w:r>
            <w:r>
              <w:rPr>
                <w:rFonts w:hint="default" w:ascii="Times New Roman" w:hAnsi="Times New Roman" w:eastAsia="宋体" w:cs="Times New Roman"/>
                <w:color w:val="000000"/>
                <w:kern w:val="0"/>
                <w:sz w:val="24"/>
                <w:szCs w:val="24"/>
                <w:lang w:val="en-US" w:eastAsia="zh-CN" w:bidi="ar"/>
              </w:rPr>
              <w:t xml:space="preserve"> </w:t>
            </w:r>
            <w:r>
              <w:rPr>
                <w:rFonts w:hint="default" w:ascii="瀹嬩綋" w:hAnsi="瀹嬩綋" w:eastAsia="瀹嬩綋" w:cs="瀹嬩綋"/>
                <w:color w:val="000000"/>
                <w:kern w:val="0"/>
                <w:sz w:val="24"/>
                <w:szCs w:val="24"/>
                <w:lang w:val="en-US" w:eastAsia="zh-CN" w:bidi="ar"/>
              </w:rPr>
              <w:t xml:space="preserve">个月。 </w:t>
            </w:r>
          </w:p>
          <w:p w14:paraId="3A020BE9">
            <w:pPr>
              <w:keepNext w:val="0"/>
              <w:keepLines/>
              <w:pageBreakBefore w:val="0"/>
              <w:widowControl w:val="0"/>
              <w:numPr>
                <w:ilvl w:val="0"/>
                <w:numId w:val="0"/>
              </w:numPr>
              <w:tabs>
                <w:tab w:val="left" w:pos="2567"/>
              </w:tabs>
              <w:kinsoku/>
              <w:wordWrap/>
              <w:overflowPunct/>
              <w:topLinePunct w:val="0"/>
              <w:bidi w:val="0"/>
              <w:adjustRightInd w:val="0"/>
              <w:snapToGrid w:val="0"/>
              <w:spacing w:line="360" w:lineRule="auto"/>
              <w:jc w:val="both"/>
              <w:rPr>
                <w:rFonts w:hint="default" w:ascii="Times New Roman" w:hAnsi="Times New Roman" w:eastAsia="宋体" w:cs="Times New Roman"/>
                <w:color w:val="auto"/>
                <w:kern w:val="0"/>
                <w:sz w:val="24"/>
                <w:szCs w:val="24"/>
                <w:highlight w:val="none"/>
                <w:lang w:val="en-US" w:eastAsia="zh-CN"/>
              </w:rPr>
            </w:pPr>
          </w:p>
        </w:tc>
      </w:tr>
      <w:tr w14:paraId="09DC8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33" w:type="dxa"/>
            <w:tcBorders>
              <w:top w:val="single" w:color="000000" w:sz="2" w:space="0"/>
              <w:bottom w:val="single" w:color="000000" w:sz="2" w:space="0"/>
              <w:right w:val="single" w:color="000000" w:sz="2" w:space="0"/>
            </w:tcBorders>
            <w:vAlign w:val="center"/>
          </w:tcPr>
          <w:p w14:paraId="10297280">
            <w:pPr>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其他</w:t>
            </w:r>
          </w:p>
        </w:tc>
        <w:tc>
          <w:tcPr>
            <w:tcW w:w="8741" w:type="dxa"/>
            <w:tcBorders>
              <w:top w:val="single" w:color="000000" w:sz="2" w:space="0"/>
              <w:left w:val="single" w:color="000000" w:sz="2" w:space="0"/>
              <w:bottom w:val="single" w:color="000000" w:sz="2" w:space="0"/>
            </w:tcBorders>
            <w:vAlign w:val="top"/>
          </w:tcPr>
          <w:p w14:paraId="4C089EE3">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一、</w:t>
            </w:r>
            <w:r>
              <w:rPr>
                <w:rFonts w:hint="default" w:ascii="Times New Roman" w:hAnsi="Times New Roman" w:eastAsia="宋体" w:cs="Times New Roman"/>
                <w:b/>
                <w:bCs/>
                <w:color w:val="auto"/>
                <w:kern w:val="0"/>
                <w:sz w:val="24"/>
                <w:szCs w:val="24"/>
                <w:highlight w:val="none"/>
                <w:lang w:val="en-US" w:eastAsia="zh-CN"/>
              </w:rPr>
              <w:t>编制依据</w:t>
            </w:r>
          </w:p>
          <w:p w14:paraId="403438C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1、</w:t>
            </w:r>
            <w:r>
              <w:rPr>
                <w:rFonts w:hint="default" w:ascii="Times New Roman" w:hAnsi="Times New Roman" w:eastAsia="宋体" w:cs="Times New Roman"/>
                <w:b w:val="0"/>
                <w:bCs w:val="0"/>
                <w:color w:val="auto"/>
                <w:kern w:val="0"/>
                <w:sz w:val="24"/>
                <w:szCs w:val="24"/>
                <w:highlight w:val="none"/>
                <w:lang w:val="en-US" w:eastAsia="zh-CN"/>
              </w:rPr>
              <w:t>法律法规</w:t>
            </w:r>
          </w:p>
          <w:p w14:paraId="04556EB8">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1)《中华人民共和国环境保护法》(2014年4月24日修订，2015年1月1日起施行)；</w:t>
            </w:r>
          </w:p>
          <w:p w14:paraId="1DFA529E">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2)《中华人民共和国环境影响评价法》(2018年12月29日修订并施行)；</w:t>
            </w:r>
          </w:p>
          <w:p w14:paraId="2FB886E8">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3)《中华人民共和国噪声污染防治法》(2021年12月24日通过，2022年6月5日起实施)；</w:t>
            </w:r>
          </w:p>
          <w:p w14:paraId="7F0CF23C">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4)《中华人民共和国电力法》(2018年12月29日修订并施行)；</w:t>
            </w:r>
          </w:p>
          <w:p w14:paraId="3BFE1FF1">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5)《中华人民共和国固体废物污染环境防治法》(2020年4月29日修订，2020年9月1日实施)；</w:t>
            </w:r>
          </w:p>
          <w:p w14:paraId="621AC409">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6)《中华人民共和国大气污染防治法》(2018年10月26日)；</w:t>
            </w:r>
          </w:p>
          <w:p w14:paraId="05C5F8A8">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7)《中华人民共和国水污染防治法》(2017年6月27日第二次修正)；</w:t>
            </w:r>
          </w:p>
          <w:p w14:paraId="578364B4">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8)《中华人民共和国水土保持法》(2010年12月25日修订，2011年3月1日实施)；</w:t>
            </w:r>
          </w:p>
          <w:p w14:paraId="74617C85">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9)《产业结构调整指导目录(</w:t>
            </w:r>
            <w:r>
              <w:rPr>
                <w:rFonts w:hint="eastAsia" w:ascii="Times New Roman" w:hAnsi="Times New Roman" w:eastAsia="宋体" w:cs="Times New Roman"/>
                <w:b w:val="0"/>
                <w:bCs w:val="0"/>
                <w:color w:val="auto"/>
                <w:kern w:val="0"/>
                <w:sz w:val="24"/>
                <w:szCs w:val="24"/>
                <w:highlight w:val="none"/>
                <w:lang w:val="en-US" w:eastAsia="zh-CN"/>
              </w:rPr>
              <w:t>2024</w:t>
            </w:r>
            <w:r>
              <w:rPr>
                <w:rFonts w:hint="default" w:ascii="Times New Roman" w:hAnsi="Times New Roman" w:eastAsia="宋体" w:cs="Times New Roman"/>
                <w:b w:val="0"/>
                <w:bCs w:val="0"/>
                <w:color w:val="auto"/>
                <w:kern w:val="0"/>
                <w:sz w:val="24"/>
                <w:szCs w:val="24"/>
                <w:highlight w:val="none"/>
                <w:lang w:val="en-US" w:eastAsia="zh-CN"/>
              </w:rPr>
              <w:t>年本)》(20</w:t>
            </w:r>
            <w:r>
              <w:rPr>
                <w:rFonts w:hint="eastAsia" w:ascii="Times New Roman" w:hAnsi="Times New Roman" w:eastAsia="宋体" w:cs="Times New Roman"/>
                <w:b w:val="0"/>
                <w:bCs w:val="0"/>
                <w:color w:val="auto"/>
                <w:kern w:val="0"/>
                <w:sz w:val="24"/>
                <w:szCs w:val="24"/>
                <w:highlight w:val="none"/>
                <w:lang w:val="en-US" w:eastAsia="zh-CN"/>
              </w:rPr>
              <w:t>24</w:t>
            </w:r>
            <w:r>
              <w:rPr>
                <w:rFonts w:hint="default" w:ascii="Times New Roman" w:hAnsi="Times New Roman" w:eastAsia="宋体" w:cs="Times New Roman"/>
                <w:b w:val="0"/>
                <w:bCs w:val="0"/>
                <w:color w:val="auto"/>
                <w:kern w:val="0"/>
                <w:sz w:val="24"/>
                <w:szCs w:val="24"/>
                <w:highlight w:val="none"/>
                <w:lang w:val="en-US" w:eastAsia="zh-CN"/>
              </w:rPr>
              <w:t>年</w:t>
            </w:r>
            <w:r>
              <w:rPr>
                <w:rFonts w:hint="eastAsia" w:ascii="Times New Roman" w:hAnsi="Times New Roman" w:eastAsia="宋体" w:cs="Times New Roman"/>
                <w:b w:val="0"/>
                <w:bCs w:val="0"/>
                <w:color w:val="auto"/>
                <w:kern w:val="0"/>
                <w:sz w:val="24"/>
                <w:szCs w:val="24"/>
                <w:highlight w:val="none"/>
                <w:lang w:val="en-US" w:eastAsia="zh-CN"/>
              </w:rPr>
              <w:t>2</w:t>
            </w:r>
            <w:r>
              <w:rPr>
                <w:rFonts w:hint="default" w:ascii="Times New Roman" w:hAnsi="Times New Roman" w:eastAsia="宋体" w:cs="Times New Roman"/>
                <w:b w:val="0"/>
                <w:bCs w:val="0"/>
                <w:color w:val="auto"/>
                <w:kern w:val="0"/>
                <w:sz w:val="24"/>
                <w:szCs w:val="24"/>
                <w:highlight w:val="none"/>
                <w:lang w:val="en-US" w:eastAsia="zh-CN"/>
              </w:rPr>
              <w:t>月</w:t>
            </w:r>
            <w:r>
              <w:rPr>
                <w:rFonts w:hint="eastAsia" w:ascii="Times New Roman" w:hAnsi="Times New Roman" w:eastAsia="宋体" w:cs="Times New Roman"/>
                <w:b w:val="0"/>
                <w:bCs w:val="0"/>
                <w:color w:val="auto"/>
                <w:kern w:val="0"/>
                <w:sz w:val="24"/>
                <w:szCs w:val="24"/>
                <w:highlight w:val="none"/>
                <w:lang w:val="en-US" w:eastAsia="zh-CN"/>
              </w:rPr>
              <w:t>1</w:t>
            </w:r>
            <w:r>
              <w:rPr>
                <w:rFonts w:hint="default" w:ascii="Times New Roman" w:hAnsi="Times New Roman" w:eastAsia="宋体" w:cs="Times New Roman"/>
                <w:b w:val="0"/>
                <w:bCs w:val="0"/>
                <w:color w:val="auto"/>
                <w:kern w:val="0"/>
                <w:sz w:val="24"/>
                <w:szCs w:val="24"/>
                <w:highlight w:val="none"/>
                <w:lang w:val="en-US" w:eastAsia="zh-CN"/>
              </w:rPr>
              <w:t>日实施)；</w:t>
            </w:r>
          </w:p>
          <w:p w14:paraId="58DC97C8">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10)《建设项目环境保护管理条例》(中华人民共和国国务院令第682号令，2016年6月21日通过，2017年10月1日起施行)；</w:t>
            </w:r>
          </w:p>
          <w:p w14:paraId="7D377D7D">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11)《电力设施保护条例》(2011年1月8日第二次修订并施行)；</w:t>
            </w:r>
          </w:p>
          <w:p w14:paraId="5C2DB943">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12)《电力设施保护条例实施细则》(2011年6月30日修订并实施)；</w:t>
            </w:r>
          </w:p>
          <w:p w14:paraId="1A6DBA0C">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13)《关于进一步加强输变电类建设项目环境保护监管工作的通知》(环办[2012]131号)；</w:t>
            </w:r>
          </w:p>
          <w:p w14:paraId="0BBB0881">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14)《建设项目环境影响评价分类管理名录》(生态环境部第16号令，2021年1月1日施行)；</w:t>
            </w:r>
          </w:p>
          <w:p w14:paraId="7AB93651">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15)《关于以改善环境质量为核心加强环境影响评价管理的通知》(环环评[2016]150号)；</w:t>
            </w:r>
          </w:p>
          <w:p w14:paraId="2130FC94">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16）《“生态保护红线、环境质量底线、资源利用上线和环境准入负面清单”编制技术指南(试行)》(环办环评[2017]99号)</w:t>
            </w:r>
          </w:p>
          <w:p w14:paraId="0565A1F8">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17）《住房和城乡建设部办公厅关于进一步加强施工工地和道路扬尘管控工作的通知》(2019年4月9日中华人民共和国住房和城乡建设部办公厅印发)</w:t>
            </w:r>
          </w:p>
          <w:p w14:paraId="1DC11D7E">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18)《河北省扬尘污染防治办法》(河北省人民政府令[2020]第1号)。</w:t>
            </w:r>
          </w:p>
          <w:p w14:paraId="5C4D1D72">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19）《河北省大气污染防治条例》(2016年1月13日)；25)</w:t>
            </w:r>
          </w:p>
          <w:p w14:paraId="29FFBA79">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20)《河北省机动车和非道路移动机械排放污染防治条例》(2020年1月11日通过，2020年5月1日实施)；</w:t>
            </w:r>
          </w:p>
          <w:p w14:paraId="6BA27B81">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21)《河北省辐射污染防治条例》(2020年7月30日修订并实施)；</w:t>
            </w:r>
          </w:p>
          <w:p w14:paraId="1D28DC69">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22)《河北省固体废物污染环境防治条例》(河北省第十二届人民代表大会常务委员会第十四次会议于2015年3月26日通过，自2015年6月1日起施行)；</w:t>
            </w:r>
          </w:p>
          <w:p w14:paraId="18F8B20F">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23)《河北省机动车和非道路移动机械排放污染防治条例》(2020年5月1日施行)；</w:t>
            </w:r>
          </w:p>
          <w:p w14:paraId="37234810">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24)《河北省电力条例》(2024年3月28日修订，2024年5月1日实施)；</w:t>
            </w:r>
          </w:p>
          <w:p w14:paraId="6A064326">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25)《河北省实施电力设施保护条例办法》(2001年12月13日通过，自2002年3月1日起施行)；</w:t>
            </w:r>
          </w:p>
          <w:p w14:paraId="6EFD8FAC">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26)《建设项目环境影响评价文件审批及建设单位自主开展环境保护设施验收工作指引(试行)》(冀环办字函[2017]727号)；</w:t>
            </w:r>
          </w:p>
          <w:p w14:paraId="46F034BE">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27)河北省人民政府办公厅印发《关于在国土空间规划中统筹划定落实三条控制线的若干措施》的通知(2020年2月2日)；</w:t>
            </w:r>
          </w:p>
          <w:p w14:paraId="2DA3779A">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28）</w:t>
            </w:r>
            <w:r>
              <w:rPr>
                <w:rFonts w:hint="default" w:ascii="Times New Roman" w:hAnsi="Times New Roman" w:eastAsia="宋体" w:cs="Times New Roman"/>
                <w:b w:val="0"/>
                <w:bCs w:val="0"/>
                <w:color w:val="auto"/>
                <w:spacing w:val="0"/>
                <w:w w:val="100"/>
                <w:kern w:val="2"/>
                <w:sz w:val="24"/>
                <w:szCs w:val="24"/>
                <w:highlight w:val="none"/>
                <w:lang w:val="en-US" w:eastAsia="zh-CN" w:bidi="ar-SA"/>
              </w:rPr>
              <w:t>《</w:t>
            </w:r>
            <w:r>
              <w:rPr>
                <w:rFonts w:hint="eastAsia" w:ascii="Times New Roman" w:hAnsi="Times New Roman" w:eastAsia="宋体" w:cs="Times New Roman"/>
                <w:b w:val="0"/>
                <w:bCs w:val="0"/>
                <w:color w:val="auto"/>
                <w:spacing w:val="0"/>
                <w:w w:val="100"/>
                <w:kern w:val="2"/>
                <w:sz w:val="24"/>
                <w:szCs w:val="24"/>
                <w:highlight w:val="none"/>
                <w:lang w:val="en-US" w:eastAsia="zh-CN" w:bidi="ar-SA"/>
              </w:rPr>
              <w:t>承德市</w:t>
            </w:r>
            <w:r>
              <w:rPr>
                <w:rFonts w:hint="default" w:ascii="Times New Roman" w:hAnsi="Times New Roman" w:eastAsia="宋体" w:cs="Times New Roman"/>
                <w:b w:val="0"/>
                <w:bCs w:val="0"/>
                <w:color w:val="auto"/>
                <w:spacing w:val="0"/>
                <w:w w:val="100"/>
                <w:kern w:val="2"/>
                <w:sz w:val="24"/>
                <w:szCs w:val="24"/>
                <w:highlight w:val="none"/>
                <w:lang w:val="en-US" w:eastAsia="zh-CN" w:bidi="ar-SA"/>
              </w:rPr>
              <w:t>生态环境准入清单》（2023版）</w:t>
            </w:r>
            <w:r>
              <w:rPr>
                <w:rFonts w:hint="default" w:ascii="Times New Roman" w:hAnsi="Times New Roman" w:eastAsia="宋体" w:cs="Times New Roman"/>
                <w:b w:val="0"/>
                <w:bCs w:val="0"/>
                <w:color w:val="auto"/>
                <w:kern w:val="0"/>
                <w:sz w:val="24"/>
                <w:szCs w:val="24"/>
                <w:highlight w:val="none"/>
                <w:lang w:val="en-US" w:eastAsia="zh-CN"/>
              </w:rPr>
              <w:t>。</w:t>
            </w:r>
          </w:p>
          <w:p w14:paraId="069AEEE1">
            <w:pPr>
              <w:keepNext w:val="0"/>
              <w:keepLines w:val="0"/>
              <w:pageBreakBefore w:val="0"/>
              <w:widowControl/>
              <w:suppressLineNumbers w:val="0"/>
              <w:kinsoku/>
              <w:wordWrap/>
              <w:overflowPunct/>
              <w:topLinePunct w:val="0"/>
              <w:bidi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bidi="ar"/>
              </w:rPr>
              <w:t>2、</w:t>
            </w:r>
            <w:r>
              <w:rPr>
                <w:rFonts w:hint="default" w:ascii="Times New Roman" w:hAnsi="Times New Roman" w:eastAsia="宋体" w:cs="Times New Roman"/>
                <w:b w:val="0"/>
                <w:bCs w:val="0"/>
                <w:color w:val="auto"/>
                <w:kern w:val="0"/>
                <w:sz w:val="24"/>
                <w:szCs w:val="24"/>
                <w:highlight w:val="none"/>
                <w:lang w:val="en-US" w:eastAsia="zh-CN" w:bidi="ar"/>
              </w:rPr>
              <w:t>标准、技术导则</w:t>
            </w:r>
          </w:p>
          <w:p w14:paraId="0EEE0A75">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1)《建设项目环境影响评价技术导则  总纲》(HJ2.1-2016)；</w:t>
            </w:r>
          </w:p>
          <w:p w14:paraId="302C5E32">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2)《环境影响评价技术导则  大气环境》(HJ2.2-2018)；</w:t>
            </w:r>
          </w:p>
          <w:p w14:paraId="49958EF9">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3)《环境影响评价技术导则  地表水环境》(HJ2.3-2018)；</w:t>
            </w:r>
          </w:p>
          <w:p w14:paraId="111CAF45">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4)《环境影响评价技术导则  声环境》(HJ2.4-2021)；</w:t>
            </w:r>
          </w:p>
          <w:p w14:paraId="0E70F408">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5)《环境影响评价技术导则  生态影响》(HJ19-2022)</w:t>
            </w:r>
          </w:p>
          <w:p w14:paraId="4861D18C">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6)《环境影响评价技术导则  输变电》(HJ24-2020)；</w:t>
            </w:r>
          </w:p>
          <w:p w14:paraId="69E98849">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7)《电磁环境控制限值》(GB8702-2014)；</w:t>
            </w:r>
          </w:p>
          <w:p w14:paraId="21389C3E">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8)《交流输线路工程电磁环境监测方法(试行)》(HJ681-2013)；</w:t>
            </w:r>
          </w:p>
          <w:p w14:paraId="2BCD6934">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9)《建设项目环境风险评价技术导则》(HJ169-2018)；</w:t>
            </w:r>
          </w:p>
          <w:p w14:paraId="439E28EA">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10)《声环境质量标准》(GB3096-2008)；</w:t>
            </w:r>
          </w:p>
          <w:p w14:paraId="7185790C">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11)《一般工业固体废物贮存和填埋污染控制标准》(GB18599-2020)中的相关规定；</w:t>
            </w:r>
          </w:p>
          <w:p w14:paraId="6795CFB9">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12)《建筑施工场界环境噪声排放标准》(GB12523-2011)；</w:t>
            </w:r>
          </w:p>
          <w:p w14:paraId="49E51432">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13)《输变电建设项目环境保护技术要求》(HJ1113-2020)；</w:t>
            </w:r>
          </w:p>
          <w:p w14:paraId="3CC318FC">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14)《施工场地扬尘排放标准》(DB13/2934-2019)；</w:t>
            </w:r>
          </w:p>
          <w:p w14:paraId="6999C537">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w:t>
            </w:r>
            <w:r>
              <w:rPr>
                <w:rFonts w:hint="eastAsia" w:ascii="Times New Roman" w:hAnsi="Times New Roman" w:eastAsia="宋体" w:cs="Times New Roman"/>
                <w:b w:val="0"/>
                <w:bCs w:val="0"/>
                <w:color w:val="auto"/>
                <w:kern w:val="0"/>
                <w:sz w:val="24"/>
                <w:szCs w:val="24"/>
                <w:highlight w:val="none"/>
                <w:lang w:val="en-US" w:eastAsia="zh-CN"/>
              </w:rPr>
              <w:t>5</w:t>
            </w:r>
            <w:r>
              <w:rPr>
                <w:rFonts w:hint="default" w:ascii="Times New Roman" w:hAnsi="Times New Roman" w:eastAsia="宋体" w:cs="Times New Roman"/>
                <w:b w:val="0"/>
                <w:bCs w:val="0"/>
                <w:color w:val="auto"/>
                <w:kern w:val="0"/>
                <w:sz w:val="24"/>
                <w:szCs w:val="24"/>
                <w:highlight w:val="none"/>
                <w:lang w:val="en-US" w:eastAsia="zh-CN"/>
              </w:rPr>
              <w:t>）《110kV~750kV架空输电线路设计规范》(GB50545-2010)</w:t>
            </w:r>
          </w:p>
          <w:p w14:paraId="17F16E6E">
            <w:pPr>
              <w:keepNext w:val="0"/>
              <w:keepLines w:val="0"/>
              <w:pageBreakBefore w:val="0"/>
              <w:widowControl/>
              <w:suppressLineNumbers w:val="0"/>
              <w:kinsoku/>
              <w:wordWrap/>
              <w:overflowPunct/>
              <w:topLinePunct w:val="0"/>
              <w:bidi w:val="0"/>
              <w:spacing w:line="360" w:lineRule="auto"/>
              <w:ind w:firstLine="482" w:firstLineChars="200"/>
              <w:jc w:val="left"/>
              <w:rPr>
                <w:rFonts w:hint="default" w:ascii="Times New Roman" w:hAnsi="Times New Roman" w:cs="Times New Roman"/>
                <w:color w:val="auto"/>
                <w:sz w:val="24"/>
                <w:szCs w:val="24"/>
                <w:highlight w:val="none"/>
              </w:rPr>
            </w:pPr>
            <w:r>
              <w:rPr>
                <w:rFonts w:hint="eastAsia" w:ascii="Times New Roman" w:hAnsi="Times New Roman" w:eastAsia="宋体"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与项目有关的文件和资料</w:t>
            </w:r>
          </w:p>
          <w:p w14:paraId="6AF0913B">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eastAsia"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1)</w:t>
            </w:r>
            <w:r>
              <w:rPr>
                <w:rFonts w:hint="eastAsia" w:ascii="Times New Roman" w:hAnsi="Times New Roman" w:eastAsia="宋体" w:cs="Times New Roman"/>
                <w:b w:val="0"/>
                <w:bCs/>
                <w:color w:val="auto"/>
                <w:kern w:val="0"/>
                <w:sz w:val="24"/>
                <w:szCs w:val="24"/>
                <w:highlight w:val="none"/>
                <w:lang w:val="en-US" w:eastAsia="zh-CN"/>
              </w:rPr>
              <w:t>《</w:t>
            </w:r>
            <w:r>
              <w:rPr>
                <w:rFonts w:hint="eastAsia" w:eastAsia="宋体" w:cs="Times New Roman"/>
                <w:b w:val="0"/>
                <w:bCs/>
                <w:color w:val="auto"/>
                <w:kern w:val="0"/>
                <w:sz w:val="24"/>
                <w:szCs w:val="24"/>
                <w:highlight w:val="none"/>
                <w:lang w:val="en-US" w:eastAsia="zh-CN"/>
              </w:rPr>
              <w:t>华能围场“风光储氢热一体化”项目（风电200MW）项目220kV送出线路工程</w:t>
            </w:r>
            <w:r>
              <w:rPr>
                <w:rFonts w:hint="eastAsia" w:ascii="Times New Roman" w:hAnsi="Times New Roman" w:eastAsia="宋体" w:cs="Times New Roman"/>
                <w:b w:val="0"/>
                <w:bCs/>
                <w:color w:val="auto"/>
                <w:kern w:val="0"/>
                <w:sz w:val="24"/>
                <w:szCs w:val="24"/>
                <w:highlight w:val="none"/>
                <w:lang w:val="en-US" w:eastAsia="zh-CN"/>
              </w:rPr>
              <w:t>项目申请报告</w:t>
            </w:r>
            <w:r>
              <w:rPr>
                <w:rFonts w:hint="default" w:ascii="Times New Roman" w:hAnsi="Times New Roman" w:eastAsia="宋体" w:cs="Times New Roman"/>
                <w:b w:val="0"/>
                <w:bCs/>
                <w:color w:val="auto"/>
                <w:kern w:val="0"/>
                <w:sz w:val="24"/>
                <w:szCs w:val="24"/>
                <w:highlight w:val="none"/>
                <w:lang w:val="en-US" w:eastAsia="zh-CN"/>
              </w:rPr>
              <w:t>》</w:t>
            </w:r>
            <w:r>
              <w:rPr>
                <w:rFonts w:hint="eastAsia" w:ascii="Times New Roman" w:hAnsi="Times New Roman" w:eastAsia="宋体" w:cs="Times New Roman"/>
                <w:b w:val="0"/>
                <w:bCs/>
                <w:color w:val="auto"/>
                <w:kern w:val="0"/>
                <w:sz w:val="24"/>
                <w:szCs w:val="24"/>
                <w:highlight w:val="none"/>
                <w:lang w:val="en-US" w:eastAsia="zh-CN"/>
              </w:rPr>
              <w:t>；</w:t>
            </w:r>
          </w:p>
          <w:p w14:paraId="5279FF78">
            <w:p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华能围场“风光储氢热一体化”项目（风电200MW）项目220kV送出线路工程</w:t>
            </w:r>
            <w:r>
              <w:rPr>
                <w:rFonts w:hint="eastAsia" w:ascii="Times New Roman" w:hAnsi="Times New Roman" w:eastAsia="宋体" w:cs="Times New Roman"/>
                <w:color w:val="auto"/>
                <w:kern w:val="21"/>
                <w:sz w:val="24"/>
                <w:szCs w:val="24"/>
                <w:highlight w:val="none"/>
                <w:lang w:val="en-US" w:eastAsia="zh-CN"/>
              </w:rPr>
              <w:t>项目</w:t>
            </w:r>
            <w:r>
              <w:rPr>
                <w:rFonts w:hint="default" w:ascii="Times New Roman" w:hAnsi="Times New Roman" w:eastAsia="宋体" w:cs="Times New Roman"/>
                <w:color w:val="auto"/>
                <w:kern w:val="0"/>
                <w:sz w:val="24"/>
                <w:szCs w:val="24"/>
                <w:highlight w:val="none"/>
                <w:lang w:val="en-US" w:eastAsia="zh-CN"/>
              </w:rPr>
              <w:t>检测报告</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，编号DLHJ字（2024）第171号；</w:t>
            </w:r>
          </w:p>
          <w:p w14:paraId="7F80204E">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3</w:t>
            </w:r>
            <w:r>
              <w:rPr>
                <w:rFonts w:hint="default" w:ascii="Times New Roman" w:hAnsi="Times New Roman" w:eastAsia="宋体" w:cs="Times New Roman"/>
                <w:b w:val="0"/>
                <w:bCs/>
                <w:color w:val="auto"/>
                <w:kern w:val="0"/>
                <w:sz w:val="24"/>
                <w:szCs w:val="24"/>
                <w:highlight w:val="none"/>
                <w:lang w:val="en-US" w:eastAsia="zh-CN"/>
              </w:rPr>
              <w:t>)其他与本项目有关的文件及资料。</w:t>
            </w:r>
          </w:p>
          <w:p w14:paraId="08413642">
            <w:pPr>
              <w:keepNext w:val="0"/>
              <w:keepLines w:val="0"/>
              <w:pageBreakBefore w:val="0"/>
              <w:widowControl/>
              <w:suppressLineNumbers w:val="0"/>
              <w:kinsoku/>
              <w:wordWrap/>
              <w:overflowPunct/>
              <w:topLinePunct w:val="0"/>
              <w:bidi w:val="0"/>
              <w:spacing w:line="360" w:lineRule="auto"/>
              <w:ind w:firstLine="482" w:firstLineChars="200"/>
              <w:jc w:val="left"/>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4</w:t>
            </w:r>
            <w:r>
              <w:rPr>
                <w:rFonts w:hint="default" w:ascii="Times New Roman" w:hAnsi="Times New Roman" w:eastAsia="宋体" w:cs="Times New Roman"/>
                <w:b/>
                <w:bCs/>
                <w:color w:val="auto"/>
                <w:kern w:val="0"/>
                <w:sz w:val="24"/>
                <w:szCs w:val="24"/>
                <w:highlight w:val="none"/>
                <w:lang w:val="en-US" w:eastAsia="zh-CN" w:bidi="ar"/>
              </w:rPr>
              <w:t>、评价内容</w:t>
            </w:r>
          </w:p>
          <w:p w14:paraId="5AB7A55A">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施工期环境影响评价主要考虑扬尘、施工机械尾气、声、废水、固体废物、生态环境等方面的内容。</w:t>
            </w:r>
          </w:p>
          <w:p w14:paraId="6C623DCC">
            <w:pPr>
              <w:pStyle w:val="4"/>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outlineLvl w:val="2"/>
              <w:rPr>
                <w:rFonts w:hint="default" w:ascii="Times New Roman" w:hAnsi="Times New Roman" w:eastAsia="宋体" w:cs="Times New Roman"/>
                <w:b w:val="0"/>
                <w:bCs/>
                <w:color w:val="auto"/>
                <w:kern w:val="0"/>
                <w:sz w:val="24"/>
                <w:szCs w:val="24"/>
                <w:highlight w:val="none"/>
                <w:lang w:val="en-US" w:eastAsia="zh-CN"/>
              </w:rPr>
            </w:pPr>
            <w:r>
              <w:rPr>
                <w:rFonts w:hint="eastAsia" w:eastAsia="宋体" w:cs="Times New Roman"/>
                <w:b w:val="0"/>
                <w:bCs/>
                <w:color w:val="auto"/>
                <w:kern w:val="0"/>
                <w:sz w:val="24"/>
                <w:szCs w:val="24"/>
                <w:highlight w:val="none"/>
                <w:lang w:val="en-US" w:eastAsia="zh-CN"/>
              </w:rPr>
              <w:t>运营期</w:t>
            </w:r>
            <w:r>
              <w:rPr>
                <w:rFonts w:hint="default" w:ascii="Times New Roman" w:hAnsi="Times New Roman" w:eastAsia="宋体" w:cs="Times New Roman"/>
                <w:b w:val="0"/>
                <w:bCs/>
                <w:color w:val="auto"/>
                <w:kern w:val="0"/>
                <w:sz w:val="24"/>
                <w:szCs w:val="24"/>
                <w:highlight w:val="none"/>
                <w:lang w:val="en-US" w:eastAsia="zh-CN"/>
              </w:rPr>
              <w:t>环境影响评价主要考虑电磁、</w:t>
            </w:r>
            <w:r>
              <w:rPr>
                <w:rFonts w:hint="eastAsia" w:ascii="Times New Roman" w:hAnsi="Times New Roman" w:eastAsia="宋体" w:cs="Times New Roman"/>
                <w:b w:val="0"/>
                <w:bCs/>
                <w:color w:val="auto"/>
                <w:kern w:val="0"/>
                <w:sz w:val="24"/>
                <w:szCs w:val="24"/>
                <w:highlight w:val="none"/>
                <w:lang w:val="en-US" w:eastAsia="zh-CN"/>
              </w:rPr>
              <w:t>噪</w:t>
            </w:r>
            <w:r>
              <w:rPr>
                <w:rFonts w:hint="default" w:ascii="Times New Roman" w:hAnsi="Times New Roman" w:eastAsia="宋体" w:cs="Times New Roman"/>
                <w:b w:val="0"/>
                <w:bCs/>
                <w:color w:val="auto"/>
                <w:kern w:val="0"/>
                <w:sz w:val="24"/>
                <w:szCs w:val="24"/>
                <w:highlight w:val="none"/>
                <w:lang w:val="en-US" w:eastAsia="zh-CN"/>
              </w:rPr>
              <w:t>声等方面的内容。</w:t>
            </w:r>
          </w:p>
          <w:p w14:paraId="096452D0">
            <w:pPr>
              <w:keepNext w:val="0"/>
              <w:keepLines w:val="0"/>
              <w:pageBreakBefore w:val="0"/>
              <w:widowControl/>
              <w:suppressLineNumbers w:val="0"/>
              <w:kinsoku/>
              <w:wordWrap/>
              <w:overflowPunct/>
              <w:topLinePunct w:val="0"/>
              <w:bidi w:val="0"/>
              <w:spacing w:line="360" w:lineRule="auto"/>
              <w:ind w:firstLine="482" w:firstLineChars="200"/>
              <w:jc w:val="left"/>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、评价重点</w:t>
            </w:r>
          </w:p>
          <w:p w14:paraId="57CFB0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据项目各评价因子的评价等级划分结果可知，确定</w:t>
            </w:r>
            <w:r>
              <w:rPr>
                <w:rFonts w:hint="eastAsia" w:cs="Times New Roman"/>
                <w:snapToGrid w:val="0"/>
                <w:color w:val="auto"/>
                <w:sz w:val="24"/>
                <w:szCs w:val="24"/>
                <w:highlight w:val="none"/>
                <w:lang w:val="en-US" w:eastAsia="zh-CN"/>
              </w:rPr>
              <w:t>运营期</w:t>
            </w:r>
            <w:r>
              <w:rPr>
                <w:rFonts w:hint="default" w:ascii="Times New Roman" w:hAnsi="Times New Roman" w:eastAsia="宋体" w:cs="Times New Roman"/>
                <w:snapToGrid w:val="0"/>
                <w:color w:val="auto"/>
                <w:sz w:val="24"/>
                <w:szCs w:val="24"/>
                <w:highlight w:val="none"/>
                <w:lang w:val="en-US" w:eastAsia="zh-CN"/>
              </w:rPr>
              <w:t>的电磁、</w:t>
            </w:r>
            <w:r>
              <w:rPr>
                <w:rFonts w:hint="eastAsia" w:ascii="Times New Roman" w:hAnsi="Times New Roman" w:eastAsia="宋体" w:cs="Times New Roman"/>
                <w:snapToGrid w:val="0"/>
                <w:color w:val="auto"/>
                <w:sz w:val="24"/>
                <w:szCs w:val="24"/>
                <w:highlight w:val="none"/>
                <w:lang w:val="en-US" w:eastAsia="zh-CN"/>
              </w:rPr>
              <w:t>噪声</w:t>
            </w:r>
            <w:r>
              <w:rPr>
                <w:rFonts w:hint="default" w:ascii="Times New Roman" w:hAnsi="Times New Roman" w:eastAsia="宋体" w:cs="Times New Roman"/>
                <w:snapToGrid w:val="0"/>
                <w:color w:val="auto"/>
                <w:sz w:val="24"/>
                <w:szCs w:val="24"/>
                <w:highlight w:val="none"/>
                <w:lang w:val="en-US" w:eastAsia="zh-CN"/>
              </w:rPr>
              <w:t>评价作为评价的重点，进行重点分析。</w:t>
            </w:r>
          </w:p>
          <w:p w14:paraId="01D71E7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6</w:t>
            </w:r>
            <w:r>
              <w:rPr>
                <w:rFonts w:hint="default" w:ascii="Times New Roman" w:hAnsi="Times New Roman" w:eastAsia="宋体" w:cs="Times New Roman"/>
                <w:b/>
                <w:bCs/>
                <w:color w:val="auto"/>
                <w:kern w:val="0"/>
                <w:sz w:val="24"/>
                <w:szCs w:val="24"/>
                <w:highlight w:val="none"/>
                <w:lang w:val="en-US" w:eastAsia="zh-CN"/>
              </w:rPr>
              <w:t>、评价因子</w:t>
            </w:r>
          </w:p>
          <w:p w14:paraId="6FD0174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本工程主要评价因子见下表：</w:t>
            </w:r>
          </w:p>
          <w:p w14:paraId="5EA1652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表</w:t>
            </w:r>
            <w:r>
              <w:rPr>
                <w:rFonts w:hint="eastAsia" w:ascii="Times New Roman" w:hAnsi="Times New Roman" w:eastAsia="宋体" w:cs="Times New Roman"/>
                <w:b/>
                <w:bCs/>
                <w:color w:val="auto"/>
                <w:kern w:val="0"/>
                <w:sz w:val="24"/>
                <w:szCs w:val="24"/>
                <w:highlight w:val="none"/>
                <w:lang w:val="en-US" w:eastAsia="zh-CN"/>
              </w:rPr>
              <w:t>2</w:t>
            </w:r>
            <w:r>
              <w:rPr>
                <w:rFonts w:hint="default" w:ascii="Times New Roman" w:hAnsi="Times New Roman" w:eastAsia="宋体" w:cs="Times New Roman"/>
                <w:b/>
                <w:bCs/>
                <w:color w:val="auto"/>
                <w:kern w:val="0"/>
                <w:sz w:val="24"/>
                <w:szCs w:val="24"/>
                <w:highlight w:val="none"/>
                <w:lang w:val="en-US" w:eastAsia="zh-CN"/>
              </w:rPr>
              <w:t>-</w:t>
            </w:r>
            <w:r>
              <w:rPr>
                <w:rFonts w:hint="eastAsia" w:cs="Times New Roman"/>
                <w:b/>
                <w:bCs/>
                <w:color w:val="auto"/>
                <w:kern w:val="0"/>
                <w:sz w:val="24"/>
                <w:szCs w:val="24"/>
                <w:highlight w:val="none"/>
                <w:lang w:val="en-US" w:eastAsia="zh-CN"/>
              </w:rPr>
              <w:t>8</w:t>
            </w:r>
            <w:r>
              <w:rPr>
                <w:rFonts w:hint="default" w:ascii="Times New Roman" w:hAnsi="Times New Roman" w:eastAsia="宋体" w:cs="Times New Roman"/>
                <w:b/>
                <w:bCs/>
                <w:color w:val="auto"/>
                <w:kern w:val="0"/>
                <w:sz w:val="24"/>
                <w:szCs w:val="24"/>
                <w:highlight w:val="none"/>
                <w:lang w:val="en-US" w:eastAsia="zh-CN"/>
              </w:rPr>
              <w:t>本工程主要环境影响评价因子汇总表</w:t>
            </w:r>
          </w:p>
          <w:tbl>
            <w:tblPr>
              <w:tblStyle w:val="19"/>
              <w:tblW w:w="4994"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197"/>
              <w:gridCol w:w="2385"/>
              <w:gridCol w:w="875"/>
              <w:gridCol w:w="2397"/>
              <w:gridCol w:w="864"/>
            </w:tblGrid>
            <w:tr w14:paraId="1FFAEA2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5" w:type="pct"/>
                  <w:tcBorders>
                    <w:tl2br w:val="nil"/>
                    <w:tr2bl w:val="nil"/>
                  </w:tcBorders>
                  <w:noWrap/>
                  <w:vAlign w:val="center"/>
                </w:tcPr>
                <w:p w14:paraId="713B6B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评价阶段</w:t>
                  </w:r>
                </w:p>
              </w:tc>
              <w:tc>
                <w:tcPr>
                  <w:tcW w:w="686" w:type="pct"/>
                  <w:tcBorders>
                    <w:tl2br w:val="nil"/>
                    <w:tr2bl w:val="nil"/>
                  </w:tcBorders>
                  <w:noWrap/>
                  <w:vAlign w:val="center"/>
                </w:tcPr>
                <w:p w14:paraId="41BE51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评价项目</w:t>
                  </w:r>
                </w:p>
              </w:tc>
              <w:tc>
                <w:tcPr>
                  <w:tcW w:w="1367" w:type="pct"/>
                  <w:tcBorders>
                    <w:tl2br w:val="nil"/>
                    <w:tr2bl w:val="nil"/>
                  </w:tcBorders>
                  <w:noWrap w:val="0"/>
                  <w:vAlign w:val="center"/>
                </w:tcPr>
                <w:p w14:paraId="62BBCB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现状评价因子</w:t>
                  </w:r>
                </w:p>
              </w:tc>
              <w:tc>
                <w:tcPr>
                  <w:tcW w:w="501" w:type="pct"/>
                  <w:tcBorders>
                    <w:tl2br w:val="nil"/>
                    <w:tr2bl w:val="nil"/>
                  </w:tcBorders>
                  <w:noWrap w:val="0"/>
                  <w:vAlign w:val="center"/>
                </w:tcPr>
                <w:p w14:paraId="5A91BF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单位</w:t>
                  </w:r>
                </w:p>
              </w:tc>
              <w:tc>
                <w:tcPr>
                  <w:tcW w:w="1374" w:type="pct"/>
                  <w:tcBorders>
                    <w:tl2br w:val="nil"/>
                    <w:tr2bl w:val="nil"/>
                  </w:tcBorders>
                  <w:noWrap w:val="0"/>
                  <w:vAlign w:val="center"/>
                </w:tcPr>
                <w:p w14:paraId="5AB737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预测评价因子</w:t>
                  </w:r>
                </w:p>
              </w:tc>
              <w:tc>
                <w:tcPr>
                  <w:tcW w:w="495" w:type="pct"/>
                  <w:tcBorders>
                    <w:tl2br w:val="nil"/>
                    <w:tr2bl w:val="nil"/>
                  </w:tcBorders>
                  <w:noWrap w:val="0"/>
                  <w:vAlign w:val="center"/>
                </w:tcPr>
                <w:p w14:paraId="4DB0F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单位</w:t>
                  </w:r>
                </w:p>
              </w:tc>
            </w:tr>
            <w:tr w14:paraId="2865955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5" w:type="pct"/>
                  <w:vMerge w:val="restart"/>
                  <w:tcBorders>
                    <w:tl2br w:val="nil"/>
                    <w:tr2bl w:val="nil"/>
                  </w:tcBorders>
                  <w:noWrap/>
                  <w:vAlign w:val="center"/>
                </w:tcPr>
                <w:p w14:paraId="4C7F77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施工期</w:t>
                  </w:r>
                </w:p>
              </w:tc>
              <w:tc>
                <w:tcPr>
                  <w:tcW w:w="686" w:type="pct"/>
                  <w:tcBorders>
                    <w:tl2br w:val="nil"/>
                    <w:tr2bl w:val="nil"/>
                  </w:tcBorders>
                  <w:noWrap/>
                  <w:vAlign w:val="center"/>
                </w:tcPr>
                <w:p w14:paraId="7A618A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大气环境</w:t>
                  </w:r>
                </w:p>
              </w:tc>
              <w:tc>
                <w:tcPr>
                  <w:tcW w:w="1367" w:type="pct"/>
                  <w:tcBorders>
                    <w:tl2br w:val="nil"/>
                    <w:tr2bl w:val="nil"/>
                  </w:tcBorders>
                  <w:noWrap w:val="0"/>
                  <w:vAlign w:val="center"/>
                </w:tcPr>
                <w:p w14:paraId="51DCF6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PM</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10</w:t>
                  </w:r>
                </w:p>
              </w:tc>
              <w:tc>
                <w:tcPr>
                  <w:tcW w:w="501" w:type="pct"/>
                  <w:tcBorders>
                    <w:tl2br w:val="nil"/>
                    <w:tr2bl w:val="nil"/>
                  </w:tcBorders>
                  <w:noWrap w:val="0"/>
                  <w:vAlign w:val="center"/>
                </w:tcPr>
                <w:p w14:paraId="5264E7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1374" w:type="pct"/>
                  <w:tcBorders>
                    <w:tl2br w:val="nil"/>
                    <w:tr2bl w:val="nil"/>
                  </w:tcBorders>
                  <w:noWrap w:val="0"/>
                  <w:vAlign w:val="center"/>
                </w:tcPr>
                <w:p w14:paraId="0D1C2F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95" w:type="pct"/>
                  <w:tcBorders>
                    <w:tl2br w:val="nil"/>
                    <w:tr2bl w:val="nil"/>
                  </w:tcBorders>
                  <w:noWrap w:val="0"/>
                  <w:vAlign w:val="center"/>
                </w:tcPr>
                <w:p w14:paraId="207CCA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26184A2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5" w:type="pct"/>
                  <w:vMerge w:val="continue"/>
                  <w:tcBorders>
                    <w:tl2br w:val="nil"/>
                    <w:tr2bl w:val="nil"/>
                  </w:tcBorders>
                  <w:noWrap/>
                  <w:vAlign w:val="center"/>
                </w:tcPr>
                <w:p w14:paraId="46390F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86" w:type="pct"/>
                  <w:tcBorders>
                    <w:tl2br w:val="nil"/>
                    <w:tr2bl w:val="nil"/>
                  </w:tcBorders>
                  <w:noWrap/>
                  <w:vAlign w:val="center"/>
                </w:tcPr>
                <w:p w14:paraId="3A055F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声环境</w:t>
                  </w:r>
                </w:p>
              </w:tc>
              <w:tc>
                <w:tcPr>
                  <w:tcW w:w="1367" w:type="pct"/>
                  <w:tcBorders>
                    <w:tl2br w:val="nil"/>
                    <w:tr2bl w:val="nil"/>
                  </w:tcBorders>
                  <w:noWrap w:val="0"/>
                  <w:vAlign w:val="center"/>
                </w:tcPr>
                <w:p w14:paraId="545FBCAF">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昼间等效连续声级，Leq夜间等效连续声级，Leq</w:t>
                  </w:r>
                </w:p>
              </w:tc>
              <w:tc>
                <w:tcPr>
                  <w:tcW w:w="501" w:type="pct"/>
                  <w:tcBorders>
                    <w:tl2br w:val="nil"/>
                    <w:tr2bl w:val="nil"/>
                  </w:tcBorders>
                  <w:noWrap w:val="0"/>
                  <w:vAlign w:val="center"/>
                </w:tcPr>
                <w:p w14:paraId="1419A8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dB(A)</w:t>
                  </w:r>
                </w:p>
              </w:tc>
              <w:tc>
                <w:tcPr>
                  <w:tcW w:w="1374" w:type="pct"/>
                  <w:tcBorders>
                    <w:tl2br w:val="nil"/>
                    <w:tr2bl w:val="nil"/>
                  </w:tcBorders>
                  <w:noWrap w:val="0"/>
                  <w:vAlign w:val="center"/>
                </w:tcPr>
                <w:p w14:paraId="553ACA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昼间等效连续声级，Leq夜间等效连续声级，Leq</w:t>
                  </w:r>
                </w:p>
              </w:tc>
              <w:tc>
                <w:tcPr>
                  <w:tcW w:w="495" w:type="pct"/>
                  <w:tcBorders>
                    <w:tl2br w:val="nil"/>
                    <w:tr2bl w:val="nil"/>
                  </w:tcBorders>
                  <w:noWrap w:val="0"/>
                  <w:vAlign w:val="center"/>
                </w:tcPr>
                <w:p w14:paraId="6A46B7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dB(A)</w:t>
                  </w:r>
                </w:p>
              </w:tc>
            </w:tr>
            <w:tr w14:paraId="54792E9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5" w:type="pct"/>
                  <w:vMerge w:val="continue"/>
                  <w:tcBorders>
                    <w:tl2br w:val="nil"/>
                    <w:tr2bl w:val="nil"/>
                  </w:tcBorders>
                  <w:noWrap/>
                  <w:vAlign w:val="center"/>
                </w:tcPr>
                <w:p w14:paraId="23AA6D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86" w:type="pct"/>
                  <w:tcBorders>
                    <w:tl2br w:val="nil"/>
                    <w:tr2bl w:val="nil"/>
                  </w:tcBorders>
                  <w:noWrap/>
                  <w:vAlign w:val="center"/>
                </w:tcPr>
                <w:p w14:paraId="6ED819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地表水</w:t>
                  </w:r>
                </w:p>
              </w:tc>
              <w:tc>
                <w:tcPr>
                  <w:tcW w:w="1367" w:type="pct"/>
                  <w:tcBorders>
                    <w:tl2br w:val="nil"/>
                    <w:tr2bl w:val="nil"/>
                  </w:tcBorders>
                  <w:noWrap w:val="0"/>
                  <w:vAlign w:val="center"/>
                </w:tcPr>
                <w:p w14:paraId="5A4397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pH、COD、BOD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-N、石油类</w:t>
                  </w:r>
                </w:p>
              </w:tc>
              <w:tc>
                <w:tcPr>
                  <w:tcW w:w="501" w:type="pct"/>
                  <w:tcBorders>
                    <w:tl2br w:val="nil"/>
                    <w:tr2bl w:val="nil"/>
                  </w:tcBorders>
                  <w:noWrap w:val="0"/>
                  <w:vAlign w:val="center"/>
                </w:tcPr>
                <w:p w14:paraId="399DAE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1374" w:type="pct"/>
                  <w:tcBorders>
                    <w:tl2br w:val="nil"/>
                    <w:tr2bl w:val="nil"/>
                  </w:tcBorders>
                  <w:noWrap w:val="0"/>
                  <w:vAlign w:val="center"/>
                </w:tcPr>
                <w:p w14:paraId="50E60C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pH、COD、BOD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-N、石油类</w:t>
                  </w:r>
                </w:p>
              </w:tc>
              <w:tc>
                <w:tcPr>
                  <w:tcW w:w="495" w:type="pct"/>
                  <w:tcBorders>
                    <w:tl2br w:val="nil"/>
                    <w:tr2bl w:val="nil"/>
                  </w:tcBorders>
                  <w:noWrap w:val="0"/>
                  <w:vAlign w:val="center"/>
                </w:tcPr>
                <w:p w14:paraId="7C771A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r>
            <w:tr w14:paraId="6DD8F12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5" w:type="pct"/>
                  <w:vMerge w:val="continue"/>
                  <w:tcBorders>
                    <w:tl2br w:val="nil"/>
                    <w:tr2bl w:val="nil"/>
                  </w:tcBorders>
                  <w:noWrap/>
                  <w:vAlign w:val="center"/>
                </w:tcPr>
                <w:p w14:paraId="00B95D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86" w:type="pct"/>
                  <w:tcBorders>
                    <w:tl2br w:val="nil"/>
                    <w:tr2bl w:val="nil"/>
                  </w:tcBorders>
                  <w:noWrap/>
                  <w:vAlign w:val="center"/>
                </w:tcPr>
                <w:p w14:paraId="176D6E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生态环境</w:t>
                  </w:r>
                </w:p>
              </w:tc>
              <w:tc>
                <w:tcPr>
                  <w:tcW w:w="3738" w:type="pct"/>
                  <w:gridSpan w:val="4"/>
                  <w:tcBorders>
                    <w:tl2br w:val="nil"/>
                    <w:tr2bl w:val="nil"/>
                  </w:tcBorders>
                  <w:noWrap w:val="0"/>
                  <w:vAlign w:val="center"/>
                </w:tcPr>
                <w:p w14:paraId="436679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生态系统及其生物因子、非生物因子</w:t>
                  </w:r>
                </w:p>
              </w:tc>
            </w:tr>
            <w:tr w14:paraId="17AF022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5" w:type="pct"/>
                  <w:vMerge w:val="continue"/>
                  <w:tcBorders>
                    <w:tl2br w:val="nil"/>
                    <w:tr2bl w:val="nil"/>
                  </w:tcBorders>
                  <w:noWrap/>
                  <w:vAlign w:val="center"/>
                </w:tcPr>
                <w:p w14:paraId="2292EC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86" w:type="pct"/>
                  <w:tcBorders>
                    <w:tl2br w:val="nil"/>
                    <w:tr2bl w:val="nil"/>
                  </w:tcBorders>
                  <w:noWrap/>
                  <w:vAlign w:val="center"/>
                </w:tcPr>
                <w:p w14:paraId="24CC38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固体废物</w:t>
                  </w:r>
                </w:p>
              </w:tc>
              <w:tc>
                <w:tcPr>
                  <w:tcW w:w="3738" w:type="pct"/>
                  <w:gridSpan w:val="4"/>
                  <w:tcBorders>
                    <w:tl2br w:val="nil"/>
                    <w:tr2bl w:val="nil"/>
                  </w:tcBorders>
                  <w:noWrap w:val="0"/>
                  <w:vAlign w:val="center"/>
                </w:tcPr>
                <w:p w14:paraId="3241D9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建筑垃圾、生活垃圾</w:t>
                  </w:r>
                </w:p>
              </w:tc>
            </w:tr>
            <w:tr w14:paraId="43C882D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5" w:type="pct"/>
                  <w:vMerge w:val="restart"/>
                  <w:tcBorders>
                    <w:tl2br w:val="nil"/>
                    <w:tr2bl w:val="nil"/>
                  </w:tcBorders>
                  <w:noWrap/>
                  <w:vAlign w:val="center"/>
                </w:tcPr>
                <w:p w14:paraId="3BCE83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运营期</w:t>
                  </w:r>
                </w:p>
              </w:tc>
              <w:tc>
                <w:tcPr>
                  <w:tcW w:w="686" w:type="pct"/>
                  <w:vMerge w:val="restart"/>
                  <w:tcBorders>
                    <w:tl2br w:val="nil"/>
                    <w:tr2bl w:val="nil"/>
                  </w:tcBorders>
                  <w:noWrap/>
                  <w:vAlign w:val="center"/>
                </w:tcPr>
                <w:p w14:paraId="5A31B8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电磁环境</w:t>
                  </w:r>
                </w:p>
              </w:tc>
              <w:tc>
                <w:tcPr>
                  <w:tcW w:w="1367" w:type="pct"/>
                  <w:tcBorders>
                    <w:tl2br w:val="nil"/>
                    <w:tr2bl w:val="nil"/>
                  </w:tcBorders>
                  <w:noWrap w:val="0"/>
                  <w:vAlign w:val="center"/>
                </w:tcPr>
                <w:p w14:paraId="0A3560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工频电场</w:t>
                  </w:r>
                </w:p>
              </w:tc>
              <w:tc>
                <w:tcPr>
                  <w:tcW w:w="501" w:type="pct"/>
                  <w:tcBorders>
                    <w:tl2br w:val="nil"/>
                    <w:tr2bl w:val="nil"/>
                  </w:tcBorders>
                  <w:noWrap w:val="0"/>
                  <w:vAlign w:val="center"/>
                </w:tcPr>
                <w:p w14:paraId="3A2AE2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kV/m</w:t>
                  </w:r>
                </w:p>
              </w:tc>
              <w:tc>
                <w:tcPr>
                  <w:tcW w:w="1374" w:type="pct"/>
                  <w:tcBorders>
                    <w:tl2br w:val="nil"/>
                    <w:tr2bl w:val="nil"/>
                  </w:tcBorders>
                  <w:noWrap w:val="0"/>
                  <w:vAlign w:val="center"/>
                </w:tcPr>
                <w:p w14:paraId="2D51CF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工频电场</w:t>
                  </w:r>
                </w:p>
              </w:tc>
              <w:tc>
                <w:tcPr>
                  <w:tcW w:w="495" w:type="pct"/>
                  <w:tcBorders>
                    <w:tl2br w:val="nil"/>
                    <w:tr2bl w:val="nil"/>
                  </w:tcBorders>
                  <w:noWrap w:val="0"/>
                  <w:vAlign w:val="center"/>
                </w:tcPr>
                <w:p w14:paraId="08845A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kV/m</w:t>
                  </w:r>
                </w:p>
              </w:tc>
            </w:tr>
            <w:tr w14:paraId="2A070A3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5" w:type="pct"/>
                  <w:vMerge w:val="continue"/>
                  <w:tcBorders>
                    <w:tl2br w:val="nil"/>
                    <w:tr2bl w:val="nil"/>
                  </w:tcBorders>
                  <w:noWrap/>
                  <w:vAlign w:val="center"/>
                </w:tcPr>
                <w:p w14:paraId="461039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86" w:type="pct"/>
                  <w:vMerge w:val="continue"/>
                  <w:tcBorders>
                    <w:tl2br w:val="nil"/>
                    <w:tr2bl w:val="nil"/>
                  </w:tcBorders>
                  <w:noWrap/>
                  <w:vAlign w:val="center"/>
                </w:tcPr>
                <w:p w14:paraId="13B5A9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67" w:type="pct"/>
                  <w:tcBorders>
                    <w:tl2br w:val="nil"/>
                    <w:tr2bl w:val="nil"/>
                  </w:tcBorders>
                  <w:noWrap w:val="0"/>
                  <w:vAlign w:val="center"/>
                </w:tcPr>
                <w:p w14:paraId="2CC687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工频磁场</w:t>
                  </w:r>
                </w:p>
              </w:tc>
              <w:tc>
                <w:tcPr>
                  <w:tcW w:w="501" w:type="pct"/>
                  <w:tcBorders>
                    <w:tl2br w:val="nil"/>
                    <w:tr2bl w:val="nil"/>
                  </w:tcBorders>
                  <w:noWrap w:val="0"/>
                  <w:vAlign w:val="center"/>
                </w:tcPr>
                <w:p w14:paraId="26C582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μT</w:t>
                  </w:r>
                </w:p>
              </w:tc>
              <w:tc>
                <w:tcPr>
                  <w:tcW w:w="1374" w:type="pct"/>
                  <w:tcBorders>
                    <w:tl2br w:val="nil"/>
                    <w:tr2bl w:val="nil"/>
                  </w:tcBorders>
                  <w:noWrap w:val="0"/>
                  <w:vAlign w:val="center"/>
                </w:tcPr>
                <w:p w14:paraId="4BDD55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工频磁场</w:t>
                  </w:r>
                </w:p>
              </w:tc>
              <w:tc>
                <w:tcPr>
                  <w:tcW w:w="495" w:type="pct"/>
                  <w:tcBorders>
                    <w:tl2br w:val="nil"/>
                    <w:tr2bl w:val="nil"/>
                  </w:tcBorders>
                  <w:noWrap w:val="0"/>
                  <w:vAlign w:val="center"/>
                </w:tcPr>
                <w:p w14:paraId="191377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μT</w:t>
                  </w:r>
                </w:p>
              </w:tc>
            </w:tr>
            <w:tr w14:paraId="0477433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5" w:type="pct"/>
                  <w:vMerge w:val="continue"/>
                  <w:tcBorders>
                    <w:tl2br w:val="nil"/>
                    <w:tr2bl w:val="nil"/>
                  </w:tcBorders>
                  <w:noWrap/>
                  <w:vAlign w:val="center"/>
                </w:tcPr>
                <w:p w14:paraId="0C4A83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86" w:type="pct"/>
                  <w:tcBorders>
                    <w:tl2br w:val="nil"/>
                    <w:tr2bl w:val="nil"/>
                  </w:tcBorders>
                  <w:noWrap/>
                  <w:vAlign w:val="center"/>
                </w:tcPr>
                <w:p w14:paraId="7361C3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声环境</w:t>
                  </w:r>
                </w:p>
              </w:tc>
              <w:tc>
                <w:tcPr>
                  <w:tcW w:w="1367" w:type="pct"/>
                  <w:tcBorders>
                    <w:tl2br w:val="nil"/>
                    <w:tr2bl w:val="nil"/>
                  </w:tcBorders>
                  <w:noWrap w:val="0"/>
                  <w:vAlign w:val="center"/>
                </w:tcPr>
                <w:p w14:paraId="42A338C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昼间等效连续声级，Leq夜间等效连续声级，Leq</w:t>
                  </w:r>
                </w:p>
              </w:tc>
              <w:tc>
                <w:tcPr>
                  <w:tcW w:w="501" w:type="pct"/>
                  <w:tcBorders>
                    <w:tl2br w:val="nil"/>
                    <w:tr2bl w:val="nil"/>
                  </w:tcBorders>
                  <w:noWrap w:val="0"/>
                  <w:vAlign w:val="center"/>
                </w:tcPr>
                <w:p w14:paraId="21405D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dB(A)</w:t>
                  </w:r>
                </w:p>
              </w:tc>
              <w:tc>
                <w:tcPr>
                  <w:tcW w:w="1374" w:type="pct"/>
                  <w:tcBorders>
                    <w:tl2br w:val="nil"/>
                    <w:tr2bl w:val="nil"/>
                  </w:tcBorders>
                  <w:noWrap w:val="0"/>
                  <w:vAlign w:val="center"/>
                </w:tcPr>
                <w:p w14:paraId="29F287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昼间等效连续声级，Leq夜间等效连续声级，Leq</w:t>
                  </w:r>
                </w:p>
              </w:tc>
              <w:tc>
                <w:tcPr>
                  <w:tcW w:w="495" w:type="pct"/>
                  <w:tcBorders>
                    <w:tl2br w:val="nil"/>
                    <w:tr2bl w:val="nil"/>
                  </w:tcBorders>
                  <w:noWrap w:val="0"/>
                  <w:vAlign w:val="center"/>
                </w:tcPr>
                <w:p w14:paraId="67016B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dB(A)</w:t>
                  </w:r>
                </w:p>
              </w:tc>
            </w:tr>
          </w:tbl>
          <w:p w14:paraId="291E3D0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7</w:t>
            </w:r>
            <w:r>
              <w:rPr>
                <w:rFonts w:hint="default" w:ascii="Times New Roman" w:hAnsi="Times New Roman" w:eastAsia="宋体" w:cs="Times New Roman"/>
                <w:b/>
                <w:bCs/>
                <w:color w:val="auto"/>
                <w:kern w:val="0"/>
                <w:sz w:val="24"/>
                <w:szCs w:val="24"/>
                <w:highlight w:val="none"/>
                <w:lang w:val="en-US" w:eastAsia="zh-CN"/>
              </w:rPr>
              <w:t>、评价方法</w:t>
            </w:r>
          </w:p>
          <w:p w14:paraId="0409FFF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电磁环境：本次评价</w:t>
            </w:r>
            <w:r>
              <w:rPr>
                <w:rFonts w:hint="eastAsia" w:ascii="Times New Roman" w:hAnsi="Times New Roman" w:eastAsia="宋体" w:cs="Times New Roman"/>
                <w:snapToGrid w:val="0"/>
                <w:color w:val="auto"/>
                <w:sz w:val="24"/>
                <w:szCs w:val="24"/>
                <w:highlight w:val="none"/>
                <w:lang w:val="en-US" w:eastAsia="zh-CN"/>
              </w:rPr>
              <w:t>架空线路采用模式预测方式进行预测评价</w:t>
            </w:r>
            <w:r>
              <w:rPr>
                <w:rFonts w:hint="default" w:ascii="Times New Roman" w:hAnsi="Times New Roman" w:eastAsia="宋体" w:cs="Times New Roman"/>
                <w:snapToGrid w:val="0"/>
                <w:color w:val="auto"/>
                <w:sz w:val="24"/>
                <w:szCs w:val="24"/>
                <w:highlight w:val="none"/>
                <w:lang w:val="en-US" w:eastAsia="zh-CN"/>
              </w:rPr>
              <w:t>。</w:t>
            </w:r>
          </w:p>
          <w:p w14:paraId="4799B2A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声环境：</w:t>
            </w:r>
            <w:r>
              <w:rPr>
                <w:rFonts w:hint="eastAsia" w:ascii="Times New Roman" w:hAnsi="Times New Roman" w:eastAsia="宋体" w:cs="Times New Roman"/>
                <w:snapToGrid w:val="0"/>
                <w:color w:val="auto"/>
                <w:sz w:val="24"/>
                <w:szCs w:val="24"/>
                <w:highlight w:val="none"/>
                <w:lang w:val="en-US" w:eastAsia="zh-CN"/>
              </w:rPr>
              <w:t>架空线路噪声采用类比监测的方式进行预测评价</w:t>
            </w:r>
            <w:r>
              <w:rPr>
                <w:rFonts w:hint="default" w:ascii="Times New Roman" w:hAnsi="Times New Roman" w:eastAsia="宋体" w:cs="Times New Roman"/>
                <w:snapToGrid w:val="0"/>
                <w:color w:val="auto"/>
                <w:sz w:val="24"/>
                <w:szCs w:val="24"/>
                <w:highlight w:val="none"/>
                <w:lang w:val="en-US" w:eastAsia="zh-CN"/>
              </w:rPr>
              <w:t>。</w:t>
            </w:r>
          </w:p>
          <w:p w14:paraId="0DC6E13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8</w:t>
            </w:r>
            <w:r>
              <w:rPr>
                <w:rFonts w:hint="default" w:ascii="Times New Roman" w:hAnsi="Times New Roman" w:eastAsia="宋体" w:cs="Times New Roman"/>
                <w:b/>
                <w:bCs/>
                <w:color w:val="auto"/>
                <w:kern w:val="0"/>
                <w:sz w:val="24"/>
                <w:szCs w:val="24"/>
                <w:highlight w:val="none"/>
                <w:lang w:val="en-US" w:eastAsia="zh-CN"/>
              </w:rPr>
              <w:t>、评价等级</w:t>
            </w:r>
          </w:p>
          <w:p w14:paraId="06A214A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（1）电磁环境影响评价工作等级</w:t>
            </w:r>
          </w:p>
          <w:p w14:paraId="03E70FE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本工程输电线路为架空线路，架空输电线路边导线地面投影外两侧各15m范围无磁环境敏感目标。根据《环境影响评价技术导则 输变电工程》（HJ24-2020）中关于电磁环境影响评价工作等级划分的规定，确定本工程架空输电线路电磁环境影响评价等级为三级。</w:t>
            </w:r>
          </w:p>
          <w:p w14:paraId="5D3D747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（2）声环境影响评价等级</w:t>
            </w:r>
          </w:p>
          <w:p w14:paraId="0378135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建设项目所处的声环境功能区为《声环境质量标准》(GB3096-2008) 规定的1类</w:t>
            </w:r>
            <w:r>
              <w:rPr>
                <w:rFonts w:hint="eastAsia" w:ascii="Times New Roman" w:hAnsi="Times New Roman" w:eastAsia="宋体" w:cs="Times New Roman"/>
                <w:snapToGrid w:val="0"/>
                <w:color w:val="auto"/>
                <w:sz w:val="24"/>
                <w:szCs w:val="24"/>
                <w:highlight w:val="none"/>
                <w:lang w:val="en-US" w:eastAsia="zh-CN"/>
              </w:rPr>
              <w:t>、2类地区</w:t>
            </w:r>
            <w:r>
              <w:rPr>
                <w:rFonts w:hint="default" w:ascii="Times New Roman" w:hAnsi="Times New Roman" w:eastAsia="宋体" w:cs="Times New Roman"/>
                <w:snapToGrid w:val="0"/>
                <w:color w:val="auto"/>
                <w:sz w:val="24"/>
                <w:szCs w:val="24"/>
                <w:highlight w:val="none"/>
                <w:lang w:val="en-US" w:eastAsia="zh-CN"/>
              </w:rPr>
              <w:t>，或建设项目建设前后评价范围内</w:t>
            </w:r>
            <w:r>
              <w:rPr>
                <w:rFonts w:hint="eastAsia" w:ascii="Times New Roman" w:hAnsi="Times New Roman" w:eastAsia="宋体" w:cs="Times New Roman"/>
                <w:snapToGrid w:val="0"/>
                <w:color w:val="auto"/>
                <w:sz w:val="24"/>
                <w:szCs w:val="24"/>
                <w:highlight w:val="none"/>
                <w:lang w:val="en-US" w:eastAsia="zh-CN"/>
              </w:rPr>
              <w:t>声环境保护</w:t>
            </w:r>
            <w:r>
              <w:rPr>
                <w:rFonts w:hint="default" w:ascii="Times New Roman" w:hAnsi="Times New Roman" w:eastAsia="宋体" w:cs="Times New Roman"/>
                <w:snapToGrid w:val="0"/>
                <w:color w:val="auto"/>
                <w:sz w:val="24"/>
                <w:szCs w:val="24"/>
                <w:highlight w:val="none"/>
                <w:lang w:val="en-US" w:eastAsia="zh-CN"/>
              </w:rPr>
              <w:t>目标噪声级增量达3~5dB(A)，或受噪声影响人口数量增加较多时，按二级评价，本项目所处的声环境功能区</w:t>
            </w:r>
            <w:r>
              <w:rPr>
                <w:rFonts w:hint="eastAsia" w:ascii="Times New Roman" w:hAnsi="Times New Roman" w:eastAsia="宋体" w:cs="Times New Roman"/>
                <w:snapToGrid w:val="0"/>
                <w:color w:val="auto"/>
                <w:sz w:val="24"/>
                <w:szCs w:val="24"/>
                <w:highlight w:val="none"/>
                <w:lang w:val="en-US" w:eastAsia="zh-CN"/>
              </w:rPr>
              <w:t>包含</w:t>
            </w:r>
            <w:r>
              <w:rPr>
                <w:rFonts w:hint="default" w:ascii="Times New Roman" w:hAnsi="Times New Roman" w:eastAsia="宋体" w:cs="Times New Roman"/>
                <w:snapToGrid w:val="0"/>
                <w:color w:val="auto"/>
                <w:sz w:val="24"/>
                <w:szCs w:val="24"/>
                <w:highlight w:val="none"/>
                <w:lang w:val="en-US" w:eastAsia="zh-CN"/>
              </w:rPr>
              <w:t>《声环境质量标准》 (GB3096-2008) 规定的1类</w:t>
            </w:r>
            <w:r>
              <w:rPr>
                <w:rFonts w:hint="eastAsia" w:ascii="Times New Roman" w:hAnsi="Times New Roman" w:eastAsia="宋体" w:cs="Times New Roman"/>
                <w:snapToGrid w:val="0"/>
                <w:color w:val="auto"/>
                <w:sz w:val="24"/>
                <w:szCs w:val="24"/>
                <w:highlight w:val="none"/>
                <w:lang w:val="en-US" w:eastAsia="zh-CN"/>
              </w:rPr>
              <w:t>、2类</w:t>
            </w:r>
            <w:r>
              <w:rPr>
                <w:rFonts w:hint="default" w:ascii="Times New Roman" w:hAnsi="Times New Roman" w:eastAsia="宋体" w:cs="Times New Roman"/>
                <w:snapToGrid w:val="0"/>
                <w:color w:val="auto"/>
                <w:sz w:val="24"/>
                <w:szCs w:val="24"/>
                <w:highlight w:val="none"/>
                <w:lang w:val="en-US" w:eastAsia="zh-CN"/>
              </w:rPr>
              <w:t>地区，因此确定本项目噪声评价等级为二级。</w:t>
            </w:r>
          </w:p>
          <w:p w14:paraId="638CFED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9</w:t>
            </w:r>
            <w:r>
              <w:rPr>
                <w:rFonts w:hint="default" w:ascii="Times New Roman" w:hAnsi="Times New Roman" w:eastAsia="宋体" w:cs="Times New Roman"/>
                <w:b/>
                <w:bCs/>
                <w:color w:val="auto"/>
                <w:kern w:val="0"/>
                <w:sz w:val="24"/>
                <w:szCs w:val="24"/>
                <w:highlight w:val="none"/>
                <w:lang w:val="en-US" w:eastAsia="zh-CN"/>
              </w:rPr>
              <w:t>、评价范围</w:t>
            </w:r>
          </w:p>
          <w:p w14:paraId="7974C236">
            <w:pPr>
              <w:autoSpaceDE w:val="0"/>
              <w:autoSpaceDN w:val="0"/>
              <w:adjustRightInd w:val="0"/>
              <w:snapToGrid w:val="0"/>
              <w:spacing w:line="460" w:lineRule="atLeast"/>
              <w:ind w:firstLine="480" w:firstLineChars="200"/>
              <w:rPr>
                <w:rFonts w:hint="default" w:ascii="Times New Roman" w:hAnsi="Times New Roman" w:cs="Times New Roman"/>
                <w:snapToGrid w:val="0"/>
                <w:color w:val="auto"/>
                <w:sz w:val="24"/>
                <w:highlight w:val="none"/>
              </w:rPr>
            </w:pPr>
            <w:r>
              <w:rPr>
                <w:rFonts w:hint="default" w:ascii="Times New Roman" w:hAnsi="Times New Roman" w:cs="Times New Roman"/>
                <w:snapToGrid w:val="0"/>
                <w:color w:val="auto"/>
                <w:sz w:val="24"/>
                <w:highlight w:val="none"/>
              </w:rPr>
              <w:t>本工程评价范围详见表2-</w:t>
            </w:r>
            <w:r>
              <w:rPr>
                <w:rFonts w:hint="eastAsia" w:cs="Times New Roman"/>
                <w:snapToGrid w:val="0"/>
                <w:color w:val="auto"/>
                <w:sz w:val="24"/>
                <w:highlight w:val="none"/>
                <w:lang w:val="en-US" w:eastAsia="zh-CN"/>
              </w:rPr>
              <w:t>9</w:t>
            </w:r>
            <w:r>
              <w:rPr>
                <w:rFonts w:hint="default" w:ascii="Times New Roman" w:hAnsi="Times New Roman" w:cs="Times New Roman"/>
                <w:snapToGrid w:val="0"/>
                <w:color w:val="auto"/>
                <w:sz w:val="24"/>
                <w:highlight w:val="none"/>
              </w:rPr>
              <w:t>。</w:t>
            </w:r>
          </w:p>
          <w:p w14:paraId="5A149C79">
            <w:pPr>
              <w:spacing w:line="500" w:lineRule="exact"/>
              <w:ind w:firstLine="482" w:firstLineChars="20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表2-</w:t>
            </w:r>
            <w:r>
              <w:rPr>
                <w:rFonts w:hint="eastAsia" w:cs="Times New Roman"/>
                <w:b/>
                <w:bCs/>
                <w:color w:val="auto"/>
                <w:kern w:val="0"/>
                <w:sz w:val="24"/>
                <w:highlight w:val="none"/>
                <w:lang w:val="en-US" w:eastAsia="zh-CN"/>
              </w:rPr>
              <w:t>9</w:t>
            </w:r>
            <w:r>
              <w:rPr>
                <w:rFonts w:hint="default" w:ascii="Times New Roman" w:hAnsi="Times New Roman" w:cs="Times New Roman"/>
                <w:b/>
                <w:bCs/>
                <w:color w:val="auto"/>
                <w:kern w:val="0"/>
                <w:sz w:val="24"/>
                <w:highlight w:val="none"/>
              </w:rPr>
              <w:t xml:space="preserve"> 环境影响评价范围</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891"/>
              <w:gridCol w:w="6839"/>
            </w:tblGrid>
            <w:tr w14:paraId="6D17E0C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340" w:hRule="atLeast"/>
              </w:trPr>
              <w:tc>
                <w:tcPr>
                  <w:tcW w:w="1083" w:type="pct"/>
                  <w:noWrap w:val="0"/>
                  <w:vAlign w:val="center"/>
                </w:tcPr>
                <w:p w14:paraId="21D22AAB">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类别</w:t>
                  </w:r>
                </w:p>
              </w:tc>
              <w:tc>
                <w:tcPr>
                  <w:tcW w:w="3916" w:type="pct"/>
                  <w:noWrap w:val="0"/>
                  <w:vAlign w:val="center"/>
                </w:tcPr>
                <w:p w14:paraId="2A865715">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评价范围</w:t>
                  </w:r>
                </w:p>
              </w:tc>
            </w:tr>
            <w:tr w14:paraId="23CB057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91" w:hRule="atLeast"/>
              </w:trPr>
              <w:tc>
                <w:tcPr>
                  <w:tcW w:w="1083" w:type="pct"/>
                  <w:vMerge w:val="restart"/>
                  <w:tcBorders>
                    <w:bottom w:val="single" w:color="000000" w:sz="4" w:space="0"/>
                  </w:tcBorders>
                  <w:noWrap w:val="0"/>
                  <w:vAlign w:val="center"/>
                </w:tcPr>
                <w:p w14:paraId="60C9FCD0">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电磁环境</w:t>
                  </w:r>
                </w:p>
              </w:tc>
              <w:tc>
                <w:tcPr>
                  <w:tcW w:w="3916" w:type="pct"/>
                  <w:tcBorders>
                    <w:bottom w:val="single" w:color="000000" w:sz="4" w:space="0"/>
                  </w:tcBorders>
                  <w:noWrap w:val="0"/>
                  <w:vAlign w:val="center"/>
                </w:tcPr>
                <w:p w14:paraId="663393F5">
                  <w:pPr>
                    <w:widowControl/>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架空线路：边导线地面投影外两侧各40m</w:t>
                  </w:r>
                  <w:r>
                    <w:rPr>
                      <w:rFonts w:hint="default" w:ascii="Times New Roman" w:hAnsi="Times New Roman" w:cs="Times New Roman"/>
                      <w:color w:val="auto"/>
                      <w:szCs w:val="21"/>
                      <w:highlight w:val="none"/>
                      <w:lang w:eastAsia="zh-CN"/>
                    </w:rPr>
                    <w:t>。</w:t>
                  </w:r>
                </w:p>
              </w:tc>
            </w:tr>
            <w:tr w14:paraId="4EA6EC7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86" w:hRule="atLeast"/>
              </w:trPr>
              <w:tc>
                <w:tcPr>
                  <w:tcW w:w="1083" w:type="pct"/>
                  <w:vMerge w:val="restart"/>
                  <w:noWrap w:val="0"/>
                  <w:vAlign w:val="center"/>
                </w:tcPr>
                <w:p w14:paraId="28EA4A96">
                  <w:pPr>
                    <w:widowControl/>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w:t>
                  </w:r>
                </w:p>
              </w:tc>
              <w:tc>
                <w:tcPr>
                  <w:tcW w:w="3916" w:type="pct"/>
                  <w:tcBorders>
                    <w:top w:val="single" w:color="000000" w:sz="4" w:space="0"/>
                    <w:bottom w:val="single" w:color="000000" w:sz="4" w:space="0"/>
                  </w:tcBorders>
                  <w:noWrap w:val="0"/>
                  <w:vAlign w:val="center"/>
                </w:tcPr>
                <w:p w14:paraId="3C1481BC">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架空线路：边导线地面投影外两侧各40m</w:t>
                  </w:r>
                </w:p>
              </w:tc>
            </w:tr>
            <w:tr w14:paraId="51CE461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083" w:type="pct"/>
                  <w:vMerge w:val="restart"/>
                  <w:noWrap w:val="0"/>
                  <w:vAlign w:val="center"/>
                </w:tcPr>
                <w:p w14:paraId="0C062FE7">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生态环境</w:t>
                  </w:r>
                </w:p>
              </w:tc>
              <w:tc>
                <w:tcPr>
                  <w:tcW w:w="3916" w:type="pct"/>
                  <w:tcBorders>
                    <w:top w:val="single" w:color="000000" w:sz="4" w:space="0"/>
                  </w:tcBorders>
                  <w:noWrap w:val="0"/>
                  <w:vAlign w:val="center"/>
                </w:tcPr>
                <w:p w14:paraId="035D6BE6">
                  <w:pPr>
                    <w:widowControl/>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边导线地面投影外两侧各300m内的带状区域</w:t>
                  </w:r>
                </w:p>
              </w:tc>
            </w:tr>
            <w:tr w14:paraId="6043DB1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083" w:type="pct"/>
                  <w:vMerge w:val="continue"/>
                  <w:noWrap w:val="0"/>
                  <w:vAlign w:val="center"/>
                </w:tcPr>
                <w:p w14:paraId="158C30FD">
                  <w:pPr>
                    <w:widowControl/>
                    <w:spacing w:line="300" w:lineRule="exact"/>
                    <w:jc w:val="center"/>
                    <w:rPr>
                      <w:rFonts w:hint="default" w:ascii="Times New Roman" w:hAnsi="Times New Roman" w:cs="Times New Roman"/>
                      <w:color w:val="auto"/>
                      <w:szCs w:val="21"/>
                      <w:highlight w:val="none"/>
                    </w:rPr>
                  </w:pPr>
                </w:p>
              </w:tc>
              <w:tc>
                <w:tcPr>
                  <w:tcW w:w="3916" w:type="pct"/>
                  <w:tcBorders>
                    <w:top w:val="single" w:color="000000" w:sz="4" w:space="0"/>
                  </w:tcBorders>
                  <w:noWrap w:val="0"/>
                  <w:vAlign w:val="center"/>
                </w:tcPr>
                <w:p w14:paraId="7C4E0695">
                  <w:pPr>
                    <w:widowControl/>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输电线路跨越生态红线区域为的评价范围为线路边导线地面投影外两侧各1000m 区域范围内</w:t>
                  </w:r>
                </w:p>
              </w:tc>
            </w:tr>
          </w:tbl>
          <w:p w14:paraId="098C54DD">
            <w:pPr>
              <w:rPr>
                <w:rFonts w:hint="eastAsia"/>
                <w:highlight w:val="yellow"/>
                <w:lang w:val="en-US" w:eastAsia="zh-CN"/>
              </w:rPr>
            </w:pPr>
          </w:p>
          <w:p w14:paraId="15F8A87E">
            <w:pPr>
              <w:pStyle w:val="18"/>
              <w:rPr>
                <w:rFonts w:hint="eastAsia"/>
                <w:highlight w:val="yellow"/>
                <w:lang w:val="en-US" w:eastAsia="zh-CN"/>
              </w:rPr>
            </w:pPr>
          </w:p>
          <w:p w14:paraId="6A956BFD">
            <w:pPr>
              <w:rPr>
                <w:rFonts w:hint="eastAsia"/>
                <w:highlight w:val="yellow"/>
                <w:lang w:val="en-US" w:eastAsia="zh-CN"/>
              </w:rPr>
            </w:pPr>
          </w:p>
          <w:p w14:paraId="2C1663FA">
            <w:pPr>
              <w:keepNext w:val="0"/>
              <w:keepLines/>
              <w:pageBreakBefore w:val="0"/>
              <w:widowControl w:val="0"/>
              <w:numPr>
                <w:ilvl w:val="0"/>
                <w:numId w:val="0"/>
              </w:numPr>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rPr>
            </w:pPr>
          </w:p>
        </w:tc>
      </w:tr>
    </w:tbl>
    <w:p w14:paraId="45B4A3D9">
      <w:pPr>
        <w:sectPr>
          <w:footerReference r:id="rId4" w:type="default"/>
          <w:pgSz w:w="11907" w:h="16839"/>
          <w:pgMar w:top="1701" w:right="1531" w:bottom="1701" w:left="1531" w:header="0" w:footer="922" w:gutter="0"/>
          <w:pgBorders>
            <w:top w:val="none" w:sz="0" w:space="0"/>
            <w:left w:val="none" w:sz="0" w:space="0"/>
            <w:bottom w:val="none" w:sz="0" w:space="0"/>
            <w:right w:val="none" w:sz="0" w:space="0"/>
          </w:pgBorders>
          <w:pgNumType w:fmt="decimal" w:start="1"/>
          <w:cols w:space="720" w:num="1"/>
        </w:sectPr>
      </w:pPr>
    </w:p>
    <w:p w14:paraId="558F56BA">
      <w:pPr>
        <w:pStyle w:val="17"/>
        <w:keepNext w:val="0"/>
        <w:keepLines w:val="0"/>
        <w:pageBreakBefore w:val="0"/>
        <w:kinsoku/>
        <w:wordWrap/>
        <w:overflowPunct/>
        <w:topLinePunct w:val="0"/>
        <w:bidi w:val="0"/>
        <w:adjustRightInd w:val="0"/>
        <w:snapToGrid w:val="0"/>
        <w:jc w:val="center"/>
        <w:textAlignment w:val="auto"/>
        <w:outlineLvl w:val="0"/>
        <w:rPr>
          <w:rFonts w:hint="default" w:ascii="Times New Roman" w:hAnsi="Times New Roman" w:eastAsia="黑体" w:cs="Times New Roman"/>
          <w:snapToGrid w:val="0"/>
          <w:color w:val="auto"/>
          <w:sz w:val="30"/>
          <w:szCs w:val="30"/>
          <w:highlight w:val="none"/>
        </w:rPr>
      </w:pPr>
      <w:bookmarkStart w:id="30" w:name="_Toc9973"/>
      <w:bookmarkStart w:id="31" w:name="_Toc1700"/>
      <w:r>
        <w:rPr>
          <w:rFonts w:hint="default" w:ascii="Times New Roman" w:hAnsi="Times New Roman" w:eastAsia="黑体" w:cs="Times New Roman"/>
          <w:snapToGrid w:val="0"/>
          <w:color w:val="auto"/>
          <w:sz w:val="30"/>
          <w:szCs w:val="30"/>
          <w:highlight w:val="none"/>
        </w:rPr>
        <w:t>三、生态环境现状、保护目标及评价标准</w:t>
      </w:r>
      <w:bookmarkEnd w:id="30"/>
      <w:bookmarkEnd w:id="31"/>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8"/>
        <w:gridCol w:w="8061"/>
      </w:tblGrid>
      <w:tr w14:paraId="1773DE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8" w:type="dxa"/>
            <w:noWrap w:val="0"/>
            <w:vAlign w:val="center"/>
          </w:tcPr>
          <w:p w14:paraId="334F55DE">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Cs w:val="21"/>
                <w:highlight w:val="yellow"/>
              </w:rPr>
            </w:pPr>
            <w:r>
              <w:rPr>
                <w:rFonts w:hint="default" w:ascii="Times New Roman" w:hAnsi="Times New Roman" w:eastAsia="宋体" w:cs="Times New Roman"/>
                <w:color w:val="auto"/>
                <w:kern w:val="0"/>
                <w:szCs w:val="21"/>
                <w:highlight w:val="none"/>
              </w:rPr>
              <w:t>生态环境现状</w:t>
            </w:r>
          </w:p>
        </w:tc>
        <w:tc>
          <w:tcPr>
            <w:tcW w:w="8061" w:type="dxa"/>
            <w:noWrap w:val="0"/>
            <w:tcMar>
              <w:top w:w="0" w:type="dxa"/>
              <w:left w:w="108" w:type="dxa"/>
              <w:bottom w:w="0" w:type="dxa"/>
              <w:right w:w="108" w:type="dxa"/>
            </w:tcMar>
            <w:vAlign w:val="center"/>
          </w:tcPr>
          <w:p w14:paraId="6D01239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1</w:t>
            </w:r>
            <w:r>
              <w:rPr>
                <w:rFonts w:hint="default" w:ascii="Times New Roman" w:hAnsi="Times New Roman" w:eastAsia="宋体" w:cs="Times New Roman"/>
                <w:b/>
                <w:bCs/>
                <w:color w:val="auto"/>
                <w:kern w:val="0"/>
                <w:sz w:val="24"/>
                <w:szCs w:val="24"/>
                <w:highlight w:val="none"/>
                <w:lang w:val="en-US" w:eastAsia="zh-CN"/>
              </w:rPr>
              <w:t>、主体功能区划</w:t>
            </w:r>
          </w:p>
          <w:p w14:paraId="39FFFC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根据“河北省主体功能区划分总图”和《河北省主体功能区规划》中“附一：河北省优先开发、重点开发、限制开发区域名录”要求，围场满族蒙古族自治县属于国家重点生态功能区，为坝上高原山地区，是国家浑善达克沙漠化防治生态功能区得一部分</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其类型为防风固沙型。该区域开发管制原则：实行更加严格的产业准入环境标准，严把项目准入关。在不损害生态系统功能的前提下，因地制宜地适度发展旅游、农林牧产品生产和加工、观光休闲农业等产业，积极发展服务业，根据不同地区的情况，保持一定的经济增长速度和财政自给能力。在条件适宜的地区，积极推广沼气、风能、太阳能、地热能等清洁能源，努力解决农村特别是山区、高原、草原和海岛地区农村的能源需求。</w:t>
            </w:r>
          </w:p>
          <w:p w14:paraId="7AD1AD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围场风电储能一体化项目</w:t>
            </w:r>
            <w:r>
              <w:rPr>
                <w:rFonts w:hint="default" w:ascii="Times New Roman" w:hAnsi="Times New Roman" w:eastAsia="宋体" w:cs="Times New Roman"/>
                <w:color w:val="auto"/>
                <w:kern w:val="0"/>
                <w:sz w:val="24"/>
                <w:szCs w:val="24"/>
                <w:highlight w:val="none"/>
                <w:lang w:val="en-US" w:eastAsia="zh-CN"/>
              </w:rPr>
              <w:t>开发利用</w:t>
            </w:r>
            <w:r>
              <w:rPr>
                <w:rFonts w:hint="eastAsia" w:ascii="Times New Roman" w:hAnsi="Times New Roman" w:eastAsia="宋体" w:cs="Times New Roman"/>
                <w:color w:val="auto"/>
                <w:kern w:val="0"/>
                <w:sz w:val="24"/>
                <w:szCs w:val="24"/>
                <w:highlight w:val="none"/>
                <w:lang w:val="en-US" w:eastAsia="zh-CN"/>
              </w:rPr>
              <w:t>风嫩</w:t>
            </w:r>
            <w:r>
              <w:rPr>
                <w:rFonts w:hint="default" w:ascii="Times New Roman" w:hAnsi="Times New Roman" w:eastAsia="宋体" w:cs="Times New Roman"/>
                <w:color w:val="auto"/>
                <w:kern w:val="0"/>
                <w:sz w:val="24"/>
                <w:szCs w:val="24"/>
                <w:highlight w:val="none"/>
                <w:lang w:val="en-US" w:eastAsia="zh-CN"/>
              </w:rPr>
              <w:t>资源，减少化石能源消耗，项目有利于提高电能质量，获得稳定可靠的电源，有助于当地产业结构的调整和经济建设，满足区域经济发展的需要。</w:t>
            </w:r>
          </w:p>
          <w:p w14:paraId="278D51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综上所述，本项目为</w:t>
            </w:r>
            <w:r>
              <w:rPr>
                <w:rFonts w:hint="eastAsia" w:cs="Times New Roman"/>
                <w:color w:val="auto"/>
                <w:kern w:val="0"/>
                <w:sz w:val="24"/>
                <w:szCs w:val="24"/>
                <w:highlight w:val="none"/>
                <w:lang w:val="en-US" w:eastAsia="zh-CN"/>
              </w:rPr>
              <w:t>华能围场“风光储氢热一体化”项目（风电200MW）项目220kV送出线路工程</w:t>
            </w:r>
            <w:r>
              <w:rPr>
                <w:rFonts w:hint="default" w:ascii="Times New Roman" w:hAnsi="Times New Roman" w:eastAsia="宋体" w:cs="Times New Roman"/>
                <w:color w:val="auto"/>
                <w:kern w:val="0"/>
                <w:sz w:val="24"/>
                <w:szCs w:val="24"/>
                <w:highlight w:val="none"/>
                <w:lang w:val="en-US" w:eastAsia="zh-CN"/>
              </w:rPr>
              <w:t>与所在区域生态功能区划不冲突，且符合该区域的区域开发管制原则。</w:t>
            </w:r>
          </w:p>
          <w:p w14:paraId="55E716B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lang w:val="en-US" w:eastAsia="zh-CN" w:bidi="ar-SA"/>
              </w:rPr>
              <w:t>2、</w:t>
            </w:r>
            <w:r>
              <w:rPr>
                <w:rFonts w:hint="default" w:ascii="Times New Roman" w:hAnsi="Times New Roman" w:eastAsia="宋体" w:cs="Times New Roman"/>
                <w:b/>
                <w:bCs/>
                <w:color w:val="auto"/>
                <w:kern w:val="0"/>
                <w:sz w:val="24"/>
                <w:szCs w:val="24"/>
                <w:highlight w:val="none"/>
                <w:lang w:val="en-US" w:eastAsia="zh-CN"/>
              </w:rPr>
              <w:t>生态功能区划</w:t>
            </w:r>
          </w:p>
          <w:p w14:paraId="18BB2681">
            <w:pPr>
              <w:adjustRightInd w:val="0"/>
              <w:snapToGrid w:val="0"/>
              <w:spacing w:line="500" w:lineRule="exact"/>
              <w:ind w:firstLine="480" w:firstLineChars="200"/>
              <w:rPr>
                <w:rFonts w:hint="default" w:ascii="Times New Roman" w:hAnsi="Times New Roman" w:eastAsia="宋体" w:cs="Times New Roman"/>
                <w:sz w:val="24"/>
                <w:highlight w:val="none"/>
              </w:rPr>
            </w:pPr>
            <w:r>
              <w:rPr>
                <w:rFonts w:hint="default" w:ascii="Times New Roman" w:hAnsi="Times New Roman" w:cs="Times New Roman"/>
                <w:sz w:val="24"/>
                <w:highlight w:val="none"/>
              </w:rPr>
              <w:t>根据《京津冀协同发展规划纲要》《京津冀协同发展生态环境保护规划》《河</w:t>
            </w:r>
            <w:r>
              <w:rPr>
                <w:rFonts w:hint="default" w:ascii="Times New Roman" w:hAnsi="Times New Roman" w:eastAsia="宋体" w:cs="Times New Roman"/>
                <w:sz w:val="24"/>
                <w:highlight w:val="none"/>
              </w:rPr>
              <w:t>北省主体功能区规划》、“三线一单”、国土空间规划等，综合考虑自然和社会经济条件、生态系统特征，以县(市、区)为基本单元，将全省分为环京津生态过渡带、坝上高原生态防护区、燕山-太行山生态涵养区、低平原生态修复区、沿海生态防护区五个区域。</w:t>
            </w:r>
          </w:p>
          <w:p w14:paraId="4AEC9230">
            <w:pPr>
              <w:adjustRightInd w:val="0"/>
              <w:snapToGrid w:val="0"/>
              <w:spacing w:line="500" w:lineRule="exact"/>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rPr>
              <w:t>线路位于河北省承德市围场满族蒙古族自治县城子</w:t>
            </w:r>
            <w:r>
              <w:rPr>
                <w:rFonts w:hint="default" w:ascii="Times New Roman" w:hAnsi="Times New Roman" w:eastAsia="宋体" w:cs="Times New Roman"/>
                <w:sz w:val="24"/>
                <w:highlight w:val="none"/>
                <w:lang w:val="en-US" w:eastAsia="zh-CN"/>
              </w:rPr>
              <w:t>镇</w:t>
            </w:r>
            <w:r>
              <w:rPr>
                <w:rFonts w:hint="default" w:ascii="Times New Roman" w:hAnsi="Times New Roman" w:eastAsia="宋体" w:cs="Times New Roman"/>
                <w:sz w:val="24"/>
                <w:highlight w:val="none"/>
              </w:rPr>
              <w:t>、牌楼乡、燕格柏乡和半截塔镇。</w:t>
            </w:r>
            <w:r>
              <w:rPr>
                <w:rFonts w:hint="default" w:ascii="Times New Roman" w:hAnsi="Times New Roman" w:eastAsia="宋体" w:cs="Times New Roman"/>
                <w:sz w:val="24"/>
                <w:highlight w:val="none"/>
                <w:lang w:val="en-US" w:eastAsia="zh-CN"/>
              </w:rPr>
              <w:t>根据《河北省生态功能区划》，本项目属于Ⅱ1-2：燕山山地北部水源涵养与水土保持生态功能区，区域主要生态环境问题、保护措施与发展方向见表3-1。</w:t>
            </w:r>
          </w:p>
          <w:p w14:paraId="547B7AD2">
            <w:pPr>
              <w:pStyle w:val="24"/>
              <w:spacing w:before="31" w:line="221" w:lineRule="auto"/>
              <w:ind w:left="2523"/>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pacing w:val="-3"/>
                <w:sz w:val="24"/>
                <w:szCs w:val="24"/>
                <w:highlight w:val="none"/>
              </w:rPr>
              <w:t>表</w:t>
            </w:r>
            <w:r>
              <w:rPr>
                <w:rFonts w:hint="default" w:ascii="Times New Roman" w:hAnsi="Times New Roman" w:eastAsia="宋体" w:cs="Times New Roman"/>
                <w:b/>
                <w:bCs/>
                <w:spacing w:val="-32"/>
                <w:sz w:val="24"/>
                <w:szCs w:val="24"/>
                <w:highlight w:val="none"/>
                <w:lang w:val="en-US" w:eastAsia="zh-CN"/>
              </w:rPr>
              <w:t>3-1</w:t>
            </w:r>
            <w:r>
              <w:rPr>
                <w:rFonts w:hint="default" w:ascii="Times New Roman" w:hAnsi="Times New Roman" w:eastAsia="宋体" w:cs="Times New Roman"/>
                <w:b/>
                <w:bCs/>
                <w:spacing w:val="-3"/>
                <w:sz w:val="24"/>
                <w:szCs w:val="24"/>
                <w:highlight w:val="none"/>
              </w:rPr>
              <w:t xml:space="preserve"> 项目所在区域生态功能区划</w:t>
            </w:r>
          </w:p>
          <w:p w14:paraId="508A3E59">
            <w:pPr>
              <w:spacing w:line="25" w:lineRule="exact"/>
              <w:rPr>
                <w:rFonts w:hint="default" w:ascii="Times New Roman" w:hAnsi="Times New Roman" w:eastAsia="宋体" w:cs="Times New Roman"/>
                <w:sz w:val="32"/>
                <w:szCs w:val="32"/>
                <w:highlight w:val="red"/>
              </w:rPr>
            </w:pPr>
          </w:p>
          <w:tbl>
            <w:tblPr>
              <w:tblStyle w:val="25"/>
              <w:tblW w:w="497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086"/>
              <w:gridCol w:w="1698"/>
              <w:gridCol w:w="1838"/>
              <w:gridCol w:w="2433"/>
            </w:tblGrid>
            <w:tr w14:paraId="6DF13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260" w:type="pct"/>
                  <w:gridSpan w:val="3"/>
                  <w:tcBorders>
                    <w:top w:val="single" w:color="000000" w:sz="10" w:space="0"/>
                    <w:left w:val="nil"/>
                  </w:tcBorders>
                  <w:noWrap w:val="0"/>
                  <w:vAlign w:val="top"/>
                </w:tcPr>
                <w:p w14:paraId="09720F5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生态功能分区单元</w:t>
                  </w:r>
                </w:p>
              </w:tc>
              <w:tc>
                <w:tcPr>
                  <w:tcW w:w="1178" w:type="pct"/>
                  <w:vMerge w:val="restart"/>
                  <w:tcBorders>
                    <w:top w:val="single" w:color="000000" w:sz="10" w:space="0"/>
                    <w:bottom w:val="nil"/>
                  </w:tcBorders>
                  <w:noWrap w:val="0"/>
                  <w:vAlign w:val="top"/>
                </w:tcPr>
                <w:p w14:paraId="2C7B23F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bCs/>
                      <w:sz w:val="21"/>
                      <w:szCs w:val="21"/>
                      <w:lang w:val="en-US" w:eastAsia="zh-CN"/>
                    </w:rPr>
                    <w:t>主要生态环境问题</w:t>
                  </w:r>
                </w:p>
              </w:tc>
              <w:tc>
                <w:tcPr>
                  <w:tcW w:w="1560" w:type="pct"/>
                  <w:vMerge w:val="restart"/>
                  <w:tcBorders>
                    <w:top w:val="single" w:color="000000" w:sz="10" w:space="0"/>
                    <w:right w:val="nil"/>
                  </w:tcBorders>
                  <w:noWrap w:val="0"/>
                  <w:vAlign w:val="top"/>
                </w:tcPr>
                <w:p w14:paraId="2C980F5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bCs/>
                      <w:sz w:val="21"/>
                      <w:szCs w:val="21"/>
                    </w:rPr>
                    <w:t>保护措施与发展方向</w:t>
                  </w:r>
                </w:p>
              </w:tc>
            </w:tr>
            <w:tr w14:paraId="06885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74" w:type="pct"/>
                  <w:tcBorders>
                    <w:left w:val="nil"/>
                  </w:tcBorders>
                  <w:noWrap w:val="0"/>
                  <w:vAlign w:val="top"/>
                </w:tcPr>
                <w:p w14:paraId="58BE840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生态区</w:t>
                  </w:r>
                </w:p>
              </w:tc>
              <w:tc>
                <w:tcPr>
                  <w:tcW w:w="696" w:type="pct"/>
                  <w:noWrap w:val="0"/>
                  <w:vAlign w:val="top"/>
                </w:tcPr>
                <w:p w14:paraId="4B47D2D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生态亚区</w:t>
                  </w:r>
                </w:p>
              </w:tc>
              <w:tc>
                <w:tcPr>
                  <w:tcW w:w="1089" w:type="pct"/>
                  <w:noWrap w:val="0"/>
                  <w:vAlign w:val="top"/>
                </w:tcPr>
                <w:p w14:paraId="2523CFF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生态功能区</w:t>
                  </w:r>
                </w:p>
              </w:tc>
              <w:tc>
                <w:tcPr>
                  <w:tcW w:w="1178" w:type="pct"/>
                  <w:vMerge w:val="continue"/>
                  <w:tcBorders>
                    <w:top w:val="nil"/>
                  </w:tcBorders>
                  <w:noWrap w:val="0"/>
                  <w:vAlign w:val="top"/>
                </w:tcPr>
                <w:p w14:paraId="452E3AB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outlineLvl w:val="9"/>
                    <w:rPr>
                      <w:rFonts w:hint="default" w:ascii="Times New Roman" w:hAnsi="Times New Roman" w:eastAsia="宋体" w:cs="Times New Roman"/>
                      <w:color w:val="auto"/>
                      <w:kern w:val="0"/>
                      <w:sz w:val="24"/>
                      <w:szCs w:val="24"/>
                      <w:highlight w:val="none"/>
                      <w:lang w:val="en-US" w:eastAsia="zh-CN"/>
                    </w:rPr>
                  </w:pPr>
                </w:p>
              </w:tc>
              <w:tc>
                <w:tcPr>
                  <w:tcW w:w="1560" w:type="pct"/>
                  <w:vMerge w:val="continue"/>
                  <w:tcBorders>
                    <w:right w:val="nil"/>
                  </w:tcBorders>
                  <w:noWrap w:val="0"/>
                  <w:vAlign w:val="top"/>
                </w:tcPr>
                <w:p w14:paraId="2D2EBC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outlineLvl w:val="9"/>
                    <w:rPr>
                      <w:rFonts w:hint="default" w:ascii="Times New Roman" w:hAnsi="Times New Roman" w:eastAsia="宋体" w:cs="Times New Roman"/>
                      <w:color w:val="auto"/>
                      <w:kern w:val="0"/>
                      <w:sz w:val="24"/>
                      <w:szCs w:val="24"/>
                      <w:highlight w:val="none"/>
                      <w:lang w:val="en-US" w:eastAsia="zh-CN"/>
                    </w:rPr>
                  </w:pPr>
                </w:p>
              </w:tc>
            </w:tr>
            <w:tr w14:paraId="70030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6" w:hRule="atLeast"/>
              </w:trPr>
              <w:tc>
                <w:tcPr>
                  <w:tcW w:w="474" w:type="pct"/>
                  <w:tcBorders>
                    <w:left w:val="nil"/>
                    <w:bottom w:val="single" w:color="000000" w:sz="10" w:space="0"/>
                  </w:tcBorders>
                  <w:noWrap w:val="0"/>
                  <w:vAlign w:val="top"/>
                </w:tcPr>
                <w:p w14:paraId="32EFE09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Ⅰ坝上高 原生态区</w:t>
                  </w:r>
                </w:p>
              </w:tc>
              <w:tc>
                <w:tcPr>
                  <w:tcW w:w="696" w:type="pct"/>
                  <w:tcBorders>
                    <w:bottom w:val="single" w:color="000000" w:sz="10" w:space="0"/>
                  </w:tcBorders>
                  <w:noWrap w:val="0"/>
                  <w:vAlign w:val="top"/>
                </w:tcPr>
                <w:p w14:paraId="2BC7183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Ⅱ1：冀北及燕山山地森林生态亚区</w:t>
                  </w:r>
                </w:p>
              </w:tc>
              <w:tc>
                <w:tcPr>
                  <w:tcW w:w="1089" w:type="pct"/>
                  <w:tcBorders>
                    <w:bottom w:val="single" w:color="000000" w:sz="10" w:space="0"/>
                  </w:tcBorders>
                  <w:noWrap w:val="0"/>
                  <w:vAlign w:val="top"/>
                </w:tcPr>
                <w:p w14:paraId="3E6C9CB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Ⅱ1-2：燕山山地北部水源涵养与水土保持生态功能区</w:t>
                  </w:r>
                </w:p>
              </w:tc>
              <w:tc>
                <w:tcPr>
                  <w:tcW w:w="1178" w:type="pct"/>
                  <w:tcBorders>
                    <w:bottom w:val="single" w:color="000000" w:sz="10" w:space="0"/>
                  </w:tcBorders>
                  <w:noWrap w:val="0"/>
                  <w:vAlign w:val="top"/>
                </w:tcPr>
                <w:p w14:paraId="7C00E4F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水土流失日趋严重，森林生态功能低，农业生产能力弱</w:t>
                  </w:r>
                </w:p>
              </w:tc>
              <w:tc>
                <w:tcPr>
                  <w:tcW w:w="1560" w:type="pct"/>
                  <w:tcBorders>
                    <w:bottom w:val="single" w:color="000000" w:sz="10" w:space="0"/>
                    <w:right w:val="nil"/>
                  </w:tcBorders>
                  <w:noWrap w:val="0"/>
                  <w:vAlign w:val="top"/>
                </w:tcPr>
                <w:p w14:paraId="5AE28CF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保护生物多样性，水土流失综合防治，推进退耕还林、还草，发展生态农业</w:t>
                  </w:r>
                </w:p>
              </w:tc>
            </w:tr>
          </w:tbl>
          <w:p w14:paraId="4947C61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eastAsia="宋体" w:cs="Times New Roman"/>
                <w:color w:val="auto"/>
                <w:kern w:val="0"/>
                <w:sz w:val="24"/>
                <w:szCs w:val="24"/>
                <w:highlight w:val="none"/>
                <w:lang w:val="en-US" w:eastAsia="zh-CN"/>
              </w:rPr>
            </w:pPr>
            <w:r>
              <w:drawing>
                <wp:anchor distT="0" distB="0" distL="114300" distR="114300" simplePos="0" relativeHeight="251669504" behindDoc="0" locked="0" layoutInCell="1" allowOverlap="1">
                  <wp:simplePos x="0" y="0"/>
                  <wp:positionH relativeFrom="column">
                    <wp:posOffset>577215</wp:posOffset>
                  </wp:positionH>
                  <wp:positionV relativeFrom="paragraph">
                    <wp:posOffset>89535</wp:posOffset>
                  </wp:positionV>
                  <wp:extent cx="3654425" cy="5133340"/>
                  <wp:effectExtent l="0" t="0" r="3175" b="10160"/>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a:stretch>
                            <a:fillRect/>
                          </a:stretch>
                        </pic:blipFill>
                        <pic:spPr>
                          <a:xfrm>
                            <a:off x="0" y="0"/>
                            <a:ext cx="3654425" cy="5133340"/>
                          </a:xfrm>
                          <a:prstGeom prst="rect">
                            <a:avLst/>
                          </a:prstGeom>
                          <a:noFill/>
                          <a:ln>
                            <a:noFill/>
                          </a:ln>
                        </pic:spPr>
                      </pic:pic>
                    </a:graphicData>
                  </a:graphic>
                </wp:anchor>
              </w:drawing>
            </w:r>
          </w:p>
          <w:p w14:paraId="10E724A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outlineLvl w:val="9"/>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图3-1河北省生态功能区划图</w:t>
            </w:r>
          </w:p>
          <w:p w14:paraId="6903E5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本项目为</w:t>
            </w:r>
            <w:r>
              <w:rPr>
                <w:rFonts w:hint="eastAsia" w:ascii="Times New Roman" w:hAnsi="Times New Roman" w:eastAsia="宋体" w:cs="Times New Roman"/>
                <w:color w:val="auto"/>
                <w:kern w:val="0"/>
                <w:sz w:val="24"/>
                <w:szCs w:val="24"/>
                <w:highlight w:val="none"/>
                <w:lang w:val="en-US" w:eastAsia="zh-CN"/>
              </w:rPr>
              <w:t>华能围场“风光储氢热一体化”项目（风电200MW）项目220kV送出线路工程</w:t>
            </w:r>
            <w:r>
              <w:rPr>
                <w:rFonts w:hint="default" w:ascii="Times New Roman" w:hAnsi="Times New Roman" w:eastAsia="宋体" w:cs="Times New Roman"/>
                <w:color w:val="auto"/>
                <w:kern w:val="0"/>
                <w:sz w:val="24"/>
                <w:szCs w:val="24"/>
                <w:highlight w:val="none"/>
                <w:lang w:val="en-US" w:eastAsia="zh-CN"/>
              </w:rPr>
              <w:t>，属于输变电工程建设项目，属于电力供应，与区域生态功能区划发展方向不冲突。工程对生态环境影响主 要体现在施工期，本项目架空线路路径较短，对生态环境影响较小。</w:t>
            </w:r>
          </w:p>
          <w:p w14:paraId="042B36C5">
            <w:pPr>
              <w:numPr>
                <w:ilvl w:val="0"/>
                <w:numId w:val="0"/>
              </w:numPr>
              <w:adjustRightInd w:val="0"/>
              <w:snapToGrid w:val="0"/>
              <w:spacing w:line="500" w:lineRule="exact"/>
              <w:ind w:left="0" w:leftChars="0" w:firstLine="482" w:firstLineChars="200"/>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lang w:val="en-US" w:eastAsia="zh-CN" w:bidi="ar-SA"/>
              </w:rPr>
              <w:t>3、</w:t>
            </w:r>
            <w:r>
              <w:rPr>
                <w:rFonts w:hint="default" w:ascii="Times New Roman" w:hAnsi="Times New Roman" w:eastAsia="宋体" w:cs="Times New Roman"/>
                <w:b/>
                <w:bCs/>
                <w:color w:val="auto"/>
                <w:kern w:val="0"/>
                <w:sz w:val="24"/>
                <w:szCs w:val="24"/>
                <w:highlight w:val="none"/>
                <w:lang w:val="en-US" w:eastAsia="zh-CN"/>
              </w:rPr>
              <w:t>生态环境现状</w:t>
            </w:r>
          </w:p>
          <w:p w14:paraId="370F54BE">
            <w:pPr>
              <w:pStyle w:val="24"/>
              <w:keepNext w:val="0"/>
              <w:keepLines w:val="0"/>
              <w:pageBreakBefore w:val="0"/>
              <w:widowControl w:val="0"/>
              <w:kinsoku/>
              <w:wordWrap/>
              <w:overflowPunct/>
              <w:topLinePunct w:val="0"/>
              <w:autoSpaceDE/>
              <w:autoSpaceDN/>
              <w:bidi w:val="0"/>
              <w:adjustRightInd/>
              <w:snapToGrid w:val="0"/>
              <w:spacing w:before="208" w:line="360" w:lineRule="auto"/>
              <w:ind w:right="0" w:firstLine="484" w:firstLineChars="200"/>
              <w:jc w:val="both"/>
              <w:textAlignment w:val="auto"/>
              <w:rPr>
                <w:rFonts w:hint="default"/>
                <w:spacing w:val="-10"/>
                <w:sz w:val="24"/>
                <w:szCs w:val="24"/>
                <w:highlight w:val="none"/>
                <w:lang w:val="en-US" w:eastAsia="zh-CN"/>
              </w:rPr>
            </w:pPr>
            <w:r>
              <w:rPr>
                <w:spacing w:val="1"/>
                <w:sz w:val="24"/>
                <w:szCs w:val="24"/>
              </w:rPr>
              <w:t>本项目位于山地，架空线路占地范围主要植被现状为林地、草地。线路占地及生态评价范围内不涉及自然保护区、生态保护红线等环境敏感区。项目所在区域地势平坦开阔，根据现场调查项目周边区域主要为道路、村庄、</w:t>
            </w:r>
            <w:r>
              <w:rPr>
                <w:spacing w:val="1"/>
                <w:sz w:val="24"/>
                <w:szCs w:val="24"/>
                <w:highlight w:val="none"/>
              </w:rPr>
              <w:t>草地及林地，受人类活动的影响较</w:t>
            </w:r>
            <w:r>
              <w:rPr>
                <w:spacing w:val="-10"/>
                <w:sz w:val="24"/>
                <w:szCs w:val="24"/>
                <w:highlight w:val="none"/>
              </w:rPr>
              <w:t>大。</w:t>
            </w:r>
          </w:p>
          <w:p w14:paraId="2F03BB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围场满族蒙古族自治县有野生动物近千种，主要有鸟类、爬行类、哺乳类、昆虫类及鱼类。根据相关资料显示，本区域内常年生活的野生动物主要为较小的动物和鸟类，主要栖息于林地中，围场满族蒙古族自治县候鸟主要有大雁、燕子、野鸭等，而本项目区内未发现成规模的候鸟在此停落，不属于候鸟的主要栖息地。本项目区域内野生动物主要为鼠类、草兔、青蛙等小型动物，在项目区域活动的鸟类主要为喜鹊、麻雀、乌鸦等一般鸟类，未见国家级省级重点保护鸟类。线路周围无国家地方重点保护的珍稀濒危野生动植物天然集中分布区。</w:t>
            </w:r>
          </w:p>
          <w:p w14:paraId="3160599D">
            <w:pPr>
              <w:pStyle w:val="27"/>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eastAsia="宋体"/>
                <w:bCs/>
                <w:color w:val="auto"/>
                <w:kern w:val="0"/>
                <w:sz w:val="24"/>
                <w:highlight w:val="none"/>
                <w:lang w:val="en-US" w:eastAsia="zh-CN"/>
              </w:rPr>
            </w:pPr>
            <w:r>
              <w:rPr>
                <w:rFonts w:hint="eastAsia"/>
                <w:bCs/>
                <w:color w:val="auto"/>
                <w:kern w:val="0"/>
                <w:sz w:val="24"/>
                <w:highlight w:val="none"/>
                <w:lang w:val="en-US" w:eastAsia="zh-CN"/>
              </w:rPr>
              <w:t>项目区域植被现状如下：</w:t>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73"/>
            </w:tblGrid>
            <w:tr w14:paraId="4ED86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trPr>
              <w:tc>
                <w:tcPr>
                  <w:tcW w:w="8173" w:type="dxa"/>
                  <w:tcBorders>
                    <w:tl2br w:val="nil"/>
                    <w:tr2bl w:val="nil"/>
                  </w:tcBorders>
                  <w:noWrap w:val="0"/>
                  <w:vAlign w:val="top"/>
                </w:tcPr>
                <w:p w14:paraId="4087E632">
                  <w:pPr>
                    <w:keepNext w:val="0"/>
                    <w:keepLines w:val="0"/>
                    <w:pageBreakBefore w:val="0"/>
                    <w:kinsoku/>
                    <w:wordWrap/>
                    <w:overflowPunct/>
                    <w:topLinePunct w:val="0"/>
                    <w:bidi w:val="0"/>
                    <w:spacing w:line="360" w:lineRule="auto"/>
                    <w:jc w:val="both"/>
                    <w:rPr>
                      <w:rFonts w:hint="default"/>
                      <w:color w:val="auto"/>
                      <w:highlight w:val="none"/>
                      <w:lang w:val="en-US" w:eastAsia="zh-CN"/>
                    </w:rPr>
                  </w:pPr>
                  <w:r>
                    <w:drawing>
                      <wp:inline distT="0" distB="0" distL="114300" distR="114300">
                        <wp:extent cx="5045710" cy="2099310"/>
                        <wp:effectExtent l="0" t="0" r="2540" b="1524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0"/>
                                <a:stretch>
                                  <a:fillRect/>
                                </a:stretch>
                              </pic:blipFill>
                              <pic:spPr>
                                <a:xfrm>
                                  <a:off x="0" y="0"/>
                                  <a:ext cx="5045710" cy="2099310"/>
                                </a:xfrm>
                                <a:prstGeom prst="rect">
                                  <a:avLst/>
                                </a:prstGeom>
                                <a:noFill/>
                                <a:ln>
                                  <a:noFill/>
                                </a:ln>
                              </pic:spPr>
                            </pic:pic>
                          </a:graphicData>
                        </a:graphic>
                      </wp:inline>
                    </w:drawing>
                  </w:r>
                </w:p>
                <w:p w14:paraId="443A25EE">
                  <w:pPr>
                    <w:pStyle w:val="16"/>
                    <w:jc w:val="center"/>
                    <w:rPr>
                      <w:rFonts w:hint="eastAsia"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图3-</w:t>
                  </w:r>
                  <w:r>
                    <w:rPr>
                      <w:rFonts w:hint="eastAsia" w:cs="Times New Roman"/>
                      <w:b/>
                      <w:bCs/>
                      <w:color w:val="auto"/>
                      <w:sz w:val="24"/>
                      <w:szCs w:val="24"/>
                      <w:highlight w:val="none"/>
                      <w:vertAlign w:val="baseline"/>
                      <w:lang w:val="en-US" w:eastAsia="zh-CN"/>
                    </w:rPr>
                    <w:t>2</w:t>
                  </w:r>
                  <w:r>
                    <w:rPr>
                      <w:rFonts w:hint="eastAsia" w:ascii="Times New Roman" w:hAnsi="Times New Roman" w:cs="Times New Roman"/>
                      <w:b/>
                      <w:bCs/>
                      <w:color w:val="auto"/>
                      <w:sz w:val="24"/>
                      <w:szCs w:val="24"/>
                      <w:highlight w:val="none"/>
                      <w:vertAlign w:val="baseline"/>
                      <w:lang w:val="en-US" w:eastAsia="zh-CN"/>
                    </w:rPr>
                    <w:t>沿途农田现状</w:t>
                  </w:r>
                </w:p>
                <w:p w14:paraId="31AE3405">
                  <w:pPr>
                    <w:rPr>
                      <w:rFonts w:hint="default" w:ascii="Times New Roman" w:hAnsi="Times New Roman" w:cs="Times New Roman"/>
                      <w:b/>
                      <w:bCs/>
                      <w:color w:val="auto"/>
                      <w:sz w:val="24"/>
                      <w:szCs w:val="24"/>
                      <w:highlight w:val="none"/>
                      <w:vertAlign w:val="baseline"/>
                      <w:lang w:val="en-US" w:eastAsia="zh-CN"/>
                    </w:rPr>
                  </w:pPr>
                </w:p>
              </w:tc>
            </w:tr>
          </w:tbl>
          <w:p w14:paraId="03BD04F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2" w:firstLineChars="200"/>
              <w:jc w:val="both"/>
              <w:textAlignment w:val="auto"/>
              <w:outlineLvl w:val="9"/>
              <w:rPr>
                <w:rFonts w:hint="eastAsia"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lang w:val="en-US" w:eastAsia="zh-CN" w:bidi="ar-SA"/>
              </w:rPr>
              <w:t>4、</w:t>
            </w:r>
            <w:r>
              <w:rPr>
                <w:rFonts w:hint="eastAsia" w:ascii="Times New Roman" w:hAnsi="Times New Roman" w:eastAsia="宋体" w:cs="Times New Roman"/>
                <w:b/>
                <w:bCs/>
                <w:color w:val="auto"/>
                <w:kern w:val="0"/>
                <w:sz w:val="24"/>
                <w:szCs w:val="24"/>
                <w:highlight w:val="none"/>
                <w:lang w:val="en-US" w:eastAsia="zh-CN"/>
              </w:rPr>
              <w:t>大气环境质量现状评价</w:t>
            </w:r>
          </w:p>
          <w:p w14:paraId="4D5DAF8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b w:val="0"/>
                <w:bCs w:val="0"/>
                <w:color w:val="auto"/>
                <w:sz w:val="24"/>
                <w:szCs w:val="24"/>
                <w:highlight w:val="none"/>
                <w:vertAlign w:val="superscript"/>
                <w:lang w:val="en-US" w:eastAsia="zh-CN"/>
              </w:rPr>
            </w:pPr>
            <w:r>
              <w:rPr>
                <w:rFonts w:hint="default" w:ascii="Times New Roman" w:hAnsi="Times New Roman" w:cs="Times New Roman"/>
                <w:b w:val="0"/>
                <w:bCs w:val="0"/>
                <w:color w:val="auto"/>
                <w:sz w:val="24"/>
                <w:szCs w:val="24"/>
                <w:highlight w:val="none"/>
                <w:lang w:val="en-US" w:eastAsia="zh-CN"/>
              </w:rPr>
              <w:t>本项目位于承德市围场满族蒙古族自治县，工程所在区域环境空气质量良好，根据《2023年承德市生态环境状况公报》及《承德市大气污染防治工作领导小组办公室关于2023年12月份全市空气质量预警监测结果的通报》（承气领办[2024]12号）中附件2的2023年1月至12月全市环境空气质量状况及变化情况表中围场满族蒙古族自治县的环境空气中的现状监测统计资料。项目所在区域空气质量现状评价表见下表。表3-</w:t>
            </w:r>
            <w:r>
              <w:rPr>
                <w:rFonts w:hint="eastAsia" w:ascii="Times New Roman" w:hAnsi="Times New Roman" w:cs="Times New Roman"/>
                <w:b w:val="0"/>
                <w:bCs w:val="0"/>
                <w:color w:val="auto"/>
                <w:sz w:val="24"/>
                <w:szCs w:val="24"/>
                <w:highlight w:val="none"/>
                <w:lang w:val="en-US" w:eastAsia="zh-CN"/>
              </w:rPr>
              <w:t>2围场满族蒙古族自治县</w:t>
            </w:r>
            <w:r>
              <w:rPr>
                <w:rFonts w:hint="default" w:ascii="Times New Roman" w:hAnsi="Times New Roman" w:cs="Times New Roman"/>
                <w:b w:val="0"/>
                <w:bCs w:val="0"/>
                <w:color w:val="auto"/>
                <w:sz w:val="24"/>
                <w:szCs w:val="24"/>
                <w:highlight w:val="none"/>
                <w:lang w:val="en-US" w:eastAsia="zh-CN"/>
              </w:rPr>
              <w:t>环境空气质量年平均值一览表单位μg/m</w:t>
            </w:r>
            <w:r>
              <w:rPr>
                <w:rFonts w:hint="default" w:ascii="Times New Roman" w:hAnsi="Times New Roman" w:cs="Times New Roman"/>
                <w:b w:val="0"/>
                <w:bCs w:val="0"/>
                <w:color w:val="auto"/>
                <w:sz w:val="24"/>
                <w:szCs w:val="24"/>
                <w:highlight w:val="none"/>
                <w:vertAlign w:val="superscript"/>
                <w:lang w:val="en-US" w:eastAsia="zh-CN"/>
              </w:rPr>
              <w:t>3</w:t>
            </w:r>
            <w:r>
              <w:rPr>
                <w:rFonts w:hint="eastAsia" w:cs="Times New Roman"/>
                <w:b w:val="0"/>
                <w:bCs w:val="0"/>
                <w:color w:val="auto"/>
                <w:sz w:val="24"/>
                <w:szCs w:val="24"/>
                <w:highlight w:val="none"/>
                <w:vertAlign w:val="baseline"/>
                <w:lang w:val="en-US" w:eastAsia="zh-CN"/>
              </w:rPr>
              <w:t>。</w:t>
            </w:r>
          </w:p>
          <w:p w14:paraId="3487F425">
            <w:pPr>
              <w:keepNext w:val="0"/>
              <w:keepLines w:val="0"/>
              <w:widowControl/>
              <w:suppressLineNumbers w:val="0"/>
              <w:jc w:val="center"/>
              <w:rPr>
                <w:rFonts w:hint="default" w:ascii="Times New Roman" w:hAnsi="Times New Roman" w:cs="Times New Roman"/>
                <w:b/>
                <w:bCs/>
                <w:color w:val="auto"/>
                <w:sz w:val="24"/>
                <w:szCs w:val="24"/>
                <w:highlight w:val="none"/>
                <w:vertAlign w:val="superscript"/>
                <w:lang w:val="en-US" w:eastAsia="zh-CN"/>
              </w:rPr>
            </w:pPr>
            <w:r>
              <w:rPr>
                <w:rFonts w:ascii="瀹嬩綋" w:hAnsi="瀹嬩綋" w:eastAsia="瀹嬩綋" w:cs="瀹嬩綋"/>
                <w:b/>
                <w:bCs/>
                <w:color w:val="000000"/>
                <w:kern w:val="0"/>
                <w:sz w:val="24"/>
                <w:szCs w:val="24"/>
                <w:lang w:val="en-US" w:eastAsia="zh-CN" w:bidi="ar"/>
              </w:rPr>
              <w:t>表</w:t>
            </w:r>
            <w:r>
              <w:rPr>
                <w:rFonts w:hint="default" w:ascii="Times New Roman" w:hAnsi="Times New Roman" w:eastAsia="宋体" w:cs="Times New Roman"/>
                <w:b/>
                <w:bCs/>
                <w:color w:val="000000"/>
                <w:kern w:val="0"/>
                <w:sz w:val="24"/>
                <w:szCs w:val="24"/>
                <w:lang w:val="en-US" w:eastAsia="zh-CN" w:bidi="ar"/>
              </w:rPr>
              <w:t>3-</w:t>
            </w:r>
            <w:r>
              <w:rPr>
                <w:rFonts w:hint="eastAsia" w:cs="Times New Roman"/>
                <w:b/>
                <w:bCs/>
                <w:color w:val="000000"/>
                <w:kern w:val="0"/>
                <w:sz w:val="24"/>
                <w:szCs w:val="24"/>
                <w:lang w:val="en-US" w:eastAsia="zh-CN" w:bidi="ar"/>
              </w:rPr>
              <w:t>2</w:t>
            </w:r>
            <w:r>
              <w:rPr>
                <w:rFonts w:hint="default" w:ascii="瀹嬩綋" w:hAnsi="瀹嬩綋" w:eastAsia="瀹嬩綋" w:cs="瀹嬩綋"/>
                <w:b/>
                <w:bCs/>
                <w:color w:val="000000"/>
                <w:kern w:val="0"/>
                <w:sz w:val="24"/>
                <w:szCs w:val="24"/>
                <w:lang w:val="en-US" w:eastAsia="zh-CN" w:bidi="ar"/>
              </w:rPr>
              <w:t>区域空气质量现状评价表</w:t>
            </w:r>
          </w:p>
          <w:tbl>
            <w:tblPr>
              <w:tblStyle w:val="19"/>
              <w:tblW w:w="4994"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459"/>
              <w:gridCol w:w="802"/>
              <w:gridCol w:w="982"/>
              <w:gridCol w:w="982"/>
              <w:gridCol w:w="984"/>
              <w:gridCol w:w="767"/>
            </w:tblGrid>
            <w:tr w14:paraId="75271FF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49" w:type="pct"/>
                  <w:tcBorders>
                    <w:tl2br w:val="nil"/>
                    <w:tr2bl w:val="nil"/>
                  </w:tcBorders>
                  <w:noWrap w:val="0"/>
                  <w:vAlign w:val="center"/>
                </w:tcPr>
                <w:p w14:paraId="504680B1">
                  <w:pPr>
                    <w:keepNext w:val="0"/>
                    <w:keepLines w:val="0"/>
                    <w:widowControl/>
                    <w:suppressLineNumbers w:val="0"/>
                    <w:jc w:val="center"/>
                    <w:rPr>
                      <w:rFonts w:hint="default" w:ascii="Times New Roman" w:hAnsi="Times New Roman" w:cs="Times New Roman"/>
                      <w:color w:val="auto"/>
                      <w:sz w:val="21"/>
                      <w:szCs w:val="21"/>
                      <w:highlight w:val="yellow"/>
                    </w:rPr>
                  </w:pPr>
                  <w:r>
                    <w:rPr>
                      <w:rFonts w:hint="default" w:ascii="Times New Roman" w:hAnsi="Times New Roman" w:eastAsia="瀹嬩綋" w:cs="Times New Roman"/>
                      <w:color w:val="000000"/>
                      <w:kern w:val="0"/>
                      <w:sz w:val="21"/>
                      <w:szCs w:val="21"/>
                      <w:lang w:val="en-US" w:eastAsia="zh-CN" w:bidi="ar"/>
                    </w:rPr>
                    <w:t>污染物</w:t>
                  </w:r>
                </w:p>
              </w:tc>
              <w:tc>
                <w:tcPr>
                  <w:tcW w:w="1568" w:type="pct"/>
                  <w:tcBorders>
                    <w:tl2br w:val="nil"/>
                    <w:tr2bl w:val="nil"/>
                  </w:tcBorders>
                  <w:noWrap w:val="0"/>
                  <w:vAlign w:val="center"/>
                </w:tcPr>
                <w:p w14:paraId="4043FB1C">
                  <w:pPr>
                    <w:keepNext w:val="0"/>
                    <w:keepLines w:val="0"/>
                    <w:widowControl/>
                    <w:suppressLineNumbers w:val="0"/>
                    <w:jc w:val="center"/>
                    <w:rPr>
                      <w:rFonts w:hint="default" w:ascii="Times New Roman" w:hAnsi="Times New Roman" w:cs="Times New Roman"/>
                      <w:color w:val="auto"/>
                      <w:sz w:val="21"/>
                      <w:szCs w:val="21"/>
                      <w:highlight w:val="yellow"/>
                    </w:rPr>
                  </w:pPr>
                  <w:r>
                    <w:rPr>
                      <w:rFonts w:hint="default" w:ascii="Times New Roman" w:hAnsi="Times New Roman" w:eastAsia="瀹嬩綋" w:cs="Times New Roman"/>
                      <w:color w:val="000000"/>
                      <w:kern w:val="0"/>
                      <w:sz w:val="21"/>
                      <w:szCs w:val="21"/>
                      <w:lang w:val="en-US" w:eastAsia="zh-CN" w:bidi="ar"/>
                    </w:rPr>
                    <w:t>评价指标</w:t>
                  </w:r>
                </w:p>
              </w:tc>
              <w:tc>
                <w:tcPr>
                  <w:tcW w:w="511" w:type="pct"/>
                  <w:tcBorders>
                    <w:tl2br w:val="nil"/>
                    <w:tr2bl w:val="nil"/>
                  </w:tcBorders>
                  <w:noWrap w:val="0"/>
                  <w:vAlign w:val="center"/>
                </w:tcPr>
                <w:p w14:paraId="4E6C5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yellow"/>
                    </w:rPr>
                  </w:pPr>
                  <w:r>
                    <w:rPr>
                      <w:rFonts w:hint="default" w:ascii="Times New Roman" w:hAnsi="Times New Roman" w:eastAsia="瀹嬩綋" w:cs="Times New Roman"/>
                      <w:color w:val="000000"/>
                      <w:kern w:val="0"/>
                      <w:sz w:val="21"/>
                      <w:szCs w:val="21"/>
                      <w:lang w:val="en-US" w:eastAsia="zh-CN" w:bidi="ar"/>
                    </w:rPr>
                    <w:t>浓度单位</w:t>
                  </w:r>
                </w:p>
              </w:tc>
              <w:tc>
                <w:tcPr>
                  <w:tcW w:w="626" w:type="pct"/>
                  <w:tcBorders>
                    <w:tl2br w:val="nil"/>
                    <w:tr2bl w:val="nil"/>
                  </w:tcBorders>
                  <w:noWrap w:val="0"/>
                  <w:vAlign w:val="center"/>
                </w:tcPr>
                <w:p w14:paraId="73C650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瀹嬩綋" w:cs="Times New Roman"/>
                      <w:color w:val="000000"/>
                      <w:kern w:val="0"/>
                      <w:sz w:val="21"/>
                      <w:szCs w:val="21"/>
                      <w:lang w:val="en-US" w:eastAsia="zh-CN" w:bidi="ar"/>
                    </w:rPr>
                  </w:pPr>
                  <w:r>
                    <w:rPr>
                      <w:rFonts w:hint="default" w:ascii="Times New Roman" w:hAnsi="Times New Roman" w:eastAsia="瀹嬩綋" w:cs="Times New Roman"/>
                      <w:color w:val="000000"/>
                      <w:kern w:val="0"/>
                      <w:sz w:val="21"/>
                      <w:szCs w:val="21"/>
                      <w:lang w:val="en-US" w:eastAsia="zh-CN" w:bidi="ar"/>
                    </w:rPr>
                    <w:t>现状</w:t>
                  </w:r>
                </w:p>
                <w:p w14:paraId="08364F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yellow"/>
                    </w:rPr>
                  </w:pPr>
                  <w:r>
                    <w:rPr>
                      <w:rFonts w:hint="default" w:ascii="Times New Roman" w:hAnsi="Times New Roman" w:eastAsia="瀹嬩綋" w:cs="Times New Roman"/>
                      <w:color w:val="000000"/>
                      <w:kern w:val="0"/>
                      <w:sz w:val="21"/>
                      <w:szCs w:val="21"/>
                      <w:lang w:val="en-US" w:eastAsia="zh-CN" w:bidi="ar"/>
                    </w:rPr>
                    <w:t>浓度</w:t>
                  </w:r>
                </w:p>
              </w:tc>
              <w:tc>
                <w:tcPr>
                  <w:tcW w:w="626" w:type="pct"/>
                  <w:tcBorders>
                    <w:tl2br w:val="nil"/>
                    <w:tr2bl w:val="nil"/>
                  </w:tcBorders>
                  <w:noWrap w:val="0"/>
                  <w:vAlign w:val="center"/>
                </w:tcPr>
                <w:p w14:paraId="64014AFF">
                  <w:pPr>
                    <w:keepNext w:val="0"/>
                    <w:keepLines w:val="0"/>
                    <w:widowControl/>
                    <w:suppressLineNumbers w:val="0"/>
                    <w:jc w:val="center"/>
                    <w:rPr>
                      <w:rFonts w:hint="default" w:ascii="Times New Roman" w:hAnsi="Times New Roman" w:cs="Times New Roman"/>
                      <w:color w:val="auto"/>
                      <w:sz w:val="21"/>
                      <w:szCs w:val="21"/>
                      <w:highlight w:val="yellow"/>
                    </w:rPr>
                  </w:pPr>
                  <w:r>
                    <w:rPr>
                      <w:rFonts w:hint="default" w:ascii="Times New Roman" w:hAnsi="Times New Roman" w:eastAsia="瀹嬩綋" w:cs="Times New Roman"/>
                      <w:color w:val="000000"/>
                      <w:kern w:val="0"/>
                      <w:sz w:val="21"/>
                      <w:szCs w:val="21"/>
                      <w:lang w:val="en-US" w:eastAsia="zh-CN" w:bidi="ar"/>
                    </w:rPr>
                    <w:t>标准值</w:t>
                  </w:r>
                </w:p>
              </w:tc>
              <w:tc>
                <w:tcPr>
                  <w:tcW w:w="627" w:type="pct"/>
                  <w:tcBorders>
                    <w:tl2br w:val="nil"/>
                    <w:tr2bl w:val="nil"/>
                  </w:tcBorders>
                  <w:noWrap w:val="0"/>
                  <w:vAlign w:val="center"/>
                </w:tcPr>
                <w:p w14:paraId="011D97F6">
                  <w:pPr>
                    <w:keepNext w:val="0"/>
                    <w:keepLines w:val="0"/>
                    <w:widowControl/>
                    <w:suppressLineNumbers w:val="0"/>
                    <w:jc w:val="center"/>
                    <w:rPr>
                      <w:rFonts w:hint="default" w:ascii="Times New Roman" w:hAnsi="Times New Roman" w:cs="Times New Roman"/>
                      <w:color w:val="auto"/>
                      <w:sz w:val="21"/>
                      <w:szCs w:val="21"/>
                      <w:highlight w:val="yellow"/>
                    </w:rPr>
                  </w:pPr>
                  <w:r>
                    <w:rPr>
                      <w:rFonts w:hint="default" w:ascii="Times New Roman" w:hAnsi="Times New Roman" w:eastAsia="瀹嬩綋" w:cs="Times New Roman"/>
                      <w:color w:val="000000"/>
                      <w:kern w:val="0"/>
                      <w:sz w:val="21"/>
                      <w:szCs w:val="21"/>
                      <w:lang w:val="en-US" w:eastAsia="zh-CN" w:bidi="ar"/>
                    </w:rPr>
                    <w:t>占标率</w:t>
                  </w:r>
                  <w:r>
                    <w:rPr>
                      <w:rFonts w:hint="default" w:ascii="Times New Roman" w:hAnsi="Times New Roman" w:eastAsia="宋体" w:cs="Times New Roman"/>
                      <w:color w:val="000000"/>
                      <w:kern w:val="0"/>
                      <w:sz w:val="21"/>
                      <w:szCs w:val="21"/>
                      <w:lang w:val="en-US" w:eastAsia="zh-CN" w:bidi="ar"/>
                    </w:rPr>
                    <w:t>%</w:t>
                  </w:r>
                </w:p>
              </w:tc>
              <w:tc>
                <w:tcPr>
                  <w:tcW w:w="489" w:type="pct"/>
                  <w:tcBorders>
                    <w:tl2br w:val="nil"/>
                    <w:tr2bl w:val="nil"/>
                  </w:tcBorders>
                  <w:noWrap w:val="0"/>
                  <w:vAlign w:val="center"/>
                </w:tcPr>
                <w:p w14:paraId="7CC81FB2">
                  <w:pPr>
                    <w:keepNext w:val="0"/>
                    <w:keepLines w:val="0"/>
                    <w:widowControl/>
                    <w:suppressLineNumbers w:val="0"/>
                    <w:jc w:val="center"/>
                    <w:rPr>
                      <w:rFonts w:hint="default" w:ascii="Times New Roman" w:hAnsi="Times New Roman" w:cs="Times New Roman"/>
                      <w:color w:val="auto"/>
                      <w:sz w:val="21"/>
                      <w:szCs w:val="21"/>
                      <w:highlight w:val="yellow"/>
                    </w:rPr>
                  </w:pPr>
                  <w:r>
                    <w:rPr>
                      <w:rFonts w:hint="default" w:ascii="Times New Roman" w:hAnsi="Times New Roman" w:eastAsia="瀹嬩綋" w:cs="Times New Roman"/>
                      <w:color w:val="000000"/>
                      <w:kern w:val="0"/>
                      <w:sz w:val="21"/>
                      <w:szCs w:val="21"/>
                      <w:lang w:val="en-US" w:eastAsia="zh-CN" w:bidi="ar"/>
                    </w:rPr>
                    <w:t>达标情况</w:t>
                  </w:r>
                </w:p>
              </w:tc>
            </w:tr>
            <w:tr w14:paraId="6FD7E02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49" w:type="pct"/>
                  <w:tcBorders>
                    <w:tl2br w:val="nil"/>
                    <w:tr2bl w:val="nil"/>
                  </w:tcBorders>
                  <w:noWrap w:val="0"/>
                  <w:vAlign w:val="center"/>
                </w:tcPr>
                <w:p w14:paraId="6ACFEFA0">
                  <w:pPr>
                    <w:keepNext w:val="0"/>
                    <w:keepLines w:val="0"/>
                    <w:widowControl/>
                    <w:suppressLineNumbers w:val="0"/>
                    <w:jc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color w:val="000000"/>
                      <w:kern w:val="0"/>
                      <w:sz w:val="21"/>
                      <w:szCs w:val="21"/>
                      <w:lang w:val="en-US" w:eastAsia="zh-CN" w:bidi="ar"/>
                    </w:rPr>
                    <w:t>SO</w:t>
                  </w:r>
                  <w:r>
                    <w:rPr>
                      <w:rFonts w:hint="default" w:ascii="Times New Roman" w:hAnsi="Times New Roman" w:eastAsia="宋体" w:cs="Times New Roman"/>
                      <w:color w:val="000000"/>
                      <w:kern w:val="0"/>
                      <w:sz w:val="21"/>
                      <w:szCs w:val="21"/>
                      <w:vertAlign w:val="subscript"/>
                      <w:lang w:val="en-US" w:eastAsia="zh-CN" w:bidi="ar"/>
                    </w:rPr>
                    <w:t>2</w:t>
                  </w:r>
                </w:p>
              </w:tc>
              <w:tc>
                <w:tcPr>
                  <w:tcW w:w="1568" w:type="pct"/>
                  <w:tcBorders>
                    <w:tl2br w:val="nil"/>
                    <w:tr2bl w:val="nil"/>
                  </w:tcBorders>
                  <w:noWrap w:val="0"/>
                  <w:vAlign w:val="center"/>
                </w:tcPr>
                <w:p w14:paraId="658E5838">
                  <w:pPr>
                    <w:keepNext w:val="0"/>
                    <w:keepLines w:val="0"/>
                    <w:widowControl/>
                    <w:suppressLineNumbers w:val="0"/>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瀹嬩綋" w:cs="Times New Roman"/>
                      <w:color w:val="000000"/>
                      <w:kern w:val="0"/>
                      <w:sz w:val="21"/>
                      <w:szCs w:val="21"/>
                      <w:lang w:val="en-US" w:eastAsia="zh-CN" w:bidi="ar"/>
                    </w:rPr>
                    <w:t>年平均质量浓度</w:t>
                  </w:r>
                </w:p>
              </w:tc>
              <w:tc>
                <w:tcPr>
                  <w:tcW w:w="511" w:type="pct"/>
                  <w:tcBorders>
                    <w:tl2br w:val="nil"/>
                    <w:tr2bl w:val="nil"/>
                  </w:tcBorders>
                  <w:noWrap w:val="0"/>
                  <w:vAlign w:val="center"/>
                </w:tcPr>
                <w:p w14:paraId="76E98F32">
                  <w:pPr>
                    <w:keepNext w:val="0"/>
                    <w:keepLines w:val="0"/>
                    <w:widowControl/>
                    <w:suppressLineNumbers w:val="0"/>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000000"/>
                      <w:kern w:val="0"/>
                      <w:sz w:val="21"/>
                      <w:szCs w:val="21"/>
                      <w:lang w:val="en-US" w:eastAsia="zh-CN" w:bidi="ar"/>
                    </w:rPr>
                    <w:t>μg/m</w:t>
                  </w:r>
                  <w:r>
                    <w:rPr>
                      <w:rFonts w:hint="default" w:ascii="Times New Roman" w:hAnsi="Times New Roman" w:eastAsia="宋体" w:cs="Times New Roman"/>
                      <w:color w:val="000000"/>
                      <w:kern w:val="0"/>
                      <w:sz w:val="21"/>
                      <w:szCs w:val="21"/>
                      <w:vertAlign w:val="superscript"/>
                      <w:lang w:val="en-US" w:eastAsia="zh-CN" w:bidi="ar"/>
                    </w:rPr>
                    <w:t>3</w:t>
                  </w:r>
                </w:p>
              </w:tc>
              <w:tc>
                <w:tcPr>
                  <w:tcW w:w="626" w:type="pct"/>
                  <w:tcBorders>
                    <w:tl2br w:val="nil"/>
                    <w:tr2bl w:val="nil"/>
                  </w:tcBorders>
                  <w:noWrap w:val="0"/>
                  <w:vAlign w:val="center"/>
                </w:tcPr>
                <w:p w14:paraId="118F9E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626" w:type="pct"/>
                  <w:tcBorders>
                    <w:tl2br w:val="nil"/>
                    <w:tr2bl w:val="nil"/>
                  </w:tcBorders>
                  <w:noWrap w:val="0"/>
                  <w:vAlign w:val="center"/>
                </w:tcPr>
                <w:p w14:paraId="23DE93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627" w:type="pct"/>
                  <w:tcBorders>
                    <w:tl2br w:val="nil"/>
                    <w:tr2bl w:val="nil"/>
                  </w:tcBorders>
                  <w:noWrap w:val="0"/>
                  <w:vAlign w:val="center"/>
                </w:tcPr>
                <w:p w14:paraId="035647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13.33</w:t>
                  </w:r>
                </w:p>
              </w:tc>
              <w:tc>
                <w:tcPr>
                  <w:tcW w:w="489" w:type="pct"/>
                  <w:tcBorders>
                    <w:tl2br w:val="nil"/>
                    <w:tr2bl w:val="nil"/>
                  </w:tcBorders>
                  <w:noWrap w:val="0"/>
                  <w:vAlign w:val="center"/>
                </w:tcPr>
                <w:p w14:paraId="572219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r w14:paraId="180F94F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49" w:type="pct"/>
                  <w:tcBorders>
                    <w:tl2br w:val="nil"/>
                    <w:tr2bl w:val="nil"/>
                  </w:tcBorders>
                  <w:noWrap w:val="0"/>
                  <w:vAlign w:val="center"/>
                </w:tcPr>
                <w:p w14:paraId="5D88E424">
                  <w:pPr>
                    <w:keepNext w:val="0"/>
                    <w:keepLines w:val="0"/>
                    <w:widowControl/>
                    <w:suppressLineNumbers w:val="0"/>
                    <w:jc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color w:val="000000"/>
                      <w:kern w:val="0"/>
                      <w:sz w:val="21"/>
                      <w:szCs w:val="21"/>
                      <w:lang w:val="en-US" w:eastAsia="zh-CN" w:bidi="ar"/>
                    </w:rPr>
                    <w:t>NO</w:t>
                  </w:r>
                  <w:r>
                    <w:rPr>
                      <w:rFonts w:hint="default" w:ascii="Times New Roman" w:hAnsi="Times New Roman" w:eastAsia="宋体" w:cs="Times New Roman"/>
                      <w:color w:val="000000"/>
                      <w:kern w:val="0"/>
                      <w:sz w:val="21"/>
                      <w:szCs w:val="21"/>
                      <w:vertAlign w:val="subscript"/>
                      <w:lang w:val="en-US" w:eastAsia="zh-CN" w:bidi="ar"/>
                    </w:rPr>
                    <w:t>2</w:t>
                  </w:r>
                </w:p>
              </w:tc>
              <w:tc>
                <w:tcPr>
                  <w:tcW w:w="1568" w:type="pct"/>
                  <w:tcBorders>
                    <w:tl2br w:val="nil"/>
                    <w:tr2bl w:val="nil"/>
                  </w:tcBorders>
                  <w:noWrap w:val="0"/>
                  <w:vAlign w:val="center"/>
                </w:tcPr>
                <w:p w14:paraId="3A36493F">
                  <w:pPr>
                    <w:keepNext w:val="0"/>
                    <w:keepLines w:val="0"/>
                    <w:widowControl/>
                    <w:suppressLineNumbers w:val="0"/>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瀹嬩綋" w:cs="Times New Roman"/>
                      <w:color w:val="000000"/>
                      <w:kern w:val="0"/>
                      <w:sz w:val="21"/>
                      <w:szCs w:val="21"/>
                      <w:lang w:val="en-US" w:eastAsia="zh-CN" w:bidi="ar"/>
                    </w:rPr>
                    <w:t>年平均质量浓度</w:t>
                  </w:r>
                </w:p>
              </w:tc>
              <w:tc>
                <w:tcPr>
                  <w:tcW w:w="511" w:type="pct"/>
                  <w:tcBorders>
                    <w:tl2br w:val="nil"/>
                    <w:tr2bl w:val="nil"/>
                  </w:tcBorders>
                  <w:noWrap w:val="0"/>
                  <w:vAlign w:val="center"/>
                </w:tcPr>
                <w:p w14:paraId="153BE1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yellow"/>
                    </w:rPr>
                  </w:pPr>
                  <w:r>
                    <w:rPr>
                      <w:rFonts w:hint="default" w:ascii="Times New Roman" w:hAnsi="Times New Roman" w:eastAsia="宋体" w:cs="Times New Roman"/>
                      <w:color w:val="000000"/>
                      <w:kern w:val="0"/>
                      <w:sz w:val="21"/>
                      <w:szCs w:val="21"/>
                      <w:lang w:val="en-US" w:eastAsia="zh-CN" w:bidi="ar"/>
                    </w:rPr>
                    <w:t>μg/m</w:t>
                  </w:r>
                  <w:r>
                    <w:rPr>
                      <w:rFonts w:hint="default" w:ascii="Times New Roman" w:hAnsi="Times New Roman" w:eastAsia="宋体" w:cs="Times New Roman"/>
                      <w:color w:val="000000"/>
                      <w:kern w:val="0"/>
                      <w:sz w:val="21"/>
                      <w:szCs w:val="21"/>
                      <w:vertAlign w:val="superscript"/>
                      <w:lang w:val="en-US" w:eastAsia="zh-CN" w:bidi="ar"/>
                    </w:rPr>
                    <w:t>3</w:t>
                  </w:r>
                </w:p>
              </w:tc>
              <w:tc>
                <w:tcPr>
                  <w:tcW w:w="626" w:type="pct"/>
                  <w:tcBorders>
                    <w:tl2br w:val="nil"/>
                    <w:tr2bl w:val="nil"/>
                  </w:tcBorders>
                  <w:noWrap w:val="0"/>
                  <w:vAlign w:val="center"/>
                </w:tcPr>
                <w:p w14:paraId="530B00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w:t>
                  </w:r>
                </w:p>
              </w:tc>
              <w:tc>
                <w:tcPr>
                  <w:tcW w:w="626" w:type="pct"/>
                  <w:tcBorders>
                    <w:tl2br w:val="nil"/>
                    <w:tr2bl w:val="nil"/>
                  </w:tcBorders>
                  <w:noWrap w:val="0"/>
                  <w:vAlign w:val="center"/>
                </w:tcPr>
                <w:p w14:paraId="2DCA27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w:t>
                  </w:r>
                </w:p>
              </w:tc>
              <w:tc>
                <w:tcPr>
                  <w:tcW w:w="627" w:type="pct"/>
                  <w:tcBorders>
                    <w:tl2br w:val="nil"/>
                    <w:tr2bl w:val="nil"/>
                  </w:tcBorders>
                  <w:noWrap w:val="0"/>
                  <w:vAlign w:val="center"/>
                </w:tcPr>
                <w:p w14:paraId="779196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47.50</w:t>
                  </w:r>
                </w:p>
              </w:tc>
              <w:tc>
                <w:tcPr>
                  <w:tcW w:w="489" w:type="pct"/>
                  <w:tcBorders>
                    <w:tl2br w:val="nil"/>
                    <w:tr2bl w:val="nil"/>
                  </w:tcBorders>
                  <w:noWrap w:val="0"/>
                  <w:vAlign w:val="center"/>
                </w:tcPr>
                <w:p w14:paraId="44373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达标</w:t>
                  </w:r>
                </w:p>
              </w:tc>
            </w:tr>
            <w:tr w14:paraId="4736C42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49" w:type="pct"/>
                  <w:tcBorders>
                    <w:tl2br w:val="nil"/>
                    <w:tr2bl w:val="nil"/>
                  </w:tcBorders>
                  <w:noWrap w:val="0"/>
                  <w:vAlign w:val="center"/>
                </w:tcPr>
                <w:p w14:paraId="40E09B92">
                  <w:pPr>
                    <w:keepNext w:val="0"/>
                    <w:keepLines w:val="0"/>
                    <w:widowControl/>
                    <w:suppressLineNumbers w:val="0"/>
                    <w:jc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color w:val="000000"/>
                      <w:kern w:val="0"/>
                      <w:sz w:val="21"/>
                      <w:szCs w:val="21"/>
                      <w:lang w:val="en-US" w:eastAsia="zh-CN" w:bidi="ar"/>
                    </w:rPr>
                    <w:t>PM</w:t>
                  </w:r>
                  <w:r>
                    <w:rPr>
                      <w:rFonts w:hint="default" w:ascii="Times New Roman" w:hAnsi="Times New Roman" w:eastAsia="宋体" w:cs="Times New Roman"/>
                      <w:color w:val="000000"/>
                      <w:kern w:val="0"/>
                      <w:sz w:val="21"/>
                      <w:szCs w:val="21"/>
                      <w:vertAlign w:val="subscript"/>
                      <w:lang w:val="en-US" w:eastAsia="zh-CN" w:bidi="ar"/>
                    </w:rPr>
                    <w:t>10</w:t>
                  </w:r>
                </w:p>
              </w:tc>
              <w:tc>
                <w:tcPr>
                  <w:tcW w:w="1568" w:type="pct"/>
                  <w:tcBorders>
                    <w:tl2br w:val="nil"/>
                    <w:tr2bl w:val="nil"/>
                  </w:tcBorders>
                  <w:noWrap w:val="0"/>
                  <w:vAlign w:val="center"/>
                </w:tcPr>
                <w:p w14:paraId="315F30E7">
                  <w:pPr>
                    <w:keepNext w:val="0"/>
                    <w:keepLines w:val="0"/>
                    <w:widowControl/>
                    <w:suppressLineNumbers w:val="0"/>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瀹嬩綋" w:cs="Times New Roman"/>
                      <w:color w:val="000000"/>
                      <w:kern w:val="0"/>
                      <w:sz w:val="21"/>
                      <w:szCs w:val="21"/>
                      <w:lang w:val="en-US" w:eastAsia="zh-CN" w:bidi="ar"/>
                    </w:rPr>
                    <w:t>年平均质量浓度</w:t>
                  </w:r>
                </w:p>
              </w:tc>
              <w:tc>
                <w:tcPr>
                  <w:tcW w:w="511" w:type="pct"/>
                  <w:tcBorders>
                    <w:tl2br w:val="nil"/>
                    <w:tr2bl w:val="nil"/>
                  </w:tcBorders>
                  <w:noWrap w:val="0"/>
                  <w:vAlign w:val="center"/>
                </w:tcPr>
                <w:p w14:paraId="230E11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yellow"/>
                    </w:rPr>
                  </w:pPr>
                  <w:r>
                    <w:rPr>
                      <w:rFonts w:hint="default" w:ascii="Times New Roman" w:hAnsi="Times New Roman" w:eastAsia="宋体" w:cs="Times New Roman"/>
                      <w:color w:val="000000"/>
                      <w:kern w:val="0"/>
                      <w:sz w:val="21"/>
                      <w:szCs w:val="21"/>
                      <w:lang w:val="en-US" w:eastAsia="zh-CN" w:bidi="ar"/>
                    </w:rPr>
                    <w:t>μg/m</w:t>
                  </w:r>
                  <w:r>
                    <w:rPr>
                      <w:rFonts w:hint="default" w:ascii="Times New Roman" w:hAnsi="Times New Roman" w:eastAsia="宋体" w:cs="Times New Roman"/>
                      <w:color w:val="000000"/>
                      <w:kern w:val="0"/>
                      <w:sz w:val="21"/>
                      <w:szCs w:val="21"/>
                      <w:vertAlign w:val="superscript"/>
                      <w:lang w:val="en-US" w:eastAsia="zh-CN" w:bidi="ar"/>
                    </w:rPr>
                    <w:t>3</w:t>
                  </w:r>
                </w:p>
              </w:tc>
              <w:tc>
                <w:tcPr>
                  <w:tcW w:w="626" w:type="pct"/>
                  <w:tcBorders>
                    <w:tl2br w:val="nil"/>
                    <w:tr2bl w:val="nil"/>
                  </w:tcBorders>
                  <w:noWrap w:val="0"/>
                  <w:vAlign w:val="center"/>
                </w:tcPr>
                <w:p w14:paraId="13B64C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w:t>
                  </w:r>
                </w:p>
              </w:tc>
              <w:tc>
                <w:tcPr>
                  <w:tcW w:w="626" w:type="pct"/>
                  <w:tcBorders>
                    <w:tl2br w:val="nil"/>
                    <w:tr2bl w:val="nil"/>
                  </w:tcBorders>
                  <w:noWrap w:val="0"/>
                  <w:vAlign w:val="center"/>
                </w:tcPr>
                <w:p w14:paraId="639478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c>
                <w:tcPr>
                  <w:tcW w:w="627" w:type="pct"/>
                  <w:tcBorders>
                    <w:tl2br w:val="nil"/>
                    <w:tr2bl w:val="nil"/>
                  </w:tcBorders>
                  <w:noWrap w:val="0"/>
                  <w:vAlign w:val="center"/>
                </w:tcPr>
                <w:p w14:paraId="5CE282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58.57</w:t>
                  </w:r>
                </w:p>
              </w:tc>
              <w:tc>
                <w:tcPr>
                  <w:tcW w:w="489" w:type="pct"/>
                  <w:tcBorders>
                    <w:tl2br w:val="nil"/>
                    <w:tr2bl w:val="nil"/>
                  </w:tcBorders>
                  <w:noWrap w:val="0"/>
                  <w:vAlign w:val="center"/>
                </w:tcPr>
                <w:p w14:paraId="4DB980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达标</w:t>
                  </w:r>
                </w:p>
              </w:tc>
            </w:tr>
            <w:tr w14:paraId="1217145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49" w:type="pct"/>
                  <w:tcBorders>
                    <w:tl2br w:val="nil"/>
                    <w:tr2bl w:val="nil"/>
                  </w:tcBorders>
                  <w:noWrap w:val="0"/>
                  <w:vAlign w:val="center"/>
                </w:tcPr>
                <w:p w14:paraId="3B584A71">
                  <w:pPr>
                    <w:keepNext w:val="0"/>
                    <w:keepLines w:val="0"/>
                    <w:widowControl/>
                    <w:suppressLineNumbers w:val="0"/>
                    <w:jc w:val="center"/>
                    <w:rPr>
                      <w:rFonts w:hint="default" w:ascii="Times New Roman" w:hAnsi="Times New Roman" w:cs="Times New Roman"/>
                      <w:color w:val="auto"/>
                      <w:sz w:val="21"/>
                      <w:szCs w:val="21"/>
                      <w:highlight w:val="yellow"/>
                      <w:lang w:val="en-US" w:eastAsia="zh-CN"/>
                    </w:rPr>
                  </w:pPr>
                  <w:r>
                    <w:rPr>
                      <w:rFonts w:hint="default" w:ascii="Times New Roman" w:hAnsi="Times New Roman" w:eastAsia="宋体" w:cs="Times New Roman"/>
                      <w:color w:val="000000"/>
                      <w:kern w:val="0"/>
                      <w:sz w:val="21"/>
                      <w:szCs w:val="21"/>
                      <w:lang w:val="en-US" w:eastAsia="zh-CN" w:bidi="ar"/>
                    </w:rPr>
                    <w:t>PM</w:t>
                  </w:r>
                  <w:r>
                    <w:rPr>
                      <w:rFonts w:hint="default" w:ascii="Times New Roman" w:hAnsi="Times New Roman" w:eastAsia="宋体" w:cs="Times New Roman"/>
                      <w:color w:val="000000"/>
                      <w:kern w:val="0"/>
                      <w:sz w:val="21"/>
                      <w:szCs w:val="21"/>
                      <w:vertAlign w:val="subscript"/>
                      <w:lang w:val="en-US" w:eastAsia="zh-CN" w:bidi="ar"/>
                    </w:rPr>
                    <w:t>2.5</w:t>
                  </w:r>
                </w:p>
              </w:tc>
              <w:tc>
                <w:tcPr>
                  <w:tcW w:w="1568" w:type="pct"/>
                  <w:tcBorders>
                    <w:tl2br w:val="nil"/>
                    <w:tr2bl w:val="nil"/>
                  </w:tcBorders>
                  <w:noWrap w:val="0"/>
                  <w:vAlign w:val="center"/>
                </w:tcPr>
                <w:p w14:paraId="45F49708">
                  <w:pPr>
                    <w:keepNext w:val="0"/>
                    <w:keepLines w:val="0"/>
                    <w:widowControl/>
                    <w:suppressLineNumbers w:val="0"/>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瀹嬩綋" w:cs="Times New Roman"/>
                      <w:color w:val="000000"/>
                      <w:kern w:val="0"/>
                      <w:sz w:val="21"/>
                      <w:szCs w:val="21"/>
                      <w:lang w:val="en-US" w:eastAsia="zh-CN" w:bidi="ar"/>
                    </w:rPr>
                    <w:t>年平均质量浓度</w:t>
                  </w:r>
                </w:p>
              </w:tc>
              <w:tc>
                <w:tcPr>
                  <w:tcW w:w="511" w:type="pct"/>
                  <w:tcBorders>
                    <w:tl2br w:val="nil"/>
                    <w:tr2bl w:val="nil"/>
                  </w:tcBorders>
                  <w:noWrap w:val="0"/>
                  <w:vAlign w:val="center"/>
                </w:tcPr>
                <w:p w14:paraId="367A5F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yellow"/>
                      <w:lang w:val="en-US" w:eastAsia="zh-CN"/>
                    </w:rPr>
                  </w:pPr>
                  <w:r>
                    <w:rPr>
                      <w:rFonts w:hint="default" w:ascii="Times New Roman" w:hAnsi="Times New Roman" w:eastAsia="宋体" w:cs="Times New Roman"/>
                      <w:color w:val="000000"/>
                      <w:kern w:val="0"/>
                      <w:sz w:val="21"/>
                      <w:szCs w:val="21"/>
                      <w:lang w:val="en-US" w:eastAsia="zh-CN" w:bidi="ar"/>
                    </w:rPr>
                    <w:t>μg/m</w:t>
                  </w:r>
                  <w:r>
                    <w:rPr>
                      <w:rFonts w:hint="default" w:ascii="Times New Roman" w:hAnsi="Times New Roman" w:eastAsia="宋体" w:cs="Times New Roman"/>
                      <w:color w:val="000000"/>
                      <w:kern w:val="0"/>
                      <w:sz w:val="21"/>
                      <w:szCs w:val="21"/>
                      <w:vertAlign w:val="superscript"/>
                      <w:lang w:val="en-US" w:eastAsia="zh-CN" w:bidi="ar"/>
                    </w:rPr>
                    <w:t>3</w:t>
                  </w:r>
                </w:p>
              </w:tc>
              <w:tc>
                <w:tcPr>
                  <w:tcW w:w="626" w:type="pct"/>
                  <w:tcBorders>
                    <w:tl2br w:val="nil"/>
                    <w:tr2bl w:val="nil"/>
                  </w:tcBorders>
                  <w:noWrap w:val="0"/>
                  <w:vAlign w:val="center"/>
                </w:tcPr>
                <w:p w14:paraId="674177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w:t>
                  </w:r>
                </w:p>
              </w:tc>
              <w:tc>
                <w:tcPr>
                  <w:tcW w:w="626" w:type="pct"/>
                  <w:tcBorders>
                    <w:tl2br w:val="nil"/>
                    <w:tr2bl w:val="nil"/>
                  </w:tcBorders>
                  <w:noWrap w:val="0"/>
                  <w:vAlign w:val="center"/>
                </w:tcPr>
                <w:p w14:paraId="6A601B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627" w:type="pct"/>
                  <w:tcBorders>
                    <w:tl2br w:val="nil"/>
                    <w:tr2bl w:val="nil"/>
                  </w:tcBorders>
                  <w:noWrap w:val="0"/>
                  <w:vAlign w:val="center"/>
                </w:tcPr>
                <w:p w14:paraId="40B62A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51.43</w:t>
                  </w:r>
                </w:p>
              </w:tc>
              <w:tc>
                <w:tcPr>
                  <w:tcW w:w="489" w:type="pct"/>
                  <w:tcBorders>
                    <w:tl2br w:val="nil"/>
                    <w:tr2bl w:val="nil"/>
                  </w:tcBorders>
                  <w:noWrap w:val="0"/>
                  <w:vAlign w:val="center"/>
                </w:tcPr>
                <w:p w14:paraId="0BCFEB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r w14:paraId="4E5CC3D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49" w:type="pct"/>
                  <w:tcBorders>
                    <w:tl2br w:val="nil"/>
                    <w:tr2bl w:val="nil"/>
                  </w:tcBorders>
                  <w:noWrap w:val="0"/>
                  <w:vAlign w:val="center"/>
                </w:tcPr>
                <w:p w14:paraId="721615BE">
                  <w:pPr>
                    <w:keepNext w:val="0"/>
                    <w:keepLines w:val="0"/>
                    <w:widowControl/>
                    <w:suppressLineNumbers w:val="0"/>
                    <w:jc w:val="center"/>
                    <w:rPr>
                      <w:rFonts w:hint="default" w:ascii="Times New Roman" w:hAnsi="Times New Roman" w:cs="Times New Roman"/>
                      <w:color w:val="auto"/>
                      <w:sz w:val="21"/>
                      <w:szCs w:val="21"/>
                      <w:highlight w:val="yellow"/>
                      <w:lang w:val="en-US" w:eastAsia="zh-CN"/>
                    </w:rPr>
                  </w:pPr>
                  <w:r>
                    <w:rPr>
                      <w:rFonts w:hint="default" w:ascii="Times New Roman" w:hAnsi="Times New Roman" w:eastAsia="宋体" w:cs="Times New Roman"/>
                      <w:color w:val="000000"/>
                      <w:kern w:val="0"/>
                      <w:sz w:val="21"/>
                      <w:szCs w:val="21"/>
                      <w:lang w:val="en-US" w:eastAsia="zh-CN" w:bidi="ar"/>
                    </w:rPr>
                    <w:t>CO</w:t>
                  </w:r>
                </w:p>
              </w:tc>
              <w:tc>
                <w:tcPr>
                  <w:tcW w:w="1568" w:type="pct"/>
                  <w:tcBorders>
                    <w:tl2br w:val="nil"/>
                    <w:tr2bl w:val="nil"/>
                  </w:tcBorders>
                  <w:noWrap w:val="0"/>
                  <w:vAlign w:val="center"/>
                </w:tcPr>
                <w:p w14:paraId="719F4F64">
                  <w:pPr>
                    <w:keepNext w:val="0"/>
                    <w:keepLines w:val="0"/>
                    <w:widowControl/>
                    <w:suppressLineNumbers w:val="0"/>
                    <w:jc w:val="center"/>
                    <w:rPr>
                      <w:rFonts w:hint="default" w:ascii="Times New Roman" w:hAnsi="Times New Roman" w:cs="Times New Roman"/>
                      <w:color w:val="auto"/>
                      <w:sz w:val="21"/>
                      <w:szCs w:val="21"/>
                      <w:highlight w:val="yellow"/>
                      <w:lang w:val="en-US" w:eastAsia="zh-CN"/>
                    </w:rPr>
                  </w:pPr>
                  <w:r>
                    <w:rPr>
                      <w:rFonts w:hint="default" w:ascii="Times New Roman" w:hAnsi="Times New Roman" w:eastAsia="宋体" w:cs="Times New Roman"/>
                      <w:color w:val="000000"/>
                      <w:kern w:val="0"/>
                      <w:sz w:val="21"/>
                      <w:szCs w:val="21"/>
                      <w:lang w:val="en-US" w:eastAsia="zh-CN" w:bidi="ar"/>
                    </w:rPr>
                    <w:t>24h</w:t>
                  </w:r>
                  <w:r>
                    <w:rPr>
                      <w:rFonts w:hint="default" w:ascii="Times New Roman" w:hAnsi="Times New Roman" w:eastAsia="瀹嬩綋" w:cs="Times New Roman"/>
                      <w:color w:val="000000"/>
                      <w:kern w:val="0"/>
                      <w:sz w:val="21"/>
                      <w:szCs w:val="21"/>
                      <w:lang w:val="en-US" w:eastAsia="zh-CN" w:bidi="ar"/>
                    </w:rPr>
                    <w:t>平均第</w:t>
                  </w:r>
                  <w:r>
                    <w:rPr>
                      <w:rFonts w:hint="default" w:ascii="Times New Roman" w:hAnsi="Times New Roman" w:eastAsia="宋体" w:cs="Times New Roman"/>
                      <w:color w:val="000000"/>
                      <w:kern w:val="0"/>
                      <w:sz w:val="21"/>
                      <w:szCs w:val="21"/>
                      <w:lang w:val="en-US" w:eastAsia="zh-CN" w:bidi="ar"/>
                    </w:rPr>
                    <w:t>95</w:t>
                  </w:r>
                  <w:r>
                    <w:rPr>
                      <w:rFonts w:hint="default" w:ascii="Times New Roman" w:hAnsi="Times New Roman" w:eastAsia="瀹嬩綋" w:cs="Times New Roman"/>
                      <w:color w:val="000000"/>
                      <w:kern w:val="0"/>
                      <w:sz w:val="21"/>
                      <w:szCs w:val="21"/>
                      <w:lang w:val="en-US" w:eastAsia="zh-CN" w:bidi="ar"/>
                    </w:rPr>
                    <w:t>百分位数</w:t>
                  </w:r>
                </w:p>
              </w:tc>
              <w:tc>
                <w:tcPr>
                  <w:tcW w:w="511" w:type="pct"/>
                  <w:tcBorders>
                    <w:tl2br w:val="nil"/>
                    <w:tr2bl w:val="nil"/>
                  </w:tcBorders>
                  <w:noWrap w:val="0"/>
                  <w:vAlign w:val="center"/>
                </w:tcPr>
                <w:p w14:paraId="10BC2F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yellow"/>
                      <w:lang w:val="en-US" w:eastAsia="zh-CN"/>
                    </w:rPr>
                  </w:pPr>
                  <w:r>
                    <w:rPr>
                      <w:rFonts w:hint="default" w:ascii="Times New Roman" w:hAnsi="Times New Roman" w:cs="Times New Roman"/>
                      <w:color w:val="000000"/>
                      <w:kern w:val="0"/>
                      <w:sz w:val="21"/>
                      <w:szCs w:val="21"/>
                      <w:lang w:val="en-US" w:eastAsia="zh-CN" w:bidi="ar"/>
                    </w:rPr>
                    <w:t>m</w:t>
                  </w:r>
                  <w:r>
                    <w:rPr>
                      <w:rFonts w:hint="default" w:ascii="Times New Roman" w:hAnsi="Times New Roman" w:eastAsia="宋体" w:cs="Times New Roman"/>
                      <w:color w:val="000000"/>
                      <w:kern w:val="0"/>
                      <w:sz w:val="21"/>
                      <w:szCs w:val="21"/>
                      <w:lang w:val="en-US" w:eastAsia="zh-CN" w:bidi="ar"/>
                    </w:rPr>
                    <w:t>g/m</w:t>
                  </w:r>
                  <w:r>
                    <w:rPr>
                      <w:rFonts w:hint="default" w:ascii="Times New Roman" w:hAnsi="Times New Roman" w:eastAsia="宋体" w:cs="Times New Roman"/>
                      <w:color w:val="000000"/>
                      <w:kern w:val="0"/>
                      <w:sz w:val="21"/>
                      <w:szCs w:val="21"/>
                      <w:vertAlign w:val="superscript"/>
                      <w:lang w:val="en-US" w:eastAsia="zh-CN" w:bidi="ar"/>
                    </w:rPr>
                    <w:t>3</w:t>
                  </w:r>
                </w:p>
              </w:tc>
              <w:tc>
                <w:tcPr>
                  <w:tcW w:w="626" w:type="pct"/>
                  <w:tcBorders>
                    <w:tl2br w:val="nil"/>
                    <w:tr2bl w:val="nil"/>
                  </w:tcBorders>
                  <w:noWrap w:val="0"/>
                  <w:vAlign w:val="center"/>
                </w:tcPr>
                <w:p w14:paraId="26A243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0.8</w:t>
                  </w:r>
                </w:p>
              </w:tc>
              <w:tc>
                <w:tcPr>
                  <w:tcW w:w="626" w:type="pct"/>
                  <w:tcBorders>
                    <w:tl2br w:val="nil"/>
                    <w:tr2bl w:val="nil"/>
                  </w:tcBorders>
                  <w:noWrap w:val="0"/>
                  <w:vAlign w:val="center"/>
                </w:tcPr>
                <w:p w14:paraId="6071A1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627" w:type="pct"/>
                  <w:tcBorders>
                    <w:tl2br w:val="nil"/>
                    <w:tr2bl w:val="nil"/>
                  </w:tcBorders>
                  <w:noWrap w:val="0"/>
                  <w:vAlign w:val="center"/>
                </w:tcPr>
                <w:p w14:paraId="3AA4C2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20.00</w:t>
                  </w:r>
                </w:p>
              </w:tc>
              <w:tc>
                <w:tcPr>
                  <w:tcW w:w="489" w:type="pct"/>
                  <w:tcBorders>
                    <w:tl2br w:val="nil"/>
                    <w:tr2bl w:val="nil"/>
                  </w:tcBorders>
                  <w:noWrap w:val="0"/>
                  <w:vAlign w:val="center"/>
                </w:tcPr>
                <w:p w14:paraId="554086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r w14:paraId="4256294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49" w:type="pct"/>
                  <w:tcBorders>
                    <w:tl2br w:val="nil"/>
                    <w:tr2bl w:val="nil"/>
                  </w:tcBorders>
                  <w:noWrap w:val="0"/>
                  <w:vAlign w:val="center"/>
                </w:tcPr>
                <w:p w14:paraId="64061786">
                  <w:pPr>
                    <w:keepNext w:val="0"/>
                    <w:keepLines w:val="0"/>
                    <w:widowControl/>
                    <w:suppressLineNumbers w:val="0"/>
                    <w:jc w:val="center"/>
                    <w:rPr>
                      <w:rFonts w:hint="default" w:ascii="Times New Roman" w:hAnsi="Times New Roman" w:cs="Times New Roman"/>
                      <w:color w:val="auto"/>
                      <w:sz w:val="21"/>
                      <w:szCs w:val="21"/>
                      <w:highlight w:val="yellow"/>
                      <w:lang w:val="en-US" w:eastAsia="zh-CN"/>
                    </w:rPr>
                  </w:pPr>
                  <w:r>
                    <w:rPr>
                      <w:rFonts w:hint="default" w:ascii="Times New Roman" w:hAnsi="Times New Roman" w:eastAsia="宋体" w:cs="Times New Roman"/>
                      <w:color w:val="000000"/>
                      <w:kern w:val="0"/>
                      <w:sz w:val="21"/>
                      <w:szCs w:val="21"/>
                      <w:lang w:val="en-US" w:eastAsia="zh-CN" w:bidi="ar"/>
                    </w:rPr>
                    <w:t>O</w:t>
                  </w:r>
                  <w:r>
                    <w:rPr>
                      <w:rFonts w:hint="default" w:ascii="Times New Roman" w:hAnsi="Times New Roman" w:eastAsia="宋体" w:cs="Times New Roman"/>
                      <w:color w:val="000000"/>
                      <w:kern w:val="0"/>
                      <w:sz w:val="21"/>
                      <w:szCs w:val="21"/>
                      <w:vertAlign w:val="subscript"/>
                      <w:lang w:val="en-US" w:eastAsia="zh-CN" w:bidi="ar"/>
                    </w:rPr>
                    <w:t>3</w:t>
                  </w:r>
                </w:p>
              </w:tc>
              <w:tc>
                <w:tcPr>
                  <w:tcW w:w="1568" w:type="pct"/>
                  <w:tcBorders>
                    <w:tl2br w:val="nil"/>
                    <w:tr2bl w:val="nil"/>
                  </w:tcBorders>
                  <w:noWrap w:val="0"/>
                  <w:vAlign w:val="center"/>
                </w:tcPr>
                <w:p w14:paraId="0651E68C">
                  <w:pPr>
                    <w:keepNext w:val="0"/>
                    <w:keepLines w:val="0"/>
                    <w:widowControl/>
                    <w:suppressLineNumbers w:val="0"/>
                    <w:jc w:val="center"/>
                    <w:rPr>
                      <w:rFonts w:hint="default" w:ascii="Times New Roman" w:hAnsi="Times New Roman" w:cs="Times New Roman"/>
                      <w:color w:val="auto"/>
                      <w:sz w:val="21"/>
                      <w:szCs w:val="21"/>
                      <w:highlight w:val="yellow"/>
                      <w:lang w:val="en-US" w:eastAsia="zh-CN"/>
                    </w:rPr>
                  </w:pPr>
                  <w:r>
                    <w:rPr>
                      <w:rFonts w:hint="default" w:ascii="Times New Roman" w:hAnsi="Times New Roman" w:eastAsia="瀹嬩綋" w:cs="Times New Roman"/>
                      <w:color w:val="000000"/>
                      <w:kern w:val="0"/>
                      <w:sz w:val="21"/>
                      <w:szCs w:val="21"/>
                      <w:lang w:val="en-US" w:eastAsia="zh-CN" w:bidi="ar"/>
                    </w:rPr>
                    <w:t>日最大</w:t>
                  </w:r>
                  <w:r>
                    <w:rPr>
                      <w:rFonts w:hint="default" w:ascii="Times New Roman" w:hAnsi="Times New Roman" w:eastAsia="宋体" w:cs="Times New Roman"/>
                      <w:color w:val="000000"/>
                      <w:kern w:val="0"/>
                      <w:sz w:val="21"/>
                      <w:szCs w:val="21"/>
                      <w:lang w:val="en-US" w:eastAsia="zh-CN" w:bidi="ar"/>
                    </w:rPr>
                    <w:t>8</w:t>
                  </w:r>
                  <w:r>
                    <w:rPr>
                      <w:rFonts w:hint="default" w:ascii="Times New Roman" w:hAnsi="Times New Roman" w:eastAsia="瀹嬩綋" w:cs="Times New Roman"/>
                      <w:color w:val="000000"/>
                      <w:kern w:val="0"/>
                      <w:sz w:val="21"/>
                      <w:szCs w:val="21"/>
                      <w:lang w:val="en-US" w:eastAsia="zh-CN" w:bidi="ar"/>
                    </w:rPr>
                    <w:t>小时平均第</w:t>
                  </w:r>
                  <w:r>
                    <w:rPr>
                      <w:rFonts w:hint="default" w:ascii="Times New Roman" w:hAnsi="Times New Roman" w:eastAsia="宋体" w:cs="Times New Roman"/>
                      <w:color w:val="000000"/>
                      <w:kern w:val="0"/>
                      <w:sz w:val="21"/>
                      <w:szCs w:val="21"/>
                      <w:lang w:val="en-US" w:eastAsia="zh-CN" w:bidi="ar"/>
                    </w:rPr>
                    <w:t>90</w:t>
                  </w:r>
                  <w:r>
                    <w:rPr>
                      <w:rFonts w:hint="default" w:ascii="Times New Roman" w:hAnsi="Times New Roman" w:eastAsia="瀹嬩綋" w:cs="Times New Roman"/>
                      <w:color w:val="000000"/>
                      <w:kern w:val="0"/>
                      <w:sz w:val="21"/>
                      <w:szCs w:val="21"/>
                      <w:lang w:val="en-US" w:eastAsia="zh-CN" w:bidi="ar"/>
                    </w:rPr>
                    <w:t>百分位数</w:t>
                  </w:r>
                </w:p>
              </w:tc>
              <w:tc>
                <w:tcPr>
                  <w:tcW w:w="511" w:type="pct"/>
                  <w:tcBorders>
                    <w:tl2br w:val="nil"/>
                    <w:tr2bl w:val="nil"/>
                  </w:tcBorders>
                  <w:noWrap w:val="0"/>
                  <w:vAlign w:val="center"/>
                </w:tcPr>
                <w:p w14:paraId="55C136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yellow"/>
                      <w:lang w:val="en-US" w:eastAsia="zh-CN"/>
                    </w:rPr>
                  </w:pPr>
                  <w:r>
                    <w:rPr>
                      <w:rFonts w:hint="default" w:ascii="Times New Roman" w:hAnsi="Times New Roman" w:eastAsia="宋体" w:cs="Times New Roman"/>
                      <w:color w:val="000000"/>
                      <w:kern w:val="0"/>
                      <w:sz w:val="21"/>
                      <w:szCs w:val="21"/>
                      <w:lang w:val="en-US" w:eastAsia="zh-CN" w:bidi="ar"/>
                    </w:rPr>
                    <w:t>μg/m</w:t>
                  </w:r>
                  <w:r>
                    <w:rPr>
                      <w:rFonts w:hint="default" w:ascii="Times New Roman" w:hAnsi="Times New Roman" w:eastAsia="宋体" w:cs="Times New Roman"/>
                      <w:color w:val="000000"/>
                      <w:kern w:val="0"/>
                      <w:sz w:val="21"/>
                      <w:szCs w:val="21"/>
                      <w:vertAlign w:val="superscript"/>
                      <w:lang w:val="en-US" w:eastAsia="zh-CN" w:bidi="ar"/>
                    </w:rPr>
                    <w:t>3</w:t>
                  </w:r>
                </w:p>
              </w:tc>
              <w:tc>
                <w:tcPr>
                  <w:tcW w:w="626" w:type="pct"/>
                  <w:tcBorders>
                    <w:tl2br w:val="nil"/>
                    <w:tr2bl w:val="nil"/>
                  </w:tcBorders>
                  <w:noWrap w:val="0"/>
                  <w:vAlign w:val="center"/>
                </w:tcPr>
                <w:p w14:paraId="4A6A7C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146</w:t>
                  </w:r>
                </w:p>
              </w:tc>
              <w:tc>
                <w:tcPr>
                  <w:tcW w:w="626" w:type="pct"/>
                  <w:tcBorders>
                    <w:tl2br w:val="nil"/>
                    <w:tr2bl w:val="nil"/>
                  </w:tcBorders>
                  <w:noWrap w:val="0"/>
                  <w:vAlign w:val="center"/>
                </w:tcPr>
                <w:p w14:paraId="42A833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160</w:t>
                  </w:r>
                </w:p>
              </w:tc>
              <w:tc>
                <w:tcPr>
                  <w:tcW w:w="627" w:type="pct"/>
                  <w:tcBorders>
                    <w:tl2br w:val="nil"/>
                    <w:tr2bl w:val="nil"/>
                  </w:tcBorders>
                  <w:noWrap w:val="0"/>
                  <w:vAlign w:val="center"/>
                </w:tcPr>
                <w:p w14:paraId="6A20E7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91.25</w:t>
                  </w:r>
                </w:p>
              </w:tc>
              <w:tc>
                <w:tcPr>
                  <w:tcW w:w="489" w:type="pct"/>
                  <w:tcBorders>
                    <w:tl2br w:val="nil"/>
                    <w:tr2bl w:val="nil"/>
                  </w:tcBorders>
                  <w:noWrap w:val="0"/>
                  <w:vAlign w:val="center"/>
                </w:tcPr>
                <w:p w14:paraId="10CF3C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r w14:paraId="477C44A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000" w:type="pct"/>
                  <w:gridSpan w:val="7"/>
                  <w:tcBorders>
                    <w:tl2br w:val="nil"/>
                    <w:tr2bl w:val="nil"/>
                  </w:tcBorders>
                  <w:noWrap w:val="0"/>
                  <w:vAlign w:val="center"/>
                </w:tcPr>
                <w:p w14:paraId="267785FA">
                  <w:pPr>
                    <w:keepNext w:val="0"/>
                    <w:keepLines w:val="0"/>
                    <w:widowControl/>
                    <w:suppressLineNumbers w:val="0"/>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000000"/>
                      <w:kern w:val="0"/>
                      <w:sz w:val="21"/>
                      <w:szCs w:val="21"/>
                      <w:lang w:val="en-US" w:eastAsia="zh-CN" w:bidi="ar"/>
                    </w:rPr>
                    <w:t>注：1.CO的浓度单位是mg/m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，PM</w:t>
                  </w:r>
                  <w:r>
                    <w:rPr>
                      <w:rFonts w:hint="default" w:ascii="Times New Roman" w:hAnsi="Times New Roman" w:eastAsia="宋体" w:cs="Times New Roman"/>
                      <w:color w:val="000000"/>
                      <w:kern w:val="0"/>
                      <w:sz w:val="21"/>
                      <w:szCs w:val="21"/>
                      <w:vertAlign w:val="subscript"/>
                      <w:lang w:val="en-US" w:eastAsia="zh-CN" w:bidi="ar"/>
                    </w:rPr>
                    <w:t>2.5</w:t>
                  </w:r>
                  <w:r>
                    <w:rPr>
                      <w:rFonts w:hint="default" w:ascii="Times New Roman" w:hAnsi="Times New Roman" w:eastAsia="宋体" w:cs="Times New Roman"/>
                      <w:color w:val="000000"/>
                      <w:kern w:val="0"/>
                      <w:sz w:val="21"/>
                      <w:szCs w:val="21"/>
                      <w:lang w:val="en-US" w:eastAsia="zh-CN" w:bidi="ar"/>
                    </w:rPr>
                    <w:t>、PM</w:t>
                  </w:r>
                  <w:r>
                    <w:rPr>
                      <w:rFonts w:hint="default" w:ascii="Times New Roman" w:hAnsi="Times New Roman" w:eastAsia="宋体" w:cs="Times New Roman"/>
                      <w:color w:val="000000"/>
                      <w:kern w:val="0"/>
                      <w:sz w:val="21"/>
                      <w:szCs w:val="21"/>
                      <w:vertAlign w:val="subscript"/>
                      <w:lang w:val="en-US" w:eastAsia="zh-CN" w:bidi="ar"/>
                    </w:rPr>
                    <w:t>10</w:t>
                  </w:r>
                  <w:r>
                    <w:rPr>
                      <w:rFonts w:hint="default" w:ascii="Times New Roman" w:hAnsi="Times New Roman" w:eastAsia="宋体" w:cs="Times New Roman"/>
                      <w:color w:val="000000"/>
                      <w:kern w:val="0"/>
                      <w:sz w:val="21"/>
                      <w:szCs w:val="21"/>
                      <w:lang w:val="en-US" w:eastAsia="zh-CN" w:bidi="ar"/>
                    </w:rPr>
                    <w:t>、NO</w:t>
                  </w:r>
                  <w:r>
                    <w:rPr>
                      <w:rFonts w:hint="default" w:ascii="Times New Roman" w:hAnsi="Times New Roman" w:eastAsia="宋体" w:cs="Times New Roman"/>
                      <w:color w:val="000000"/>
                      <w:kern w:val="0"/>
                      <w:sz w:val="21"/>
                      <w:szCs w:val="21"/>
                      <w:vertAlign w:val="subscript"/>
                      <w:lang w:val="en-US" w:eastAsia="zh-CN" w:bidi="ar"/>
                    </w:rPr>
                    <w:t>2</w:t>
                  </w:r>
                  <w:r>
                    <w:rPr>
                      <w:rFonts w:hint="default" w:ascii="Times New Roman" w:hAnsi="Times New Roman" w:eastAsia="宋体" w:cs="Times New Roman"/>
                      <w:color w:val="000000"/>
                      <w:kern w:val="0"/>
                      <w:sz w:val="21"/>
                      <w:szCs w:val="21"/>
                      <w:lang w:val="en-US" w:eastAsia="zh-CN" w:bidi="ar"/>
                    </w:rPr>
                    <w:t>、SO</w:t>
                  </w:r>
                  <w:r>
                    <w:rPr>
                      <w:rFonts w:hint="default" w:ascii="Times New Roman" w:hAnsi="Times New Roman" w:eastAsia="宋体" w:cs="Times New Roman"/>
                      <w:color w:val="000000"/>
                      <w:kern w:val="0"/>
                      <w:sz w:val="21"/>
                      <w:szCs w:val="21"/>
                      <w:vertAlign w:val="subscript"/>
                      <w:lang w:val="en-US" w:eastAsia="zh-CN" w:bidi="ar"/>
                    </w:rPr>
                    <w:t>2</w:t>
                  </w:r>
                  <w:r>
                    <w:rPr>
                      <w:rFonts w:hint="default" w:ascii="Times New Roman" w:hAnsi="Times New Roman" w:eastAsia="宋体" w:cs="Times New Roman"/>
                      <w:color w:val="000000"/>
                      <w:kern w:val="0"/>
                      <w:sz w:val="21"/>
                      <w:szCs w:val="21"/>
                      <w:lang w:val="en-US" w:eastAsia="zh-CN" w:bidi="ar"/>
                    </w:rPr>
                    <w:t>、O</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的浓度单位是μg/m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；2.CO为24小时平均第95百分位数，O</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为日最大8小时平均第90百分位数。</w:t>
                  </w:r>
                </w:p>
              </w:tc>
            </w:tr>
          </w:tbl>
          <w:p w14:paraId="36DEE3DE">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由以上数据可以看出，项目区域PM</w:t>
            </w:r>
            <w:r>
              <w:rPr>
                <w:rFonts w:hint="default" w:ascii="Times New Roman" w:hAnsi="Times New Roman" w:eastAsia="宋体" w:cs="Times New Roman"/>
                <w:color w:val="000000"/>
                <w:kern w:val="0"/>
                <w:sz w:val="24"/>
                <w:szCs w:val="24"/>
                <w:vertAlign w:val="subscript"/>
                <w:lang w:val="en-US" w:eastAsia="zh-CN" w:bidi="ar"/>
              </w:rPr>
              <w:t>2.5</w:t>
            </w:r>
            <w:r>
              <w:rPr>
                <w:rFonts w:hint="default" w:ascii="Times New Roman" w:hAnsi="Times New Roman" w:eastAsia="宋体" w:cs="Times New Roman"/>
                <w:color w:val="000000"/>
                <w:kern w:val="0"/>
                <w:sz w:val="24"/>
                <w:szCs w:val="24"/>
                <w:lang w:val="en-US" w:eastAsia="zh-CN" w:bidi="ar"/>
              </w:rPr>
              <w:t>、PM</w:t>
            </w:r>
            <w:r>
              <w:rPr>
                <w:rFonts w:hint="default" w:ascii="Times New Roman" w:hAnsi="Times New Roman" w:eastAsia="宋体" w:cs="Times New Roman"/>
                <w:color w:val="000000"/>
                <w:kern w:val="0"/>
                <w:sz w:val="24"/>
                <w:szCs w:val="24"/>
                <w:vertAlign w:val="subscript"/>
                <w:lang w:val="en-US" w:eastAsia="zh-CN" w:bidi="ar"/>
              </w:rPr>
              <w:t>10</w:t>
            </w:r>
            <w:r>
              <w:rPr>
                <w:rFonts w:hint="default" w:ascii="Times New Roman" w:hAnsi="Times New Roman" w:eastAsia="宋体" w:cs="Times New Roman"/>
                <w:color w:val="000000"/>
                <w:kern w:val="0"/>
                <w:sz w:val="24"/>
                <w:szCs w:val="24"/>
                <w:lang w:val="en-US" w:eastAsia="zh-CN" w:bidi="ar"/>
              </w:rPr>
              <w:t>、SO</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、NO</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的年均值、CO的24小时平均值、O</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日最大8小时平均值均满足《环境空气质量标准》(GB3095-2012)及2018年修改单中的二级标准，因此项目所在区域属于环境空气达标区</w:t>
            </w:r>
            <w:r>
              <w:rPr>
                <w:rFonts w:hint="eastAsia" w:ascii="Times New Roman" w:hAnsi="Times New Roman" w:eastAsia="宋体" w:cs="Times New Roman"/>
                <w:color w:val="000000"/>
                <w:kern w:val="0"/>
                <w:sz w:val="24"/>
                <w:szCs w:val="24"/>
                <w:lang w:val="en-US" w:eastAsia="zh-CN" w:bidi="ar"/>
              </w:rPr>
              <w:t>。</w:t>
            </w:r>
          </w:p>
          <w:p w14:paraId="05E7BFE8">
            <w:pPr>
              <w:pStyle w:val="24"/>
              <w:numPr>
                <w:ilvl w:val="0"/>
                <w:numId w:val="0"/>
              </w:numPr>
              <w:spacing w:before="63" w:line="219" w:lineRule="auto"/>
              <w:ind w:left="0" w:leftChars="0" w:firstLine="470" w:firstLineChars="200"/>
              <w:rPr>
                <w:b/>
                <w:bCs/>
                <w:spacing w:val="-3"/>
                <w:sz w:val="24"/>
                <w:szCs w:val="24"/>
              </w:rPr>
            </w:pPr>
            <w:r>
              <w:rPr>
                <w:rFonts w:hint="eastAsia" w:cs="宋体"/>
                <w:b/>
                <w:bCs/>
                <w:spacing w:val="-3"/>
                <w:kern w:val="2"/>
                <w:sz w:val="24"/>
                <w:szCs w:val="24"/>
                <w:lang w:val="en-US" w:eastAsia="zh-CN" w:bidi="ar-SA"/>
              </w:rPr>
              <w:t>5</w:t>
            </w:r>
            <w:r>
              <w:rPr>
                <w:rFonts w:hint="eastAsia" w:ascii="宋体" w:hAnsi="宋体" w:eastAsia="宋体" w:cs="宋体"/>
                <w:b/>
                <w:bCs/>
                <w:spacing w:val="-3"/>
                <w:kern w:val="2"/>
                <w:sz w:val="24"/>
                <w:szCs w:val="24"/>
                <w:lang w:val="en-US" w:eastAsia="en-US" w:bidi="ar-SA"/>
              </w:rPr>
              <w:t>、</w:t>
            </w:r>
            <w:r>
              <w:rPr>
                <w:b/>
                <w:bCs/>
                <w:spacing w:val="-3"/>
                <w:sz w:val="24"/>
                <w:szCs w:val="24"/>
              </w:rPr>
              <w:t>地表水环境质量现状评价</w:t>
            </w:r>
          </w:p>
          <w:p w14:paraId="40D3E829">
            <w:pPr>
              <w:pStyle w:val="24"/>
              <w:numPr>
                <w:ilvl w:val="0"/>
                <w:numId w:val="0"/>
              </w:numPr>
              <w:spacing w:before="63" w:line="360" w:lineRule="auto"/>
              <w:ind w:firstLine="464" w:firstLineChars="200"/>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根据《202</w:t>
            </w:r>
            <w:r>
              <w:rPr>
                <w:rFonts w:hint="default" w:ascii="Times New Roman" w:hAnsi="Times New Roman" w:eastAsia="宋体" w:cs="Times New Roman"/>
                <w:spacing w:val="-4"/>
                <w:sz w:val="24"/>
                <w:szCs w:val="24"/>
                <w:lang w:val="en-US" w:eastAsia="zh-CN"/>
              </w:rPr>
              <w:t>3</w:t>
            </w:r>
            <w:r>
              <w:rPr>
                <w:rFonts w:hint="default" w:ascii="Times New Roman" w:hAnsi="Times New Roman" w:eastAsia="宋体" w:cs="Times New Roman"/>
                <w:spacing w:val="-4"/>
                <w:sz w:val="24"/>
                <w:szCs w:val="24"/>
              </w:rPr>
              <w:t>年承德市生态环境状况公报》，2023年，全市实际监测27个地表水国省市考断面，达到或好于川类水质断面比例100%，与2022年持平，水质总体为优。其中，1类水质断面9个、1类水质断面12个、1类水质断面6个，无劣V类水质断面。</w:t>
            </w:r>
          </w:p>
          <w:p w14:paraId="043F7D7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eastAsia"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6、电磁环境现状评价</w:t>
            </w:r>
          </w:p>
          <w:p w14:paraId="26F55F92">
            <w:pPr>
              <w:keepNext w:val="0"/>
              <w:keepLines w:val="0"/>
              <w:pageBreakBefore w:val="0"/>
              <w:widowControl w:val="0"/>
              <w:kinsoku/>
              <w:wordWrap/>
              <w:overflowPunct/>
              <w:topLinePunct w:val="0"/>
              <w:autoSpaceDE/>
              <w:autoSpaceDN/>
              <w:bidi w:val="0"/>
              <w:adjustRightInd/>
              <w:snapToGrid/>
              <w:spacing w:line="360" w:lineRule="auto"/>
              <w:ind w:firstLine="464"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eastAsia" w:ascii="Times New Roman" w:hAnsi="Times New Roman" w:eastAsia="宋体" w:cs="Times New Roman"/>
                <w:spacing w:val="-4"/>
                <w:kern w:val="2"/>
                <w:sz w:val="24"/>
                <w:szCs w:val="24"/>
                <w:highlight w:val="none"/>
                <w:lang w:val="en-US" w:eastAsia="zh-CN" w:bidi="ar-SA"/>
              </w:rPr>
              <w:t>承德市东岭环境监测有限公司于</w:t>
            </w:r>
            <w:r>
              <w:rPr>
                <w:rFonts w:hint="default" w:ascii="Times New Roman" w:hAnsi="Times New Roman" w:eastAsia="宋体" w:cs="Times New Roman"/>
                <w:spacing w:val="-4"/>
                <w:kern w:val="2"/>
                <w:sz w:val="24"/>
                <w:szCs w:val="24"/>
                <w:highlight w:val="none"/>
                <w:lang w:val="en-US" w:eastAsia="zh-CN" w:bidi="ar-SA"/>
              </w:rPr>
              <w:t>202</w:t>
            </w:r>
            <w:r>
              <w:rPr>
                <w:rFonts w:hint="eastAsia" w:ascii="Times New Roman" w:hAnsi="Times New Roman" w:eastAsia="宋体" w:cs="Times New Roman"/>
                <w:spacing w:val="-4"/>
                <w:kern w:val="2"/>
                <w:sz w:val="24"/>
                <w:szCs w:val="24"/>
                <w:highlight w:val="none"/>
                <w:lang w:val="en-US" w:eastAsia="zh-CN" w:bidi="ar-SA"/>
              </w:rPr>
              <w:t>4</w:t>
            </w:r>
            <w:r>
              <w:rPr>
                <w:rFonts w:hint="default" w:ascii="Times New Roman" w:hAnsi="Times New Roman" w:eastAsia="宋体" w:cs="Times New Roman"/>
                <w:spacing w:val="-4"/>
                <w:kern w:val="2"/>
                <w:sz w:val="24"/>
                <w:szCs w:val="24"/>
                <w:highlight w:val="none"/>
                <w:lang w:val="en-US" w:eastAsia="zh-CN" w:bidi="ar-SA"/>
              </w:rPr>
              <w:t>年</w:t>
            </w:r>
            <w:r>
              <w:rPr>
                <w:rFonts w:hint="eastAsia" w:ascii="Times New Roman" w:hAnsi="Times New Roman" w:eastAsia="宋体" w:cs="Times New Roman"/>
                <w:spacing w:val="-4"/>
                <w:kern w:val="2"/>
                <w:sz w:val="24"/>
                <w:szCs w:val="24"/>
                <w:highlight w:val="none"/>
                <w:lang w:val="en-US" w:eastAsia="zh-CN" w:bidi="ar-SA"/>
              </w:rPr>
              <w:t>6</w:t>
            </w:r>
            <w:r>
              <w:rPr>
                <w:rFonts w:hint="default" w:ascii="Times New Roman" w:hAnsi="Times New Roman" w:eastAsia="宋体" w:cs="Times New Roman"/>
                <w:spacing w:val="-4"/>
                <w:kern w:val="2"/>
                <w:sz w:val="24"/>
                <w:szCs w:val="24"/>
                <w:highlight w:val="none"/>
                <w:lang w:val="en-US" w:eastAsia="zh-CN" w:bidi="ar-SA"/>
              </w:rPr>
              <w:t>月</w:t>
            </w:r>
            <w:r>
              <w:rPr>
                <w:rFonts w:hint="eastAsia" w:ascii="Times New Roman" w:hAnsi="Times New Roman" w:eastAsia="宋体" w:cs="Times New Roman"/>
                <w:spacing w:val="-4"/>
                <w:kern w:val="2"/>
                <w:sz w:val="24"/>
                <w:szCs w:val="24"/>
                <w:highlight w:val="none"/>
                <w:lang w:val="en-US" w:eastAsia="zh-CN" w:bidi="ar-SA"/>
              </w:rPr>
              <w:t>24-25</w:t>
            </w:r>
            <w:r>
              <w:rPr>
                <w:rFonts w:hint="default" w:ascii="Times New Roman" w:hAnsi="Times New Roman" w:eastAsia="宋体" w:cs="Times New Roman"/>
                <w:spacing w:val="-4"/>
                <w:kern w:val="2"/>
                <w:sz w:val="24"/>
                <w:szCs w:val="24"/>
                <w:highlight w:val="none"/>
                <w:lang w:val="en-US" w:eastAsia="zh-CN" w:bidi="ar-SA"/>
              </w:rPr>
              <w:t>日对项目</w:t>
            </w:r>
            <w:r>
              <w:rPr>
                <w:rFonts w:hint="eastAsia" w:ascii="Times New Roman" w:hAnsi="Times New Roman" w:eastAsia="宋体" w:cs="Times New Roman"/>
                <w:spacing w:val="-4"/>
                <w:kern w:val="2"/>
                <w:sz w:val="24"/>
                <w:szCs w:val="24"/>
                <w:highlight w:val="none"/>
                <w:lang w:val="en-US" w:eastAsia="zh-CN" w:bidi="ar-SA"/>
              </w:rPr>
              <w:t>周边</w:t>
            </w:r>
            <w:r>
              <w:rPr>
                <w:rFonts w:hint="default" w:ascii="Times New Roman" w:hAnsi="Times New Roman" w:eastAsia="宋体" w:cs="Times New Roman"/>
                <w:spacing w:val="-4"/>
                <w:kern w:val="2"/>
                <w:sz w:val="24"/>
                <w:szCs w:val="24"/>
                <w:highlight w:val="none"/>
                <w:lang w:val="en-US" w:eastAsia="zh-CN" w:bidi="ar-SA"/>
              </w:rPr>
              <w:t>电磁环境</w:t>
            </w:r>
            <w:r>
              <w:rPr>
                <w:rFonts w:hint="default" w:ascii="Times New Roman" w:hAnsi="Times New Roman" w:cs="Times New Roman"/>
                <w:color w:val="auto"/>
                <w:sz w:val="24"/>
                <w:szCs w:val="24"/>
                <w:highlight w:val="none"/>
                <w:lang w:val="en-US" w:eastAsia="zh-CN"/>
              </w:rPr>
              <w:t>质量进行了监测</w:t>
            </w:r>
            <w:r>
              <w:rPr>
                <w:rFonts w:hint="eastAsia" w:cs="Times New Roman"/>
                <w:color w:val="auto"/>
                <w:sz w:val="24"/>
                <w:szCs w:val="24"/>
                <w:highlight w:val="none"/>
                <w:lang w:val="en-US" w:eastAsia="zh-CN"/>
              </w:rPr>
              <w:t>。</w:t>
            </w:r>
          </w:p>
          <w:p w14:paraId="60DA96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监测因子</w:t>
            </w:r>
          </w:p>
          <w:p w14:paraId="13ABBC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工频电场、工频磁场。</w:t>
            </w:r>
          </w:p>
          <w:p w14:paraId="0F37690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监测仪器</w:t>
            </w:r>
          </w:p>
          <w:p w14:paraId="173B4A7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所用仪器均经国家计量部门检验合格，并处于校准证书有效期内，仪器的频率性能覆盖监测对象的频率范围。</w:t>
            </w:r>
          </w:p>
          <w:p w14:paraId="33A8092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监测仪器校准情况见表3-</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w:t>
            </w:r>
          </w:p>
          <w:p w14:paraId="78F5011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表3-</w:t>
            </w:r>
            <w:r>
              <w:rPr>
                <w:rFonts w:hint="eastAsia"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lang w:val="en-US" w:eastAsia="zh-CN"/>
              </w:rPr>
              <w:t>监测仪器校准情况表</w:t>
            </w:r>
          </w:p>
          <w:tbl>
            <w:tblPr>
              <w:tblStyle w:val="19"/>
              <w:tblW w:w="4991" w:type="pct"/>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610"/>
              <w:gridCol w:w="1166"/>
              <w:gridCol w:w="1096"/>
              <w:gridCol w:w="1642"/>
              <w:gridCol w:w="1872"/>
              <w:gridCol w:w="1446"/>
            </w:tblGrid>
            <w:tr w14:paraId="681FA16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33" w:hRule="atLeast"/>
              </w:trPr>
              <w:tc>
                <w:tcPr>
                  <w:tcW w:w="389" w:type="pct"/>
                  <w:tcBorders>
                    <w:tl2br w:val="nil"/>
                    <w:tr2bl w:val="nil"/>
                  </w:tcBorders>
                  <w:noWrap w:val="0"/>
                  <w:vAlign w:val="center"/>
                </w:tcPr>
                <w:p w14:paraId="6E3FD3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序号</w:t>
                  </w:r>
                </w:p>
              </w:tc>
              <w:tc>
                <w:tcPr>
                  <w:tcW w:w="744" w:type="pct"/>
                  <w:tcBorders>
                    <w:tl2br w:val="nil"/>
                    <w:tr2bl w:val="nil"/>
                  </w:tcBorders>
                  <w:noWrap w:val="0"/>
                  <w:vAlign w:val="center"/>
                </w:tcPr>
                <w:p w14:paraId="1FAF32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仪器名称</w:t>
                  </w:r>
                </w:p>
              </w:tc>
              <w:tc>
                <w:tcPr>
                  <w:tcW w:w="699" w:type="pct"/>
                  <w:tcBorders>
                    <w:tl2br w:val="nil"/>
                    <w:tr2bl w:val="nil"/>
                  </w:tcBorders>
                  <w:noWrap w:val="0"/>
                  <w:vAlign w:val="center"/>
                </w:tcPr>
                <w:p w14:paraId="33018D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仪器型号</w:t>
                  </w:r>
                </w:p>
              </w:tc>
              <w:tc>
                <w:tcPr>
                  <w:tcW w:w="1048" w:type="pct"/>
                  <w:tcBorders>
                    <w:tl2br w:val="nil"/>
                    <w:tr2bl w:val="nil"/>
                  </w:tcBorders>
                  <w:noWrap w:val="0"/>
                  <w:vAlign w:val="center"/>
                </w:tcPr>
                <w:p w14:paraId="73E23E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测量范围或量程</w:t>
                  </w:r>
                </w:p>
              </w:tc>
              <w:tc>
                <w:tcPr>
                  <w:tcW w:w="1195" w:type="pct"/>
                  <w:tcBorders>
                    <w:tl2br w:val="nil"/>
                    <w:tr2bl w:val="nil"/>
                  </w:tcBorders>
                  <w:noWrap w:val="0"/>
                  <w:vAlign w:val="center"/>
                </w:tcPr>
                <w:p w14:paraId="6A0F04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检定/校准</w:t>
                  </w:r>
                </w:p>
                <w:p w14:paraId="2A3F6A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有效期</w:t>
                  </w:r>
                </w:p>
              </w:tc>
              <w:tc>
                <w:tcPr>
                  <w:tcW w:w="923" w:type="pct"/>
                  <w:tcBorders>
                    <w:tl2br w:val="nil"/>
                    <w:tr2bl w:val="nil"/>
                  </w:tcBorders>
                  <w:noWrap w:val="0"/>
                  <w:vAlign w:val="center"/>
                </w:tcPr>
                <w:p w14:paraId="0C9135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检定/校准机构</w:t>
                  </w:r>
                </w:p>
              </w:tc>
            </w:tr>
            <w:tr w14:paraId="73FCF81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33" w:hRule="atLeast"/>
              </w:trPr>
              <w:tc>
                <w:tcPr>
                  <w:tcW w:w="389" w:type="pct"/>
                  <w:tcBorders>
                    <w:tl2br w:val="nil"/>
                    <w:tr2bl w:val="nil"/>
                  </w:tcBorders>
                  <w:noWrap w:val="0"/>
                  <w:vAlign w:val="center"/>
                </w:tcPr>
                <w:p w14:paraId="76D6BA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1</w:t>
                  </w:r>
                </w:p>
              </w:tc>
              <w:tc>
                <w:tcPr>
                  <w:tcW w:w="744" w:type="pct"/>
                  <w:tcBorders>
                    <w:tl2br w:val="nil"/>
                    <w:tr2bl w:val="nil"/>
                  </w:tcBorders>
                  <w:noWrap w:val="0"/>
                  <w:vAlign w:val="center"/>
                </w:tcPr>
                <w:p w14:paraId="7F1D7B8B">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0" w:leftChars="0" w:firstLine="0" w:firstLineChars="0"/>
                    <w:jc w:val="center"/>
                    <w:textAlignment w:val="auto"/>
                    <w:rPr>
                      <w:rFonts w:hint="default" w:ascii="宋体" w:hAnsi="宋体" w:eastAsia="宋体" w:cs="宋体"/>
                      <w:b w:val="0"/>
                      <w:bCs w:val="0"/>
                      <w:color w:val="auto"/>
                      <w:kern w:val="2"/>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bidi="ar"/>
                    </w:rPr>
                    <w:t>工频探头</w:t>
                  </w:r>
                  <w:r>
                    <w:rPr>
                      <w:rFonts w:hint="eastAsia" w:ascii="宋体" w:hAnsi="宋体" w:eastAsia="宋体" w:cs="宋体"/>
                      <w:b w:val="0"/>
                      <w:bCs w:val="0"/>
                      <w:sz w:val="21"/>
                      <w:szCs w:val="21"/>
                      <w:highlight w:val="none"/>
                      <w:lang w:eastAsia="zh-CN"/>
                    </w:rPr>
                    <w:t>DLYQ-</w:t>
                  </w:r>
                  <w:r>
                    <w:rPr>
                      <w:rFonts w:hint="eastAsia" w:ascii="宋体" w:hAnsi="宋体" w:eastAsia="宋体" w:cs="宋体"/>
                      <w:b w:val="0"/>
                      <w:bCs w:val="0"/>
                      <w:sz w:val="21"/>
                      <w:szCs w:val="21"/>
                      <w:highlight w:val="none"/>
                      <w:lang w:val="en-US" w:eastAsia="zh-CN"/>
                    </w:rPr>
                    <w:t>45</w:t>
                  </w:r>
                </w:p>
              </w:tc>
              <w:tc>
                <w:tcPr>
                  <w:tcW w:w="699" w:type="pct"/>
                  <w:tcBorders>
                    <w:tl2br w:val="nil"/>
                    <w:tr2bl w:val="nil"/>
                  </w:tcBorders>
                  <w:noWrap w:val="0"/>
                  <w:vAlign w:val="center"/>
                </w:tcPr>
                <w:p w14:paraId="3CA5CB7C">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0" w:leftChars="0" w:firstLine="0" w:firstLineChars="0"/>
                    <w:jc w:val="center"/>
                    <w:textAlignment w:val="auto"/>
                    <w:rPr>
                      <w:rFonts w:hint="default" w:ascii="宋体" w:hAnsi="宋体" w:eastAsia="宋体" w:cs="宋体"/>
                      <w:b w:val="0"/>
                      <w:bCs w:val="0"/>
                      <w:color w:val="auto"/>
                      <w:kern w:val="2"/>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bidi="ar"/>
                    </w:rPr>
                    <w:t>EHP-50F/NBM-550</w:t>
                  </w:r>
                </w:p>
              </w:tc>
              <w:tc>
                <w:tcPr>
                  <w:tcW w:w="1048" w:type="pct"/>
                  <w:tcBorders>
                    <w:tl2br w:val="nil"/>
                    <w:tr2bl w:val="nil"/>
                  </w:tcBorders>
                  <w:noWrap w:val="0"/>
                  <w:vAlign w:val="center"/>
                </w:tcPr>
                <w:p w14:paraId="1B6CE9B3">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0" w:leftChars="0" w:firstLine="0" w:firstLineChars="0"/>
                    <w:jc w:val="center"/>
                    <w:textAlignment w:val="auto"/>
                    <w:rPr>
                      <w:rFonts w:hint="default" w:ascii="宋体" w:hAnsi="宋体" w:eastAsia="宋体" w:cs="宋体"/>
                      <w:b w:val="0"/>
                      <w:bCs w:val="0"/>
                      <w:color w:val="auto"/>
                      <w:kern w:val="2"/>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bidi="ar"/>
                    </w:rPr>
                    <w:t>5mV/m～100kV/m  0.3nT～10mT</w:t>
                  </w:r>
                </w:p>
              </w:tc>
              <w:tc>
                <w:tcPr>
                  <w:tcW w:w="1195" w:type="pct"/>
                  <w:tcBorders>
                    <w:tl2br w:val="nil"/>
                    <w:tr2bl w:val="nil"/>
                  </w:tcBorders>
                  <w:noWrap w:val="0"/>
                  <w:vAlign w:val="center"/>
                </w:tcPr>
                <w:p w14:paraId="5715C629">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0" w:leftChars="0" w:firstLine="0" w:firstLineChars="0"/>
                    <w:jc w:val="center"/>
                    <w:textAlignment w:val="auto"/>
                    <w:rPr>
                      <w:rFonts w:hint="default" w:ascii="宋体" w:hAnsi="宋体" w:eastAsia="宋体" w:cs="宋体"/>
                      <w:b w:val="0"/>
                      <w:bCs w:val="0"/>
                      <w:color w:val="auto"/>
                      <w:kern w:val="2"/>
                      <w:sz w:val="21"/>
                      <w:szCs w:val="21"/>
                      <w:highlight w:val="none"/>
                      <w:lang w:val="en-US" w:eastAsia="zh-CN" w:bidi="ar"/>
                    </w:rPr>
                  </w:pPr>
                  <w:r>
                    <w:rPr>
                      <w:rFonts w:hint="default" w:ascii="宋体" w:hAnsi="宋体" w:eastAsia="宋体" w:cs="宋体"/>
                      <w:b w:val="0"/>
                      <w:bCs w:val="0"/>
                      <w:color w:val="auto"/>
                      <w:sz w:val="21"/>
                      <w:szCs w:val="21"/>
                      <w:highlight w:val="none"/>
                      <w:lang w:val="en-US" w:eastAsia="zh-CN" w:bidi="ar"/>
                    </w:rPr>
                    <w:t>2024</w:t>
                  </w:r>
                  <w:r>
                    <w:rPr>
                      <w:rFonts w:hint="eastAsia" w:ascii="宋体" w:hAnsi="宋体" w:eastAsia="宋体" w:cs="宋体"/>
                      <w:b w:val="0"/>
                      <w:bCs w:val="0"/>
                      <w:color w:val="auto"/>
                      <w:sz w:val="21"/>
                      <w:szCs w:val="21"/>
                      <w:highlight w:val="none"/>
                      <w:lang w:val="en-US" w:eastAsia="zh-CN" w:bidi="ar"/>
                    </w:rPr>
                    <w:t>年</w:t>
                  </w:r>
                  <w:r>
                    <w:rPr>
                      <w:rFonts w:hint="default" w:ascii="宋体" w:hAnsi="宋体" w:eastAsia="宋体" w:cs="宋体"/>
                      <w:b w:val="0"/>
                      <w:bCs w:val="0"/>
                      <w:color w:val="auto"/>
                      <w:sz w:val="21"/>
                      <w:szCs w:val="21"/>
                      <w:highlight w:val="none"/>
                      <w:lang w:val="en-US" w:eastAsia="zh-CN" w:bidi="ar"/>
                    </w:rPr>
                    <w:t>01</w:t>
                  </w:r>
                  <w:r>
                    <w:rPr>
                      <w:rFonts w:hint="eastAsia" w:ascii="宋体" w:hAnsi="宋体" w:eastAsia="宋体" w:cs="宋体"/>
                      <w:b w:val="0"/>
                      <w:bCs w:val="0"/>
                      <w:color w:val="auto"/>
                      <w:sz w:val="21"/>
                      <w:szCs w:val="21"/>
                      <w:highlight w:val="none"/>
                      <w:lang w:val="en-US" w:eastAsia="zh-CN" w:bidi="ar"/>
                    </w:rPr>
                    <w:t>月</w:t>
                  </w:r>
                  <w:r>
                    <w:rPr>
                      <w:rFonts w:hint="default" w:ascii="宋体" w:hAnsi="宋体" w:eastAsia="宋体" w:cs="宋体"/>
                      <w:b w:val="0"/>
                      <w:bCs w:val="0"/>
                      <w:color w:val="auto"/>
                      <w:sz w:val="21"/>
                      <w:szCs w:val="21"/>
                      <w:highlight w:val="none"/>
                      <w:lang w:val="en-US" w:eastAsia="zh-CN" w:bidi="ar"/>
                    </w:rPr>
                    <w:t>1</w:t>
                  </w:r>
                  <w:r>
                    <w:rPr>
                      <w:rFonts w:hint="eastAsia" w:ascii="宋体" w:hAnsi="宋体" w:eastAsia="宋体" w:cs="宋体"/>
                      <w:b w:val="0"/>
                      <w:bCs w:val="0"/>
                      <w:color w:val="auto"/>
                      <w:sz w:val="21"/>
                      <w:szCs w:val="21"/>
                      <w:highlight w:val="none"/>
                      <w:lang w:val="en-US" w:eastAsia="zh-CN" w:bidi="ar"/>
                    </w:rPr>
                    <w:t>5日-</w:t>
                  </w:r>
                  <w:r>
                    <w:rPr>
                      <w:rFonts w:hint="default" w:ascii="宋体" w:hAnsi="宋体" w:eastAsia="宋体" w:cs="宋体"/>
                      <w:b w:val="0"/>
                      <w:bCs w:val="0"/>
                      <w:color w:val="auto"/>
                      <w:sz w:val="21"/>
                      <w:szCs w:val="21"/>
                      <w:highlight w:val="none"/>
                      <w:lang w:val="en-US" w:eastAsia="zh-CN" w:bidi="ar"/>
                    </w:rPr>
                    <w:t>202</w:t>
                  </w:r>
                  <w:r>
                    <w:rPr>
                      <w:rFonts w:hint="eastAsia" w:ascii="宋体" w:hAnsi="宋体" w:eastAsia="宋体" w:cs="宋体"/>
                      <w:b w:val="0"/>
                      <w:bCs w:val="0"/>
                      <w:color w:val="auto"/>
                      <w:sz w:val="21"/>
                      <w:szCs w:val="21"/>
                      <w:highlight w:val="none"/>
                      <w:lang w:val="en-US" w:eastAsia="zh-CN" w:bidi="ar"/>
                    </w:rPr>
                    <w:t>5年</w:t>
                  </w:r>
                  <w:r>
                    <w:rPr>
                      <w:rFonts w:hint="default" w:ascii="宋体" w:hAnsi="宋体" w:eastAsia="宋体" w:cs="宋体"/>
                      <w:b w:val="0"/>
                      <w:bCs w:val="0"/>
                      <w:color w:val="auto"/>
                      <w:sz w:val="21"/>
                      <w:szCs w:val="21"/>
                      <w:highlight w:val="none"/>
                      <w:lang w:val="en-US" w:eastAsia="zh-CN" w:bidi="ar"/>
                    </w:rPr>
                    <w:t>01</w:t>
                  </w:r>
                  <w:r>
                    <w:rPr>
                      <w:rFonts w:hint="eastAsia" w:ascii="宋体" w:hAnsi="宋体" w:eastAsia="宋体" w:cs="宋体"/>
                      <w:b w:val="0"/>
                      <w:bCs w:val="0"/>
                      <w:color w:val="auto"/>
                      <w:sz w:val="21"/>
                      <w:szCs w:val="21"/>
                      <w:highlight w:val="none"/>
                      <w:lang w:val="en-US" w:eastAsia="zh-CN" w:bidi="ar"/>
                    </w:rPr>
                    <w:t>月</w:t>
                  </w:r>
                  <w:r>
                    <w:rPr>
                      <w:rFonts w:hint="default" w:ascii="宋体" w:hAnsi="宋体" w:eastAsia="宋体" w:cs="宋体"/>
                      <w:b w:val="0"/>
                      <w:bCs w:val="0"/>
                      <w:color w:val="auto"/>
                      <w:sz w:val="21"/>
                      <w:szCs w:val="21"/>
                      <w:highlight w:val="none"/>
                      <w:lang w:val="en-US" w:eastAsia="zh-CN" w:bidi="ar"/>
                    </w:rPr>
                    <w:t>1</w:t>
                  </w:r>
                  <w:r>
                    <w:rPr>
                      <w:rFonts w:hint="eastAsia" w:ascii="宋体" w:hAnsi="宋体" w:eastAsia="宋体" w:cs="宋体"/>
                      <w:b w:val="0"/>
                      <w:bCs w:val="0"/>
                      <w:color w:val="auto"/>
                      <w:sz w:val="21"/>
                      <w:szCs w:val="21"/>
                      <w:highlight w:val="none"/>
                      <w:lang w:val="en-US" w:eastAsia="zh-CN" w:bidi="ar"/>
                    </w:rPr>
                    <w:t>4日</w:t>
                  </w:r>
                </w:p>
              </w:tc>
              <w:tc>
                <w:tcPr>
                  <w:tcW w:w="923" w:type="pct"/>
                  <w:tcBorders>
                    <w:tl2br w:val="nil"/>
                    <w:tr2bl w:val="nil"/>
                  </w:tcBorders>
                  <w:noWrap w:val="0"/>
                  <w:vAlign w:val="center"/>
                </w:tcPr>
                <w:p w14:paraId="0E1D9B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中国计量科学</w:t>
                  </w:r>
                </w:p>
                <w:p w14:paraId="68BA66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研究院</w:t>
                  </w:r>
                </w:p>
              </w:tc>
            </w:tr>
            <w:tr w14:paraId="2BC561B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33" w:hRule="atLeast"/>
              </w:trPr>
              <w:tc>
                <w:tcPr>
                  <w:tcW w:w="389" w:type="pct"/>
                  <w:tcBorders>
                    <w:tl2br w:val="nil"/>
                    <w:tr2bl w:val="nil"/>
                  </w:tcBorders>
                  <w:noWrap w:val="0"/>
                  <w:vAlign w:val="center"/>
                </w:tcPr>
                <w:p w14:paraId="2C815D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3</w:t>
                  </w:r>
                </w:p>
              </w:tc>
              <w:tc>
                <w:tcPr>
                  <w:tcW w:w="744" w:type="pct"/>
                  <w:tcBorders>
                    <w:tl2br w:val="nil"/>
                    <w:tr2bl w:val="nil"/>
                  </w:tcBorders>
                  <w:noWrap w:val="0"/>
                  <w:vAlign w:val="center"/>
                </w:tcPr>
                <w:p w14:paraId="1A8A86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温湿度表DLYQ-</w:t>
                  </w:r>
                  <w:r>
                    <w:rPr>
                      <w:rFonts w:hint="eastAsia" w:ascii="宋体" w:hAnsi="宋体" w:eastAsia="宋体" w:cs="宋体"/>
                      <w:b w:val="0"/>
                      <w:bCs w:val="0"/>
                      <w:sz w:val="21"/>
                      <w:szCs w:val="21"/>
                      <w:highlight w:val="none"/>
                      <w:lang w:val="en-US" w:eastAsia="zh-CN"/>
                    </w:rPr>
                    <w:t>63</w:t>
                  </w:r>
                </w:p>
              </w:tc>
              <w:tc>
                <w:tcPr>
                  <w:tcW w:w="699" w:type="pct"/>
                  <w:tcBorders>
                    <w:tl2br w:val="nil"/>
                    <w:tr2bl w:val="nil"/>
                  </w:tcBorders>
                  <w:noWrap w:val="0"/>
                  <w:vAlign w:val="center"/>
                </w:tcPr>
                <w:p w14:paraId="30DFFC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WHM5型</w:t>
                  </w:r>
                </w:p>
              </w:tc>
              <w:tc>
                <w:tcPr>
                  <w:tcW w:w="1048" w:type="pct"/>
                  <w:tcBorders>
                    <w:tl2br w:val="nil"/>
                    <w:tr2bl w:val="nil"/>
                  </w:tcBorders>
                  <w:noWrap w:val="0"/>
                  <w:vAlign w:val="center"/>
                </w:tcPr>
                <w:p w14:paraId="4CC4F2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 xml:space="preserve">-20℃～+40℃ </w:t>
                  </w:r>
                </w:p>
                <w:p w14:paraId="307195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（0～100%）RH</w:t>
                  </w:r>
                </w:p>
              </w:tc>
              <w:tc>
                <w:tcPr>
                  <w:tcW w:w="1195" w:type="pct"/>
                  <w:tcBorders>
                    <w:tl2br w:val="nil"/>
                    <w:tr2bl w:val="nil"/>
                  </w:tcBorders>
                  <w:noWrap w:val="0"/>
                  <w:vAlign w:val="center"/>
                </w:tcPr>
                <w:p w14:paraId="0CA7F6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2024年04月24日-2025年04月23日</w:t>
                  </w:r>
                </w:p>
              </w:tc>
              <w:tc>
                <w:tcPr>
                  <w:tcW w:w="923" w:type="pct"/>
                  <w:tcBorders>
                    <w:tl2br w:val="nil"/>
                    <w:tr2bl w:val="nil"/>
                  </w:tcBorders>
                  <w:noWrap w:val="0"/>
                  <w:vAlign w:val="center"/>
                </w:tcPr>
                <w:p w14:paraId="0E48BB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河北省计量监督检测研究院</w:t>
                  </w:r>
                </w:p>
              </w:tc>
            </w:tr>
            <w:tr w14:paraId="1A8ED51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33" w:hRule="atLeast"/>
              </w:trPr>
              <w:tc>
                <w:tcPr>
                  <w:tcW w:w="389" w:type="pct"/>
                  <w:tcBorders>
                    <w:tl2br w:val="nil"/>
                    <w:tr2bl w:val="nil"/>
                  </w:tcBorders>
                  <w:noWrap w:val="0"/>
                  <w:vAlign w:val="center"/>
                </w:tcPr>
                <w:p w14:paraId="556C54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5</w:t>
                  </w:r>
                </w:p>
              </w:tc>
              <w:tc>
                <w:tcPr>
                  <w:tcW w:w="744" w:type="pct"/>
                  <w:tcBorders>
                    <w:tl2br w:val="nil"/>
                    <w:tr2bl w:val="nil"/>
                  </w:tcBorders>
                  <w:noWrap w:val="0"/>
                  <w:vAlign w:val="center"/>
                </w:tcPr>
                <w:p w14:paraId="15CAC2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数字风速仪DLYQ-07</w:t>
                  </w:r>
                </w:p>
              </w:tc>
              <w:tc>
                <w:tcPr>
                  <w:tcW w:w="699" w:type="pct"/>
                  <w:tcBorders>
                    <w:tl2br w:val="nil"/>
                    <w:tr2bl w:val="nil"/>
                  </w:tcBorders>
                  <w:noWrap w:val="0"/>
                  <w:vAlign w:val="center"/>
                </w:tcPr>
                <w:p w14:paraId="2F6C83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QDF-6</w:t>
                  </w:r>
                </w:p>
              </w:tc>
              <w:tc>
                <w:tcPr>
                  <w:tcW w:w="1048" w:type="pct"/>
                  <w:tcBorders>
                    <w:tl2br w:val="nil"/>
                    <w:tr2bl w:val="nil"/>
                  </w:tcBorders>
                  <w:noWrap w:val="0"/>
                  <w:vAlign w:val="center"/>
                </w:tcPr>
                <w:p w14:paraId="239573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0～30m/s</w:t>
                  </w:r>
                </w:p>
              </w:tc>
              <w:tc>
                <w:tcPr>
                  <w:tcW w:w="1195" w:type="pct"/>
                  <w:tcBorders>
                    <w:tl2br w:val="nil"/>
                    <w:tr2bl w:val="nil"/>
                  </w:tcBorders>
                  <w:noWrap w:val="0"/>
                  <w:vAlign w:val="center"/>
                </w:tcPr>
                <w:p w14:paraId="51A584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2024年04月29日-2025年04月28日</w:t>
                  </w:r>
                </w:p>
              </w:tc>
              <w:tc>
                <w:tcPr>
                  <w:tcW w:w="923" w:type="pct"/>
                  <w:tcBorders>
                    <w:tl2br w:val="nil"/>
                    <w:tr2bl w:val="nil"/>
                  </w:tcBorders>
                  <w:noWrap w:val="0"/>
                  <w:vAlign w:val="center"/>
                </w:tcPr>
                <w:p w14:paraId="77FA27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河北省计量监督检测研究院</w:t>
                  </w:r>
                </w:p>
              </w:tc>
            </w:tr>
            <w:tr w14:paraId="3D83A3B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33" w:hRule="atLeast"/>
              </w:trPr>
              <w:tc>
                <w:tcPr>
                  <w:tcW w:w="389" w:type="pct"/>
                  <w:tcBorders>
                    <w:tl2br w:val="nil"/>
                    <w:tr2bl w:val="nil"/>
                  </w:tcBorders>
                  <w:noWrap w:val="0"/>
                  <w:vAlign w:val="center"/>
                </w:tcPr>
                <w:p w14:paraId="53D88F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6</w:t>
                  </w:r>
                </w:p>
              </w:tc>
              <w:tc>
                <w:tcPr>
                  <w:tcW w:w="744" w:type="pct"/>
                  <w:tcBorders>
                    <w:tl2br w:val="nil"/>
                    <w:tr2bl w:val="nil"/>
                  </w:tcBorders>
                  <w:noWrap w:val="0"/>
                  <w:vAlign w:val="center"/>
                </w:tcPr>
                <w:p w14:paraId="57DEAB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激光测距仪DLYQ-61</w:t>
                  </w:r>
                </w:p>
              </w:tc>
              <w:tc>
                <w:tcPr>
                  <w:tcW w:w="699" w:type="pct"/>
                  <w:tcBorders>
                    <w:tl2br w:val="nil"/>
                    <w:tr2bl w:val="nil"/>
                  </w:tcBorders>
                  <w:noWrap w:val="0"/>
                  <w:vAlign w:val="center"/>
                </w:tcPr>
                <w:p w14:paraId="28B8D8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X800Pro</w:t>
                  </w:r>
                </w:p>
              </w:tc>
              <w:tc>
                <w:tcPr>
                  <w:tcW w:w="1048" w:type="pct"/>
                  <w:tcBorders>
                    <w:tl2br w:val="nil"/>
                    <w:tr2bl w:val="nil"/>
                  </w:tcBorders>
                  <w:noWrap w:val="0"/>
                  <w:vAlign w:val="center"/>
                </w:tcPr>
                <w:p w14:paraId="6DA66C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0-800米</w:t>
                  </w:r>
                </w:p>
              </w:tc>
              <w:tc>
                <w:tcPr>
                  <w:tcW w:w="1195" w:type="pct"/>
                  <w:tcBorders>
                    <w:tl2br w:val="nil"/>
                    <w:tr2bl w:val="nil"/>
                  </w:tcBorders>
                  <w:noWrap w:val="0"/>
                  <w:vAlign w:val="center"/>
                </w:tcPr>
                <w:p w14:paraId="1E4BA2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202</w:t>
                  </w:r>
                  <w:r>
                    <w:rPr>
                      <w:rFonts w:hint="eastAsia" w:ascii="宋体" w:hAnsi="宋体" w:eastAsia="宋体" w:cs="宋体"/>
                      <w:b w:val="0"/>
                      <w:bCs w:val="0"/>
                      <w:sz w:val="21"/>
                      <w:szCs w:val="21"/>
                      <w:highlight w:val="none"/>
                      <w:lang w:val="en-US" w:eastAsia="zh-CN"/>
                    </w:rPr>
                    <w:t>4</w:t>
                  </w:r>
                  <w:r>
                    <w:rPr>
                      <w:rFonts w:hint="eastAsia" w:ascii="宋体" w:hAnsi="宋体" w:eastAsia="宋体" w:cs="宋体"/>
                      <w:b w:val="0"/>
                      <w:bCs w:val="0"/>
                      <w:sz w:val="21"/>
                      <w:szCs w:val="21"/>
                      <w:highlight w:val="none"/>
                      <w:lang w:eastAsia="zh-CN"/>
                    </w:rPr>
                    <w:t>年</w:t>
                  </w:r>
                  <w:r>
                    <w:rPr>
                      <w:rFonts w:hint="eastAsia" w:ascii="宋体" w:hAnsi="宋体" w:eastAsia="宋体" w:cs="宋体"/>
                      <w:b w:val="0"/>
                      <w:bCs w:val="0"/>
                      <w:sz w:val="21"/>
                      <w:szCs w:val="21"/>
                      <w:highlight w:val="none"/>
                      <w:lang w:val="en-US" w:eastAsia="zh-CN"/>
                    </w:rPr>
                    <w:t>05</w:t>
                  </w:r>
                  <w:r>
                    <w:rPr>
                      <w:rFonts w:hint="eastAsia" w:ascii="宋体" w:hAnsi="宋体" w:eastAsia="宋体" w:cs="宋体"/>
                      <w:b w:val="0"/>
                      <w:bCs w:val="0"/>
                      <w:sz w:val="21"/>
                      <w:szCs w:val="21"/>
                      <w:highlight w:val="none"/>
                      <w:lang w:eastAsia="zh-CN"/>
                    </w:rPr>
                    <w:t>月</w:t>
                  </w:r>
                  <w:r>
                    <w:rPr>
                      <w:rFonts w:hint="eastAsia" w:ascii="宋体" w:hAnsi="宋体" w:eastAsia="宋体" w:cs="宋体"/>
                      <w:b w:val="0"/>
                      <w:bCs w:val="0"/>
                      <w:sz w:val="21"/>
                      <w:szCs w:val="21"/>
                      <w:highlight w:val="none"/>
                      <w:lang w:val="en-US" w:eastAsia="zh-CN"/>
                    </w:rPr>
                    <w:t>07</w:t>
                  </w:r>
                  <w:r>
                    <w:rPr>
                      <w:rFonts w:hint="eastAsia" w:ascii="宋体" w:hAnsi="宋体" w:eastAsia="宋体" w:cs="宋体"/>
                      <w:b w:val="0"/>
                      <w:bCs w:val="0"/>
                      <w:sz w:val="21"/>
                      <w:szCs w:val="21"/>
                      <w:highlight w:val="none"/>
                      <w:lang w:eastAsia="zh-CN"/>
                    </w:rPr>
                    <w:t>日</w:t>
                  </w:r>
                  <w:r>
                    <w:rPr>
                      <w:rFonts w:hint="eastAsia" w:ascii="宋体" w:hAnsi="宋体" w:eastAsia="宋体" w:cs="宋体"/>
                      <w:b w:val="0"/>
                      <w:bCs w:val="0"/>
                      <w:sz w:val="21"/>
                      <w:szCs w:val="21"/>
                      <w:highlight w:val="none"/>
                      <w:lang w:val="en-US" w:eastAsia="zh-CN"/>
                    </w:rPr>
                    <w:t>-2025年05月06日</w:t>
                  </w:r>
                </w:p>
              </w:tc>
              <w:tc>
                <w:tcPr>
                  <w:tcW w:w="923" w:type="pct"/>
                  <w:tcBorders>
                    <w:tl2br w:val="nil"/>
                    <w:tr2bl w:val="nil"/>
                  </w:tcBorders>
                  <w:noWrap w:val="0"/>
                  <w:vAlign w:val="center"/>
                </w:tcPr>
                <w:p w14:paraId="7BEE53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河北省计量监督检测研究院</w:t>
                  </w:r>
                </w:p>
              </w:tc>
            </w:tr>
          </w:tbl>
          <w:p w14:paraId="27E60CA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监测方法</w:t>
            </w:r>
          </w:p>
          <w:p w14:paraId="04319B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按《交流输</w:t>
            </w:r>
            <w:r>
              <w:rPr>
                <w:rFonts w:hint="eastAsia" w:ascii="Times New Roman" w:hAnsi="Times New Roman" w:cs="Times New Roman"/>
                <w:color w:val="auto"/>
                <w:sz w:val="24"/>
                <w:szCs w:val="24"/>
                <w:highlight w:val="none"/>
                <w:lang w:val="en-US" w:eastAsia="zh-CN"/>
              </w:rPr>
              <w:t>线路工程</w:t>
            </w:r>
            <w:r>
              <w:rPr>
                <w:rFonts w:hint="default" w:ascii="Times New Roman" w:hAnsi="Times New Roman" w:cs="Times New Roman"/>
                <w:color w:val="auto"/>
                <w:sz w:val="24"/>
                <w:szCs w:val="24"/>
                <w:highlight w:val="none"/>
                <w:lang w:val="en-US" w:eastAsia="zh-CN"/>
              </w:rPr>
              <w:t>电磁环境监测方法(试行)》(HJ681-2013)进行，尽量在空旷地进行，避开建筑物、林木、高压线及金属结构。</w:t>
            </w:r>
          </w:p>
          <w:p w14:paraId="16F5CB2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监测点应选择在地势平坦、远离树木且没有其他电力线路、通信线路及广播线路的空地上。</w:t>
            </w:r>
          </w:p>
          <w:p w14:paraId="3FC3439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监测仪器的探头应架设在地面(或立足平面)上方1.5m高度处。监测工频电场时，监测人员与监测仪器探头的距离应不小于2.5m。监测仪器探头与固定物体的距离应不小于1m。</w:t>
            </w:r>
          </w:p>
          <w:p w14:paraId="7010ED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监测工频磁场时，监测探头可以用一个小的电介质手柄支撑，并可由监测人员手持。采用一维探头监测工频磁场时，应调整探头使其位置在监测最大值的方向。</w:t>
            </w:r>
          </w:p>
          <w:p w14:paraId="1C327F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highlight w:val="none"/>
              </w:rPr>
            </w:pP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监测布点</w:t>
            </w:r>
          </w:p>
          <w:p w14:paraId="71523F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jc w:val="both"/>
              <w:textAlignment w:val="auto"/>
              <w:outlineLvl w:val="9"/>
              <w:rPr>
                <w:spacing w:val="-1"/>
                <w:sz w:val="24"/>
                <w:szCs w:val="24"/>
              </w:rPr>
            </w:pPr>
            <w:r>
              <w:rPr>
                <w:spacing w:val="-5"/>
                <w:sz w:val="24"/>
                <w:szCs w:val="24"/>
              </w:rPr>
              <w:t>根据《环境影响评价技术导则输变电》（</w:t>
            </w:r>
            <w:r>
              <w:rPr>
                <w:rFonts w:ascii="Times New Roman" w:hAnsi="Times New Roman" w:eastAsia="Times New Roman" w:cs="Times New Roman"/>
                <w:spacing w:val="-5"/>
                <w:sz w:val="24"/>
                <w:szCs w:val="24"/>
              </w:rPr>
              <w:t>HJ24-2020</w:t>
            </w:r>
            <w:r>
              <w:rPr>
                <w:spacing w:val="-5"/>
                <w:sz w:val="24"/>
                <w:szCs w:val="24"/>
              </w:rPr>
              <w:t>）要求，线路监测点位均匀布点，</w:t>
            </w:r>
            <w:r>
              <w:rPr>
                <w:spacing w:val="14"/>
                <w:sz w:val="24"/>
                <w:szCs w:val="24"/>
              </w:rPr>
              <w:t xml:space="preserve"> </w:t>
            </w:r>
            <w:r>
              <w:rPr>
                <w:spacing w:val="-1"/>
                <w:sz w:val="24"/>
                <w:szCs w:val="24"/>
              </w:rPr>
              <w:t>敏感目标定点监测。</w:t>
            </w:r>
          </w:p>
          <w:p w14:paraId="0E500E30">
            <w:pPr>
              <w:pStyle w:val="8"/>
              <w:numPr>
                <w:ilvl w:val="0"/>
                <w:numId w:val="0"/>
              </w:numPr>
              <w:spacing w:line="360" w:lineRule="auto"/>
              <w:ind w:firstLine="476" w:firstLineChars="200"/>
              <w:jc w:val="left"/>
              <w:rPr>
                <w:sz w:val="24"/>
                <w:szCs w:val="24"/>
              </w:rPr>
            </w:pPr>
            <w:r>
              <w:rPr>
                <w:spacing w:val="-1"/>
                <w:sz w:val="24"/>
                <w:szCs w:val="24"/>
              </w:rPr>
              <w:t>工频电场强度、工频磁感应强度监测点：</w:t>
            </w:r>
            <w:r>
              <w:rPr>
                <w:rFonts w:hint="eastAsia" w:ascii="宋体" w:hAnsi="宋体" w:eastAsia="宋体" w:cs="宋体"/>
                <w:color w:val="auto"/>
                <w:kern w:val="2"/>
                <w:sz w:val="24"/>
                <w:szCs w:val="24"/>
                <w:highlight w:val="none"/>
                <w:u w:val="none"/>
                <w:lang w:val="en-US" w:eastAsia="zh-CN" w:bidi="ar-SA"/>
              </w:rPr>
              <w:t xml:space="preserve">在二号村居民区、下五号村居民区、十二号西沟村居民区、跨越 110kV木牌线处各设置1个监测点位，测量距地面1.5m高处的工频电场强度和工频磁感应强度，共设置4个监测点位。 </w:t>
            </w:r>
          </w:p>
          <w:p w14:paraId="249E7C3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监测频次和时间</w:t>
            </w:r>
          </w:p>
          <w:p w14:paraId="1F0791F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监测时间：202</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年</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月</w:t>
            </w:r>
            <w:r>
              <w:rPr>
                <w:rFonts w:hint="eastAsia" w:cs="Times New Roman"/>
                <w:color w:val="auto"/>
                <w:sz w:val="24"/>
                <w:szCs w:val="24"/>
                <w:highlight w:val="none"/>
                <w:lang w:val="en-US" w:eastAsia="zh-CN"/>
              </w:rPr>
              <w:t>24</w:t>
            </w:r>
            <w:r>
              <w:rPr>
                <w:rFonts w:hint="default" w:ascii="Times New Roman" w:hAnsi="Times New Roman" w:cs="Times New Roman"/>
                <w:color w:val="auto"/>
                <w:sz w:val="24"/>
                <w:szCs w:val="24"/>
                <w:highlight w:val="none"/>
                <w:lang w:val="en-US" w:eastAsia="zh-CN"/>
              </w:rPr>
              <w:t>日。</w:t>
            </w:r>
          </w:p>
          <w:p w14:paraId="0E30F62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监测频次：监测一次。</w:t>
            </w:r>
          </w:p>
          <w:p w14:paraId="027B74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监测环境条件</w:t>
            </w:r>
          </w:p>
          <w:p w14:paraId="2110A4D4">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辐射环境现状监测环境条件：</w:t>
            </w:r>
          </w:p>
          <w:p w14:paraId="57226A0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表3-</w:t>
            </w:r>
            <w:r>
              <w:rPr>
                <w:rFonts w:hint="eastAsia"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lang w:val="en-US" w:eastAsia="zh-CN"/>
              </w:rPr>
              <w:t>电磁环境现状监测环境条件表</w:t>
            </w:r>
          </w:p>
          <w:tbl>
            <w:tblPr>
              <w:tblStyle w:val="19"/>
              <w:tblW w:w="4996" w:type="pct"/>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721"/>
              <w:gridCol w:w="1414"/>
              <w:gridCol w:w="1571"/>
              <w:gridCol w:w="1567"/>
              <w:gridCol w:w="1567"/>
            </w:tblGrid>
            <w:tr w14:paraId="0CA85D7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28" w:hRule="atLeast"/>
              </w:trPr>
              <w:tc>
                <w:tcPr>
                  <w:tcW w:w="1097" w:type="pct"/>
                  <w:tcBorders>
                    <w:tl2br w:val="nil"/>
                    <w:tr2bl w:val="nil"/>
                  </w:tcBorders>
                  <w:noWrap w:val="0"/>
                  <w:vAlign w:val="center"/>
                </w:tcPr>
                <w:p w14:paraId="5411FD48">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检测日期</w:t>
                  </w:r>
                </w:p>
              </w:tc>
              <w:tc>
                <w:tcPr>
                  <w:tcW w:w="901" w:type="pct"/>
                  <w:tcBorders>
                    <w:tl2br w:val="nil"/>
                    <w:tr2bl w:val="nil"/>
                  </w:tcBorders>
                  <w:noWrap w:val="0"/>
                  <w:vAlign w:val="center"/>
                </w:tcPr>
                <w:p w14:paraId="00A0614A">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环境温度</w:t>
                  </w:r>
                  <w:r>
                    <w:rPr>
                      <w:rFonts w:hint="eastAsia" w:ascii="Times New Roman" w:hAnsi="Times New Roman" w:cs="Times New Roman"/>
                      <w:color w:val="auto"/>
                      <w:sz w:val="21"/>
                      <w:szCs w:val="21"/>
                      <w:highlight w:val="none"/>
                      <w:lang w:val="en-US" w:eastAsia="zh-CN"/>
                    </w:rPr>
                    <w:t>℃</w:t>
                  </w:r>
                </w:p>
              </w:tc>
              <w:tc>
                <w:tcPr>
                  <w:tcW w:w="1001" w:type="pct"/>
                  <w:tcBorders>
                    <w:tl2br w:val="nil"/>
                    <w:tr2bl w:val="nil"/>
                  </w:tcBorders>
                  <w:noWrap w:val="0"/>
                  <w:vAlign w:val="center"/>
                </w:tcPr>
                <w:p w14:paraId="4B08844D">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环境湿度</w:t>
                  </w:r>
                  <w:r>
                    <w:rPr>
                      <w:rFonts w:hint="eastAsia" w:ascii="Times New Roman" w:hAnsi="Times New Roman" w:cs="Times New Roman"/>
                      <w:color w:val="auto"/>
                      <w:kern w:val="0"/>
                      <w:sz w:val="21"/>
                      <w:szCs w:val="21"/>
                      <w:highlight w:val="none"/>
                      <w:lang w:val="en-US" w:eastAsia="zh-CN" w:bidi="ar-SA"/>
                    </w:rPr>
                    <w:t>%</w:t>
                  </w:r>
                </w:p>
              </w:tc>
              <w:tc>
                <w:tcPr>
                  <w:tcW w:w="999" w:type="pct"/>
                  <w:tcBorders>
                    <w:tl2br w:val="nil"/>
                    <w:tr2bl w:val="nil"/>
                  </w:tcBorders>
                  <w:noWrap w:val="0"/>
                  <w:vAlign w:val="center"/>
                </w:tcPr>
                <w:p w14:paraId="13001110">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天气状况</w:t>
                  </w:r>
                </w:p>
              </w:tc>
              <w:tc>
                <w:tcPr>
                  <w:tcW w:w="999" w:type="pct"/>
                  <w:tcBorders>
                    <w:tl2br w:val="nil"/>
                    <w:tr2bl w:val="nil"/>
                  </w:tcBorders>
                  <w:noWrap w:val="0"/>
                  <w:vAlign w:val="center"/>
                </w:tcPr>
                <w:p w14:paraId="2DE24A3A">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风速m/s</w:t>
                  </w:r>
                </w:p>
              </w:tc>
            </w:tr>
            <w:tr w14:paraId="6376CE9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28" w:hRule="atLeast"/>
              </w:trPr>
              <w:tc>
                <w:tcPr>
                  <w:tcW w:w="1097" w:type="pct"/>
                  <w:tcBorders>
                    <w:tl2br w:val="nil"/>
                    <w:tr2bl w:val="nil"/>
                  </w:tcBorders>
                  <w:noWrap w:val="0"/>
                  <w:vAlign w:val="center"/>
                </w:tcPr>
                <w:p w14:paraId="279B6725">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月</w:t>
                  </w:r>
                  <w:r>
                    <w:rPr>
                      <w:rFonts w:hint="eastAsia"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lang w:val="en-US" w:eastAsia="zh-CN"/>
                    </w:rPr>
                    <w:t>日</w:t>
                  </w:r>
                </w:p>
              </w:tc>
              <w:tc>
                <w:tcPr>
                  <w:tcW w:w="901" w:type="pct"/>
                  <w:tcBorders>
                    <w:tl2br w:val="nil"/>
                    <w:tr2bl w:val="nil"/>
                  </w:tcBorders>
                  <w:noWrap w:val="0"/>
                  <w:vAlign w:val="center"/>
                </w:tcPr>
                <w:p w14:paraId="06A77002">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outlineLvl w:val="9"/>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21~22</w:t>
                  </w:r>
                </w:p>
              </w:tc>
              <w:tc>
                <w:tcPr>
                  <w:tcW w:w="1001" w:type="pct"/>
                  <w:tcBorders>
                    <w:tl2br w:val="nil"/>
                    <w:tr2bl w:val="nil"/>
                  </w:tcBorders>
                  <w:noWrap w:val="0"/>
                  <w:vAlign w:val="center"/>
                </w:tcPr>
                <w:p w14:paraId="6A774311">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outlineLvl w:val="9"/>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49</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50</w:t>
                  </w:r>
                </w:p>
              </w:tc>
              <w:tc>
                <w:tcPr>
                  <w:tcW w:w="999" w:type="pct"/>
                  <w:tcBorders>
                    <w:tl2br w:val="nil"/>
                    <w:tr2bl w:val="nil"/>
                  </w:tcBorders>
                  <w:noWrap w:val="0"/>
                  <w:vAlign w:val="center"/>
                </w:tcPr>
                <w:p w14:paraId="255D3A9B">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无雨无雪</w:t>
                  </w:r>
                </w:p>
              </w:tc>
              <w:tc>
                <w:tcPr>
                  <w:tcW w:w="999" w:type="pct"/>
                  <w:tcBorders>
                    <w:tl2br w:val="nil"/>
                    <w:tr2bl w:val="nil"/>
                  </w:tcBorders>
                  <w:noWrap w:val="0"/>
                  <w:vAlign w:val="center"/>
                </w:tcPr>
                <w:p w14:paraId="75014B45">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~1.5</w:t>
                  </w:r>
                </w:p>
              </w:tc>
            </w:tr>
            <w:tr w14:paraId="2118E87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28" w:hRule="atLeast"/>
              </w:trPr>
              <w:tc>
                <w:tcPr>
                  <w:tcW w:w="1097" w:type="pct"/>
                  <w:tcBorders>
                    <w:tl2br w:val="nil"/>
                    <w:tr2bl w:val="nil"/>
                  </w:tcBorders>
                  <w:noWrap w:val="0"/>
                  <w:vAlign w:val="center"/>
                </w:tcPr>
                <w:p w14:paraId="047A393F">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月</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lang w:val="en-US" w:eastAsia="zh-CN"/>
                    </w:rPr>
                    <w:t>日</w:t>
                  </w:r>
                </w:p>
              </w:tc>
              <w:tc>
                <w:tcPr>
                  <w:tcW w:w="901" w:type="pct"/>
                  <w:tcBorders>
                    <w:tl2br w:val="nil"/>
                    <w:tr2bl w:val="nil"/>
                  </w:tcBorders>
                  <w:noWrap w:val="0"/>
                  <w:vAlign w:val="center"/>
                </w:tcPr>
                <w:p w14:paraId="254E3B73">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outlineLvl w:val="9"/>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16~18</w:t>
                  </w:r>
                </w:p>
              </w:tc>
              <w:tc>
                <w:tcPr>
                  <w:tcW w:w="1001" w:type="pct"/>
                  <w:tcBorders>
                    <w:tl2br w:val="nil"/>
                    <w:tr2bl w:val="nil"/>
                  </w:tcBorders>
                  <w:noWrap w:val="0"/>
                  <w:vAlign w:val="center"/>
                </w:tcPr>
                <w:p w14:paraId="305F22EA">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outlineLvl w:val="9"/>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52~54</w:t>
                  </w:r>
                </w:p>
              </w:tc>
              <w:tc>
                <w:tcPr>
                  <w:tcW w:w="999" w:type="pct"/>
                  <w:tcBorders>
                    <w:tl2br w:val="nil"/>
                    <w:tr2bl w:val="nil"/>
                  </w:tcBorders>
                  <w:noWrap w:val="0"/>
                  <w:vAlign w:val="center"/>
                </w:tcPr>
                <w:p w14:paraId="3AEC3A34">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outlineLvl w:val="9"/>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无雨无雪</w:t>
                  </w:r>
                </w:p>
              </w:tc>
              <w:tc>
                <w:tcPr>
                  <w:tcW w:w="999" w:type="pct"/>
                  <w:tcBorders>
                    <w:tl2br w:val="nil"/>
                    <w:tr2bl w:val="nil"/>
                  </w:tcBorders>
                  <w:noWrap w:val="0"/>
                  <w:vAlign w:val="center"/>
                </w:tcPr>
                <w:p w14:paraId="35C67BF7">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7</w:t>
                  </w: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8</w:t>
                  </w:r>
                </w:p>
              </w:tc>
            </w:tr>
          </w:tbl>
          <w:p w14:paraId="6A09E4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(7)监测结果</w:t>
            </w:r>
          </w:p>
          <w:p w14:paraId="253E5D9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辐射环境现状监测结果间下表：</w:t>
            </w:r>
          </w:p>
          <w:p w14:paraId="0D6B23B4">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表3-</w:t>
            </w:r>
            <w:r>
              <w:rPr>
                <w:rFonts w:hint="eastAsia"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lang w:val="en-US" w:eastAsia="zh-CN"/>
              </w:rPr>
              <w:t>电磁环境现状监测结果</w:t>
            </w:r>
          </w:p>
          <w:tbl>
            <w:tblPr>
              <w:tblStyle w:val="19"/>
              <w:tblW w:w="5005"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558"/>
              <w:gridCol w:w="3468"/>
              <w:gridCol w:w="1341"/>
              <w:gridCol w:w="2486"/>
            </w:tblGrid>
            <w:tr w14:paraId="69EF2D2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355" w:type="pct"/>
                  <w:tcBorders>
                    <w:tl2br w:val="nil"/>
                    <w:tr2bl w:val="nil"/>
                  </w:tcBorders>
                  <w:noWrap w:val="0"/>
                  <w:vAlign w:val="center"/>
                </w:tcPr>
                <w:p w14:paraId="1F347CAA">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序号</w:t>
                  </w:r>
                </w:p>
              </w:tc>
              <w:tc>
                <w:tcPr>
                  <w:tcW w:w="2208" w:type="pct"/>
                  <w:tcBorders>
                    <w:tl2br w:val="nil"/>
                    <w:tr2bl w:val="nil"/>
                  </w:tcBorders>
                  <w:noWrap w:val="0"/>
                  <w:vAlign w:val="center"/>
                </w:tcPr>
                <w:p w14:paraId="49748C6D">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监测位置</w:t>
                  </w:r>
                </w:p>
              </w:tc>
              <w:tc>
                <w:tcPr>
                  <w:tcW w:w="853" w:type="pct"/>
                  <w:tcBorders>
                    <w:tl2br w:val="nil"/>
                    <w:tr2bl w:val="nil"/>
                  </w:tcBorders>
                  <w:noWrap w:val="0"/>
                  <w:vAlign w:val="center"/>
                </w:tcPr>
                <w:p w14:paraId="796826A0">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工频电场强度(V/m)</w:t>
                  </w:r>
                </w:p>
              </w:tc>
              <w:tc>
                <w:tcPr>
                  <w:tcW w:w="1582" w:type="pct"/>
                  <w:tcBorders>
                    <w:tl2br w:val="nil"/>
                    <w:tr2bl w:val="nil"/>
                  </w:tcBorders>
                  <w:noWrap w:val="0"/>
                  <w:vAlign w:val="center"/>
                </w:tcPr>
                <w:p w14:paraId="1F9F9D82">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工频磁感应强度(μT)</w:t>
                  </w:r>
                </w:p>
              </w:tc>
            </w:tr>
            <w:tr w14:paraId="6BC15A4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09" w:hRule="atLeast"/>
              </w:trPr>
              <w:tc>
                <w:tcPr>
                  <w:tcW w:w="355" w:type="pct"/>
                  <w:tcBorders>
                    <w:tl2br w:val="nil"/>
                    <w:tr2bl w:val="nil"/>
                  </w:tcBorders>
                  <w:noWrap w:val="0"/>
                  <w:vAlign w:val="center"/>
                </w:tcPr>
                <w:p w14:paraId="47C992C9">
                  <w:pPr>
                    <w:spacing w:line="40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p>
              </w:tc>
              <w:tc>
                <w:tcPr>
                  <w:tcW w:w="2208" w:type="pct"/>
                  <w:tcBorders>
                    <w:tl2br w:val="nil"/>
                    <w:tr2bl w:val="nil"/>
                  </w:tcBorders>
                  <w:noWrap w:val="0"/>
                  <w:vAlign w:val="center"/>
                </w:tcPr>
                <w:p w14:paraId="534C2D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highlight w:val="none"/>
                      <w:lang w:val="en-US" w:eastAsia="zh-CN"/>
                    </w:rPr>
                    <w:t>1#二号村居民区</w:t>
                  </w:r>
                </w:p>
              </w:tc>
              <w:tc>
                <w:tcPr>
                  <w:tcW w:w="853" w:type="pct"/>
                  <w:tcBorders>
                    <w:tl2br w:val="nil"/>
                    <w:tr2bl w:val="nil"/>
                  </w:tcBorders>
                  <w:noWrap w:val="0"/>
                  <w:vAlign w:val="center"/>
                </w:tcPr>
                <w:p w14:paraId="4EA85E9D">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2.21</w:t>
                  </w:r>
                </w:p>
              </w:tc>
              <w:tc>
                <w:tcPr>
                  <w:tcW w:w="1582" w:type="pct"/>
                  <w:tcBorders>
                    <w:tl2br w:val="nil"/>
                    <w:tr2bl w:val="nil"/>
                  </w:tcBorders>
                  <w:noWrap w:val="0"/>
                  <w:vAlign w:val="center"/>
                </w:tcPr>
                <w:p w14:paraId="32DE8E13">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0.021</w:t>
                  </w:r>
                </w:p>
              </w:tc>
            </w:tr>
            <w:tr w14:paraId="63E1BFD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60" w:hRule="atLeast"/>
              </w:trPr>
              <w:tc>
                <w:tcPr>
                  <w:tcW w:w="355" w:type="pct"/>
                  <w:tcBorders>
                    <w:tl2br w:val="nil"/>
                    <w:tr2bl w:val="nil"/>
                  </w:tcBorders>
                  <w:noWrap w:val="0"/>
                  <w:vAlign w:val="center"/>
                </w:tcPr>
                <w:p w14:paraId="01B3F163">
                  <w:pPr>
                    <w:spacing w:line="40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w:t>
                  </w:r>
                </w:p>
              </w:tc>
              <w:tc>
                <w:tcPr>
                  <w:tcW w:w="2208" w:type="pct"/>
                  <w:tcBorders>
                    <w:tl2br w:val="nil"/>
                    <w:tr2bl w:val="nil"/>
                  </w:tcBorders>
                  <w:noWrap w:val="0"/>
                  <w:vAlign w:val="center"/>
                </w:tcPr>
                <w:p w14:paraId="56018F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highlight w:val="none"/>
                      <w:lang w:val="en-US" w:eastAsia="zh-CN"/>
                    </w:rPr>
                    <w:t>2#下五号村居民区</w:t>
                  </w:r>
                </w:p>
              </w:tc>
              <w:tc>
                <w:tcPr>
                  <w:tcW w:w="853" w:type="pct"/>
                  <w:tcBorders>
                    <w:tl2br w:val="nil"/>
                    <w:tr2bl w:val="nil"/>
                  </w:tcBorders>
                  <w:noWrap w:val="0"/>
                  <w:vAlign w:val="center"/>
                </w:tcPr>
                <w:p w14:paraId="3CACCBC9">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2.51</w:t>
                  </w:r>
                </w:p>
              </w:tc>
              <w:tc>
                <w:tcPr>
                  <w:tcW w:w="1582" w:type="pct"/>
                  <w:tcBorders>
                    <w:tl2br w:val="nil"/>
                    <w:tr2bl w:val="nil"/>
                  </w:tcBorders>
                  <w:noWrap w:val="0"/>
                  <w:vAlign w:val="center"/>
                </w:tcPr>
                <w:p w14:paraId="60B8A640">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0.024</w:t>
                  </w:r>
                </w:p>
              </w:tc>
            </w:tr>
            <w:tr w14:paraId="0920A38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355" w:type="pct"/>
                  <w:tcBorders>
                    <w:tl2br w:val="nil"/>
                    <w:tr2bl w:val="nil"/>
                  </w:tcBorders>
                  <w:noWrap w:val="0"/>
                  <w:vAlign w:val="center"/>
                </w:tcPr>
                <w:p w14:paraId="38EB8210">
                  <w:pPr>
                    <w:spacing w:line="40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p>
              </w:tc>
              <w:tc>
                <w:tcPr>
                  <w:tcW w:w="2208" w:type="pct"/>
                  <w:tcBorders>
                    <w:tl2br w:val="nil"/>
                    <w:tr2bl w:val="nil"/>
                  </w:tcBorders>
                  <w:noWrap w:val="0"/>
                  <w:vAlign w:val="center"/>
                </w:tcPr>
                <w:p w14:paraId="4894DC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highlight w:val="none"/>
                      <w:lang w:val="en-US" w:eastAsia="zh-CN"/>
                    </w:rPr>
                    <w:t>3#十二号西沟村居民区</w:t>
                  </w:r>
                </w:p>
              </w:tc>
              <w:tc>
                <w:tcPr>
                  <w:tcW w:w="853" w:type="pct"/>
                  <w:tcBorders>
                    <w:tl2br w:val="nil"/>
                    <w:tr2bl w:val="nil"/>
                  </w:tcBorders>
                  <w:noWrap w:val="0"/>
                  <w:vAlign w:val="center"/>
                </w:tcPr>
                <w:p w14:paraId="1FADEB5B">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1.97</w:t>
                  </w:r>
                </w:p>
              </w:tc>
              <w:tc>
                <w:tcPr>
                  <w:tcW w:w="1582" w:type="pct"/>
                  <w:tcBorders>
                    <w:tl2br w:val="nil"/>
                    <w:tr2bl w:val="nil"/>
                  </w:tcBorders>
                  <w:noWrap w:val="0"/>
                  <w:vAlign w:val="center"/>
                </w:tcPr>
                <w:p w14:paraId="40E378F5">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0.018</w:t>
                  </w:r>
                </w:p>
              </w:tc>
            </w:tr>
            <w:tr w14:paraId="1907C17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355" w:type="pct"/>
                  <w:tcBorders>
                    <w:tl2br w:val="nil"/>
                    <w:tr2bl w:val="nil"/>
                  </w:tcBorders>
                  <w:noWrap w:val="0"/>
                  <w:vAlign w:val="center"/>
                </w:tcPr>
                <w:p w14:paraId="08E1A6F5">
                  <w:pPr>
                    <w:spacing w:line="40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w:t>
                  </w:r>
                </w:p>
              </w:tc>
              <w:tc>
                <w:tcPr>
                  <w:tcW w:w="2208" w:type="pct"/>
                  <w:tcBorders>
                    <w:tl2br w:val="nil"/>
                    <w:tr2bl w:val="nil"/>
                  </w:tcBorders>
                  <w:noWrap w:val="0"/>
                  <w:vAlign w:val="center"/>
                </w:tcPr>
                <w:p w14:paraId="1D5AD2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4#跨越110kV木牌线处</w:t>
                  </w:r>
                </w:p>
                <w:p w14:paraId="12CB1E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highlight w:val="none"/>
                      <w:lang w:val="en-US" w:eastAsia="zh-CN"/>
                    </w:rPr>
                    <w:t>（监测点位旁有树木影响）</w:t>
                  </w:r>
                </w:p>
              </w:tc>
              <w:tc>
                <w:tcPr>
                  <w:tcW w:w="853" w:type="pct"/>
                  <w:tcBorders>
                    <w:tl2br w:val="nil"/>
                    <w:tr2bl w:val="nil"/>
                  </w:tcBorders>
                  <w:noWrap w:val="0"/>
                  <w:vAlign w:val="center"/>
                </w:tcPr>
                <w:p w14:paraId="415ACCD4">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62.6</w:t>
                  </w:r>
                </w:p>
              </w:tc>
              <w:tc>
                <w:tcPr>
                  <w:tcW w:w="1582" w:type="pct"/>
                  <w:tcBorders>
                    <w:tl2br w:val="nil"/>
                    <w:tr2bl w:val="nil"/>
                  </w:tcBorders>
                  <w:noWrap w:val="0"/>
                  <w:vAlign w:val="center"/>
                </w:tcPr>
                <w:p w14:paraId="7B1AB1C4">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0.194</w:t>
                  </w:r>
                </w:p>
              </w:tc>
            </w:tr>
            <w:tr w14:paraId="39338CB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2563" w:type="pct"/>
                  <w:gridSpan w:val="2"/>
                  <w:tcBorders>
                    <w:tl2br w:val="nil"/>
                    <w:tr2bl w:val="nil"/>
                  </w:tcBorders>
                  <w:noWrap w:val="0"/>
                  <w:vAlign w:val="center"/>
                </w:tcPr>
                <w:p w14:paraId="19E454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达标判断</w:t>
                  </w:r>
                </w:p>
              </w:tc>
              <w:tc>
                <w:tcPr>
                  <w:tcW w:w="853" w:type="pct"/>
                  <w:tcBorders>
                    <w:tl2br w:val="nil"/>
                    <w:tr2bl w:val="nil"/>
                  </w:tcBorders>
                  <w:noWrap w:val="0"/>
                  <w:vAlign w:val="center"/>
                </w:tcPr>
                <w:p w14:paraId="3A199E42">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1582" w:type="pct"/>
                  <w:tcBorders>
                    <w:tl2br w:val="nil"/>
                    <w:tr2bl w:val="nil"/>
                  </w:tcBorders>
                  <w:noWrap w:val="0"/>
                  <w:vAlign w:val="center"/>
                </w:tcPr>
                <w:p w14:paraId="1E33E9FD">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3D2BD73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2563" w:type="pct"/>
                  <w:gridSpan w:val="2"/>
                  <w:tcBorders>
                    <w:tl2br w:val="nil"/>
                    <w:tr2bl w:val="nil"/>
                  </w:tcBorders>
                  <w:noWrap w:val="0"/>
                  <w:vAlign w:val="center"/>
                </w:tcPr>
                <w:p w14:paraId="063B5CBC">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GB8702-2014《电磁环境控制限值》</w:t>
                  </w:r>
                </w:p>
              </w:tc>
              <w:tc>
                <w:tcPr>
                  <w:tcW w:w="853" w:type="pct"/>
                  <w:tcBorders>
                    <w:tl2br w:val="nil"/>
                    <w:tr2bl w:val="nil"/>
                  </w:tcBorders>
                  <w:noWrap w:val="0"/>
                  <w:vAlign w:val="center"/>
                </w:tcPr>
                <w:p w14:paraId="7206B17A">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4000</w:t>
                  </w:r>
                </w:p>
              </w:tc>
              <w:tc>
                <w:tcPr>
                  <w:tcW w:w="1582" w:type="pct"/>
                  <w:tcBorders>
                    <w:tl2br w:val="nil"/>
                    <w:tr2bl w:val="nil"/>
                  </w:tcBorders>
                  <w:noWrap w:val="0"/>
                  <w:vAlign w:val="center"/>
                </w:tcPr>
                <w:p w14:paraId="47AC3465">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r>
          </w:tbl>
          <w:p w14:paraId="01F9663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yellow"/>
                <w:lang w:val="en-US" w:eastAsia="zh-CN"/>
              </w:rPr>
            </w:pPr>
            <w:r>
              <w:rPr>
                <w:rFonts w:hint="default" w:ascii="Times New Roman" w:hAnsi="Times New Roman" w:cs="Times New Roman"/>
                <w:color w:val="auto"/>
                <w:sz w:val="24"/>
                <w:szCs w:val="24"/>
                <w:highlight w:val="none"/>
                <w:lang w:val="en-US" w:eastAsia="zh-CN"/>
              </w:rPr>
              <w:t>监测结果显示：</w:t>
            </w:r>
            <w:r>
              <w:rPr>
                <w:rFonts w:hint="eastAsia" w:ascii="Times New Roman" w:hAnsi="Times New Roman" w:cs="Times New Roman"/>
                <w:color w:val="auto"/>
                <w:sz w:val="24"/>
                <w:szCs w:val="24"/>
                <w:highlight w:val="none"/>
                <w:lang w:val="en-US" w:eastAsia="zh-CN"/>
              </w:rPr>
              <w:t>项目区域</w:t>
            </w:r>
            <w:r>
              <w:rPr>
                <w:rFonts w:hint="default" w:ascii="Times New Roman" w:hAnsi="Times New Roman" w:cs="Times New Roman"/>
                <w:color w:val="auto"/>
                <w:sz w:val="24"/>
                <w:szCs w:val="24"/>
                <w:highlight w:val="none"/>
                <w:lang w:val="en-US" w:eastAsia="zh-CN"/>
              </w:rPr>
              <w:t>距离地面1.5m处的工频电场强度为(0.</w:t>
            </w:r>
            <w:r>
              <w:rPr>
                <w:rFonts w:hint="eastAsia" w:cs="Times New Roman"/>
                <w:color w:val="auto"/>
                <w:sz w:val="24"/>
                <w:szCs w:val="24"/>
                <w:highlight w:val="none"/>
                <w:lang w:val="en-US" w:eastAsia="zh-CN"/>
              </w:rPr>
              <w:t>2.21</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62.6</w:t>
            </w:r>
            <w:r>
              <w:rPr>
                <w:rFonts w:hint="default" w:ascii="Times New Roman" w:hAnsi="Times New Roman" w:cs="Times New Roman"/>
                <w:color w:val="auto"/>
                <w:sz w:val="24"/>
                <w:szCs w:val="24"/>
                <w:highlight w:val="none"/>
                <w:lang w:val="en-US" w:eastAsia="zh-CN"/>
              </w:rPr>
              <w:t>)V/m，工频磁感应强度均为(</w:t>
            </w:r>
            <w:r>
              <w:rPr>
                <w:rFonts w:hint="eastAsia" w:cs="Times New Roman"/>
                <w:color w:val="auto"/>
                <w:sz w:val="24"/>
                <w:szCs w:val="24"/>
                <w:highlight w:val="none"/>
                <w:lang w:val="en-US" w:eastAsia="zh-CN"/>
              </w:rPr>
              <w:t>0.018</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194</w:t>
            </w:r>
            <w:r>
              <w:rPr>
                <w:rFonts w:hint="default" w:ascii="Times New Roman" w:hAnsi="Times New Roman" w:cs="Times New Roman"/>
                <w:color w:val="auto"/>
                <w:sz w:val="24"/>
                <w:szCs w:val="24"/>
                <w:highlight w:val="none"/>
                <w:lang w:val="en-US" w:eastAsia="zh-CN"/>
              </w:rPr>
              <w:t>)μT</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均满足《电磁环境控制限值》GB8702-2014公众曝露控制限值要求，区域电磁环境质量现状较好。</w:t>
            </w:r>
          </w:p>
          <w:p w14:paraId="6EB307D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（8）数据分析</w:t>
            </w:r>
          </w:p>
          <w:p w14:paraId="01B72C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监测报告（</w:t>
            </w:r>
            <w:r>
              <w:rPr>
                <w:rFonts w:hint="eastAsia" w:cs="Times New Roman"/>
                <w:color w:val="auto"/>
                <w:sz w:val="24"/>
                <w:szCs w:val="24"/>
                <w:highlight w:val="none"/>
                <w:lang w:val="en-US" w:eastAsia="zh-CN"/>
              </w:rPr>
              <w:t>DLHJ字（2024）第169号</w:t>
            </w:r>
            <w:r>
              <w:rPr>
                <w:rFonts w:hint="eastAsia" w:ascii="Times New Roman" w:hAnsi="Times New Roman" w:eastAsia="宋体" w:cs="Times New Roman"/>
                <w:color w:val="auto"/>
                <w:sz w:val="24"/>
                <w:szCs w:val="24"/>
                <w:highlight w:val="none"/>
                <w:lang w:val="en-US" w:eastAsia="zh-CN"/>
              </w:rPr>
              <w:t>）数据分析，监测点位位于已运行的线路下方，电磁辐射现状监测值较高，其中</w:t>
            </w:r>
            <w:r>
              <w:rPr>
                <w:rFonts w:hint="eastAsia" w:cs="Times New Roman"/>
                <w:color w:val="auto"/>
                <w:sz w:val="24"/>
                <w:szCs w:val="24"/>
                <w:highlight w:val="none"/>
                <w:lang w:val="en-US" w:eastAsia="zh-CN"/>
              </w:rPr>
              <w:t>：</w:t>
            </w:r>
            <w:r>
              <w:rPr>
                <w:rFonts w:hint="default" w:cs="Times New Roman"/>
                <w:color w:val="auto"/>
                <w:sz w:val="24"/>
                <w:szCs w:val="24"/>
                <w:highlight w:val="none"/>
                <w:lang w:val="en-US" w:eastAsia="zh-CN"/>
              </w:rPr>
              <w:t>110kV木牌线处</w:t>
            </w:r>
            <w:r>
              <w:rPr>
                <w:rFonts w:hint="eastAsia" w:cs="Times New Roman"/>
                <w:color w:val="auto"/>
                <w:sz w:val="24"/>
                <w:szCs w:val="24"/>
                <w:highlight w:val="none"/>
                <w:lang w:val="en-US" w:eastAsia="zh-CN"/>
              </w:rPr>
              <w:t>正常</w:t>
            </w:r>
            <w:r>
              <w:rPr>
                <w:rFonts w:hint="eastAsia" w:ascii="Times New Roman" w:hAnsi="Times New Roman" w:eastAsia="宋体" w:cs="Times New Roman"/>
                <w:color w:val="auto"/>
                <w:sz w:val="24"/>
                <w:szCs w:val="24"/>
                <w:highlight w:val="none"/>
                <w:lang w:val="en-US" w:eastAsia="zh-CN"/>
              </w:rPr>
              <w:t>运行，故监测值相对较高</w:t>
            </w:r>
            <w:r>
              <w:rPr>
                <w:rFonts w:hint="eastAsia" w:cs="Times New Roman"/>
                <w:color w:val="auto"/>
                <w:sz w:val="24"/>
                <w:szCs w:val="24"/>
                <w:highlight w:val="none"/>
                <w:lang w:val="en-US" w:eastAsia="zh-CN"/>
              </w:rPr>
              <w:t>。居民区无电磁辐射源，故监测值较低。</w:t>
            </w:r>
          </w:p>
          <w:p w14:paraId="3C8130A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7</w:t>
            </w:r>
            <w:r>
              <w:rPr>
                <w:rFonts w:hint="default" w:ascii="Times New Roman" w:hAnsi="Times New Roman" w:eastAsia="宋体" w:cs="Times New Roman"/>
                <w:b/>
                <w:bCs/>
                <w:color w:val="auto"/>
                <w:kern w:val="0"/>
                <w:sz w:val="24"/>
                <w:szCs w:val="24"/>
                <w:highlight w:val="none"/>
                <w:lang w:val="en-US" w:eastAsia="zh-CN"/>
              </w:rPr>
              <w:t>、声环境质量现状</w:t>
            </w:r>
          </w:p>
          <w:p w14:paraId="25F9F55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本评价委托</w:t>
            </w:r>
            <w:r>
              <w:rPr>
                <w:rFonts w:hint="eastAsia" w:ascii="Times New Roman" w:hAnsi="Times New Roman" w:eastAsia="宋体" w:cs="Times New Roman"/>
                <w:spacing w:val="-4"/>
                <w:kern w:val="2"/>
                <w:sz w:val="24"/>
                <w:szCs w:val="24"/>
                <w:highlight w:val="none"/>
                <w:lang w:val="en-US" w:eastAsia="zh-CN" w:bidi="ar-SA"/>
              </w:rPr>
              <w:t>承德市东岭环境监测有限公司</w:t>
            </w:r>
            <w:r>
              <w:rPr>
                <w:rFonts w:hint="default" w:ascii="Times New Roman" w:hAnsi="Times New Roman" w:eastAsia="宋体" w:cs="Times New Roman"/>
                <w:color w:val="auto"/>
                <w:kern w:val="0"/>
                <w:sz w:val="24"/>
                <w:szCs w:val="24"/>
                <w:highlight w:val="none"/>
                <w:lang w:val="en-US" w:eastAsia="zh-CN"/>
              </w:rPr>
              <w:t>于202</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年</w:t>
            </w:r>
            <w:r>
              <w:rPr>
                <w:rFonts w:hint="eastAsia"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lang w:val="en-US" w:eastAsia="zh-CN"/>
              </w:rPr>
              <w:t>月</w:t>
            </w:r>
            <w:r>
              <w:rPr>
                <w:rFonts w:hint="eastAsia" w:cs="Times New Roman"/>
                <w:color w:val="auto"/>
                <w:kern w:val="0"/>
                <w:sz w:val="24"/>
                <w:szCs w:val="24"/>
                <w:highlight w:val="none"/>
                <w:lang w:val="en-US" w:eastAsia="zh-CN"/>
              </w:rPr>
              <w:t>24</w:t>
            </w:r>
            <w:r>
              <w:rPr>
                <w:rFonts w:hint="default" w:ascii="Times New Roman" w:hAnsi="Times New Roman" w:eastAsia="宋体" w:cs="Times New Roman"/>
                <w:color w:val="auto"/>
                <w:kern w:val="0"/>
                <w:sz w:val="24"/>
                <w:szCs w:val="24"/>
                <w:highlight w:val="none"/>
                <w:lang w:val="en-US" w:eastAsia="zh-CN"/>
              </w:rPr>
              <w:t>日至202</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年</w:t>
            </w:r>
            <w:r>
              <w:rPr>
                <w:rFonts w:hint="eastAsia"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lang w:val="en-US" w:eastAsia="zh-CN"/>
              </w:rPr>
              <w:t>月</w:t>
            </w:r>
            <w:r>
              <w:rPr>
                <w:rFonts w:hint="eastAsia" w:cs="Times New Roman"/>
                <w:color w:val="auto"/>
                <w:kern w:val="0"/>
                <w:sz w:val="24"/>
                <w:szCs w:val="24"/>
                <w:highlight w:val="none"/>
                <w:lang w:val="en-US" w:eastAsia="zh-CN"/>
              </w:rPr>
              <w:t>25</w:t>
            </w:r>
            <w:r>
              <w:rPr>
                <w:rFonts w:hint="default" w:ascii="Times New Roman" w:hAnsi="Times New Roman" w:eastAsia="宋体" w:cs="Times New Roman"/>
                <w:color w:val="auto"/>
                <w:kern w:val="0"/>
                <w:sz w:val="24"/>
                <w:szCs w:val="24"/>
                <w:highlight w:val="none"/>
                <w:lang w:val="en-US" w:eastAsia="zh-CN"/>
              </w:rPr>
              <w:t>日对本项目送出线路的噪声进行现状监测。</w:t>
            </w:r>
          </w:p>
          <w:p w14:paraId="55970D5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lang w:val="en-US" w:eastAsia="zh-CN"/>
              </w:rPr>
              <w:t>监测因子及频次</w:t>
            </w:r>
          </w:p>
          <w:p w14:paraId="7A88111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等效连续A声级，Lep，昼间、夜间各监测一次。</w:t>
            </w:r>
          </w:p>
          <w:p w14:paraId="0E636B9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lang w:val="en-US" w:eastAsia="zh-CN"/>
              </w:rPr>
              <w:t>监测时间：202</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年</w:t>
            </w:r>
            <w:r>
              <w:rPr>
                <w:rFonts w:hint="eastAsia"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lang w:val="en-US" w:eastAsia="zh-CN"/>
              </w:rPr>
              <w:t>月</w:t>
            </w:r>
            <w:r>
              <w:rPr>
                <w:rFonts w:hint="eastAsia" w:cs="Times New Roman"/>
                <w:color w:val="auto"/>
                <w:kern w:val="0"/>
                <w:sz w:val="24"/>
                <w:szCs w:val="24"/>
                <w:highlight w:val="none"/>
                <w:lang w:val="en-US" w:eastAsia="zh-CN"/>
              </w:rPr>
              <w:t>24日</w:t>
            </w:r>
            <w:r>
              <w:rPr>
                <w:rFonts w:hint="default" w:ascii="Times New Roman" w:hAnsi="Times New Roman" w:eastAsia="宋体" w:cs="Times New Roman"/>
                <w:color w:val="auto"/>
                <w:kern w:val="0"/>
                <w:sz w:val="24"/>
                <w:szCs w:val="24"/>
                <w:highlight w:val="none"/>
                <w:lang w:val="en-US" w:eastAsia="zh-CN"/>
              </w:rPr>
              <w:t>昼间-</w:t>
            </w:r>
            <w:r>
              <w:rPr>
                <w:rFonts w:hint="eastAsia" w:cs="Times New Roman"/>
                <w:color w:val="auto"/>
                <w:kern w:val="0"/>
                <w:sz w:val="24"/>
                <w:szCs w:val="24"/>
                <w:highlight w:val="none"/>
                <w:lang w:val="en-US" w:eastAsia="zh-CN"/>
              </w:rPr>
              <w:t>25</w:t>
            </w:r>
            <w:r>
              <w:rPr>
                <w:rFonts w:hint="default" w:ascii="Times New Roman" w:hAnsi="Times New Roman" w:eastAsia="宋体" w:cs="Times New Roman"/>
                <w:color w:val="auto"/>
                <w:kern w:val="0"/>
                <w:sz w:val="24"/>
                <w:szCs w:val="24"/>
                <w:highlight w:val="none"/>
                <w:lang w:val="en-US" w:eastAsia="zh-CN"/>
              </w:rPr>
              <w:t>日凌晨。</w:t>
            </w:r>
          </w:p>
          <w:p w14:paraId="181CC30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val="en-US" w:eastAsia="zh-CN"/>
              </w:rPr>
              <w:t>监测仪器</w:t>
            </w:r>
          </w:p>
          <w:p w14:paraId="6A4535F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所用仪器均经国家计量部门检验合格，并处于校准证书有效期内，仪器的频率性能覆盖监测对象的频率范围。</w:t>
            </w:r>
          </w:p>
          <w:p w14:paraId="00108F0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监测仪器校准情况见表3-</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w:t>
            </w:r>
          </w:p>
          <w:p w14:paraId="207C76C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表3-</w:t>
            </w:r>
            <w:r>
              <w:rPr>
                <w:rFonts w:hint="eastAsia" w:cs="Times New Roman"/>
                <w:b/>
                <w:bCs/>
                <w:color w:val="auto"/>
                <w:sz w:val="24"/>
                <w:szCs w:val="24"/>
                <w:highlight w:val="none"/>
                <w:lang w:val="en-US" w:eastAsia="zh-CN"/>
              </w:rPr>
              <w:t>6</w:t>
            </w:r>
            <w:r>
              <w:rPr>
                <w:rFonts w:hint="default" w:ascii="Times New Roman" w:hAnsi="Times New Roman" w:cs="Times New Roman"/>
                <w:b/>
                <w:bCs/>
                <w:color w:val="auto"/>
                <w:sz w:val="24"/>
                <w:szCs w:val="24"/>
                <w:highlight w:val="none"/>
                <w:lang w:val="en-US" w:eastAsia="zh-CN"/>
              </w:rPr>
              <w:t>监测仪器校准情况表</w:t>
            </w:r>
          </w:p>
          <w:tbl>
            <w:tblPr>
              <w:tblStyle w:val="19"/>
              <w:tblW w:w="4991" w:type="pct"/>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610"/>
              <w:gridCol w:w="1166"/>
              <w:gridCol w:w="1096"/>
              <w:gridCol w:w="1642"/>
              <w:gridCol w:w="1872"/>
              <w:gridCol w:w="1446"/>
            </w:tblGrid>
            <w:tr w14:paraId="70D5D65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33" w:hRule="atLeast"/>
              </w:trPr>
              <w:tc>
                <w:tcPr>
                  <w:tcW w:w="389" w:type="pct"/>
                  <w:tcBorders>
                    <w:tl2br w:val="nil"/>
                    <w:tr2bl w:val="nil"/>
                  </w:tcBorders>
                  <w:noWrap w:val="0"/>
                  <w:vAlign w:val="center"/>
                </w:tcPr>
                <w:p w14:paraId="2139AC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序号</w:t>
                  </w:r>
                </w:p>
              </w:tc>
              <w:tc>
                <w:tcPr>
                  <w:tcW w:w="744" w:type="pct"/>
                  <w:tcBorders>
                    <w:tl2br w:val="nil"/>
                    <w:tr2bl w:val="nil"/>
                  </w:tcBorders>
                  <w:noWrap w:val="0"/>
                  <w:vAlign w:val="center"/>
                </w:tcPr>
                <w:p w14:paraId="4480B8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仪器名称</w:t>
                  </w:r>
                </w:p>
              </w:tc>
              <w:tc>
                <w:tcPr>
                  <w:tcW w:w="699" w:type="pct"/>
                  <w:tcBorders>
                    <w:tl2br w:val="nil"/>
                    <w:tr2bl w:val="nil"/>
                  </w:tcBorders>
                  <w:noWrap w:val="0"/>
                  <w:vAlign w:val="center"/>
                </w:tcPr>
                <w:p w14:paraId="6047F2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仪器型号</w:t>
                  </w:r>
                </w:p>
              </w:tc>
              <w:tc>
                <w:tcPr>
                  <w:tcW w:w="1048" w:type="pct"/>
                  <w:tcBorders>
                    <w:tl2br w:val="nil"/>
                    <w:tr2bl w:val="nil"/>
                  </w:tcBorders>
                  <w:noWrap w:val="0"/>
                  <w:vAlign w:val="center"/>
                </w:tcPr>
                <w:p w14:paraId="5347CF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测量范围或量程</w:t>
                  </w:r>
                </w:p>
              </w:tc>
              <w:tc>
                <w:tcPr>
                  <w:tcW w:w="1195" w:type="pct"/>
                  <w:tcBorders>
                    <w:tl2br w:val="nil"/>
                    <w:tr2bl w:val="nil"/>
                  </w:tcBorders>
                  <w:noWrap w:val="0"/>
                  <w:vAlign w:val="center"/>
                </w:tcPr>
                <w:p w14:paraId="3D9DDF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检定/校准</w:t>
                  </w:r>
                </w:p>
                <w:p w14:paraId="0A49FC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有效期</w:t>
                  </w:r>
                </w:p>
              </w:tc>
              <w:tc>
                <w:tcPr>
                  <w:tcW w:w="923" w:type="pct"/>
                  <w:tcBorders>
                    <w:tl2br w:val="nil"/>
                    <w:tr2bl w:val="nil"/>
                  </w:tcBorders>
                  <w:noWrap w:val="0"/>
                  <w:vAlign w:val="center"/>
                </w:tcPr>
                <w:p w14:paraId="750C56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检定/校准机构</w:t>
                  </w:r>
                </w:p>
              </w:tc>
            </w:tr>
            <w:tr w14:paraId="7F23A55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33" w:hRule="atLeast"/>
              </w:trPr>
              <w:tc>
                <w:tcPr>
                  <w:tcW w:w="389" w:type="pct"/>
                  <w:tcBorders>
                    <w:tl2br w:val="nil"/>
                    <w:tr2bl w:val="nil"/>
                  </w:tcBorders>
                  <w:noWrap w:val="0"/>
                  <w:vAlign w:val="center"/>
                </w:tcPr>
                <w:p w14:paraId="2E79E6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 w:val="0"/>
                      <w:bCs w:val="0"/>
                      <w:sz w:val="21"/>
                      <w:szCs w:val="21"/>
                      <w:highlight w:val="none"/>
                      <w:lang w:val="en-US" w:eastAsia="zh-CN"/>
                    </w:rPr>
                  </w:pPr>
                  <w:r>
                    <w:rPr>
                      <w:rFonts w:hint="eastAsia" w:ascii="宋体" w:hAnsi="宋体" w:cs="宋体"/>
                      <w:b w:val="0"/>
                      <w:bCs w:val="0"/>
                      <w:sz w:val="21"/>
                      <w:szCs w:val="21"/>
                      <w:highlight w:val="none"/>
                      <w:lang w:val="en-US" w:eastAsia="zh-CN"/>
                    </w:rPr>
                    <w:t>1</w:t>
                  </w:r>
                </w:p>
              </w:tc>
              <w:tc>
                <w:tcPr>
                  <w:tcW w:w="744" w:type="pct"/>
                  <w:tcBorders>
                    <w:tl2br w:val="nil"/>
                    <w:tr2bl w:val="nil"/>
                  </w:tcBorders>
                  <w:noWrap w:val="0"/>
                  <w:vAlign w:val="center"/>
                </w:tcPr>
                <w:p w14:paraId="76F216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多功能声级计DLYQ-</w:t>
                  </w:r>
                  <w:r>
                    <w:rPr>
                      <w:rFonts w:hint="eastAsia" w:ascii="宋体" w:hAnsi="宋体" w:eastAsia="宋体" w:cs="宋体"/>
                      <w:b w:val="0"/>
                      <w:bCs w:val="0"/>
                      <w:sz w:val="21"/>
                      <w:szCs w:val="21"/>
                      <w:highlight w:val="none"/>
                      <w:lang w:val="en-US" w:eastAsia="zh-CN"/>
                    </w:rPr>
                    <w:t>66</w:t>
                  </w:r>
                </w:p>
              </w:tc>
              <w:tc>
                <w:tcPr>
                  <w:tcW w:w="699" w:type="pct"/>
                  <w:tcBorders>
                    <w:tl2br w:val="nil"/>
                    <w:tr2bl w:val="nil"/>
                  </w:tcBorders>
                  <w:noWrap w:val="0"/>
                  <w:vAlign w:val="center"/>
                </w:tcPr>
                <w:p w14:paraId="31D300CC">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bidi="ar"/>
                    </w:rPr>
                    <w:t>AWA5688</w:t>
                  </w:r>
                </w:p>
              </w:tc>
              <w:tc>
                <w:tcPr>
                  <w:tcW w:w="1048" w:type="pct"/>
                  <w:tcBorders>
                    <w:tl2br w:val="nil"/>
                    <w:tr2bl w:val="nil"/>
                  </w:tcBorders>
                  <w:noWrap w:val="0"/>
                  <w:vAlign w:val="center"/>
                </w:tcPr>
                <w:p w14:paraId="7277FD37">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bidi="ar"/>
                    </w:rPr>
                    <w:t>测量范围:28dB(A)～133dB(A)频率范围:20Hz～12.5kHz</w:t>
                  </w:r>
                </w:p>
              </w:tc>
              <w:tc>
                <w:tcPr>
                  <w:tcW w:w="1195" w:type="pct"/>
                  <w:tcBorders>
                    <w:tl2br w:val="nil"/>
                    <w:tr2bl w:val="nil"/>
                  </w:tcBorders>
                  <w:noWrap w:val="0"/>
                  <w:vAlign w:val="center"/>
                </w:tcPr>
                <w:p w14:paraId="7BF7DBB7">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bidi="ar"/>
                    </w:rPr>
                    <w:t>2024年05月17日-2025年05月16日</w:t>
                  </w:r>
                </w:p>
              </w:tc>
              <w:tc>
                <w:tcPr>
                  <w:tcW w:w="923" w:type="pct"/>
                  <w:tcBorders>
                    <w:tl2br w:val="nil"/>
                    <w:tr2bl w:val="nil"/>
                  </w:tcBorders>
                  <w:noWrap w:val="0"/>
                  <w:vAlign w:val="center"/>
                </w:tcPr>
                <w:p w14:paraId="0EFED833">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bidi="ar"/>
                    </w:rPr>
                    <w:t>河北省计量监督检测研究院</w:t>
                  </w:r>
                </w:p>
              </w:tc>
            </w:tr>
            <w:tr w14:paraId="295E169D">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33" w:hRule="atLeast"/>
              </w:trPr>
              <w:tc>
                <w:tcPr>
                  <w:tcW w:w="389" w:type="pct"/>
                  <w:tcBorders>
                    <w:tl2br w:val="nil"/>
                    <w:tr2bl w:val="nil"/>
                  </w:tcBorders>
                  <w:noWrap w:val="0"/>
                  <w:vAlign w:val="center"/>
                </w:tcPr>
                <w:p w14:paraId="5DB49D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 w:val="0"/>
                      <w:bCs w:val="0"/>
                      <w:sz w:val="21"/>
                      <w:szCs w:val="21"/>
                      <w:highlight w:val="none"/>
                      <w:lang w:val="en-US" w:eastAsia="zh-CN"/>
                    </w:rPr>
                  </w:pPr>
                  <w:r>
                    <w:rPr>
                      <w:rFonts w:hint="eastAsia" w:ascii="宋体" w:hAnsi="宋体" w:cs="宋体"/>
                      <w:b w:val="0"/>
                      <w:bCs w:val="0"/>
                      <w:sz w:val="21"/>
                      <w:szCs w:val="21"/>
                      <w:highlight w:val="none"/>
                      <w:lang w:val="en-US" w:eastAsia="zh-CN"/>
                    </w:rPr>
                    <w:t>2</w:t>
                  </w:r>
                </w:p>
              </w:tc>
              <w:tc>
                <w:tcPr>
                  <w:tcW w:w="744" w:type="pct"/>
                  <w:tcBorders>
                    <w:tl2br w:val="nil"/>
                    <w:tr2bl w:val="nil"/>
                  </w:tcBorders>
                  <w:noWrap w:val="0"/>
                  <w:vAlign w:val="center"/>
                </w:tcPr>
                <w:p w14:paraId="65650F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声校准器DLYQ-</w:t>
                  </w:r>
                  <w:r>
                    <w:rPr>
                      <w:rFonts w:hint="eastAsia" w:ascii="宋体" w:hAnsi="宋体" w:eastAsia="宋体" w:cs="宋体"/>
                      <w:b w:val="0"/>
                      <w:bCs w:val="0"/>
                      <w:sz w:val="21"/>
                      <w:szCs w:val="21"/>
                      <w:highlight w:val="none"/>
                      <w:lang w:val="en-US" w:eastAsia="zh-CN"/>
                    </w:rPr>
                    <w:t>12</w:t>
                  </w:r>
                </w:p>
              </w:tc>
              <w:tc>
                <w:tcPr>
                  <w:tcW w:w="699" w:type="pct"/>
                  <w:tcBorders>
                    <w:tl2br w:val="nil"/>
                    <w:tr2bl w:val="nil"/>
                  </w:tcBorders>
                  <w:noWrap w:val="0"/>
                  <w:vAlign w:val="center"/>
                </w:tcPr>
                <w:p w14:paraId="40BC68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HS6020</w:t>
                  </w:r>
                </w:p>
              </w:tc>
              <w:tc>
                <w:tcPr>
                  <w:tcW w:w="1048" w:type="pct"/>
                  <w:tcBorders>
                    <w:tl2br w:val="nil"/>
                    <w:tr2bl w:val="nil"/>
                  </w:tcBorders>
                  <w:noWrap w:val="0"/>
                  <w:vAlign w:val="center"/>
                </w:tcPr>
                <w:p w14:paraId="4C06F2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声压级：94dB</w:t>
                  </w:r>
                </w:p>
              </w:tc>
              <w:tc>
                <w:tcPr>
                  <w:tcW w:w="1195" w:type="pct"/>
                  <w:tcBorders>
                    <w:tl2br w:val="nil"/>
                    <w:tr2bl w:val="nil"/>
                  </w:tcBorders>
                  <w:noWrap w:val="0"/>
                  <w:vAlign w:val="center"/>
                </w:tcPr>
                <w:p w14:paraId="78617F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202</w:t>
                  </w:r>
                  <w:r>
                    <w:rPr>
                      <w:rFonts w:hint="eastAsia" w:ascii="宋体" w:hAnsi="宋体" w:eastAsia="宋体" w:cs="宋体"/>
                      <w:b w:val="0"/>
                      <w:bCs w:val="0"/>
                      <w:sz w:val="21"/>
                      <w:szCs w:val="21"/>
                      <w:highlight w:val="none"/>
                      <w:lang w:val="en-US" w:eastAsia="zh-CN"/>
                    </w:rPr>
                    <w:t>4</w:t>
                  </w:r>
                  <w:r>
                    <w:rPr>
                      <w:rFonts w:hint="eastAsia" w:ascii="宋体" w:hAnsi="宋体" w:eastAsia="宋体" w:cs="宋体"/>
                      <w:b w:val="0"/>
                      <w:bCs w:val="0"/>
                      <w:sz w:val="21"/>
                      <w:szCs w:val="21"/>
                      <w:highlight w:val="none"/>
                      <w:lang w:eastAsia="zh-CN"/>
                    </w:rPr>
                    <w:t>年0</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lang w:eastAsia="zh-CN"/>
                    </w:rPr>
                    <w:t>月</w:t>
                  </w:r>
                  <w:r>
                    <w:rPr>
                      <w:rFonts w:hint="eastAsia" w:ascii="宋体" w:hAnsi="宋体" w:eastAsia="宋体" w:cs="宋体"/>
                      <w:b w:val="0"/>
                      <w:bCs w:val="0"/>
                      <w:sz w:val="21"/>
                      <w:szCs w:val="21"/>
                      <w:highlight w:val="none"/>
                      <w:lang w:val="en-US" w:eastAsia="zh-CN"/>
                    </w:rPr>
                    <w:t>30</w:t>
                  </w:r>
                  <w:r>
                    <w:rPr>
                      <w:rFonts w:hint="eastAsia" w:ascii="宋体" w:hAnsi="宋体" w:eastAsia="宋体" w:cs="宋体"/>
                      <w:b w:val="0"/>
                      <w:bCs w:val="0"/>
                      <w:sz w:val="21"/>
                      <w:szCs w:val="21"/>
                      <w:highlight w:val="none"/>
                      <w:lang w:eastAsia="zh-CN"/>
                    </w:rPr>
                    <w:t>日</w:t>
                  </w:r>
                  <w:r>
                    <w:rPr>
                      <w:rFonts w:hint="eastAsia" w:ascii="宋体" w:hAnsi="宋体" w:eastAsia="宋体" w:cs="宋体"/>
                      <w:b w:val="0"/>
                      <w:bCs w:val="0"/>
                      <w:sz w:val="21"/>
                      <w:szCs w:val="21"/>
                      <w:highlight w:val="none"/>
                      <w:lang w:val="en-US" w:eastAsia="zh-CN"/>
                    </w:rPr>
                    <w:t>-2025年05月29日</w:t>
                  </w:r>
                </w:p>
              </w:tc>
              <w:tc>
                <w:tcPr>
                  <w:tcW w:w="923" w:type="pct"/>
                  <w:tcBorders>
                    <w:tl2br w:val="nil"/>
                    <w:tr2bl w:val="nil"/>
                  </w:tcBorders>
                  <w:noWrap w:val="0"/>
                  <w:vAlign w:val="center"/>
                </w:tcPr>
                <w:p w14:paraId="2CD532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kern w:val="2"/>
                      <w:sz w:val="21"/>
                      <w:szCs w:val="21"/>
                      <w:highlight w:val="none"/>
                      <w:lang w:val="en-US" w:eastAsia="zh-CN" w:bidi="ar-SA"/>
                    </w:rPr>
                  </w:pPr>
                  <w:r>
                    <w:rPr>
                      <w:rFonts w:hint="default" w:ascii="宋体" w:hAnsi="宋体" w:eastAsia="宋体" w:cs="宋体"/>
                      <w:b w:val="0"/>
                      <w:bCs w:val="0"/>
                      <w:sz w:val="21"/>
                      <w:szCs w:val="21"/>
                      <w:highlight w:val="none"/>
                      <w:lang w:val="en-US" w:eastAsia="zh-CN"/>
                    </w:rPr>
                    <w:t>河北省计量监督检测研究院</w:t>
                  </w:r>
                </w:p>
              </w:tc>
            </w:tr>
            <w:tr w14:paraId="5A4328D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33" w:hRule="atLeast"/>
              </w:trPr>
              <w:tc>
                <w:tcPr>
                  <w:tcW w:w="389" w:type="pct"/>
                  <w:tcBorders>
                    <w:tl2br w:val="nil"/>
                    <w:tr2bl w:val="nil"/>
                  </w:tcBorders>
                  <w:noWrap w:val="0"/>
                  <w:vAlign w:val="center"/>
                </w:tcPr>
                <w:p w14:paraId="5102DD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cs="宋体"/>
                      <w:b w:val="0"/>
                      <w:bCs w:val="0"/>
                      <w:sz w:val="21"/>
                      <w:szCs w:val="21"/>
                      <w:highlight w:val="none"/>
                      <w:lang w:val="en-US" w:eastAsia="zh-CN"/>
                    </w:rPr>
                    <w:t>3</w:t>
                  </w:r>
                </w:p>
              </w:tc>
              <w:tc>
                <w:tcPr>
                  <w:tcW w:w="744" w:type="pct"/>
                  <w:tcBorders>
                    <w:tl2br w:val="nil"/>
                    <w:tr2bl w:val="nil"/>
                  </w:tcBorders>
                  <w:noWrap w:val="0"/>
                  <w:vAlign w:val="center"/>
                </w:tcPr>
                <w:p w14:paraId="63BCA2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温湿度表DLYQ-</w:t>
                  </w:r>
                  <w:r>
                    <w:rPr>
                      <w:rFonts w:hint="eastAsia" w:ascii="宋体" w:hAnsi="宋体" w:eastAsia="宋体" w:cs="宋体"/>
                      <w:b w:val="0"/>
                      <w:bCs w:val="0"/>
                      <w:sz w:val="21"/>
                      <w:szCs w:val="21"/>
                      <w:highlight w:val="none"/>
                      <w:lang w:val="en-US" w:eastAsia="zh-CN"/>
                    </w:rPr>
                    <w:t>63</w:t>
                  </w:r>
                </w:p>
              </w:tc>
              <w:tc>
                <w:tcPr>
                  <w:tcW w:w="699" w:type="pct"/>
                  <w:tcBorders>
                    <w:tl2br w:val="nil"/>
                    <w:tr2bl w:val="nil"/>
                  </w:tcBorders>
                  <w:noWrap w:val="0"/>
                  <w:vAlign w:val="center"/>
                </w:tcPr>
                <w:p w14:paraId="287F1C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WHM5型</w:t>
                  </w:r>
                </w:p>
              </w:tc>
              <w:tc>
                <w:tcPr>
                  <w:tcW w:w="1048" w:type="pct"/>
                  <w:tcBorders>
                    <w:tl2br w:val="nil"/>
                    <w:tr2bl w:val="nil"/>
                  </w:tcBorders>
                  <w:noWrap w:val="0"/>
                  <w:vAlign w:val="center"/>
                </w:tcPr>
                <w:p w14:paraId="68A500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 xml:space="preserve">-20℃～+40℃ </w:t>
                  </w:r>
                </w:p>
                <w:p w14:paraId="3CAABC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（0～100%）RH</w:t>
                  </w:r>
                </w:p>
              </w:tc>
              <w:tc>
                <w:tcPr>
                  <w:tcW w:w="1195" w:type="pct"/>
                  <w:tcBorders>
                    <w:tl2br w:val="nil"/>
                    <w:tr2bl w:val="nil"/>
                  </w:tcBorders>
                  <w:noWrap w:val="0"/>
                  <w:vAlign w:val="center"/>
                </w:tcPr>
                <w:p w14:paraId="4BBD13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2024年04月24日-2025年04月23日</w:t>
                  </w:r>
                </w:p>
              </w:tc>
              <w:tc>
                <w:tcPr>
                  <w:tcW w:w="923" w:type="pct"/>
                  <w:tcBorders>
                    <w:tl2br w:val="nil"/>
                    <w:tr2bl w:val="nil"/>
                  </w:tcBorders>
                  <w:noWrap w:val="0"/>
                  <w:vAlign w:val="center"/>
                </w:tcPr>
                <w:p w14:paraId="585F1D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河北省计量监督检测研究院</w:t>
                  </w:r>
                </w:p>
              </w:tc>
            </w:tr>
            <w:tr w14:paraId="747B9C1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33" w:hRule="atLeast"/>
              </w:trPr>
              <w:tc>
                <w:tcPr>
                  <w:tcW w:w="389" w:type="pct"/>
                  <w:tcBorders>
                    <w:tl2br w:val="nil"/>
                    <w:tr2bl w:val="nil"/>
                  </w:tcBorders>
                  <w:noWrap w:val="0"/>
                  <w:vAlign w:val="center"/>
                </w:tcPr>
                <w:p w14:paraId="10E0E0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cs="宋体"/>
                      <w:b w:val="0"/>
                      <w:bCs w:val="0"/>
                      <w:sz w:val="21"/>
                      <w:szCs w:val="21"/>
                      <w:highlight w:val="none"/>
                      <w:lang w:val="en-US" w:eastAsia="zh-CN"/>
                    </w:rPr>
                    <w:t>4</w:t>
                  </w:r>
                </w:p>
              </w:tc>
              <w:tc>
                <w:tcPr>
                  <w:tcW w:w="744" w:type="pct"/>
                  <w:tcBorders>
                    <w:tl2br w:val="nil"/>
                    <w:tr2bl w:val="nil"/>
                  </w:tcBorders>
                  <w:noWrap w:val="0"/>
                  <w:vAlign w:val="center"/>
                </w:tcPr>
                <w:p w14:paraId="0B0231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数字风速仪DLYQ-07</w:t>
                  </w:r>
                </w:p>
              </w:tc>
              <w:tc>
                <w:tcPr>
                  <w:tcW w:w="699" w:type="pct"/>
                  <w:tcBorders>
                    <w:tl2br w:val="nil"/>
                    <w:tr2bl w:val="nil"/>
                  </w:tcBorders>
                  <w:noWrap w:val="0"/>
                  <w:vAlign w:val="center"/>
                </w:tcPr>
                <w:p w14:paraId="34C064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QDF-6</w:t>
                  </w:r>
                </w:p>
              </w:tc>
              <w:tc>
                <w:tcPr>
                  <w:tcW w:w="1048" w:type="pct"/>
                  <w:tcBorders>
                    <w:tl2br w:val="nil"/>
                    <w:tr2bl w:val="nil"/>
                  </w:tcBorders>
                  <w:noWrap w:val="0"/>
                  <w:vAlign w:val="center"/>
                </w:tcPr>
                <w:p w14:paraId="2DCCE9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0～30m/s</w:t>
                  </w:r>
                </w:p>
              </w:tc>
              <w:tc>
                <w:tcPr>
                  <w:tcW w:w="1195" w:type="pct"/>
                  <w:tcBorders>
                    <w:tl2br w:val="nil"/>
                    <w:tr2bl w:val="nil"/>
                  </w:tcBorders>
                  <w:noWrap w:val="0"/>
                  <w:vAlign w:val="center"/>
                </w:tcPr>
                <w:p w14:paraId="2D7F9A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2024年04月29日-2025年04月28日</w:t>
                  </w:r>
                </w:p>
              </w:tc>
              <w:tc>
                <w:tcPr>
                  <w:tcW w:w="923" w:type="pct"/>
                  <w:tcBorders>
                    <w:tl2br w:val="nil"/>
                    <w:tr2bl w:val="nil"/>
                  </w:tcBorders>
                  <w:noWrap w:val="0"/>
                  <w:vAlign w:val="center"/>
                </w:tcPr>
                <w:p w14:paraId="7072F2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河北省计量监督检测研究院</w:t>
                  </w:r>
                </w:p>
              </w:tc>
            </w:tr>
            <w:tr w14:paraId="7F03E36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33" w:hRule="atLeast"/>
              </w:trPr>
              <w:tc>
                <w:tcPr>
                  <w:tcW w:w="389" w:type="pct"/>
                  <w:tcBorders>
                    <w:tl2br w:val="nil"/>
                    <w:tr2bl w:val="nil"/>
                  </w:tcBorders>
                  <w:noWrap w:val="0"/>
                  <w:vAlign w:val="center"/>
                </w:tcPr>
                <w:p w14:paraId="43DA45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cs="宋体"/>
                      <w:b w:val="0"/>
                      <w:bCs w:val="0"/>
                      <w:sz w:val="21"/>
                      <w:szCs w:val="21"/>
                      <w:highlight w:val="none"/>
                      <w:lang w:val="en-US" w:eastAsia="zh-CN"/>
                    </w:rPr>
                    <w:t>5</w:t>
                  </w:r>
                </w:p>
              </w:tc>
              <w:tc>
                <w:tcPr>
                  <w:tcW w:w="744" w:type="pct"/>
                  <w:tcBorders>
                    <w:tl2br w:val="nil"/>
                    <w:tr2bl w:val="nil"/>
                  </w:tcBorders>
                  <w:noWrap w:val="0"/>
                  <w:vAlign w:val="center"/>
                </w:tcPr>
                <w:p w14:paraId="48EB0C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激光测距仪DLYQ-61</w:t>
                  </w:r>
                </w:p>
              </w:tc>
              <w:tc>
                <w:tcPr>
                  <w:tcW w:w="699" w:type="pct"/>
                  <w:tcBorders>
                    <w:tl2br w:val="nil"/>
                    <w:tr2bl w:val="nil"/>
                  </w:tcBorders>
                  <w:noWrap w:val="0"/>
                  <w:vAlign w:val="center"/>
                </w:tcPr>
                <w:p w14:paraId="045F81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X800Pro</w:t>
                  </w:r>
                </w:p>
              </w:tc>
              <w:tc>
                <w:tcPr>
                  <w:tcW w:w="1048" w:type="pct"/>
                  <w:tcBorders>
                    <w:tl2br w:val="nil"/>
                    <w:tr2bl w:val="nil"/>
                  </w:tcBorders>
                  <w:noWrap w:val="0"/>
                  <w:vAlign w:val="center"/>
                </w:tcPr>
                <w:p w14:paraId="0A6994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0-800米</w:t>
                  </w:r>
                </w:p>
              </w:tc>
              <w:tc>
                <w:tcPr>
                  <w:tcW w:w="1195" w:type="pct"/>
                  <w:tcBorders>
                    <w:tl2br w:val="nil"/>
                    <w:tr2bl w:val="nil"/>
                  </w:tcBorders>
                  <w:noWrap w:val="0"/>
                  <w:vAlign w:val="center"/>
                </w:tcPr>
                <w:p w14:paraId="69205D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202</w:t>
                  </w:r>
                  <w:r>
                    <w:rPr>
                      <w:rFonts w:hint="eastAsia" w:ascii="宋体" w:hAnsi="宋体" w:eastAsia="宋体" w:cs="宋体"/>
                      <w:b w:val="0"/>
                      <w:bCs w:val="0"/>
                      <w:sz w:val="21"/>
                      <w:szCs w:val="21"/>
                      <w:highlight w:val="none"/>
                      <w:lang w:val="en-US" w:eastAsia="zh-CN"/>
                    </w:rPr>
                    <w:t>4</w:t>
                  </w:r>
                  <w:r>
                    <w:rPr>
                      <w:rFonts w:hint="eastAsia" w:ascii="宋体" w:hAnsi="宋体" w:eastAsia="宋体" w:cs="宋体"/>
                      <w:b w:val="0"/>
                      <w:bCs w:val="0"/>
                      <w:sz w:val="21"/>
                      <w:szCs w:val="21"/>
                      <w:highlight w:val="none"/>
                      <w:lang w:eastAsia="zh-CN"/>
                    </w:rPr>
                    <w:t>年</w:t>
                  </w:r>
                  <w:r>
                    <w:rPr>
                      <w:rFonts w:hint="eastAsia" w:ascii="宋体" w:hAnsi="宋体" w:eastAsia="宋体" w:cs="宋体"/>
                      <w:b w:val="0"/>
                      <w:bCs w:val="0"/>
                      <w:sz w:val="21"/>
                      <w:szCs w:val="21"/>
                      <w:highlight w:val="none"/>
                      <w:lang w:val="en-US" w:eastAsia="zh-CN"/>
                    </w:rPr>
                    <w:t>05</w:t>
                  </w:r>
                  <w:r>
                    <w:rPr>
                      <w:rFonts w:hint="eastAsia" w:ascii="宋体" w:hAnsi="宋体" w:eastAsia="宋体" w:cs="宋体"/>
                      <w:b w:val="0"/>
                      <w:bCs w:val="0"/>
                      <w:sz w:val="21"/>
                      <w:szCs w:val="21"/>
                      <w:highlight w:val="none"/>
                      <w:lang w:eastAsia="zh-CN"/>
                    </w:rPr>
                    <w:t>月</w:t>
                  </w:r>
                  <w:r>
                    <w:rPr>
                      <w:rFonts w:hint="eastAsia" w:ascii="宋体" w:hAnsi="宋体" w:eastAsia="宋体" w:cs="宋体"/>
                      <w:b w:val="0"/>
                      <w:bCs w:val="0"/>
                      <w:sz w:val="21"/>
                      <w:szCs w:val="21"/>
                      <w:highlight w:val="none"/>
                      <w:lang w:val="en-US" w:eastAsia="zh-CN"/>
                    </w:rPr>
                    <w:t>07</w:t>
                  </w:r>
                  <w:r>
                    <w:rPr>
                      <w:rFonts w:hint="eastAsia" w:ascii="宋体" w:hAnsi="宋体" w:eastAsia="宋体" w:cs="宋体"/>
                      <w:b w:val="0"/>
                      <w:bCs w:val="0"/>
                      <w:sz w:val="21"/>
                      <w:szCs w:val="21"/>
                      <w:highlight w:val="none"/>
                      <w:lang w:eastAsia="zh-CN"/>
                    </w:rPr>
                    <w:t>日</w:t>
                  </w:r>
                  <w:r>
                    <w:rPr>
                      <w:rFonts w:hint="eastAsia" w:ascii="宋体" w:hAnsi="宋体" w:eastAsia="宋体" w:cs="宋体"/>
                      <w:b w:val="0"/>
                      <w:bCs w:val="0"/>
                      <w:sz w:val="21"/>
                      <w:szCs w:val="21"/>
                      <w:highlight w:val="none"/>
                      <w:lang w:val="en-US" w:eastAsia="zh-CN"/>
                    </w:rPr>
                    <w:t>-2025年05月06日</w:t>
                  </w:r>
                </w:p>
              </w:tc>
              <w:tc>
                <w:tcPr>
                  <w:tcW w:w="923" w:type="pct"/>
                  <w:tcBorders>
                    <w:tl2br w:val="nil"/>
                    <w:tr2bl w:val="nil"/>
                  </w:tcBorders>
                  <w:noWrap w:val="0"/>
                  <w:vAlign w:val="center"/>
                </w:tcPr>
                <w:p w14:paraId="1FD499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河北省计量监督检测研究院</w:t>
                  </w:r>
                </w:p>
              </w:tc>
            </w:tr>
          </w:tbl>
          <w:p w14:paraId="53EB8BD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监测方法</w:t>
            </w:r>
          </w:p>
          <w:p w14:paraId="3EAA357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按照《声环境质量标准》(GB3096-2008)的有关规定进行。</w:t>
            </w:r>
          </w:p>
          <w:p w14:paraId="3AE88EF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lang w:val="en-US" w:eastAsia="zh-CN"/>
              </w:rPr>
              <w:t>监测点位及布点方法</w:t>
            </w:r>
          </w:p>
          <w:p w14:paraId="34A8292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监测点位：根据《环境影响评价技术导则声环境》(HJ2.4-2021)中监测布点原则要求：布点应覆盖整个评价范围，包括厂界(场界、边界)和声环境保护目标。评价范围内没有明显的声源(如工业噪声、交通运输噪声、建设施工噪声、社会生活噪声等)，可选择有代表性的区域布设测点，监测点位距离地面1.2m以上。</w:t>
            </w:r>
          </w:p>
          <w:p w14:paraId="5AEC887A">
            <w:pPr>
              <w:pStyle w:val="8"/>
              <w:numPr>
                <w:ilvl w:val="0"/>
                <w:numId w:val="0"/>
              </w:numPr>
              <w:spacing w:line="360" w:lineRule="auto"/>
              <w:ind w:firstLine="476" w:firstLineChars="200"/>
              <w:jc w:val="left"/>
              <w:rPr>
                <w:sz w:val="24"/>
                <w:szCs w:val="24"/>
                <w:highlight w:val="none"/>
              </w:rPr>
            </w:pPr>
            <w:r>
              <w:rPr>
                <w:rFonts w:hint="eastAsia"/>
                <w:spacing w:val="-1"/>
                <w:sz w:val="24"/>
                <w:szCs w:val="24"/>
                <w:lang w:val="en-US" w:eastAsia="zh-CN"/>
              </w:rPr>
              <w:t>噪声</w:t>
            </w:r>
            <w:r>
              <w:rPr>
                <w:spacing w:val="-1"/>
                <w:sz w:val="24"/>
                <w:szCs w:val="24"/>
              </w:rPr>
              <w:t>监测点：</w:t>
            </w:r>
            <w:r>
              <w:rPr>
                <w:rFonts w:hint="eastAsia" w:ascii="宋体" w:hAnsi="宋体" w:eastAsia="宋体" w:cs="宋体"/>
                <w:color w:val="auto"/>
                <w:kern w:val="2"/>
                <w:sz w:val="24"/>
                <w:szCs w:val="24"/>
                <w:highlight w:val="none"/>
                <w:u w:val="none"/>
                <w:lang w:val="en-US" w:eastAsia="zh-CN" w:bidi="ar-SA"/>
              </w:rPr>
              <w:t xml:space="preserve">在二号村居民区、下五号村居民区、十二号西沟村居民区、跨越 110kV木牌线处各设置1个监测点位，测量距地面1.5m高处的工频电场强度和工频磁感应强度，共设置4个监测点位。 </w:t>
            </w:r>
          </w:p>
          <w:p w14:paraId="5E0A9BD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（6）监测环境条件</w:t>
            </w:r>
          </w:p>
          <w:p w14:paraId="786CF6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监测期间具体环境条件见下表：</w:t>
            </w:r>
          </w:p>
          <w:p w14:paraId="7EBABF4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表3-</w:t>
            </w:r>
            <w:r>
              <w:rPr>
                <w:rFonts w:hint="eastAsia" w:cs="Times New Roman"/>
                <w:b/>
                <w:bCs/>
                <w:color w:val="auto"/>
                <w:kern w:val="0"/>
                <w:sz w:val="24"/>
                <w:szCs w:val="24"/>
                <w:highlight w:val="none"/>
                <w:lang w:val="en-US" w:eastAsia="zh-CN"/>
              </w:rPr>
              <w:t>6</w:t>
            </w:r>
            <w:r>
              <w:rPr>
                <w:rFonts w:hint="default" w:ascii="Times New Roman" w:hAnsi="Times New Roman" w:eastAsia="宋体" w:cs="Times New Roman"/>
                <w:b/>
                <w:bCs/>
                <w:color w:val="auto"/>
                <w:kern w:val="0"/>
                <w:sz w:val="24"/>
                <w:szCs w:val="24"/>
                <w:highlight w:val="none"/>
                <w:lang w:val="en-US" w:eastAsia="zh-CN"/>
              </w:rPr>
              <w:t>监测期间气象条件一览表</w:t>
            </w:r>
          </w:p>
          <w:tbl>
            <w:tblPr>
              <w:tblStyle w:val="19"/>
              <w:tblW w:w="4996" w:type="pct"/>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721"/>
              <w:gridCol w:w="1414"/>
              <w:gridCol w:w="1571"/>
              <w:gridCol w:w="1567"/>
              <w:gridCol w:w="1567"/>
            </w:tblGrid>
            <w:tr w14:paraId="6975F0F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28" w:hRule="atLeast"/>
              </w:trPr>
              <w:tc>
                <w:tcPr>
                  <w:tcW w:w="1097" w:type="pct"/>
                  <w:tcBorders>
                    <w:tl2br w:val="nil"/>
                    <w:tr2bl w:val="nil"/>
                  </w:tcBorders>
                  <w:noWrap w:val="0"/>
                  <w:vAlign w:val="center"/>
                </w:tcPr>
                <w:p w14:paraId="64ED1620">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检测日期</w:t>
                  </w:r>
                </w:p>
              </w:tc>
              <w:tc>
                <w:tcPr>
                  <w:tcW w:w="901" w:type="pct"/>
                  <w:tcBorders>
                    <w:tl2br w:val="nil"/>
                    <w:tr2bl w:val="nil"/>
                  </w:tcBorders>
                  <w:noWrap w:val="0"/>
                  <w:vAlign w:val="center"/>
                </w:tcPr>
                <w:p w14:paraId="5B70A237">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环境温度</w:t>
                  </w:r>
                  <w:r>
                    <w:rPr>
                      <w:rFonts w:hint="eastAsia" w:ascii="Times New Roman" w:hAnsi="Times New Roman" w:cs="Times New Roman"/>
                      <w:color w:val="auto"/>
                      <w:sz w:val="21"/>
                      <w:szCs w:val="21"/>
                      <w:highlight w:val="none"/>
                      <w:lang w:val="en-US" w:eastAsia="zh-CN"/>
                    </w:rPr>
                    <w:t>℃</w:t>
                  </w:r>
                </w:p>
              </w:tc>
              <w:tc>
                <w:tcPr>
                  <w:tcW w:w="1001" w:type="pct"/>
                  <w:tcBorders>
                    <w:tl2br w:val="nil"/>
                    <w:tr2bl w:val="nil"/>
                  </w:tcBorders>
                  <w:noWrap w:val="0"/>
                  <w:vAlign w:val="center"/>
                </w:tcPr>
                <w:p w14:paraId="441BCE05">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环境湿度</w:t>
                  </w:r>
                  <w:r>
                    <w:rPr>
                      <w:rFonts w:hint="eastAsia" w:ascii="Times New Roman" w:hAnsi="Times New Roman" w:cs="Times New Roman"/>
                      <w:color w:val="auto"/>
                      <w:kern w:val="0"/>
                      <w:sz w:val="21"/>
                      <w:szCs w:val="21"/>
                      <w:highlight w:val="none"/>
                      <w:lang w:val="en-US" w:eastAsia="zh-CN" w:bidi="ar-SA"/>
                    </w:rPr>
                    <w:t>%</w:t>
                  </w:r>
                </w:p>
              </w:tc>
              <w:tc>
                <w:tcPr>
                  <w:tcW w:w="999" w:type="pct"/>
                  <w:tcBorders>
                    <w:tl2br w:val="nil"/>
                    <w:tr2bl w:val="nil"/>
                  </w:tcBorders>
                  <w:noWrap w:val="0"/>
                  <w:vAlign w:val="center"/>
                </w:tcPr>
                <w:p w14:paraId="474EEB78">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天气状况</w:t>
                  </w:r>
                </w:p>
              </w:tc>
              <w:tc>
                <w:tcPr>
                  <w:tcW w:w="999" w:type="pct"/>
                  <w:tcBorders>
                    <w:tl2br w:val="nil"/>
                    <w:tr2bl w:val="nil"/>
                  </w:tcBorders>
                  <w:noWrap w:val="0"/>
                  <w:vAlign w:val="center"/>
                </w:tcPr>
                <w:p w14:paraId="0EFA8E5C">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风速m/s</w:t>
                  </w:r>
                </w:p>
              </w:tc>
            </w:tr>
            <w:tr w14:paraId="221893F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28" w:hRule="atLeast"/>
              </w:trPr>
              <w:tc>
                <w:tcPr>
                  <w:tcW w:w="1097" w:type="pct"/>
                  <w:tcBorders>
                    <w:tl2br w:val="nil"/>
                    <w:tr2bl w:val="nil"/>
                  </w:tcBorders>
                  <w:noWrap w:val="0"/>
                  <w:vAlign w:val="center"/>
                </w:tcPr>
                <w:p w14:paraId="58FE39EA">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月</w:t>
                  </w:r>
                  <w:r>
                    <w:rPr>
                      <w:rFonts w:hint="eastAsia"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lang w:val="en-US" w:eastAsia="zh-CN"/>
                    </w:rPr>
                    <w:t>日</w:t>
                  </w:r>
                </w:p>
              </w:tc>
              <w:tc>
                <w:tcPr>
                  <w:tcW w:w="901" w:type="pct"/>
                  <w:tcBorders>
                    <w:tl2br w:val="nil"/>
                    <w:tr2bl w:val="nil"/>
                  </w:tcBorders>
                  <w:noWrap w:val="0"/>
                  <w:vAlign w:val="center"/>
                </w:tcPr>
                <w:p w14:paraId="63F26860">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outlineLvl w:val="9"/>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21~22</w:t>
                  </w:r>
                </w:p>
              </w:tc>
              <w:tc>
                <w:tcPr>
                  <w:tcW w:w="1001" w:type="pct"/>
                  <w:tcBorders>
                    <w:tl2br w:val="nil"/>
                    <w:tr2bl w:val="nil"/>
                  </w:tcBorders>
                  <w:noWrap w:val="0"/>
                  <w:vAlign w:val="center"/>
                </w:tcPr>
                <w:p w14:paraId="64463F65">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outlineLvl w:val="9"/>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49</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50</w:t>
                  </w:r>
                </w:p>
              </w:tc>
              <w:tc>
                <w:tcPr>
                  <w:tcW w:w="999" w:type="pct"/>
                  <w:tcBorders>
                    <w:tl2br w:val="nil"/>
                    <w:tr2bl w:val="nil"/>
                  </w:tcBorders>
                  <w:noWrap w:val="0"/>
                  <w:vAlign w:val="center"/>
                </w:tcPr>
                <w:p w14:paraId="29799BE1">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无雨无雪</w:t>
                  </w:r>
                </w:p>
              </w:tc>
              <w:tc>
                <w:tcPr>
                  <w:tcW w:w="999" w:type="pct"/>
                  <w:tcBorders>
                    <w:tl2br w:val="nil"/>
                    <w:tr2bl w:val="nil"/>
                  </w:tcBorders>
                  <w:noWrap w:val="0"/>
                  <w:vAlign w:val="center"/>
                </w:tcPr>
                <w:p w14:paraId="3C797820">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~1.5</w:t>
                  </w:r>
                </w:p>
              </w:tc>
            </w:tr>
            <w:tr w14:paraId="1F07B8A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28" w:hRule="atLeast"/>
              </w:trPr>
              <w:tc>
                <w:tcPr>
                  <w:tcW w:w="1097" w:type="pct"/>
                  <w:tcBorders>
                    <w:tl2br w:val="nil"/>
                    <w:tr2bl w:val="nil"/>
                  </w:tcBorders>
                  <w:noWrap w:val="0"/>
                  <w:vAlign w:val="center"/>
                </w:tcPr>
                <w:p w14:paraId="63D74342">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月</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lang w:val="en-US" w:eastAsia="zh-CN"/>
                    </w:rPr>
                    <w:t>日</w:t>
                  </w:r>
                </w:p>
              </w:tc>
              <w:tc>
                <w:tcPr>
                  <w:tcW w:w="901" w:type="pct"/>
                  <w:tcBorders>
                    <w:tl2br w:val="nil"/>
                    <w:tr2bl w:val="nil"/>
                  </w:tcBorders>
                  <w:noWrap w:val="0"/>
                  <w:vAlign w:val="center"/>
                </w:tcPr>
                <w:p w14:paraId="16782C46">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outlineLvl w:val="9"/>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16~18</w:t>
                  </w:r>
                </w:p>
              </w:tc>
              <w:tc>
                <w:tcPr>
                  <w:tcW w:w="1001" w:type="pct"/>
                  <w:tcBorders>
                    <w:tl2br w:val="nil"/>
                    <w:tr2bl w:val="nil"/>
                  </w:tcBorders>
                  <w:noWrap w:val="0"/>
                  <w:vAlign w:val="center"/>
                </w:tcPr>
                <w:p w14:paraId="188FE691">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outlineLvl w:val="9"/>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52~54</w:t>
                  </w:r>
                </w:p>
              </w:tc>
              <w:tc>
                <w:tcPr>
                  <w:tcW w:w="999" w:type="pct"/>
                  <w:tcBorders>
                    <w:tl2br w:val="nil"/>
                    <w:tr2bl w:val="nil"/>
                  </w:tcBorders>
                  <w:noWrap w:val="0"/>
                  <w:vAlign w:val="center"/>
                </w:tcPr>
                <w:p w14:paraId="6F52B177">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outlineLvl w:val="9"/>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无雨无雪</w:t>
                  </w:r>
                </w:p>
              </w:tc>
              <w:tc>
                <w:tcPr>
                  <w:tcW w:w="999" w:type="pct"/>
                  <w:tcBorders>
                    <w:tl2br w:val="nil"/>
                    <w:tr2bl w:val="nil"/>
                  </w:tcBorders>
                  <w:noWrap w:val="0"/>
                  <w:vAlign w:val="center"/>
                </w:tcPr>
                <w:p w14:paraId="5C98E6F6">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7</w:t>
                  </w: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8</w:t>
                  </w:r>
                </w:p>
              </w:tc>
            </w:tr>
          </w:tbl>
          <w:p w14:paraId="315EBAB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(7)监测结果</w:t>
            </w:r>
          </w:p>
          <w:p w14:paraId="2A7F392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声环境现状监测结果见下表：</w:t>
            </w:r>
          </w:p>
          <w:p w14:paraId="189FB93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color w:val="auto"/>
                <w:kern w:val="0"/>
                <w:sz w:val="24"/>
                <w:szCs w:val="24"/>
                <w:highlight w:val="yellow"/>
                <w:lang w:val="en-US" w:eastAsia="zh-CN"/>
              </w:rPr>
            </w:pPr>
            <w:r>
              <w:rPr>
                <w:rFonts w:hint="default" w:ascii="Times New Roman" w:hAnsi="Times New Roman" w:eastAsia="宋体" w:cs="Times New Roman"/>
                <w:b/>
                <w:bCs/>
                <w:color w:val="auto"/>
                <w:kern w:val="0"/>
                <w:sz w:val="24"/>
                <w:szCs w:val="24"/>
                <w:highlight w:val="none"/>
                <w:lang w:val="en-US" w:eastAsia="zh-CN"/>
              </w:rPr>
              <w:t>表3-</w:t>
            </w:r>
            <w:r>
              <w:rPr>
                <w:rFonts w:hint="eastAsia" w:cs="Times New Roman"/>
                <w:b/>
                <w:bCs/>
                <w:color w:val="auto"/>
                <w:kern w:val="0"/>
                <w:sz w:val="24"/>
                <w:szCs w:val="24"/>
                <w:highlight w:val="none"/>
                <w:lang w:val="en-US" w:eastAsia="zh-CN"/>
              </w:rPr>
              <w:t>8</w:t>
            </w:r>
            <w:r>
              <w:rPr>
                <w:rFonts w:hint="default" w:ascii="Times New Roman" w:hAnsi="Times New Roman" w:eastAsia="宋体" w:cs="Times New Roman"/>
                <w:b/>
                <w:bCs/>
                <w:color w:val="auto"/>
                <w:kern w:val="0"/>
                <w:sz w:val="24"/>
                <w:szCs w:val="24"/>
                <w:highlight w:val="none"/>
                <w:lang w:val="en-US" w:eastAsia="zh-CN"/>
              </w:rPr>
              <w:t>声环境现状监测结果单位：dB(A)</w:t>
            </w:r>
          </w:p>
          <w:tbl>
            <w:tblPr>
              <w:tblStyle w:val="19"/>
              <w:tblW w:w="5005"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558"/>
              <w:gridCol w:w="3468"/>
              <w:gridCol w:w="1341"/>
              <w:gridCol w:w="2486"/>
            </w:tblGrid>
            <w:tr w14:paraId="7495CCAD">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355" w:type="pct"/>
                  <w:tcBorders>
                    <w:tl2br w:val="nil"/>
                    <w:tr2bl w:val="nil"/>
                  </w:tcBorders>
                  <w:noWrap w:val="0"/>
                  <w:vAlign w:val="center"/>
                </w:tcPr>
                <w:p w14:paraId="243793E7">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序号</w:t>
                  </w:r>
                </w:p>
              </w:tc>
              <w:tc>
                <w:tcPr>
                  <w:tcW w:w="2208" w:type="pct"/>
                  <w:tcBorders>
                    <w:tl2br w:val="nil"/>
                    <w:tr2bl w:val="nil"/>
                  </w:tcBorders>
                  <w:noWrap w:val="0"/>
                  <w:vAlign w:val="center"/>
                </w:tcPr>
                <w:p w14:paraId="5ADC25BB">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监测位置</w:t>
                  </w:r>
                </w:p>
              </w:tc>
              <w:tc>
                <w:tcPr>
                  <w:tcW w:w="853" w:type="pct"/>
                  <w:tcBorders>
                    <w:tl2br w:val="nil"/>
                    <w:tr2bl w:val="nil"/>
                  </w:tcBorders>
                  <w:noWrap w:val="0"/>
                  <w:vAlign w:val="center"/>
                </w:tcPr>
                <w:p w14:paraId="5133FD85">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c>
                <w:tcPr>
                  <w:tcW w:w="1582" w:type="pct"/>
                  <w:tcBorders>
                    <w:tl2br w:val="nil"/>
                    <w:tr2bl w:val="nil"/>
                  </w:tcBorders>
                  <w:noWrap w:val="0"/>
                  <w:vAlign w:val="center"/>
                </w:tcPr>
                <w:p w14:paraId="2DB9D86B">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r>
            <w:tr w14:paraId="0A9678D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09" w:hRule="atLeast"/>
              </w:trPr>
              <w:tc>
                <w:tcPr>
                  <w:tcW w:w="355" w:type="pct"/>
                  <w:tcBorders>
                    <w:tl2br w:val="nil"/>
                    <w:tr2bl w:val="nil"/>
                  </w:tcBorders>
                  <w:noWrap w:val="0"/>
                  <w:vAlign w:val="center"/>
                </w:tcPr>
                <w:p w14:paraId="79058289">
                  <w:pPr>
                    <w:spacing w:line="40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w:t>
                  </w:r>
                </w:p>
              </w:tc>
              <w:tc>
                <w:tcPr>
                  <w:tcW w:w="2208" w:type="pct"/>
                  <w:tcBorders>
                    <w:tl2br w:val="nil"/>
                    <w:tr2bl w:val="nil"/>
                  </w:tcBorders>
                  <w:noWrap w:val="0"/>
                  <w:vAlign w:val="center"/>
                </w:tcPr>
                <w:p w14:paraId="4603CF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highlight w:val="none"/>
                      <w:lang w:val="en-US" w:eastAsia="zh-CN"/>
                    </w:rPr>
                    <w:t>1#二号村居民区</w:t>
                  </w:r>
                </w:p>
              </w:tc>
              <w:tc>
                <w:tcPr>
                  <w:tcW w:w="853" w:type="pct"/>
                  <w:tcBorders>
                    <w:tl2br w:val="nil"/>
                    <w:tr2bl w:val="nil"/>
                  </w:tcBorders>
                  <w:noWrap w:val="0"/>
                  <w:vAlign w:val="center"/>
                </w:tcPr>
                <w:p w14:paraId="5C554B65">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1582" w:type="pct"/>
                  <w:tcBorders>
                    <w:tl2br w:val="nil"/>
                    <w:tr2bl w:val="nil"/>
                  </w:tcBorders>
                  <w:noWrap w:val="0"/>
                  <w:vAlign w:val="center"/>
                </w:tcPr>
                <w:p w14:paraId="4FB1C55C">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r>
            <w:tr w14:paraId="43178BA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60" w:hRule="atLeast"/>
              </w:trPr>
              <w:tc>
                <w:tcPr>
                  <w:tcW w:w="355" w:type="pct"/>
                  <w:tcBorders>
                    <w:tl2br w:val="nil"/>
                    <w:tr2bl w:val="nil"/>
                  </w:tcBorders>
                  <w:noWrap w:val="0"/>
                  <w:vAlign w:val="center"/>
                </w:tcPr>
                <w:p w14:paraId="108AC36D">
                  <w:pPr>
                    <w:spacing w:line="40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2</w:t>
                  </w:r>
                </w:p>
              </w:tc>
              <w:tc>
                <w:tcPr>
                  <w:tcW w:w="2208" w:type="pct"/>
                  <w:tcBorders>
                    <w:tl2br w:val="nil"/>
                    <w:tr2bl w:val="nil"/>
                  </w:tcBorders>
                  <w:noWrap w:val="0"/>
                  <w:vAlign w:val="center"/>
                </w:tcPr>
                <w:p w14:paraId="0FD65B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highlight w:val="none"/>
                      <w:lang w:val="en-US" w:eastAsia="zh-CN"/>
                    </w:rPr>
                    <w:t>2#下五号村居民区</w:t>
                  </w:r>
                </w:p>
              </w:tc>
              <w:tc>
                <w:tcPr>
                  <w:tcW w:w="853" w:type="pct"/>
                  <w:tcBorders>
                    <w:tl2br w:val="nil"/>
                    <w:tr2bl w:val="nil"/>
                  </w:tcBorders>
                  <w:noWrap w:val="0"/>
                  <w:vAlign w:val="center"/>
                </w:tcPr>
                <w:p w14:paraId="5D324400">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1582" w:type="pct"/>
                  <w:tcBorders>
                    <w:tl2br w:val="nil"/>
                    <w:tr2bl w:val="nil"/>
                  </w:tcBorders>
                  <w:noWrap w:val="0"/>
                  <w:vAlign w:val="center"/>
                </w:tcPr>
                <w:p w14:paraId="776DDA9B">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w:t>
                  </w:r>
                </w:p>
              </w:tc>
            </w:tr>
            <w:tr w14:paraId="7D56DF1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283" w:hRule="atLeast"/>
              </w:trPr>
              <w:tc>
                <w:tcPr>
                  <w:tcW w:w="355" w:type="pct"/>
                  <w:tcBorders>
                    <w:tl2br w:val="nil"/>
                    <w:tr2bl w:val="nil"/>
                  </w:tcBorders>
                  <w:noWrap w:val="0"/>
                  <w:vAlign w:val="center"/>
                </w:tcPr>
                <w:p w14:paraId="61B1BC41">
                  <w:pPr>
                    <w:spacing w:line="40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3</w:t>
                  </w:r>
                </w:p>
              </w:tc>
              <w:tc>
                <w:tcPr>
                  <w:tcW w:w="2208" w:type="pct"/>
                  <w:tcBorders>
                    <w:tl2br w:val="nil"/>
                    <w:tr2bl w:val="nil"/>
                  </w:tcBorders>
                  <w:noWrap w:val="0"/>
                  <w:vAlign w:val="center"/>
                </w:tcPr>
                <w:p w14:paraId="575827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highlight w:val="none"/>
                      <w:lang w:val="en-US" w:eastAsia="zh-CN"/>
                    </w:rPr>
                    <w:t>3#十二号西沟村居民区</w:t>
                  </w:r>
                </w:p>
              </w:tc>
              <w:tc>
                <w:tcPr>
                  <w:tcW w:w="853" w:type="pct"/>
                  <w:tcBorders>
                    <w:tl2br w:val="nil"/>
                    <w:tr2bl w:val="nil"/>
                  </w:tcBorders>
                  <w:noWrap w:val="0"/>
                  <w:vAlign w:val="center"/>
                </w:tcPr>
                <w:p w14:paraId="365494AE">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1582" w:type="pct"/>
                  <w:tcBorders>
                    <w:tl2br w:val="nil"/>
                    <w:tr2bl w:val="nil"/>
                  </w:tcBorders>
                  <w:noWrap w:val="0"/>
                  <w:vAlign w:val="center"/>
                </w:tcPr>
                <w:p w14:paraId="342B92AC">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w:t>
                  </w:r>
                </w:p>
              </w:tc>
            </w:tr>
            <w:tr w14:paraId="1259E58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355" w:type="pct"/>
                  <w:tcBorders>
                    <w:tl2br w:val="nil"/>
                    <w:tr2bl w:val="nil"/>
                  </w:tcBorders>
                  <w:noWrap w:val="0"/>
                  <w:vAlign w:val="center"/>
                </w:tcPr>
                <w:p w14:paraId="6363283D">
                  <w:pPr>
                    <w:spacing w:line="40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4</w:t>
                  </w:r>
                </w:p>
              </w:tc>
              <w:tc>
                <w:tcPr>
                  <w:tcW w:w="2208" w:type="pct"/>
                  <w:tcBorders>
                    <w:tl2br w:val="nil"/>
                    <w:tr2bl w:val="nil"/>
                  </w:tcBorders>
                  <w:noWrap w:val="0"/>
                  <w:vAlign w:val="center"/>
                </w:tcPr>
                <w:p w14:paraId="5CB4CC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4#跨越110kV木牌线处</w:t>
                  </w:r>
                </w:p>
                <w:p w14:paraId="3688A9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highlight w:val="none"/>
                      <w:lang w:val="en-US" w:eastAsia="zh-CN"/>
                    </w:rPr>
                    <w:t>（监测点位旁有树木影响）</w:t>
                  </w:r>
                </w:p>
              </w:tc>
              <w:tc>
                <w:tcPr>
                  <w:tcW w:w="853" w:type="pct"/>
                  <w:tcBorders>
                    <w:tl2br w:val="nil"/>
                    <w:tr2bl w:val="nil"/>
                  </w:tcBorders>
                  <w:noWrap w:val="0"/>
                  <w:vAlign w:val="center"/>
                </w:tcPr>
                <w:p w14:paraId="5EF5FFA3">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w:t>
                  </w:r>
                </w:p>
              </w:tc>
              <w:tc>
                <w:tcPr>
                  <w:tcW w:w="1582" w:type="pct"/>
                  <w:tcBorders>
                    <w:tl2br w:val="nil"/>
                    <w:tr2bl w:val="nil"/>
                  </w:tcBorders>
                  <w:noWrap w:val="0"/>
                  <w:vAlign w:val="center"/>
                </w:tcPr>
                <w:p w14:paraId="7B025C7B">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r>
            <w:tr w14:paraId="47D2A69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2563" w:type="pct"/>
                  <w:gridSpan w:val="2"/>
                  <w:tcBorders>
                    <w:tl2br w:val="nil"/>
                    <w:tr2bl w:val="nil"/>
                  </w:tcBorders>
                  <w:noWrap w:val="0"/>
                  <w:vAlign w:val="center"/>
                </w:tcPr>
                <w:p w14:paraId="318EA5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达标判断</w:t>
                  </w:r>
                </w:p>
              </w:tc>
              <w:tc>
                <w:tcPr>
                  <w:tcW w:w="853" w:type="pct"/>
                  <w:tcBorders>
                    <w:tl2br w:val="nil"/>
                    <w:tr2bl w:val="nil"/>
                  </w:tcBorders>
                  <w:noWrap w:val="0"/>
                  <w:vAlign w:val="center"/>
                </w:tcPr>
                <w:p w14:paraId="5F672D46">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c>
                <w:tcPr>
                  <w:tcW w:w="1582" w:type="pct"/>
                  <w:tcBorders>
                    <w:tl2br w:val="nil"/>
                    <w:tr2bl w:val="nil"/>
                  </w:tcBorders>
                  <w:noWrap w:val="0"/>
                  <w:vAlign w:val="center"/>
                </w:tcPr>
                <w:p w14:paraId="59DE419F">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bl>
          <w:p w14:paraId="1433C00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由上表可见，项目所在区域声环境质量现状监测结果满足《声环境质量标准》(GB3096-2008)1类标准要求。区域声环境质量较好。</w:t>
            </w:r>
          </w:p>
          <w:p w14:paraId="5B434B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（8）数据分析</w:t>
            </w:r>
          </w:p>
          <w:p w14:paraId="566D0986">
            <w:pPr>
              <w:adjustRightInd w:val="0"/>
              <w:snapToGrid w:val="0"/>
              <w:spacing w:line="500" w:lineRule="exact"/>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本项目现场监测时，由于受到周边居民活动和风速影响，导致昼间监测值偏高，夜间监测值偏低</w:t>
            </w:r>
            <w:r>
              <w:rPr>
                <w:rFonts w:hint="eastAsia" w:cs="Times New Roman"/>
                <w:color w:val="auto"/>
                <w:kern w:val="0"/>
                <w:sz w:val="24"/>
                <w:szCs w:val="24"/>
                <w:highlight w:val="none"/>
                <w:lang w:val="en-US" w:eastAsia="zh-CN"/>
              </w:rPr>
              <w:t>。</w:t>
            </w:r>
          </w:p>
        </w:tc>
      </w:tr>
      <w:tr w14:paraId="3935CC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8" w:type="dxa"/>
            <w:noWrap w:val="0"/>
            <w:vAlign w:val="center"/>
          </w:tcPr>
          <w:p w14:paraId="6259FB47">
            <w:pPr>
              <w:keepNext w:val="0"/>
              <w:keepLines w:val="0"/>
              <w:pageBreakBefore w:val="0"/>
              <w:kinsoku/>
              <w:wordWrap/>
              <w:overflowPunct/>
              <w:topLinePunct w:val="0"/>
              <w:bidi w:val="0"/>
              <w:adjustRightInd w:val="0"/>
              <w:snapToGrid w:val="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bCs/>
                <w:color w:val="auto"/>
                <w:sz w:val="24"/>
                <w:szCs w:val="24"/>
                <w:highlight w:val="none"/>
              </w:rPr>
              <w:t>与项目有关的原有环境污染和生态破坏问题</w:t>
            </w:r>
          </w:p>
        </w:tc>
        <w:tc>
          <w:tcPr>
            <w:tcW w:w="8061" w:type="dxa"/>
            <w:noWrap w:val="0"/>
            <w:tcMar>
              <w:top w:w="0" w:type="dxa"/>
              <w:left w:w="108" w:type="dxa"/>
              <w:bottom w:w="0" w:type="dxa"/>
              <w:right w:w="108" w:type="dxa"/>
            </w:tcMar>
            <w:vAlign w:val="center"/>
          </w:tcPr>
          <w:p w14:paraId="34ADD443">
            <w:pPr>
              <w:adjustRightInd w:val="0"/>
              <w:snapToGrid w:val="0"/>
              <w:spacing w:line="500" w:lineRule="exact"/>
              <w:ind w:firstLine="480" w:firstLineChars="200"/>
              <w:jc w:val="center"/>
              <w:rPr>
                <w:rFonts w:hint="eastAsia" w:ascii="宋体" w:hAnsi="宋体" w:eastAsia="宋体" w:cs="宋体"/>
                <w:color w:val="auto"/>
                <w:kern w:val="0"/>
                <w:sz w:val="24"/>
                <w:szCs w:val="24"/>
                <w:highlight w:val="yellow"/>
                <w:lang w:val="en-US" w:eastAsia="zh-CN"/>
              </w:rPr>
            </w:pPr>
            <w:r>
              <w:rPr>
                <w:rFonts w:hint="eastAsia" w:ascii="宋体" w:hAnsi="宋体" w:eastAsia="宋体" w:cs="宋体"/>
                <w:sz w:val="24"/>
                <w:szCs w:val="24"/>
              </w:rPr>
              <w:t>项目为新建项目，无与项目有关的原有环境污染</w:t>
            </w:r>
            <w:r>
              <w:rPr>
                <w:rFonts w:hint="eastAsia" w:ascii="宋体" w:hAnsi="宋体" w:eastAsia="宋体" w:cs="宋体"/>
                <w:spacing w:val="-1"/>
                <w:sz w:val="24"/>
                <w:szCs w:val="24"/>
              </w:rPr>
              <w:t>和生态破坏问题。</w:t>
            </w:r>
          </w:p>
        </w:tc>
      </w:tr>
      <w:tr w14:paraId="5F82D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8" w:type="dxa"/>
            <w:noWrap w:val="0"/>
            <w:vAlign w:val="center"/>
          </w:tcPr>
          <w:p w14:paraId="4E60BF02">
            <w:pPr>
              <w:pStyle w:val="24"/>
              <w:spacing w:before="69" w:line="223" w:lineRule="auto"/>
              <w:jc w:val="center"/>
            </w:pPr>
            <w:r>
              <w:rPr>
                <w:spacing w:val="-2"/>
              </w:rPr>
              <w:t>生态环</w:t>
            </w:r>
          </w:p>
          <w:p w14:paraId="5382D272">
            <w:pPr>
              <w:pStyle w:val="24"/>
              <w:spacing w:before="18" w:line="221" w:lineRule="auto"/>
              <w:jc w:val="center"/>
            </w:pPr>
            <w:r>
              <w:rPr>
                <w:spacing w:val="-2"/>
              </w:rPr>
              <w:t>境保护</w:t>
            </w:r>
          </w:p>
          <w:p w14:paraId="186AC83C">
            <w:pPr>
              <w:pStyle w:val="24"/>
              <w:spacing w:before="22" w:line="221" w:lineRule="auto"/>
              <w:jc w:val="center"/>
              <w:rPr>
                <w:rFonts w:hint="eastAsia" w:ascii="宋体" w:hAnsi="宋体" w:eastAsia="宋体" w:cs="宋体"/>
                <w:kern w:val="2"/>
                <w:sz w:val="21"/>
                <w:szCs w:val="21"/>
                <w:lang w:val="en-US" w:eastAsia="en-US" w:bidi="ar-SA"/>
              </w:rPr>
            </w:pPr>
            <w:r>
              <w:rPr>
                <w:spacing w:val="-12"/>
              </w:rPr>
              <w:t>目标</w:t>
            </w:r>
          </w:p>
        </w:tc>
        <w:tc>
          <w:tcPr>
            <w:tcW w:w="8061" w:type="dxa"/>
            <w:noWrap w:val="0"/>
            <w:tcMar>
              <w:top w:w="0" w:type="dxa"/>
              <w:left w:w="108" w:type="dxa"/>
              <w:bottom w:w="0" w:type="dxa"/>
              <w:right w:w="108" w:type="dxa"/>
            </w:tcMar>
            <w:vAlign w:val="top"/>
          </w:tcPr>
          <w:p w14:paraId="5E8AA38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主要环境保护目标：</w:t>
            </w:r>
          </w:p>
          <w:p w14:paraId="1BAF5DD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通过对本工程的现场踏勘及有关技术资料分析，项目所在地周围无文物保护单位、集中式饮用水源保护区等《建设项目环境影响评价分类管理名录》中规定的环境敏感区。</w:t>
            </w:r>
          </w:p>
          <w:p w14:paraId="420ACFC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生态环境保护目标</w:t>
            </w:r>
          </w:p>
          <w:p w14:paraId="05EC2024">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受影响的重要物种、生态敏感区以及其他需要保护的物种、种群、生物群落及生态空间等。本工目线路边导线地面投影外两侧各300m范围内区域涉及植被、林地生态保护目标，不涉及《建设项目环境影响评价分类管理名录》中规定的国家公园、自然保护区、风景名胜区、世界文化和自然遗产地、海洋特别保护区、饮用水水源保护区等环境敏感区。</w:t>
            </w:r>
          </w:p>
          <w:p w14:paraId="1E9F20D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声环境保护目标</w:t>
            </w:r>
          </w:p>
          <w:p w14:paraId="68C9A40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依据法律、法规、标准政策等确定的需要保持安静的建筑物及建筑物集中区。根据现场踏勘，边导线地面投影外两侧各40m范围内</w:t>
            </w:r>
            <w:r>
              <w:rPr>
                <w:rFonts w:hint="eastAsia" w:ascii="Times New Roman" w:hAnsi="Times New Roman" w:eastAsia="宋体" w:cs="Times New Roman"/>
                <w:sz w:val="24"/>
                <w:szCs w:val="24"/>
                <w:highlight w:val="none"/>
                <w:lang w:val="en-US" w:eastAsia="zh-CN"/>
              </w:rPr>
              <w:t>存在三个声环境保护目标，详见下表。</w:t>
            </w:r>
          </w:p>
          <w:p w14:paraId="797841E1">
            <w:pPr>
              <w:keepNext w:val="0"/>
              <w:keepLines w:val="0"/>
              <w:pageBreakBefore w:val="0"/>
              <w:widowControl w:val="0"/>
              <w:kinsoku/>
              <w:wordWrap/>
              <w:overflowPunct/>
              <w:topLinePunct w:val="0"/>
              <w:autoSpaceDE w:val="0"/>
              <w:autoSpaceDN w:val="0"/>
              <w:bidi w:val="0"/>
              <w:adjustRightInd w:val="0"/>
              <w:snapToGrid w:val="0"/>
              <w:spacing w:line="360" w:lineRule="auto"/>
              <w:ind w:firstLine="470" w:firstLineChars="200"/>
              <w:jc w:val="center"/>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pacing w:val="-3"/>
                <w:sz w:val="24"/>
                <w:szCs w:val="24"/>
                <w:highlight w:val="none"/>
              </w:rPr>
              <w:t>表</w:t>
            </w:r>
            <w:r>
              <w:rPr>
                <w:rFonts w:hint="default" w:ascii="Times New Roman" w:hAnsi="Times New Roman" w:eastAsia="宋体" w:cs="Times New Roman"/>
                <w:b/>
                <w:bCs/>
                <w:spacing w:val="-24"/>
                <w:sz w:val="24"/>
                <w:szCs w:val="24"/>
                <w:highlight w:val="none"/>
                <w:lang w:val="en-US" w:eastAsia="zh-CN"/>
              </w:rPr>
              <w:t>3</w:t>
            </w:r>
            <w:r>
              <w:rPr>
                <w:rFonts w:hint="default" w:ascii="Times New Roman" w:hAnsi="Times New Roman" w:cs="Times New Roman"/>
                <w:b/>
                <w:bCs/>
                <w:spacing w:val="-24"/>
                <w:sz w:val="24"/>
                <w:szCs w:val="24"/>
                <w:highlight w:val="none"/>
                <w:lang w:val="en-US" w:eastAsia="zh-CN"/>
              </w:rPr>
              <w:t xml:space="preserve">-9 </w:t>
            </w:r>
            <w:r>
              <w:rPr>
                <w:rFonts w:hint="default" w:ascii="Times New Roman" w:hAnsi="Times New Roman" w:eastAsia="宋体" w:cs="Times New Roman"/>
                <w:b/>
                <w:bCs/>
                <w:spacing w:val="-3"/>
                <w:sz w:val="24"/>
                <w:szCs w:val="24"/>
                <w:highlight w:val="none"/>
                <w:lang w:val="en-US" w:eastAsia="zh-CN"/>
              </w:rPr>
              <w:t>声</w:t>
            </w:r>
            <w:r>
              <w:rPr>
                <w:rFonts w:hint="default" w:ascii="Times New Roman" w:hAnsi="Times New Roman" w:eastAsia="宋体" w:cs="Times New Roman"/>
                <w:b/>
                <w:bCs/>
                <w:spacing w:val="-3"/>
                <w:sz w:val="24"/>
                <w:szCs w:val="24"/>
                <w:highlight w:val="none"/>
              </w:rPr>
              <w:t>环境保护目标一览表</w:t>
            </w:r>
          </w:p>
          <w:tbl>
            <w:tblPr>
              <w:tblStyle w:val="20"/>
              <w:tblW w:w="7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1516"/>
              <w:gridCol w:w="906"/>
              <w:gridCol w:w="734"/>
              <w:gridCol w:w="1641"/>
              <w:gridCol w:w="1767"/>
            </w:tblGrid>
            <w:tr w14:paraId="5AB2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1" w:type="dxa"/>
                  <w:vAlign w:val="center"/>
                </w:tcPr>
                <w:p w14:paraId="0A5007D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环境要素</w:t>
                  </w:r>
                </w:p>
              </w:tc>
              <w:tc>
                <w:tcPr>
                  <w:tcW w:w="1516" w:type="dxa"/>
                  <w:vAlign w:val="center"/>
                </w:tcPr>
                <w:p w14:paraId="2B806B0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保护目标名称</w:t>
                  </w:r>
                </w:p>
              </w:tc>
              <w:tc>
                <w:tcPr>
                  <w:tcW w:w="906" w:type="dxa"/>
                  <w:vAlign w:val="center"/>
                </w:tcPr>
                <w:p w14:paraId="40AAEA1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功能</w:t>
                  </w:r>
                </w:p>
              </w:tc>
              <w:tc>
                <w:tcPr>
                  <w:tcW w:w="734" w:type="dxa"/>
                  <w:vAlign w:val="center"/>
                </w:tcPr>
                <w:p w14:paraId="0A43E3A5">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方位</w:t>
                  </w:r>
                </w:p>
              </w:tc>
              <w:tc>
                <w:tcPr>
                  <w:tcW w:w="1641" w:type="dxa"/>
                  <w:vAlign w:val="center"/>
                </w:tcPr>
                <w:p w14:paraId="11FC35DD">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与线路边导线距离（m）</w:t>
                  </w:r>
                </w:p>
              </w:tc>
              <w:tc>
                <w:tcPr>
                  <w:tcW w:w="1767" w:type="dxa"/>
                  <w:vAlign w:val="center"/>
                </w:tcPr>
                <w:p w14:paraId="6D83983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保护要求</w:t>
                  </w:r>
                </w:p>
              </w:tc>
            </w:tr>
            <w:tr w14:paraId="2670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1" w:type="dxa"/>
                  <w:vMerge w:val="restart"/>
                  <w:vAlign w:val="center"/>
                </w:tcPr>
                <w:p w14:paraId="15C59395">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声环境</w:t>
                  </w:r>
                </w:p>
              </w:tc>
              <w:tc>
                <w:tcPr>
                  <w:tcW w:w="1516" w:type="dxa"/>
                  <w:vAlign w:val="center"/>
                </w:tcPr>
                <w:p w14:paraId="772635F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二号村住户</w:t>
                  </w:r>
                </w:p>
              </w:tc>
              <w:tc>
                <w:tcPr>
                  <w:tcW w:w="906" w:type="dxa"/>
                  <w:vAlign w:val="center"/>
                </w:tcPr>
                <w:p w14:paraId="463E5E2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居住</w:t>
                  </w:r>
                </w:p>
              </w:tc>
              <w:tc>
                <w:tcPr>
                  <w:tcW w:w="734" w:type="dxa"/>
                  <w:vAlign w:val="center"/>
                </w:tcPr>
                <w:p w14:paraId="7434852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南</w:t>
                  </w:r>
                </w:p>
              </w:tc>
              <w:tc>
                <w:tcPr>
                  <w:tcW w:w="1641" w:type="dxa"/>
                  <w:vAlign w:val="center"/>
                </w:tcPr>
                <w:p w14:paraId="6242816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25</w:t>
                  </w:r>
                </w:p>
              </w:tc>
              <w:tc>
                <w:tcPr>
                  <w:tcW w:w="1767" w:type="dxa"/>
                  <w:vMerge w:val="restart"/>
                  <w:vAlign w:val="center"/>
                </w:tcPr>
                <w:p w14:paraId="0E5DA6D0">
                  <w:pPr>
                    <w:pStyle w:val="24"/>
                    <w:spacing w:before="31" w:line="236" w:lineRule="auto"/>
                    <w:ind w:left="64" w:right="140" w:firstLine="5"/>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《声环境质量标准》（GB3096-2008）1类声环境功能区标准</w:t>
                  </w:r>
                </w:p>
              </w:tc>
            </w:tr>
            <w:tr w14:paraId="0189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1" w:type="dxa"/>
                  <w:vMerge w:val="continue"/>
                  <w:vAlign w:val="center"/>
                </w:tcPr>
                <w:p w14:paraId="64825FA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p>
              </w:tc>
              <w:tc>
                <w:tcPr>
                  <w:tcW w:w="1516" w:type="dxa"/>
                  <w:vAlign w:val="center"/>
                </w:tcPr>
                <w:p w14:paraId="6B5D4D4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下五号村住户</w:t>
                  </w:r>
                </w:p>
              </w:tc>
              <w:tc>
                <w:tcPr>
                  <w:tcW w:w="906" w:type="dxa"/>
                  <w:vAlign w:val="center"/>
                </w:tcPr>
                <w:p w14:paraId="7C48430D">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居住</w:t>
                  </w:r>
                </w:p>
              </w:tc>
              <w:tc>
                <w:tcPr>
                  <w:tcW w:w="734" w:type="dxa"/>
                  <w:vAlign w:val="center"/>
                </w:tcPr>
                <w:p w14:paraId="79107D40">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北</w:t>
                  </w:r>
                </w:p>
              </w:tc>
              <w:tc>
                <w:tcPr>
                  <w:tcW w:w="1641" w:type="dxa"/>
                  <w:vAlign w:val="center"/>
                </w:tcPr>
                <w:p w14:paraId="592BE80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40</w:t>
                  </w:r>
                </w:p>
              </w:tc>
              <w:tc>
                <w:tcPr>
                  <w:tcW w:w="1767" w:type="dxa"/>
                  <w:vMerge w:val="continue"/>
                  <w:vAlign w:val="center"/>
                </w:tcPr>
                <w:p w14:paraId="0D7404A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p>
              </w:tc>
            </w:tr>
            <w:tr w14:paraId="7801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1" w:type="dxa"/>
                  <w:vMerge w:val="continue"/>
                  <w:vAlign w:val="center"/>
                </w:tcPr>
                <w:p w14:paraId="18B1417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p>
              </w:tc>
              <w:tc>
                <w:tcPr>
                  <w:tcW w:w="1516" w:type="dxa"/>
                  <w:vAlign w:val="center"/>
                </w:tcPr>
                <w:p w14:paraId="4873195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十二号西沟村</w:t>
                  </w:r>
                </w:p>
              </w:tc>
              <w:tc>
                <w:tcPr>
                  <w:tcW w:w="906" w:type="dxa"/>
                  <w:vAlign w:val="center"/>
                </w:tcPr>
                <w:p w14:paraId="496A0EE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居住</w:t>
                  </w:r>
                </w:p>
              </w:tc>
              <w:tc>
                <w:tcPr>
                  <w:tcW w:w="734" w:type="dxa"/>
                  <w:vAlign w:val="center"/>
                </w:tcPr>
                <w:p w14:paraId="0EA3CE2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北</w:t>
                  </w:r>
                </w:p>
              </w:tc>
              <w:tc>
                <w:tcPr>
                  <w:tcW w:w="1641" w:type="dxa"/>
                  <w:vAlign w:val="center"/>
                </w:tcPr>
                <w:p w14:paraId="4B77811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26</w:t>
                  </w:r>
                </w:p>
              </w:tc>
              <w:tc>
                <w:tcPr>
                  <w:tcW w:w="1767" w:type="dxa"/>
                  <w:vMerge w:val="continue"/>
                  <w:vAlign w:val="center"/>
                </w:tcPr>
                <w:p w14:paraId="3AD76921">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p>
              </w:tc>
            </w:tr>
          </w:tbl>
          <w:p w14:paraId="647C942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电磁环境</w:t>
            </w:r>
            <w:r>
              <w:rPr>
                <w:rFonts w:hint="eastAsia" w:ascii="Times New Roman" w:hAnsi="Times New Roman" w:eastAsia="宋体" w:cs="Times New Roman"/>
                <w:sz w:val="24"/>
                <w:szCs w:val="24"/>
                <w:highlight w:val="none"/>
                <w:lang w:val="en-US" w:eastAsia="zh-CN"/>
              </w:rPr>
              <w:t>目标</w:t>
            </w:r>
          </w:p>
          <w:p w14:paraId="1AA0577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none"/>
                <w:lang w:val="en-US" w:eastAsia="zh-CN"/>
              </w:rPr>
              <w:t>电磁环境影响评价与监测需重点关注的对象。包括住宅、学校、医院、办公楼、工厂等有公众居住、工作或学习的建筑物。边导线地面投影外两侧各40m范围内</w:t>
            </w:r>
            <w:r>
              <w:rPr>
                <w:rFonts w:hint="eastAsia" w:ascii="Times New Roman" w:hAnsi="Times New Roman" w:eastAsia="宋体" w:cs="Times New Roman"/>
                <w:sz w:val="24"/>
                <w:szCs w:val="24"/>
                <w:highlight w:val="none"/>
                <w:lang w:val="en-US" w:eastAsia="zh-CN"/>
              </w:rPr>
              <w:t>存在</w:t>
            </w:r>
            <w:r>
              <w:rPr>
                <w:rFonts w:hint="eastAsia" w:cs="Times New Roman"/>
                <w:sz w:val="24"/>
                <w:szCs w:val="24"/>
                <w:highlight w:val="none"/>
                <w:lang w:val="en-US" w:eastAsia="zh-CN"/>
              </w:rPr>
              <w:t>三</w:t>
            </w:r>
            <w:r>
              <w:rPr>
                <w:rFonts w:hint="eastAsia" w:ascii="Times New Roman" w:hAnsi="Times New Roman" w:eastAsia="宋体" w:cs="Times New Roman"/>
                <w:sz w:val="24"/>
                <w:szCs w:val="24"/>
                <w:highlight w:val="none"/>
                <w:lang w:val="en-US" w:eastAsia="zh-CN"/>
              </w:rPr>
              <w:t>个电磁环境保护目标，详见下表。</w:t>
            </w:r>
          </w:p>
          <w:p w14:paraId="6F44C0DD">
            <w:pPr>
              <w:keepNext w:val="0"/>
              <w:keepLines w:val="0"/>
              <w:pageBreakBefore w:val="0"/>
              <w:widowControl w:val="0"/>
              <w:kinsoku/>
              <w:wordWrap/>
              <w:overflowPunct/>
              <w:topLinePunct w:val="0"/>
              <w:autoSpaceDE w:val="0"/>
              <w:autoSpaceDN w:val="0"/>
              <w:bidi w:val="0"/>
              <w:adjustRightInd w:val="0"/>
              <w:snapToGrid w:val="0"/>
              <w:spacing w:line="360" w:lineRule="auto"/>
              <w:ind w:firstLine="470" w:firstLineChars="200"/>
              <w:jc w:val="center"/>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pacing w:val="-3"/>
                <w:sz w:val="24"/>
                <w:szCs w:val="24"/>
                <w:highlight w:val="none"/>
              </w:rPr>
              <w:t>表</w:t>
            </w:r>
            <w:r>
              <w:rPr>
                <w:rFonts w:hint="default" w:ascii="Times New Roman" w:hAnsi="Times New Roman" w:eastAsia="宋体" w:cs="Times New Roman"/>
                <w:b/>
                <w:bCs/>
                <w:spacing w:val="-24"/>
                <w:sz w:val="24"/>
                <w:szCs w:val="24"/>
                <w:highlight w:val="none"/>
                <w:lang w:val="en-US" w:eastAsia="zh-CN"/>
              </w:rPr>
              <w:t>3-1</w:t>
            </w:r>
            <w:r>
              <w:rPr>
                <w:rFonts w:hint="eastAsia" w:cs="Times New Roman"/>
                <w:b/>
                <w:bCs/>
                <w:spacing w:val="-24"/>
                <w:sz w:val="24"/>
                <w:szCs w:val="24"/>
                <w:highlight w:val="none"/>
                <w:lang w:val="en-US" w:eastAsia="zh-CN"/>
              </w:rPr>
              <w:t xml:space="preserve">0 </w:t>
            </w:r>
            <w:r>
              <w:rPr>
                <w:rFonts w:hint="eastAsia" w:ascii="Times New Roman" w:hAnsi="Times New Roman" w:eastAsia="宋体" w:cs="Times New Roman"/>
                <w:b/>
                <w:bCs/>
                <w:spacing w:val="-3"/>
                <w:sz w:val="24"/>
                <w:szCs w:val="24"/>
                <w:highlight w:val="none"/>
                <w:lang w:val="en-US" w:eastAsia="zh-CN"/>
              </w:rPr>
              <w:t>电磁</w:t>
            </w:r>
            <w:r>
              <w:rPr>
                <w:rFonts w:hint="default" w:ascii="Times New Roman" w:hAnsi="Times New Roman" w:eastAsia="宋体" w:cs="Times New Roman"/>
                <w:b/>
                <w:bCs/>
                <w:spacing w:val="-3"/>
                <w:sz w:val="24"/>
                <w:szCs w:val="24"/>
                <w:highlight w:val="none"/>
              </w:rPr>
              <w:t>环境保护目标一览表</w:t>
            </w:r>
          </w:p>
          <w:tbl>
            <w:tblPr>
              <w:tblStyle w:val="20"/>
              <w:tblW w:w="7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1983"/>
              <w:gridCol w:w="811"/>
              <w:gridCol w:w="734"/>
              <w:gridCol w:w="1641"/>
              <w:gridCol w:w="1767"/>
            </w:tblGrid>
            <w:tr w14:paraId="0526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14:paraId="570FD4B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环境要素</w:t>
                  </w:r>
                </w:p>
              </w:tc>
              <w:tc>
                <w:tcPr>
                  <w:tcW w:w="1983" w:type="dxa"/>
                  <w:vAlign w:val="center"/>
                </w:tcPr>
                <w:p w14:paraId="1817BBF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保护目标名称</w:t>
                  </w:r>
                </w:p>
              </w:tc>
              <w:tc>
                <w:tcPr>
                  <w:tcW w:w="811" w:type="dxa"/>
                  <w:vAlign w:val="center"/>
                </w:tcPr>
                <w:p w14:paraId="0E87A89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功能</w:t>
                  </w:r>
                </w:p>
              </w:tc>
              <w:tc>
                <w:tcPr>
                  <w:tcW w:w="734" w:type="dxa"/>
                  <w:vAlign w:val="center"/>
                </w:tcPr>
                <w:p w14:paraId="57AD986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方位</w:t>
                  </w:r>
                </w:p>
              </w:tc>
              <w:tc>
                <w:tcPr>
                  <w:tcW w:w="1641" w:type="dxa"/>
                  <w:vAlign w:val="center"/>
                </w:tcPr>
                <w:p w14:paraId="566755A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与线路边导线距离（m）</w:t>
                  </w:r>
                </w:p>
              </w:tc>
              <w:tc>
                <w:tcPr>
                  <w:tcW w:w="1767" w:type="dxa"/>
                  <w:vAlign w:val="center"/>
                </w:tcPr>
                <w:p w14:paraId="1D98CBA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保护要求</w:t>
                  </w:r>
                </w:p>
              </w:tc>
            </w:tr>
            <w:tr w14:paraId="4E0C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restart"/>
                  <w:vAlign w:val="center"/>
                </w:tcPr>
                <w:p w14:paraId="56120320">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电磁环境</w:t>
                  </w:r>
                </w:p>
              </w:tc>
              <w:tc>
                <w:tcPr>
                  <w:tcW w:w="1983" w:type="dxa"/>
                  <w:vAlign w:val="center"/>
                </w:tcPr>
                <w:p w14:paraId="3F55F279">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二号村住户</w:t>
                  </w:r>
                </w:p>
              </w:tc>
              <w:tc>
                <w:tcPr>
                  <w:tcW w:w="811" w:type="dxa"/>
                  <w:vAlign w:val="center"/>
                </w:tcPr>
                <w:p w14:paraId="135EEBFF">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居住</w:t>
                  </w:r>
                </w:p>
              </w:tc>
              <w:tc>
                <w:tcPr>
                  <w:tcW w:w="734" w:type="dxa"/>
                  <w:vAlign w:val="center"/>
                </w:tcPr>
                <w:p w14:paraId="5D2A58C3">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南</w:t>
                  </w:r>
                </w:p>
              </w:tc>
              <w:tc>
                <w:tcPr>
                  <w:tcW w:w="1641" w:type="dxa"/>
                  <w:vAlign w:val="center"/>
                </w:tcPr>
                <w:p w14:paraId="729E966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25</w:t>
                  </w:r>
                </w:p>
              </w:tc>
              <w:tc>
                <w:tcPr>
                  <w:tcW w:w="1767" w:type="dxa"/>
                  <w:vMerge w:val="restart"/>
                  <w:vAlign w:val="center"/>
                </w:tcPr>
                <w:p w14:paraId="430B5754">
                  <w:pPr>
                    <w:pStyle w:val="24"/>
                    <w:spacing w:before="31" w:line="236" w:lineRule="auto"/>
                    <w:ind w:left="64" w:right="140" w:firstLine="5"/>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《电磁环境控制限值》（GB8702-2014）限值要求</w:t>
                  </w:r>
                </w:p>
              </w:tc>
            </w:tr>
            <w:tr w14:paraId="29E8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continue"/>
                  <w:vAlign w:val="center"/>
                </w:tcPr>
                <w:p w14:paraId="3AF3C270">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p>
              </w:tc>
              <w:tc>
                <w:tcPr>
                  <w:tcW w:w="1983" w:type="dxa"/>
                  <w:vAlign w:val="center"/>
                </w:tcPr>
                <w:p w14:paraId="14DFD369">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下五号村住户</w:t>
                  </w:r>
                </w:p>
              </w:tc>
              <w:tc>
                <w:tcPr>
                  <w:tcW w:w="811" w:type="dxa"/>
                  <w:vAlign w:val="center"/>
                </w:tcPr>
                <w:p w14:paraId="3290240F">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居住</w:t>
                  </w:r>
                </w:p>
              </w:tc>
              <w:tc>
                <w:tcPr>
                  <w:tcW w:w="734" w:type="dxa"/>
                  <w:vAlign w:val="center"/>
                </w:tcPr>
                <w:p w14:paraId="369F2D2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北</w:t>
                  </w:r>
                </w:p>
              </w:tc>
              <w:tc>
                <w:tcPr>
                  <w:tcW w:w="1641" w:type="dxa"/>
                  <w:vAlign w:val="center"/>
                </w:tcPr>
                <w:p w14:paraId="5385928E">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40</w:t>
                  </w:r>
                </w:p>
              </w:tc>
              <w:tc>
                <w:tcPr>
                  <w:tcW w:w="1767" w:type="dxa"/>
                  <w:vMerge w:val="continue"/>
                  <w:vAlign w:val="center"/>
                </w:tcPr>
                <w:p w14:paraId="018B44E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p>
              </w:tc>
            </w:tr>
            <w:tr w14:paraId="28AC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continue"/>
                  <w:vAlign w:val="center"/>
                </w:tcPr>
                <w:p w14:paraId="080B24F3">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p>
              </w:tc>
              <w:tc>
                <w:tcPr>
                  <w:tcW w:w="1983" w:type="dxa"/>
                  <w:vAlign w:val="center"/>
                </w:tcPr>
                <w:p w14:paraId="0DA3D285">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十二号西沟村住户</w:t>
                  </w:r>
                </w:p>
              </w:tc>
              <w:tc>
                <w:tcPr>
                  <w:tcW w:w="811" w:type="dxa"/>
                  <w:vAlign w:val="center"/>
                </w:tcPr>
                <w:p w14:paraId="41F3A689">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居住</w:t>
                  </w:r>
                </w:p>
              </w:tc>
              <w:tc>
                <w:tcPr>
                  <w:tcW w:w="734" w:type="dxa"/>
                  <w:vAlign w:val="center"/>
                </w:tcPr>
                <w:p w14:paraId="40038CBE">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北</w:t>
                  </w:r>
                </w:p>
              </w:tc>
              <w:tc>
                <w:tcPr>
                  <w:tcW w:w="1641" w:type="dxa"/>
                  <w:vAlign w:val="center"/>
                </w:tcPr>
                <w:p w14:paraId="064A285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26</w:t>
                  </w:r>
                </w:p>
              </w:tc>
              <w:tc>
                <w:tcPr>
                  <w:tcW w:w="1767" w:type="dxa"/>
                  <w:vMerge w:val="continue"/>
                  <w:vAlign w:val="center"/>
                </w:tcPr>
                <w:p w14:paraId="7D51A963">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1"/>
                      <w:szCs w:val="21"/>
                      <w:highlight w:val="none"/>
                      <w:vertAlign w:val="baseline"/>
                      <w:lang w:val="en-US" w:eastAsia="zh-CN"/>
                    </w:rPr>
                  </w:pPr>
                </w:p>
              </w:tc>
            </w:tr>
          </w:tbl>
          <w:p w14:paraId="74B24CC6">
            <w:pPr>
              <w:pStyle w:val="24"/>
              <w:keepNext w:val="0"/>
              <w:keepLines w:val="0"/>
              <w:pageBreakBefore w:val="0"/>
              <w:widowControl w:val="0"/>
              <w:kinsoku/>
              <w:wordWrap/>
              <w:overflowPunct/>
              <w:topLinePunct w:val="0"/>
              <w:autoSpaceDE/>
              <w:autoSpaceDN/>
              <w:bidi w:val="0"/>
              <w:adjustRightInd w:val="0"/>
              <w:snapToGrid w:val="0"/>
              <w:spacing w:line="360" w:lineRule="auto"/>
              <w:ind w:right="0" w:firstLine="476" w:firstLineChars="200"/>
              <w:textAlignment w:val="auto"/>
              <w:rPr>
                <w:rFonts w:hint="eastAsia" w:eastAsia="宋体"/>
                <w:spacing w:val="-1"/>
                <w:sz w:val="24"/>
                <w:szCs w:val="24"/>
                <w:lang w:eastAsia="zh-CN"/>
              </w:rPr>
            </w:pPr>
          </w:p>
        </w:tc>
      </w:tr>
      <w:tr w14:paraId="4FC0AE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8" w:type="dxa"/>
            <w:noWrap w:val="0"/>
            <w:vAlign w:val="top"/>
          </w:tcPr>
          <w:p w14:paraId="42204D82">
            <w:pPr>
              <w:pStyle w:val="24"/>
              <w:spacing w:before="68" w:line="231" w:lineRule="auto"/>
              <w:ind w:right="243" w:rightChars="0"/>
              <w:rPr>
                <w:rFonts w:ascii="宋体" w:hAnsi="宋体" w:eastAsia="宋体" w:cs="宋体"/>
                <w:kern w:val="2"/>
                <w:sz w:val="21"/>
                <w:szCs w:val="21"/>
                <w:lang w:val="en-US" w:eastAsia="en-US" w:bidi="ar-SA"/>
              </w:rPr>
            </w:pPr>
            <w:r>
              <w:rPr>
                <w:spacing w:val="-3"/>
              </w:rPr>
              <w:t>评价</w:t>
            </w:r>
            <w:r>
              <w:rPr>
                <w:spacing w:val="-4"/>
              </w:rPr>
              <w:t>标准</w:t>
            </w:r>
          </w:p>
        </w:tc>
        <w:tc>
          <w:tcPr>
            <w:tcW w:w="8061" w:type="dxa"/>
            <w:noWrap w:val="0"/>
            <w:tcMar>
              <w:top w:w="0" w:type="dxa"/>
              <w:left w:w="108" w:type="dxa"/>
              <w:bottom w:w="0" w:type="dxa"/>
              <w:right w:w="108" w:type="dxa"/>
            </w:tcMar>
            <w:vAlign w:val="top"/>
          </w:tcPr>
          <w:p w14:paraId="3E8A8D5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kern w:val="21"/>
                <w:sz w:val="24"/>
                <w:szCs w:val="24"/>
                <w:highlight w:val="none"/>
                <w:lang w:val="en-US" w:eastAsia="zh-CN"/>
              </w:rPr>
            </w:pPr>
            <w:r>
              <w:rPr>
                <w:rFonts w:hint="default" w:ascii="Times New Roman" w:hAnsi="Times New Roman" w:eastAsia="宋体" w:cs="Times New Roman"/>
                <w:b/>
                <w:bCs/>
                <w:color w:val="auto"/>
                <w:kern w:val="21"/>
                <w:sz w:val="24"/>
                <w:szCs w:val="24"/>
                <w:highlight w:val="none"/>
                <w:lang w:val="en-US" w:eastAsia="zh-CN"/>
              </w:rPr>
              <w:t>1</w:t>
            </w:r>
            <w:r>
              <w:rPr>
                <w:rFonts w:hint="eastAsia" w:ascii="Times New Roman" w:hAnsi="Times New Roman" w:eastAsia="宋体" w:cs="Times New Roman"/>
                <w:b/>
                <w:bCs/>
                <w:color w:val="auto"/>
                <w:kern w:val="21"/>
                <w:sz w:val="24"/>
                <w:szCs w:val="24"/>
                <w:highlight w:val="none"/>
                <w:lang w:val="en-US" w:eastAsia="zh-CN"/>
              </w:rPr>
              <w:t>、</w:t>
            </w:r>
            <w:r>
              <w:rPr>
                <w:rFonts w:hint="default" w:ascii="Times New Roman" w:hAnsi="Times New Roman" w:eastAsia="宋体" w:cs="Times New Roman"/>
                <w:b/>
                <w:bCs/>
                <w:color w:val="auto"/>
                <w:kern w:val="21"/>
                <w:sz w:val="24"/>
                <w:szCs w:val="24"/>
                <w:highlight w:val="none"/>
                <w:lang w:val="en-US" w:eastAsia="zh-CN"/>
              </w:rPr>
              <w:t>环境质量</w:t>
            </w:r>
            <w:r>
              <w:rPr>
                <w:rFonts w:hint="default" w:ascii="Times New Roman" w:hAnsi="Times New Roman" w:eastAsia="宋体" w:cs="Times New Roman"/>
                <w:b/>
                <w:bCs/>
                <w:color w:val="auto"/>
                <w:kern w:val="0"/>
                <w:sz w:val="24"/>
                <w:szCs w:val="24"/>
                <w:highlight w:val="none"/>
                <w:lang w:val="en-US" w:eastAsia="zh-CN"/>
              </w:rPr>
              <w:t>评价</w:t>
            </w:r>
            <w:r>
              <w:rPr>
                <w:rFonts w:hint="default" w:ascii="Times New Roman" w:hAnsi="Times New Roman" w:eastAsia="宋体" w:cs="Times New Roman"/>
                <w:b/>
                <w:bCs/>
                <w:color w:val="auto"/>
                <w:kern w:val="21"/>
                <w:sz w:val="24"/>
                <w:szCs w:val="24"/>
                <w:highlight w:val="none"/>
                <w:lang w:val="en-US" w:eastAsia="zh-CN"/>
              </w:rPr>
              <w:t>标准</w:t>
            </w:r>
          </w:p>
          <w:p w14:paraId="3E861B25">
            <w:pPr>
              <w:adjustRightInd w:val="0"/>
              <w:snapToGrid w:val="0"/>
              <w:spacing w:line="360" w:lineRule="auto"/>
              <w:ind w:firstLine="480" w:firstLineChars="200"/>
              <w:rPr>
                <w:rFonts w:hint="default" w:ascii="Times New Roman" w:hAnsi="Times New Roman" w:cs="Times New Roman"/>
                <w:kern w:val="21"/>
                <w:sz w:val="24"/>
                <w:highlight w:val="none"/>
              </w:rPr>
            </w:pPr>
            <w:r>
              <w:rPr>
                <w:rFonts w:hint="default" w:ascii="Times New Roman" w:hAnsi="Times New Roman" w:cs="Times New Roman"/>
                <w:kern w:val="21"/>
                <w:sz w:val="24"/>
                <w:highlight w:val="none"/>
                <w:lang w:val="en-US" w:eastAsia="zh-CN"/>
              </w:rPr>
              <w:t>（1）</w:t>
            </w:r>
            <w:r>
              <w:rPr>
                <w:rFonts w:hint="default" w:ascii="Times New Roman" w:hAnsi="Times New Roman" w:cs="Times New Roman"/>
                <w:kern w:val="21"/>
                <w:sz w:val="24"/>
                <w:highlight w:val="none"/>
              </w:rPr>
              <w:t>环境空气质量标准</w:t>
            </w:r>
          </w:p>
          <w:p w14:paraId="31EBCCE0">
            <w:pPr>
              <w:adjustRightInd w:val="0"/>
              <w:snapToGrid w:val="0"/>
              <w:spacing w:line="360" w:lineRule="auto"/>
              <w:ind w:firstLine="480" w:firstLineChars="200"/>
              <w:rPr>
                <w:rFonts w:hint="default" w:ascii="Times New Roman" w:hAnsi="Times New Roman" w:cs="Times New Roman"/>
                <w:kern w:val="21"/>
                <w:sz w:val="24"/>
                <w:highlight w:val="none"/>
              </w:rPr>
            </w:pPr>
            <w:r>
              <w:rPr>
                <w:rFonts w:hint="default" w:ascii="Times New Roman" w:hAnsi="Times New Roman" w:cs="Times New Roman"/>
                <w:kern w:val="21"/>
                <w:sz w:val="24"/>
                <w:highlight w:val="none"/>
              </w:rPr>
              <w:t>环境空气质量执行《环境空气质量标准》(GB3095-2012)二级标准及修改单要求，详见表</w:t>
            </w:r>
            <w:r>
              <w:rPr>
                <w:rFonts w:hint="default" w:ascii="Times New Roman" w:hAnsi="Times New Roman" w:cs="Times New Roman"/>
                <w:kern w:val="21"/>
                <w:sz w:val="24"/>
                <w:highlight w:val="none"/>
                <w:lang w:val="en-US" w:eastAsia="zh-CN"/>
              </w:rPr>
              <w:t>3-1</w:t>
            </w:r>
            <w:r>
              <w:rPr>
                <w:rFonts w:hint="eastAsia" w:cs="Times New Roman"/>
                <w:kern w:val="21"/>
                <w:sz w:val="24"/>
                <w:highlight w:val="none"/>
                <w:lang w:val="en-US" w:eastAsia="zh-CN"/>
              </w:rPr>
              <w:t>1</w:t>
            </w:r>
            <w:r>
              <w:rPr>
                <w:rFonts w:hint="default" w:ascii="Times New Roman" w:hAnsi="Times New Roman" w:cs="Times New Roman"/>
                <w:kern w:val="21"/>
                <w:sz w:val="24"/>
                <w:highlight w:val="none"/>
              </w:rPr>
              <w:t>。</w:t>
            </w:r>
          </w:p>
          <w:p w14:paraId="022726B4">
            <w:pPr>
              <w:adjustRightInd w:val="0"/>
              <w:snapToGrid w:val="0"/>
              <w:spacing w:line="360" w:lineRule="auto"/>
              <w:jc w:val="center"/>
              <w:rPr>
                <w:rFonts w:hint="default" w:ascii="Times New Roman" w:hAnsi="Times New Roman" w:cs="Times New Roman"/>
                <w:b/>
                <w:bCs/>
                <w:kern w:val="21"/>
                <w:sz w:val="24"/>
                <w:highlight w:val="none"/>
              </w:rPr>
            </w:pPr>
            <w:r>
              <w:rPr>
                <w:rFonts w:hint="default" w:ascii="Times New Roman" w:hAnsi="Times New Roman" w:cs="Times New Roman"/>
                <w:b/>
                <w:bCs/>
                <w:kern w:val="21"/>
                <w:sz w:val="24"/>
                <w:highlight w:val="none"/>
              </w:rPr>
              <w:t>表</w:t>
            </w:r>
            <w:r>
              <w:rPr>
                <w:rFonts w:hint="default" w:ascii="Times New Roman" w:hAnsi="Times New Roman" w:cs="Times New Roman"/>
                <w:b/>
                <w:bCs/>
                <w:kern w:val="21"/>
                <w:sz w:val="24"/>
                <w:highlight w:val="none"/>
                <w:lang w:val="en-US" w:eastAsia="zh-CN"/>
              </w:rPr>
              <w:t>3-1</w:t>
            </w:r>
            <w:r>
              <w:rPr>
                <w:rFonts w:hint="eastAsia" w:cs="Times New Roman"/>
                <w:b/>
                <w:bCs/>
                <w:kern w:val="21"/>
                <w:sz w:val="24"/>
                <w:highlight w:val="none"/>
                <w:lang w:val="en-US" w:eastAsia="zh-CN"/>
              </w:rPr>
              <w:t>1</w:t>
            </w:r>
            <w:r>
              <w:rPr>
                <w:rFonts w:hint="default" w:ascii="Times New Roman" w:hAnsi="Times New Roman" w:cs="Times New Roman"/>
                <w:b/>
                <w:bCs/>
                <w:kern w:val="21"/>
                <w:sz w:val="24"/>
                <w:highlight w:val="none"/>
              </w:rPr>
              <w:t>环境空气质量标准（</w:t>
            </w:r>
            <w:r>
              <w:rPr>
                <w:rFonts w:hint="default" w:ascii="Times New Roman" w:hAnsi="Times New Roman" w:cs="Times New Roman"/>
                <w:b/>
                <w:bCs/>
                <w:sz w:val="24"/>
                <w:highlight w:val="none"/>
              </w:rPr>
              <w:t>µg/m</w:t>
            </w:r>
            <w:r>
              <w:rPr>
                <w:rFonts w:hint="default" w:ascii="Times New Roman" w:hAnsi="Times New Roman" w:cs="Times New Roman"/>
                <w:b/>
                <w:bCs/>
                <w:sz w:val="24"/>
                <w:highlight w:val="none"/>
                <w:vertAlign w:val="superscript"/>
              </w:rPr>
              <w:t>3</w:t>
            </w:r>
            <w:r>
              <w:rPr>
                <w:rFonts w:hint="default" w:ascii="Times New Roman" w:hAnsi="Times New Roman" w:cs="Times New Roman"/>
                <w:b/>
                <w:bCs/>
                <w:kern w:val="21"/>
                <w:sz w:val="24"/>
                <w:highlight w:val="none"/>
              </w:rPr>
              <w:t>）</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9"/>
              <w:gridCol w:w="930"/>
              <w:gridCol w:w="1064"/>
              <w:gridCol w:w="1464"/>
              <w:gridCol w:w="1331"/>
              <w:gridCol w:w="1200"/>
              <w:gridCol w:w="1434"/>
            </w:tblGrid>
            <w:tr w14:paraId="6254F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7" w:type="pct"/>
                  <w:vMerge w:val="restart"/>
                  <w:noWrap w:val="0"/>
                  <w:vAlign w:val="center"/>
                </w:tcPr>
                <w:p w14:paraId="19B17C31">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序号</w:t>
                  </w:r>
                </w:p>
              </w:tc>
              <w:tc>
                <w:tcPr>
                  <w:tcW w:w="593" w:type="pct"/>
                  <w:vMerge w:val="restart"/>
                  <w:noWrap w:val="0"/>
                  <w:vAlign w:val="center"/>
                </w:tcPr>
                <w:p w14:paraId="30DD62C6">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污染物</w:t>
                  </w:r>
                </w:p>
              </w:tc>
              <w:tc>
                <w:tcPr>
                  <w:tcW w:w="3224" w:type="pct"/>
                  <w:gridSpan w:val="4"/>
                  <w:noWrap w:val="0"/>
                  <w:vAlign w:val="center"/>
                </w:tcPr>
                <w:p w14:paraId="5277DDA7">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二级浓度限值</w:t>
                  </w:r>
                </w:p>
              </w:tc>
              <w:tc>
                <w:tcPr>
                  <w:tcW w:w="914" w:type="pct"/>
                  <w:vMerge w:val="restart"/>
                  <w:noWrap w:val="0"/>
                  <w:vAlign w:val="center"/>
                </w:tcPr>
                <w:p w14:paraId="095008C0">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标准依据</w:t>
                  </w:r>
                </w:p>
              </w:tc>
            </w:tr>
            <w:tr w14:paraId="5D1C6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7" w:type="pct"/>
                  <w:vMerge w:val="continue"/>
                  <w:noWrap w:val="0"/>
                  <w:vAlign w:val="center"/>
                </w:tcPr>
                <w:p w14:paraId="3D6D3EEF">
                  <w:pPr>
                    <w:adjustRightInd w:val="0"/>
                    <w:snapToGrid w:val="0"/>
                    <w:spacing w:line="360" w:lineRule="auto"/>
                    <w:jc w:val="center"/>
                    <w:rPr>
                      <w:rFonts w:hint="default" w:ascii="Times New Roman" w:hAnsi="Times New Roman" w:cs="Times New Roman"/>
                      <w:kern w:val="21"/>
                      <w:sz w:val="21"/>
                      <w:szCs w:val="21"/>
                      <w:highlight w:val="none"/>
                    </w:rPr>
                  </w:pPr>
                </w:p>
              </w:tc>
              <w:tc>
                <w:tcPr>
                  <w:tcW w:w="593" w:type="pct"/>
                  <w:vMerge w:val="continue"/>
                  <w:noWrap w:val="0"/>
                  <w:vAlign w:val="center"/>
                </w:tcPr>
                <w:p w14:paraId="5FC5D6AE">
                  <w:pPr>
                    <w:adjustRightInd w:val="0"/>
                    <w:snapToGrid w:val="0"/>
                    <w:spacing w:line="360" w:lineRule="auto"/>
                    <w:jc w:val="center"/>
                    <w:rPr>
                      <w:rFonts w:hint="default" w:ascii="Times New Roman" w:hAnsi="Times New Roman" w:cs="Times New Roman"/>
                      <w:kern w:val="21"/>
                      <w:sz w:val="21"/>
                      <w:szCs w:val="21"/>
                      <w:highlight w:val="none"/>
                    </w:rPr>
                  </w:pPr>
                </w:p>
              </w:tc>
              <w:tc>
                <w:tcPr>
                  <w:tcW w:w="678" w:type="pct"/>
                  <w:noWrap w:val="0"/>
                  <w:vAlign w:val="center"/>
                </w:tcPr>
                <w:p w14:paraId="031159AE">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年平均</w:t>
                  </w:r>
                </w:p>
              </w:tc>
              <w:tc>
                <w:tcPr>
                  <w:tcW w:w="933" w:type="pct"/>
                  <w:noWrap w:val="0"/>
                  <w:vAlign w:val="center"/>
                </w:tcPr>
                <w:p w14:paraId="0BEE330B">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24小时平均</w:t>
                  </w:r>
                </w:p>
              </w:tc>
              <w:tc>
                <w:tcPr>
                  <w:tcW w:w="848" w:type="pct"/>
                  <w:noWrap w:val="0"/>
                  <w:vAlign w:val="center"/>
                </w:tcPr>
                <w:p w14:paraId="6DC4A7A6">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日最大8小时平均</w:t>
                  </w:r>
                </w:p>
              </w:tc>
              <w:tc>
                <w:tcPr>
                  <w:tcW w:w="763" w:type="pct"/>
                  <w:noWrap w:val="0"/>
                  <w:vAlign w:val="center"/>
                </w:tcPr>
                <w:p w14:paraId="18073C67">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1小时平均</w:t>
                  </w:r>
                </w:p>
              </w:tc>
              <w:tc>
                <w:tcPr>
                  <w:tcW w:w="914" w:type="pct"/>
                  <w:vMerge w:val="continue"/>
                  <w:noWrap w:val="0"/>
                  <w:vAlign w:val="center"/>
                </w:tcPr>
                <w:p w14:paraId="7DB8C4AF">
                  <w:pPr>
                    <w:adjustRightInd w:val="0"/>
                    <w:snapToGrid w:val="0"/>
                    <w:spacing w:line="360" w:lineRule="auto"/>
                    <w:jc w:val="center"/>
                    <w:rPr>
                      <w:rFonts w:hint="default" w:ascii="Times New Roman" w:hAnsi="Times New Roman" w:cs="Times New Roman"/>
                      <w:kern w:val="21"/>
                      <w:sz w:val="21"/>
                      <w:szCs w:val="21"/>
                      <w:highlight w:val="none"/>
                    </w:rPr>
                  </w:pPr>
                </w:p>
              </w:tc>
            </w:tr>
            <w:tr w14:paraId="64938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14:paraId="3919BE11">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1</w:t>
                  </w:r>
                </w:p>
              </w:tc>
              <w:tc>
                <w:tcPr>
                  <w:tcW w:w="593" w:type="pct"/>
                  <w:noWrap w:val="0"/>
                  <w:vAlign w:val="center"/>
                </w:tcPr>
                <w:p w14:paraId="2D448BC2">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sz w:val="21"/>
                      <w:szCs w:val="21"/>
                      <w:highlight w:val="none"/>
                    </w:rPr>
                    <w:t>SO</w:t>
                  </w:r>
                  <w:r>
                    <w:rPr>
                      <w:rFonts w:hint="default" w:ascii="Times New Roman" w:hAnsi="Times New Roman" w:cs="Times New Roman"/>
                      <w:sz w:val="21"/>
                      <w:szCs w:val="21"/>
                      <w:highlight w:val="none"/>
                      <w:vertAlign w:val="subscript"/>
                    </w:rPr>
                    <w:t>2</w:t>
                  </w:r>
                </w:p>
              </w:tc>
              <w:tc>
                <w:tcPr>
                  <w:tcW w:w="678" w:type="pct"/>
                  <w:noWrap w:val="0"/>
                  <w:vAlign w:val="center"/>
                </w:tcPr>
                <w:p w14:paraId="65EA0F42">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60</w:t>
                  </w:r>
                </w:p>
              </w:tc>
              <w:tc>
                <w:tcPr>
                  <w:tcW w:w="933" w:type="pct"/>
                  <w:noWrap w:val="0"/>
                  <w:vAlign w:val="center"/>
                </w:tcPr>
                <w:p w14:paraId="54147064">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150</w:t>
                  </w:r>
                </w:p>
              </w:tc>
              <w:tc>
                <w:tcPr>
                  <w:tcW w:w="848" w:type="pct"/>
                  <w:noWrap w:val="0"/>
                  <w:vAlign w:val="center"/>
                </w:tcPr>
                <w:p w14:paraId="029AC2DB">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w:t>
                  </w:r>
                </w:p>
              </w:tc>
              <w:tc>
                <w:tcPr>
                  <w:tcW w:w="763" w:type="pct"/>
                  <w:noWrap w:val="0"/>
                  <w:vAlign w:val="center"/>
                </w:tcPr>
                <w:p w14:paraId="1B4B3941">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500</w:t>
                  </w:r>
                </w:p>
              </w:tc>
              <w:tc>
                <w:tcPr>
                  <w:tcW w:w="914" w:type="pct"/>
                  <w:vMerge w:val="restart"/>
                  <w:noWrap w:val="0"/>
                  <w:vAlign w:val="center"/>
                </w:tcPr>
                <w:p w14:paraId="4172C478">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《环境空气质量标准》(GB3095-2012)二级标准及修改单</w:t>
                  </w:r>
                </w:p>
              </w:tc>
            </w:tr>
            <w:tr w14:paraId="6CCA4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14:paraId="27ADDB58">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2</w:t>
                  </w:r>
                </w:p>
              </w:tc>
              <w:tc>
                <w:tcPr>
                  <w:tcW w:w="593" w:type="pct"/>
                  <w:noWrap w:val="0"/>
                  <w:vAlign w:val="center"/>
                </w:tcPr>
                <w:p w14:paraId="43C96B54">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sz w:val="21"/>
                      <w:szCs w:val="21"/>
                      <w:highlight w:val="none"/>
                    </w:rPr>
                    <w:t>NO</w:t>
                  </w:r>
                  <w:r>
                    <w:rPr>
                      <w:rFonts w:hint="default" w:ascii="Times New Roman" w:hAnsi="Times New Roman" w:cs="Times New Roman"/>
                      <w:sz w:val="21"/>
                      <w:szCs w:val="21"/>
                      <w:highlight w:val="none"/>
                      <w:vertAlign w:val="subscript"/>
                    </w:rPr>
                    <w:t>2</w:t>
                  </w:r>
                </w:p>
              </w:tc>
              <w:tc>
                <w:tcPr>
                  <w:tcW w:w="678" w:type="pct"/>
                  <w:noWrap w:val="0"/>
                  <w:vAlign w:val="center"/>
                </w:tcPr>
                <w:p w14:paraId="593AE67A">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40</w:t>
                  </w:r>
                </w:p>
              </w:tc>
              <w:tc>
                <w:tcPr>
                  <w:tcW w:w="933" w:type="pct"/>
                  <w:noWrap w:val="0"/>
                  <w:vAlign w:val="center"/>
                </w:tcPr>
                <w:p w14:paraId="2326EB80">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80</w:t>
                  </w:r>
                </w:p>
              </w:tc>
              <w:tc>
                <w:tcPr>
                  <w:tcW w:w="848" w:type="pct"/>
                  <w:noWrap w:val="0"/>
                  <w:vAlign w:val="center"/>
                </w:tcPr>
                <w:p w14:paraId="57BBB5DC">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w:t>
                  </w:r>
                </w:p>
              </w:tc>
              <w:tc>
                <w:tcPr>
                  <w:tcW w:w="763" w:type="pct"/>
                  <w:noWrap w:val="0"/>
                  <w:vAlign w:val="center"/>
                </w:tcPr>
                <w:p w14:paraId="521BD2B8">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200</w:t>
                  </w:r>
                </w:p>
              </w:tc>
              <w:tc>
                <w:tcPr>
                  <w:tcW w:w="914" w:type="pct"/>
                  <w:vMerge w:val="continue"/>
                  <w:noWrap w:val="0"/>
                  <w:vAlign w:val="center"/>
                </w:tcPr>
                <w:p w14:paraId="77A5DAAC">
                  <w:pPr>
                    <w:adjustRightInd w:val="0"/>
                    <w:snapToGrid w:val="0"/>
                    <w:spacing w:line="360" w:lineRule="auto"/>
                    <w:jc w:val="center"/>
                    <w:rPr>
                      <w:rFonts w:hint="default" w:ascii="Times New Roman" w:hAnsi="Times New Roman" w:cs="Times New Roman"/>
                      <w:kern w:val="21"/>
                      <w:sz w:val="21"/>
                      <w:szCs w:val="21"/>
                      <w:highlight w:val="none"/>
                    </w:rPr>
                  </w:pPr>
                </w:p>
              </w:tc>
            </w:tr>
            <w:tr w14:paraId="70B21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14:paraId="5D06EC35">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3</w:t>
                  </w:r>
                </w:p>
              </w:tc>
              <w:tc>
                <w:tcPr>
                  <w:tcW w:w="593" w:type="pct"/>
                  <w:noWrap w:val="0"/>
                  <w:vAlign w:val="center"/>
                </w:tcPr>
                <w:p w14:paraId="6333FDA1">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sz w:val="21"/>
                      <w:szCs w:val="21"/>
                      <w:highlight w:val="none"/>
                    </w:rPr>
                    <w:t>PM</w:t>
                  </w:r>
                  <w:r>
                    <w:rPr>
                      <w:rFonts w:hint="default" w:ascii="Times New Roman" w:hAnsi="Times New Roman" w:cs="Times New Roman"/>
                      <w:sz w:val="21"/>
                      <w:szCs w:val="21"/>
                      <w:highlight w:val="none"/>
                      <w:vertAlign w:val="subscript"/>
                    </w:rPr>
                    <w:t>10</w:t>
                  </w:r>
                </w:p>
              </w:tc>
              <w:tc>
                <w:tcPr>
                  <w:tcW w:w="678" w:type="pct"/>
                  <w:noWrap w:val="0"/>
                  <w:vAlign w:val="center"/>
                </w:tcPr>
                <w:p w14:paraId="4D747FB5">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70</w:t>
                  </w:r>
                </w:p>
              </w:tc>
              <w:tc>
                <w:tcPr>
                  <w:tcW w:w="933" w:type="pct"/>
                  <w:noWrap w:val="0"/>
                  <w:vAlign w:val="center"/>
                </w:tcPr>
                <w:p w14:paraId="32E8E968">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150</w:t>
                  </w:r>
                </w:p>
              </w:tc>
              <w:tc>
                <w:tcPr>
                  <w:tcW w:w="848" w:type="pct"/>
                  <w:noWrap w:val="0"/>
                  <w:vAlign w:val="center"/>
                </w:tcPr>
                <w:p w14:paraId="42AFC2E8">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w:t>
                  </w:r>
                </w:p>
              </w:tc>
              <w:tc>
                <w:tcPr>
                  <w:tcW w:w="763" w:type="pct"/>
                  <w:noWrap w:val="0"/>
                  <w:vAlign w:val="center"/>
                </w:tcPr>
                <w:p w14:paraId="69C27908">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w:t>
                  </w:r>
                </w:p>
              </w:tc>
              <w:tc>
                <w:tcPr>
                  <w:tcW w:w="914" w:type="pct"/>
                  <w:vMerge w:val="continue"/>
                  <w:noWrap w:val="0"/>
                  <w:vAlign w:val="center"/>
                </w:tcPr>
                <w:p w14:paraId="74488948">
                  <w:pPr>
                    <w:adjustRightInd w:val="0"/>
                    <w:snapToGrid w:val="0"/>
                    <w:spacing w:line="360" w:lineRule="auto"/>
                    <w:jc w:val="center"/>
                    <w:rPr>
                      <w:rFonts w:hint="default" w:ascii="Times New Roman" w:hAnsi="Times New Roman" w:cs="Times New Roman"/>
                      <w:kern w:val="21"/>
                      <w:sz w:val="21"/>
                      <w:szCs w:val="21"/>
                      <w:highlight w:val="none"/>
                    </w:rPr>
                  </w:pPr>
                </w:p>
              </w:tc>
            </w:tr>
            <w:tr w14:paraId="270E1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14:paraId="67B2950B">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4</w:t>
                  </w:r>
                </w:p>
              </w:tc>
              <w:tc>
                <w:tcPr>
                  <w:tcW w:w="593" w:type="pct"/>
                  <w:noWrap w:val="0"/>
                  <w:vAlign w:val="center"/>
                </w:tcPr>
                <w:p w14:paraId="6EAB4D97">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sz w:val="21"/>
                      <w:szCs w:val="21"/>
                      <w:highlight w:val="none"/>
                    </w:rPr>
                    <w:t>PM</w:t>
                  </w:r>
                  <w:r>
                    <w:rPr>
                      <w:rFonts w:hint="default" w:ascii="Times New Roman" w:hAnsi="Times New Roman" w:cs="Times New Roman"/>
                      <w:sz w:val="21"/>
                      <w:szCs w:val="21"/>
                      <w:highlight w:val="none"/>
                      <w:vertAlign w:val="subscript"/>
                    </w:rPr>
                    <w:t>2.5</w:t>
                  </w:r>
                </w:p>
              </w:tc>
              <w:tc>
                <w:tcPr>
                  <w:tcW w:w="678" w:type="pct"/>
                  <w:noWrap w:val="0"/>
                  <w:vAlign w:val="center"/>
                </w:tcPr>
                <w:p w14:paraId="15A1D546">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35</w:t>
                  </w:r>
                </w:p>
              </w:tc>
              <w:tc>
                <w:tcPr>
                  <w:tcW w:w="933" w:type="pct"/>
                  <w:noWrap w:val="0"/>
                  <w:vAlign w:val="center"/>
                </w:tcPr>
                <w:p w14:paraId="316E66F7">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75</w:t>
                  </w:r>
                </w:p>
              </w:tc>
              <w:tc>
                <w:tcPr>
                  <w:tcW w:w="848" w:type="pct"/>
                  <w:noWrap w:val="0"/>
                  <w:vAlign w:val="center"/>
                </w:tcPr>
                <w:p w14:paraId="3D99B3E6">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w:t>
                  </w:r>
                </w:p>
              </w:tc>
              <w:tc>
                <w:tcPr>
                  <w:tcW w:w="763" w:type="pct"/>
                  <w:noWrap w:val="0"/>
                  <w:vAlign w:val="center"/>
                </w:tcPr>
                <w:p w14:paraId="1610E24C">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w:t>
                  </w:r>
                </w:p>
              </w:tc>
              <w:tc>
                <w:tcPr>
                  <w:tcW w:w="914" w:type="pct"/>
                  <w:vMerge w:val="continue"/>
                  <w:noWrap w:val="0"/>
                  <w:vAlign w:val="center"/>
                </w:tcPr>
                <w:p w14:paraId="2B066042">
                  <w:pPr>
                    <w:adjustRightInd w:val="0"/>
                    <w:snapToGrid w:val="0"/>
                    <w:spacing w:line="360" w:lineRule="auto"/>
                    <w:jc w:val="center"/>
                    <w:rPr>
                      <w:rFonts w:hint="default" w:ascii="Times New Roman" w:hAnsi="Times New Roman" w:cs="Times New Roman"/>
                      <w:kern w:val="21"/>
                      <w:sz w:val="21"/>
                      <w:szCs w:val="21"/>
                      <w:highlight w:val="none"/>
                    </w:rPr>
                  </w:pPr>
                </w:p>
              </w:tc>
            </w:tr>
            <w:tr w14:paraId="3E0FC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14:paraId="3275B0FD">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5</w:t>
                  </w:r>
                </w:p>
              </w:tc>
              <w:tc>
                <w:tcPr>
                  <w:tcW w:w="593" w:type="pct"/>
                  <w:noWrap w:val="0"/>
                  <w:vAlign w:val="center"/>
                </w:tcPr>
                <w:p w14:paraId="58131E88">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sz w:val="21"/>
                      <w:szCs w:val="21"/>
                      <w:highlight w:val="none"/>
                    </w:rPr>
                    <w:t>CO</w:t>
                  </w:r>
                </w:p>
              </w:tc>
              <w:tc>
                <w:tcPr>
                  <w:tcW w:w="678" w:type="pct"/>
                  <w:noWrap w:val="0"/>
                  <w:vAlign w:val="center"/>
                </w:tcPr>
                <w:p w14:paraId="04BFD40A">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w:t>
                  </w:r>
                </w:p>
              </w:tc>
              <w:tc>
                <w:tcPr>
                  <w:tcW w:w="933" w:type="pct"/>
                  <w:noWrap w:val="0"/>
                  <w:vAlign w:val="center"/>
                </w:tcPr>
                <w:p w14:paraId="7E577A70">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4000</w:t>
                  </w:r>
                </w:p>
              </w:tc>
              <w:tc>
                <w:tcPr>
                  <w:tcW w:w="848" w:type="pct"/>
                  <w:noWrap w:val="0"/>
                  <w:vAlign w:val="center"/>
                </w:tcPr>
                <w:p w14:paraId="017ED4D9">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w:t>
                  </w:r>
                </w:p>
              </w:tc>
              <w:tc>
                <w:tcPr>
                  <w:tcW w:w="763" w:type="pct"/>
                  <w:noWrap w:val="0"/>
                  <w:vAlign w:val="center"/>
                </w:tcPr>
                <w:p w14:paraId="6B71AAFB">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10000</w:t>
                  </w:r>
                </w:p>
              </w:tc>
              <w:tc>
                <w:tcPr>
                  <w:tcW w:w="914" w:type="pct"/>
                  <w:vMerge w:val="continue"/>
                  <w:noWrap w:val="0"/>
                  <w:vAlign w:val="center"/>
                </w:tcPr>
                <w:p w14:paraId="7D536D81">
                  <w:pPr>
                    <w:adjustRightInd w:val="0"/>
                    <w:snapToGrid w:val="0"/>
                    <w:spacing w:line="360" w:lineRule="auto"/>
                    <w:jc w:val="center"/>
                    <w:rPr>
                      <w:rFonts w:hint="default" w:ascii="Times New Roman" w:hAnsi="Times New Roman" w:cs="Times New Roman"/>
                      <w:kern w:val="21"/>
                      <w:sz w:val="21"/>
                      <w:szCs w:val="21"/>
                      <w:highlight w:val="none"/>
                    </w:rPr>
                  </w:pPr>
                </w:p>
              </w:tc>
            </w:tr>
            <w:tr w14:paraId="4850DC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14:paraId="36919282">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6</w:t>
                  </w:r>
                </w:p>
              </w:tc>
              <w:tc>
                <w:tcPr>
                  <w:tcW w:w="593" w:type="pct"/>
                  <w:noWrap w:val="0"/>
                  <w:vAlign w:val="center"/>
                </w:tcPr>
                <w:p w14:paraId="651DE0A0">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sz w:val="21"/>
                      <w:szCs w:val="21"/>
                      <w:highlight w:val="none"/>
                    </w:rPr>
                    <w:t>O</w:t>
                  </w:r>
                  <w:r>
                    <w:rPr>
                      <w:rFonts w:hint="default" w:ascii="Times New Roman" w:hAnsi="Times New Roman" w:cs="Times New Roman"/>
                      <w:sz w:val="21"/>
                      <w:szCs w:val="21"/>
                      <w:highlight w:val="none"/>
                      <w:vertAlign w:val="subscript"/>
                    </w:rPr>
                    <w:t>3</w:t>
                  </w:r>
                </w:p>
              </w:tc>
              <w:tc>
                <w:tcPr>
                  <w:tcW w:w="678" w:type="pct"/>
                  <w:noWrap w:val="0"/>
                  <w:vAlign w:val="center"/>
                </w:tcPr>
                <w:p w14:paraId="2AD53407">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w:t>
                  </w:r>
                </w:p>
              </w:tc>
              <w:tc>
                <w:tcPr>
                  <w:tcW w:w="933" w:type="pct"/>
                  <w:noWrap w:val="0"/>
                  <w:vAlign w:val="center"/>
                </w:tcPr>
                <w:p w14:paraId="0659CB23">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w:t>
                  </w:r>
                </w:p>
              </w:tc>
              <w:tc>
                <w:tcPr>
                  <w:tcW w:w="848" w:type="pct"/>
                  <w:noWrap w:val="0"/>
                  <w:vAlign w:val="center"/>
                </w:tcPr>
                <w:p w14:paraId="52593850">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160</w:t>
                  </w:r>
                </w:p>
              </w:tc>
              <w:tc>
                <w:tcPr>
                  <w:tcW w:w="763" w:type="pct"/>
                  <w:noWrap w:val="0"/>
                  <w:vAlign w:val="center"/>
                </w:tcPr>
                <w:p w14:paraId="0C0A69C5">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200</w:t>
                  </w:r>
                </w:p>
              </w:tc>
              <w:tc>
                <w:tcPr>
                  <w:tcW w:w="914" w:type="pct"/>
                  <w:vMerge w:val="continue"/>
                  <w:noWrap w:val="0"/>
                  <w:vAlign w:val="center"/>
                </w:tcPr>
                <w:p w14:paraId="36CDED93">
                  <w:pPr>
                    <w:adjustRightInd w:val="0"/>
                    <w:snapToGrid w:val="0"/>
                    <w:spacing w:line="360" w:lineRule="auto"/>
                    <w:jc w:val="center"/>
                    <w:rPr>
                      <w:rFonts w:hint="default" w:ascii="Times New Roman" w:hAnsi="Times New Roman" w:cs="Times New Roman"/>
                      <w:kern w:val="21"/>
                      <w:sz w:val="21"/>
                      <w:szCs w:val="21"/>
                      <w:highlight w:val="none"/>
                    </w:rPr>
                  </w:pPr>
                </w:p>
              </w:tc>
            </w:tr>
            <w:tr w14:paraId="5BA1D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14:paraId="5F432C92">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7</w:t>
                  </w:r>
                </w:p>
              </w:tc>
              <w:tc>
                <w:tcPr>
                  <w:tcW w:w="593" w:type="pct"/>
                  <w:noWrap w:val="0"/>
                  <w:vAlign w:val="center"/>
                </w:tcPr>
                <w:p w14:paraId="35609B97">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TSP</w:t>
                  </w:r>
                </w:p>
              </w:tc>
              <w:tc>
                <w:tcPr>
                  <w:tcW w:w="678" w:type="pct"/>
                  <w:noWrap w:val="0"/>
                  <w:vAlign w:val="center"/>
                </w:tcPr>
                <w:p w14:paraId="0CE24A3C">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200</w:t>
                  </w:r>
                </w:p>
              </w:tc>
              <w:tc>
                <w:tcPr>
                  <w:tcW w:w="933" w:type="pct"/>
                  <w:noWrap w:val="0"/>
                  <w:vAlign w:val="center"/>
                </w:tcPr>
                <w:p w14:paraId="0CEEDDC4">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300</w:t>
                  </w:r>
                </w:p>
              </w:tc>
              <w:tc>
                <w:tcPr>
                  <w:tcW w:w="848" w:type="pct"/>
                  <w:noWrap w:val="0"/>
                  <w:vAlign w:val="center"/>
                </w:tcPr>
                <w:p w14:paraId="65615E41">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w:t>
                  </w:r>
                </w:p>
              </w:tc>
              <w:tc>
                <w:tcPr>
                  <w:tcW w:w="763" w:type="pct"/>
                  <w:noWrap w:val="0"/>
                  <w:vAlign w:val="center"/>
                </w:tcPr>
                <w:p w14:paraId="50567495">
                  <w:pPr>
                    <w:adjustRightInd w:val="0"/>
                    <w:snapToGrid w:val="0"/>
                    <w:spacing w:line="360" w:lineRule="auto"/>
                    <w:jc w:val="center"/>
                    <w:rPr>
                      <w:rFonts w:hint="default" w:ascii="Times New Roman" w:hAnsi="Times New Roman" w:cs="Times New Roman"/>
                      <w:kern w:val="21"/>
                      <w:sz w:val="21"/>
                      <w:szCs w:val="21"/>
                      <w:highlight w:val="none"/>
                    </w:rPr>
                  </w:pPr>
                  <w:r>
                    <w:rPr>
                      <w:rFonts w:hint="default" w:ascii="Times New Roman" w:hAnsi="Times New Roman" w:cs="Times New Roman"/>
                      <w:kern w:val="21"/>
                      <w:sz w:val="21"/>
                      <w:szCs w:val="21"/>
                      <w:highlight w:val="none"/>
                    </w:rPr>
                    <w:t>/</w:t>
                  </w:r>
                </w:p>
              </w:tc>
              <w:tc>
                <w:tcPr>
                  <w:tcW w:w="914" w:type="pct"/>
                  <w:vMerge w:val="continue"/>
                  <w:noWrap w:val="0"/>
                  <w:vAlign w:val="center"/>
                </w:tcPr>
                <w:p w14:paraId="126D86C0">
                  <w:pPr>
                    <w:adjustRightInd w:val="0"/>
                    <w:snapToGrid w:val="0"/>
                    <w:spacing w:line="360" w:lineRule="auto"/>
                    <w:jc w:val="center"/>
                    <w:rPr>
                      <w:rFonts w:hint="default" w:ascii="Times New Roman" w:hAnsi="Times New Roman" w:cs="Times New Roman"/>
                      <w:kern w:val="21"/>
                      <w:sz w:val="21"/>
                      <w:szCs w:val="21"/>
                      <w:highlight w:val="none"/>
                    </w:rPr>
                  </w:pPr>
                </w:p>
              </w:tc>
            </w:tr>
          </w:tbl>
          <w:p w14:paraId="7A2239BA">
            <w:pPr>
              <w:adjustRightInd w:val="0"/>
              <w:snapToGrid w:val="0"/>
              <w:spacing w:line="360" w:lineRule="auto"/>
              <w:ind w:firstLine="480" w:firstLineChars="200"/>
              <w:rPr>
                <w:rFonts w:hint="default" w:ascii="Times New Roman" w:hAnsi="Times New Roman" w:cs="Times New Roman"/>
                <w:kern w:val="21"/>
                <w:sz w:val="24"/>
                <w:highlight w:val="none"/>
              </w:rPr>
            </w:pPr>
            <w:r>
              <w:rPr>
                <w:rFonts w:hint="default" w:ascii="Times New Roman" w:hAnsi="Times New Roman" w:cs="Times New Roman"/>
                <w:kern w:val="21"/>
                <w:sz w:val="24"/>
                <w:highlight w:val="none"/>
                <w:lang w:val="en-US" w:eastAsia="zh-CN"/>
              </w:rPr>
              <w:t>（2）</w:t>
            </w:r>
            <w:r>
              <w:rPr>
                <w:rFonts w:hint="default" w:ascii="Times New Roman" w:hAnsi="Times New Roman" w:cs="Times New Roman"/>
                <w:kern w:val="21"/>
                <w:sz w:val="24"/>
                <w:highlight w:val="none"/>
              </w:rPr>
              <w:t>声环境质量标准</w:t>
            </w:r>
          </w:p>
          <w:p w14:paraId="43EEE150">
            <w:pPr>
              <w:pStyle w:val="24"/>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cs="Times New Roman"/>
                <w:spacing w:val="-1"/>
                <w:sz w:val="24"/>
                <w:szCs w:val="24"/>
                <w:highlight w:val="none"/>
                <w:lang w:eastAsia="zh-CN"/>
              </w:rPr>
            </w:pPr>
            <w:r>
              <w:rPr>
                <w:rFonts w:hint="default" w:ascii="Times New Roman" w:hAnsi="Times New Roman" w:cs="Times New Roman"/>
                <w:kern w:val="0"/>
                <w:sz w:val="24"/>
                <w:szCs w:val="24"/>
                <w:highlight w:val="none"/>
              </w:rPr>
              <w:t>线路</w:t>
            </w:r>
            <w:r>
              <w:rPr>
                <w:rFonts w:hint="default" w:ascii="Times New Roman" w:hAnsi="Times New Roman" w:cs="Times New Roman"/>
                <w:kern w:val="0"/>
                <w:sz w:val="24"/>
                <w:szCs w:val="24"/>
                <w:highlight w:val="none"/>
                <w:lang w:val="en-US" w:eastAsia="zh-CN"/>
              </w:rPr>
              <w:t>途经G510国道</w:t>
            </w:r>
            <w:r>
              <w:rPr>
                <w:rFonts w:hint="default" w:ascii="Times New Roman" w:hAnsi="Times New Roman" w:cs="Times New Roman"/>
                <w:kern w:val="0"/>
                <w:sz w:val="24"/>
                <w:szCs w:val="24"/>
                <w:highlight w:val="none"/>
              </w:rPr>
              <w:t>等</w:t>
            </w:r>
            <w:r>
              <w:rPr>
                <w:rFonts w:hint="default" w:ascii="Times New Roman" w:hAnsi="Times New Roman" w:cs="Times New Roman"/>
                <w:kern w:val="0"/>
                <w:sz w:val="24"/>
                <w:szCs w:val="24"/>
                <w:highlight w:val="none"/>
                <w:lang w:val="en-US" w:eastAsia="zh-CN"/>
              </w:rPr>
              <w:t>主要交通干线</w:t>
            </w:r>
            <w:r>
              <w:rPr>
                <w:rFonts w:hint="default" w:ascii="Times New Roman" w:hAnsi="Times New Roman" w:cs="Times New Roman"/>
                <w:kern w:val="0"/>
                <w:sz w:val="24"/>
                <w:szCs w:val="24"/>
                <w:highlight w:val="none"/>
              </w:rPr>
              <w:t>，</w:t>
            </w:r>
            <w:r>
              <w:rPr>
                <w:rFonts w:hint="default" w:ascii="Times New Roman" w:hAnsi="Times New Roman" w:cs="Times New Roman"/>
                <w:kern w:val="0"/>
                <w:sz w:val="24"/>
                <w:szCs w:val="24"/>
                <w:highlight w:val="none"/>
                <w:lang w:val="en-US" w:eastAsia="zh-CN"/>
              </w:rPr>
              <w:t>该区域</w:t>
            </w:r>
            <w:r>
              <w:rPr>
                <w:rFonts w:hint="default" w:ascii="Times New Roman" w:hAnsi="Times New Roman" w:cs="Times New Roman"/>
                <w:kern w:val="0"/>
                <w:sz w:val="24"/>
                <w:szCs w:val="24"/>
                <w:highlight w:val="none"/>
              </w:rPr>
              <w:t>噪声执行《声环境质量标准》(GB3096-2008)4a类标准要求</w:t>
            </w:r>
            <w:r>
              <w:rPr>
                <w:rFonts w:hint="default" w:ascii="Times New Roman" w:hAnsi="Times New Roman" w:eastAsia="宋体" w:cs="Times New Roman"/>
                <w:color w:val="auto"/>
                <w:kern w:val="0"/>
                <w:sz w:val="24"/>
                <w:szCs w:val="24"/>
                <w:highlight w:val="none"/>
                <w:lang w:val="en-US" w:eastAsia="zh-CN"/>
              </w:rPr>
              <w:t>；线路</w:t>
            </w:r>
            <w:r>
              <w:rPr>
                <w:rFonts w:hint="default" w:ascii="Times New Roman" w:hAnsi="Times New Roman" w:cs="Times New Roman"/>
                <w:sz w:val="24"/>
                <w:szCs w:val="24"/>
                <w:highlight w:val="none"/>
              </w:rPr>
              <w:t>经过工业活动等较多的村庄线路路段，噪声执行《声环境质量标准》(GB3096-2008)2类标准要求</w:t>
            </w:r>
            <w:r>
              <w:rPr>
                <w:rFonts w:hint="default" w:ascii="Times New Roman" w:hAnsi="Times New Roman" w:cs="Times New Roman"/>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线路途经农村区域执行属于《声环境质量标准》(GB3096-2008)1类声环境功能区。</w:t>
            </w:r>
          </w:p>
          <w:p w14:paraId="22A040E6">
            <w:pPr>
              <w:adjustRightInd w:val="0"/>
              <w:snapToGrid w:val="0"/>
              <w:spacing w:line="360" w:lineRule="auto"/>
              <w:jc w:val="center"/>
              <w:rPr>
                <w:b/>
                <w:bCs/>
                <w:kern w:val="21"/>
                <w:sz w:val="24"/>
                <w:highlight w:val="none"/>
              </w:rPr>
            </w:pPr>
            <w:r>
              <w:rPr>
                <w:b/>
                <w:bCs/>
                <w:kern w:val="21"/>
                <w:sz w:val="24"/>
                <w:highlight w:val="none"/>
              </w:rPr>
              <w:t>表</w:t>
            </w:r>
            <w:r>
              <w:rPr>
                <w:rFonts w:hint="eastAsia"/>
                <w:b/>
                <w:bCs/>
                <w:kern w:val="21"/>
                <w:sz w:val="24"/>
                <w:highlight w:val="none"/>
                <w:lang w:val="en-US" w:eastAsia="zh-CN"/>
              </w:rPr>
              <w:t>3-12</w:t>
            </w:r>
            <w:r>
              <w:rPr>
                <w:b/>
                <w:bCs/>
                <w:kern w:val="21"/>
                <w:sz w:val="24"/>
                <w:highlight w:val="none"/>
              </w:rPr>
              <w:t>声环境质量标准</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5"/>
              <w:gridCol w:w="1861"/>
              <w:gridCol w:w="1571"/>
              <w:gridCol w:w="2508"/>
            </w:tblGrid>
            <w:tr w14:paraId="49AC4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4" w:type="pct"/>
                  <w:vMerge w:val="restart"/>
                  <w:tcBorders>
                    <w:top w:val="single" w:color="auto" w:sz="12" w:space="0"/>
                    <w:bottom w:val="single" w:color="auto" w:sz="4" w:space="0"/>
                  </w:tcBorders>
                  <w:noWrap w:val="0"/>
                  <w:vAlign w:val="center"/>
                </w:tcPr>
                <w:p w14:paraId="6DEC8519">
                  <w:pPr>
                    <w:adjustRightInd w:val="0"/>
                    <w:snapToGrid w:val="0"/>
                    <w:spacing w:line="360" w:lineRule="auto"/>
                    <w:jc w:val="center"/>
                    <w:rPr>
                      <w:rFonts w:ascii="Times New Roman" w:hAnsi="Times New Roman" w:eastAsia="宋体" w:cs="宋体"/>
                      <w:kern w:val="21"/>
                      <w:sz w:val="21"/>
                      <w:szCs w:val="21"/>
                      <w:highlight w:val="none"/>
                    </w:rPr>
                  </w:pPr>
                  <w:r>
                    <w:rPr>
                      <w:rFonts w:ascii="Times New Roman" w:hAnsi="Times New Roman" w:eastAsia="宋体" w:cs="宋体"/>
                      <w:kern w:val="21"/>
                      <w:sz w:val="21"/>
                      <w:szCs w:val="21"/>
                      <w:highlight w:val="none"/>
                    </w:rPr>
                    <w:t>声环境功能区类别</w:t>
                  </w:r>
                </w:p>
              </w:tc>
              <w:tc>
                <w:tcPr>
                  <w:tcW w:w="2187" w:type="pct"/>
                  <w:gridSpan w:val="2"/>
                  <w:tcBorders>
                    <w:top w:val="single" w:color="auto" w:sz="12" w:space="0"/>
                    <w:bottom w:val="single" w:color="auto" w:sz="4" w:space="0"/>
                    <w:right w:val="single" w:color="auto" w:sz="4" w:space="0"/>
                  </w:tcBorders>
                  <w:noWrap w:val="0"/>
                  <w:vAlign w:val="center"/>
                </w:tcPr>
                <w:p w14:paraId="5C9F155A">
                  <w:pPr>
                    <w:adjustRightInd w:val="0"/>
                    <w:snapToGrid w:val="0"/>
                    <w:spacing w:line="360" w:lineRule="auto"/>
                    <w:jc w:val="center"/>
                    <w:rPr>
                      <w:rFonts w:ascii="Times New Roman" w:hAnsi="Times New Roman" w:eastAsia="宋体" w:cs="宋体"/>
                      <w:kern w:val="21"/>
                      <w:sz w:val="21"/>
                      <w:szCs w:val="21"/>
                      <w:highlight w:val="none"/>
                    </w:rPr>
                  </w:pPr>
                  <w:r>
                    <w:rPr>
                      <w:rFonts w:ascii="Times New Roman" w:hAnsi="Times New Roman" w:eastAsia="宋体" w:cs="宋体"/>
                      <w:kern w:val="21"/>
                      <w:sz w:val="21"/>
                      <w:szCs w:val="21"/>
                      <w:highlight w:val="none"/>
                    </w:rPr>
                    <w:t>噪声限值dB(A)</w:t>
                  </w:r>
                </w:p>
              </w:tc>
              <w:tc>
                <w:tcPr>
                  <w:tcW w:w="1598" w:type="pct"/>
                  <w:vMerge w:val="restart"/>
                  <w:tcBorders>
                    <w:left w:val="single" w:color="auto" w:sz="4" w:space="0"/>
                  </w:tcBorders>
                  <w:noWrap w:val="0"/>
                  <w:vAlign w:val="center"/>
                </w:tcPr>
                <w:p w14:paraId="41A89486">
                  <w:pPr>
                    <w:adjustRightInd w:val="0"/>
                    <w:snapToGrid w:val="0"/>
                    <w:spacing w:line="360" w:lineRule="auto"/>
                    <w:jc w:val="center"/>
                    <w:rPr>
                      <w:rFonts w:ascii="Times New Roman" w:hAnsi="Times New Roman" w:eastAsia="宋体" w:cs="宋体"/>
                      <w:kern w:val="21"/>
                      <w:sz w:val="21"/>
                      <w:szCs w:val="21"/>
                      <w:highlight w:val="none"/>
                    </w:rPr>
                  </w:pPr>
                  <w:r>
                    <w:rPr>
                      <w:rFonts w:ascii="Times New Roman" w:hAnsi="Times New Roman" w:eastAsia="宋体" w:cs="宋体"/>
                      <w:kern w:val="21"/>
                      <w:sz w:val="21"/>
                      <w:szCs w:val="21"/>
                      <w:highlight w:val="none"/>
                    </w:rPr>
                    <w:t>标准来源</w:t>
                  </w:r>
                </w:p>
              </w:tc>
            </w:tr>
            <w:tr w14:paraId="5B8229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4" w:type="pct"/>
                  <w:vMerge w:val="continue"/>
                  <w:tcBorders>
                    <w:top w:val="single" w:color="auto" w:sz="4" w:space="0"/>
                    <w:bottom w:val="single" w:color="auto" w:sz="4" w:space="0"/>
                  </w:tcBorders>
                  <w:noWrap w:val="0"/>
                  <w:vAlign w:val="center"/>
                </w:tcPr>
                <w:p w14:paraId="550CAED9">
                  <w:pPr>
                    <w:adjustRightInd w:val="0"/>
                    <w:snapToGrid w:val="0"/>
                    <w:spacing w:line="360" w:lineRule="auto"/>
                    <w:jc w:val="center"/>
                    <w:rPr>
                      <w:rFonts w:ascii="Times New Roman" w:hAnsi="Times New Roman" w:eastAsia="宋体" w:cs="宋体"/>
                      <w:kern w:val="21"/>
                      <w:sz w:val="21"/>
                      <w:szCs w:val="21"/>
                      <w:highlight w:val="none"/>
                    </w:rPr>
                  </w:pPr>
                </w:p>
              </w:tc>
              <w:tc>
                <w:tcPr>
                  <w:tcW w:w="1186" w:type="pct"/>
                  <w:tcBorders>
                    <w:top w:val="single" w:color="auto" w:sz="4" w:space="0"/>
                    <w:bottom w:val="single" w:color="auto" w:sz="4" w:space="0"/>
                  </w:tcBorders>
                  <w:noWrap w:val="0"/>
                  <w:vAlign w:val="center"/>
                </w:tcPr>
                <w:p w14:paraId="26CA2532">
                  <w:pPr>
                    <w:adjustRightInd w:val="0"/>
                    <w:snapToGrid w:val="0"/>
                    <w:spacing w:line="360" w:lineRule="auto"/>
                    <w:jc w:val="center"/>
                    <w:rPr>
                      <w:rFonts w:ascii="Times New Roman" w:hAnsi="Times New Roman" w:eastAsia="宋体" w:cs="宋体"/>
                      <w:kern w:val="21"/>
                      <w:sz w:val="21"/>
                      <w:szCs w:val="21"/>
                      <w:highlight w:val="none"/>
                    </w:rPr>
                  </w:pPr>
                  <w:r>
                    <w:rPr>
                      <w:rFonts w:ascii="Times New Roman" w:hAnsi="Times New Roman" w:eastAsia="宋体" w:cs="宋体"/>
                      <w:kern w:val="21"/>
                      <w:sz w:val="21"/>
                      <w:szCs w:val="21"/>
                      <w:highlight w:val="none"/>
                    </w:rPr>
                    <w:t>昼间</w:t>
                  </w:r>
                </w:p>
              </w:tc>
              <w:tc>
                <w:tcPr>
                  <w:tcW w:w="1001" w:type="pct"/>
                  <w:tcBorders>
                    <w:top w:val="single" w:color="auto" w:sz="4" w:space="0"/>
                    <w:bottom w:val="single" w:color="auto" w:sz="4" w:space="0"/>
                    <w:right w:val="single" w:color="auto" w:sz="4" w:space="0"/>
                  </w:tcBorders>
                  <w:noWrap w:val="0"/>
                  <w:vAlign w:val="center"/>
                </w:tcPr>
                <w:p w14:paraId="7BE76D78">
                  <w:pPr>
                    <w:adjustRightInd w:val="0"/>
                    <w:snapToGrid w:val="0"/>
                    <w:spacing w:line="360" w:lineRule="auto"/>
                    <w:jc w:val="center"/>
                    <w:rPr>
                      <w:rFonts w:ascii="Times New Roman" w:hAnsi="Times New Roman" w:eastAsia="宋体" w:cs="宋体"/>
                      <w:kern w:val="21"/>
                      <w:sz w:val="21"/>
                      <w:szCs w:val="21"/>
                      <w:highlight w:val="none"/>
                    </w:rPr>
                  </w:pPr>
                  <w:r>
                    <w:rPr>
                      <w:rFonts w:ascii="Times New Roman" w:hAnsi="Times New Roman" w:eastAsia="宋体" w:cs="宋体"/>
                      <w:kern w:val="21"/>
                      <w:sz w:val="21"/>
                      <w:szCs w:val="21"/>
                      <w:highlight w:val="none"/>
                    </w:rPr>
                    <w:t>夜间</w:t>
                  </w:r>
                </w:p>
              </w:tc>
              <w:tc>
                <w:tcPr>
                  <w:tcW w:w="1598" w:type="pct"/>
                  <w:vMerge w:val="continue"/>
                  <w:tcBorders>
                    <w:left w:val="single" w:color="auto" w:sz="4" w:space="0"/>
                  </w:tcBorders>
                  <w:noWrap w:val="0"/>
                  <w:vAlign w:val="center"/>
                </w:tcPr>
                <w:p w14:paraId="5F05154E">
                  <w:pPr>
                    <w:adjustRightInd w:val="0"/>
                    <w:snapToGrid w:val="0"/>
                    <w:spacing w:line="360" w:lineRule="auto"/>
                    <w:jc w:val="center"/>
                    <w:rPr>
                      <w:rFonts w:ascii="Times New Roman" w:hAnsi="Times New Roman" w:eastAsia="宋体" w:cs="宋体"/>
                      <w:kern w:val="21"/>
                      <w:sz w:val="21"/>
                      <w:szCs w:val="21"/>
                      <w:highlight w:val="none"/>
                    </w:rPr>
                  </w:pPr>
                </w:p>
              </w:tc>
            </w:tr>
            <w:tr w14:paraId="7FB11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4" w:type="pct"/>
                  <w:tcBorders>
                    <w:top w:val="single" w:color="auto" w:sz="4" w:space="0"/>
                  </w:tcBorders>
                  <w:noWrap w:val="0"/>
                  <w:vAlign w:val="center"/>
                </w:tcPr>
                <w:p w14:paraId="3D04C50A">
                  <w:pPr>
                    <w:adjustRightInd w:val="0"/>
                    <w:snapToGrid w:val="0"/>
                    <w:spacing w:line="360" w:lineRule="auto"/>
                    <w:jc w:val="center"/>
                    <w:rPr>
                      <w:rFonts w:ascii="Times New Roman" w:hAnsi="Times New Roman" w:eastAsia="宋体" w:cs="宋体"/>
                      <w:kern w:val="21"/>
                      <w:sz w:val="21"/>
                      <w:szCs w:val="21"/>
                      <w:highlight w:val="none"/>
                    </w:rPr>
                  </w:pPr>
                  <w:r>
                    <w:rPr>
                      <w:rFonts w:ascii="Times New Roman" w:hAnsi="Times New Roman" w:eastAsia="宋体" w:cs="宋体"/>
                      <w:kern w:val="21"/>
                      <w:sz w:val="21"/>
                      <w:szCs w:val="21"/>
                      <w:highlight w:val="none"/>
                    </w:rPr>
                    <w:t>1类</w:t>
                  </w:r>
                </w:p>
              </w:tc>
              <w:tc>
                <w:tcPr>
                  <w:tcW w:w="1186" w:type="pct"/>
                  <w:tcBorders>
                    <w:top w:val="single" w:color="auto" w:sz="4" w:space="0"/>
                  </w:tcBorders>
                  <w:noWrap w:val="0"/>
                  <w:vAlign w:val="center"/>
                </w:tcPr>
                <w:p w14:paraId="072322A8">
                  <w:pPr>
                    <w:adjustRightInd w:val="0"/>
                    <w:snapToGrid w:val="0"/>
                    <w:spacing w:line="360" w:lineRule="auto"/>
                    <w:jc w:val="center"/>
                    <w:rPr>
                      <w:rFonts w:ascii="Times New Roman" w:hAnsi="Times New Roman" w:eastAsia="宋体" w:cs="宋体"/>
                      <w:kern w:val="21"/>
                      <w:sz w:val="21"/>
                      <w:szCs w:val="21"/>
                      <w:highlight w:val="none"/>
                    </w:rPr>
                  </w:pPr>
                  <w:r>
                    <w:rPr>
                      <w:rFonts w:ascii="Times New Roman" w:hAnsi="Times New Roman" w:eastAsia="宋体" w:cs="宋体"/>
                      <w:kern w:val="21"/>
                      <w:sz w:val="21"/>
                      <w:szCs w:val="21"/>
                      <w:highlight w:val="none"/>
                    </w:rPr>
                    <w:t>55</w:t>
                  </w:r>
                </w:p>
              </w:tc>
              <w:tc>
                <w:tcPr>
                  <w:tcW w:w="1001" w:type="pct"/>
                  <w:tcBorders>
                    <w:top w:val="single" w:color="auto" w:sz="4" w:space="0"/>
                  </w:tcBorders>
                  <w:noWrap w:val="0"/>
                  <w:vAlign w:val="center"/>
                </w:tcPr>
                <w:p w14:paraId="6BC1D326">
                  <w:pPr>
                    <w:adjustRightInd w:val="0"/>
                    <w:snapToGrid w:val="0"/>
                    <w:spacing w:line="360" w:lineRule="auto"/>
                    <w:jc w:val="center"/>
                    <w:rPr>
                      <w:rFonts w:ascii="Times New Roman" w:hAnsi="Times New Roman" w:eastAsia="宋体" w:cs="宋体"/>
                      <w:kern w:val="21"/>
                      <w:sz w:val="21"/>
                      <w:szCs w:val="21"/>
                      <w:highlight w:val="none"/>
                    </w:rPr>
                  </w:pPr>
                  <w:r>
                    <w:rPr>
                      <w:rFonts w:ascii="Times New Roman" w:hAnsi="Times New Roman" w:eastAsia="宋体" w:cs="宋体"/>
                      <w:kern w:val="21"/>
                      <w:sz w:val="21"/>
                      <w:szCs w:val="21"/>
                      <w:highlight w:val="none"/>
                    </w:rPr>
                    <w:t>45</w:t>
                  </w:r>
                </w:p>
              </w:tc>
              <w:tc>
                <w:tcPr>
                  <w:tcW w:w="1598" w:type="pct"/>
                  <w:vMerge w:val="restart"/>
                  <w:noWrap w:val="0"/>
                  <w:vAlign w:val="center"/>
                </w:tcPr>
                <w:p w14:paraId="68802E15">
                  <w:pPr>
                    <w:adjustRightInd w:val="0"/>
                    <w:snapToGrid w:val="0"/>
                    <w:spacing w:line="360" w:lineRule="auto"/>
                    <w:jc w:val="center"/>
                    <w:rPr>
                      <w:rFonts w:ascii="Times New Roman" w:hAnsi="Times New Roman" w:eastAsia="宋体" w:cs="宋体"/>
                      <w:kern w:val="21"/>
                      <w:sz w:val="21"/>
                      <w:szCs w:val="21"/>
                      <w:highlight w:val="none"/>
                    </w:rPr>
                  </w:pPr>
                  <w:r>
                    <w:rPr>
                      <w:rFonts w:ascii="Times New Roman" w:hAnsi="Times New Roman" w:eastAsia="宋体" w:cs="宋体"/>
                      <w:kern w:val="21"/>
                      <w:sz w:val="21"/>
                      <w:szCs w:val="21"/>
                      <w:highlight w:val="none"/>
                    </w:rPr>
                    <w:t>《声环境质量标准》(GB3096-2008)</w:t>
                  </w:r>
                </w:p>
              </w:tc>
            </w:tr>
            <w:tr w14:paraId="61E2A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4" w:type="pct"/>
                  <w:noWrap w:val="0"/>
                  <w:vAlign w:val="center"/>
                </w:tcPr>
                <w:p w14:paraId="1349CDC0">
                  <w:pPr>
                    <w:adjustRightInd w:val="0"/>
                    <w:snapToGrid w:val="0"/>
                    <w:spacing w:line="360" w:lineRule="auto"/>
                    <w:jc w:val="center"/>
                    <w:rPr>
                      <w:rFonts w:hint="default" w:ascii="Times New Roman" w:hAnsi="Times New Roman" w:eastAsia="宋体" w:cs="宋体"/>
                      <w:kern w:val="21"/>
                      <w:sz w:val="21"/>
                      <w:szCs w:val="21"/>
                      <w:highlight w:val="none"/>
                      <w:lang w:val="en-US" w:eastAsia="zh-CN"/>
                    </w:rPr>
                  </w:pPr>
                  <w:r>
                    <w:rPr>
                      <w:rFonts w:hint="eastAsia" w:ascii="Times New Roman" w:hAnsi="Times New Roman" w:eastAsia="宋体" w:cs="宋体"/>
                      <w:kern w:val="21"/>
                      <w:sz w:val="21"/>
                      <w:szCs w:val="21"/>
                      <w:highlight w:val="none"/>
                      <w:lang w:val="en-US" w:eastAsia="zh-CN"/>
                    </w:rPr>
                    <w:t>2类</w:t>
                  </w:r>
                </w:p>
              </w:tc>
              <w:tc>
                <w:tcPr>
                  <w:tcW w:w="1186" w:type="pct"/>
                  <w:noWrap w:val="0"/>
                  <w:vAlign w:val="center"/>
                </w:tcPr>
                <w:p w14:paraId="4B524C13">
                  <w:pPr>
                    <w:adjustRightInd w:val="0"/>
                    <w:snapToGrid w:val="0"/>
                    <w:spacing w:line="360" w:lineRule="auto"/>
                    <w:jc w:val="center"/>
                    <w:rPr>
                      <w:rFonts w:hint="default" w:ascii="Times New Roman" w:hAnsi="Times New Roman" w:eastAsia="宋体" w:cs="宋体"/>
                      <w:kern w:val="21"/>
                      <w:sz w:val="21"/>
                      <w:szCs w:val="21"/>
                      <w:highlight w:val="none"/>
                      <w:lang w:val="en-US" w:eastAsia="zh-CN"/>
                    </w:rPr>
                  </w:pPr>
                  <w:r>
                    <w:rPr>
                      <w:rFonts w:hint="eastAsia" w:ascii="Times New Roman" w:hAnsi="Times New Roman" w:eastAsia="宋体" w:cs="宋体"/>
                      <w:kern w:val="21"/>
                      <w:sz w:val="21"/>
                      <w:szCs w:val="21"/>
                      <w:highlight w:val="none"/>
                      <w:lang w:val="en-US" w:eastAsia="zh-CN"/>
                    </w:rPr>
                    <w:t>60</w:t>
                  </w:r>
                </w:p>
              </w:tc>
              <w:tc>
                <w:tcPr>
                  <w:tcW w:w="1001" w:type="pct"/>
                  <w:noWrap w:val="0"/>
                  <w:vAlign w:val="center"/>
                </w:tcPr>
                <w:p w14:paraId="3C60DE2E">
                  <w:pPr>
                    <w:adjustRightInd w:val="0"/>
                    <w:snapToGrid w:val="0"/>
                    <w:spacing w:line="360" w:lineRule="auto"/>
                    <w:jc w:val="center"/>
                    <w:rPr>
                      <w:rFonts w:hint="default" w:ascii="Times New Roman" w:hAnsi="Times New Roman" w:eastAsia="宋体" w:cs="宋体"/>
                      <w:kern w:val="21"/>
                      <w:sz w:val="21"/>
                      <w:szCs w:val="21"/>
                      <w:highlight w:val="none"/>
                      <w:lang w:val="en-US" w:eastAsia="zh-CN"/>
                    </w:rPr>
                  </w:pPr>
                  <w:r>
                    <w:rPr>
                      <w:rFonts w:hint="eastAsia" w:ascii="Times New Roman" w:hAnsi="Times New Roman" w:eastAsia="宋体" w:cs="宋体"/>
                      <w:kern w:val="21"/>
                      <w:sz w:val="21"/>
                      <w:szCs w:val="21"/>
                      <w:highlight w:val="none"/>
                      <w:lang w:val="en-US" w:eastAsia="zh-CN"/>
                    </w:rPr>
                    <w:t>50</w:t>
                  </w:r>
                </w:p>
              </w:tc>
              <w:tc>
                <w:tcPr>
                  <w:tcW w:w="1598" w:type="pct"/>
                  <w:vMerge w:val="continue"/>
                  <w:noWrap w:val="0"/>
                  <w:vAlign w:val="center"/>
                </w:tcPr>
                <w:p w14:paraId="0B4E548B">
                  <w:pPr>
                    <w:adjustRightInd w:val="0"/>
                    <w:snapToGrid w:val="0"/>
                    <w:spacing w:line="360" w:lineRule="auto"/>
                    <w:jc w:val="center"/>
                    <w:rPr>
                      <w:rFonts w:ascii="Times New Roman" w:hAnsi="Times New Roman" w:eastAsia="宋体" w:cs="宋体"/>
                      <w:kern w:val="21"/>
                      <w:sz w:val="21"/>
                      <w:szCs w:val="21"/>
                      <w:highlight w:val="none"/>
                    </w:rPr>
                  </w:pPr>
                </w:p>
              </w:tc>
            </w:tr>
            <w:tr w14:paraId="499C0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4" w:type="pct"/>
                  <w:noWrap w:val="0"/>
                  <w:vAlign w:val="center"/>
                </w:tcPr>
                <w:p w14:paraId="1433A83D">
                  <w:pPr>
                    <w:adjustRightInd w:val="0"/>
                    <w:snapToGrid w:val="0"/>
                    <w:spacing w:line="360" w:lineRule="auto"/>
                    <w:jc w:val="center"/>
                    <w:rPr>
                      <w:rFonts w:ascii="Times New Roman" w:hAnsi="Times New Roman" w:eastAsia="宋体" w:cs="宋体"/>
                      <w:kern w:val="21"/>
                      <w:sz w:val="21"/>
                      <w:szCs w:val="21"/>
                      <w:highlight w:val="none"/>
                      <w:lang w:val="en-US" w:eastAsia="zh-CN" w:bidi="ar-SA"/>
                    </w:rPr>
                  </w:pPr>
                  <w:r>
                    <w:rPr>
                      <w:rFonts w:ascii="Times New Roman" w:hAnsi="Times New Roman" w:eastAsia="宋体" w:cs="宋体"/>
                      <w:kern w:val="21"/>
                      <w:sz w:val="21"/>
                      <w:szCs w:val="21"/>
                      <w:highlight w:val="none"/>
                    </w:rPr>
                    <w:t>4a类</w:t>
                  </w:r>
                </w:p>
              </w:tc>
              <w:tc>
                <w:tcPr>
                  <w:tcW w:w="1186" w:type="pct"/>
                  <w:noWrap w:val="0"/>
                  <w:vAlign w:val="center"/>
                </w:tcPr>
                <w:p w14:paraId="3BBDD493">
                  <w:pPr>
                    <w:adjustRightInd w:val="0"/>
                    <w:snapToGrid w:val="0"/>
                    <w:spacing w:line="360" w:lineRule="auto"/>
                    <w:jc w:val="center"/>
                    <w:rPr>
                      <w:rFonts w:ascii="Times New Roman" w:hAnsi="Times New Roman" w:eastAsia="宋体" w:cs="宋体"/>
                      <w:kern w:val="21"/>
                      <w:sz w:val="21"/>
                      <w:szCs w:val="21"/>
                      <w:highlight w:val="none"/>
                      <w:lang w:val="en-US" w:eastAsia="zh-CN" w:bidi="ar-SA"/>
                    </w:rPr>
                  </w:pPr>
                  <w:r>
                    <w:rPr>
                      <w:rFonts w:ascii="Times New Roman" w:hAnsi="Times New Roman" w:eastAsia="宋体" w:cs="宋体"/>
                      <w:kern w:val="21"/>
                      <w:sz w:val="21"/>
                      <w:szCs w:val="21"/>
                      <w:highlight w:val="none"/>
                    </w:rPr>
                    <w:t>70</w:t>
                  </w:r>
                </w:p>
              </w:tc>
              <w:tc>
                <w:tcPr>
                  <w:tcW w:w="1001" w:type="pct"/>
                  <w:noWrap w:val="0"/>
                  <w:vAlign w:val="center"/>
                </w:tcPr>
                <w:p w14:paraId="13A50474">
                  <w:pPr>
                    <w:adjustRightInd w:val="0"/>
                    <w:snapToGrid w:val="0"/>
                    <w:spacing w:line="360" w:lineRule="auto"/>
                    <w:jc w:val="center"/>
                    <w:rPr>
                      <w:rFonts w:ascii="Times New Roman" w:hAnsi="Times New Roman" w:eastAsia="宋体" w:cs="宋体"/>
                      <w:kern w:val="21"/>
                      <w:sz w:val="21"/>
                      <w:szCs w:val="21"/>
                      <w:highlight w:val="none"/>
                      <w:lang w:val="en-US" w:eastAsia="zh-CN" w:bidi="ar-SA"/>
                    </w:rPr>
                  </w:pPr>
                  <w:r>
                    <w:rPr>
                      <w:rFonts w:ascii="Times New Roman" w:hAnsi="Times New Roman" w:eastAsia="宋体" w:cs="宋体"/>
                      <w:kern w:val="21"/>
                      <w:sz w:val="21"/>
                      <w:szCs w:val="21"/>
                      <w:highlight w:val="none"/>
                    </w:rPr>
                    <w:t>55</w:t>
                  </w:r>
                </w:p>
              </w:tc>
              <w:tc>
                <w:tcPr>
                  <w:tcW w:w="1598" w:type="pct"/>
                  <w:vMerge w:val="continue"/>
                  <w:noWrap w:val="0"/>
                  <w:vAlign w:val="center"/>
                </w:tcPr>
                <w:p w14:paraId="65716EEA">
                  <w:pPr>
                    <w:adjustRightInd w:val="0"/>
                    <w:snapToGrid w:val="0"/>
                    <w:spacing w:line="360" w:lineRule="auto"/>
                    <w:jc w:val="center"/>
                    <w:rPr>
                      <w:rFonts w:ascii="Times New Roman" w:hAnsi="Times New Roman" w:eastAsia="宋体" w:cs="宋体"/>
                      <w:kern w:val="21"/>
                      <w:sz w:val="21"/>
                      <w:szCs w:val="21"/>
                      <w:highlight w:val="none"/>
                    </w:rPr>
                  </w:pPr>
                </w:p>
              </w:tc>
            </w:tr>
          </w:tbl>
          <w:p w14:paraId="5C39D1E9">
            <w:pPr>
              <w:pStyle w:val="24"/>
              <w:keepNext w:val="0"/>
              <w:keepLines w:val="0"/>
              <w:pageBreakBefore w:val="0"/>
              <w:widowControl w:val="0"/>
              <w:kinsoku/>
              <w:wordWrap/>
              <w:overflowPunct/>
              <w:topLinePunct w:val="0"/>
              <w:autoSpaceDE/>
              <w:autoSpaceDN/>
              <w:bidi w:val="0"/>
              <w:adjustRightInd w:val="0"/>
              <w:snapToGrid w:val="0"/>
              <w:spacing w:line="360" w:lineRule="auto"/>
              <w:ind w:right="0" w:firstLine="476" w:firstLineChars="200"/>
              <w:textAlignment w:val="auto"/>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eastAsia="zh-CN"/>
              </w:rPr>
              <w:t>（</w:t>
            </w:r>
            <w:r>
              <w:rPr>
                <w:rFonts w:hint="default" w:ascii="Times New Roman" w:hAnsi="Times New Roman" w:eastAsia="宋体" w:cs="Times New Roman"/>
                <w:spacing w:val="-1"/>
                <w:sz w:val="24"/>
                <w:szCs w:val="24"/>
                <w:highlight w:val="none"/>
                <w:lang w:val="en-US" w:eastAsia="zh-CN"/>
              </w:rPr>
              <w:t>3</w:t>
            </w:r>
            <w:r>
              <w:rPr>
                <w:rFonts w:hint="default" w:ascii="Times New Roman" w:hAnsi="Times New Roman" w:eastAsia="宋体" w:cs="Times New Roman"/>
                <w:spacing w:val="-1"/>
                <w:sz w:val="24"/>
                <w:szCs w:val="24"/>
                <w:highlight w:val="none"/>
                <w:lang w:eastAsia="zh-CN"/>
              </w:rPr>
              <w:t>）</w:t>
            </w:r>
            <w:r>
              <w:rPr>
                <w:rFonts w:hint="default" w:ascii="Times New Roman" w:hAnsi="Times New Roman" w:eastAsia="宋体" w:cs="Times New Roman"/>
                <w:spacing w:val="-1"/>
                <w:sz w:val="24"/>
                <w:szCs w:val="24"/>
                <w:highlight w:val="none"/>
                <w:lang w:val="en-US" w:eastAsia="zh-CN"/>
              </w:rPr>
              <w:t>电磁环境控制限值</w:t>
            </w:r>
          </w:p>
          <w:p w14:paraId="082205E0">
            <w:pPr>
              <w:adjustRightInd w:val="0"/>
              <w:snapToGrid w:val="0"/>
              <w:spacing w:line="360" w:lineRule="auto"/>
              <w:ind w:firstLine="480" w:firstLineChars="200"/>
              <w:rPr>
                <w:kern w:val="21"/>
                <w:sz w:val="24"/>
                <w:highlight w:val="none"/>
              </w:rPr>
            </w:pPr>
            <w:r>
              <w:rPr>
                <w:kern w:val="21"/>
                <w:sz w:val="24"/>
                <w:highlight w:val="none"/>
              </w:rPr>
              <w:t>输电线路沿线电磁环境现状工频电场强度、工频磁感应强度执行《电磁环境控制限值》(GB8702-2014)中“表1公众曝露控制限值”，频率f为0.05kHz，工频电场强度：200/f=4kV/m，工频磁感应强度5/f-100</w:t>
            </w:r>
            <w:r>
              <w:rPr>
                <w:sz w:val="24"/>
                <w:highlight w:val="none"/>
              </w:rPr>
              <w:t>μT</w:t>
            </w:r>
            <w:r>
              <w:rPr>
                <w:kern w:val="21"/>
                <w:sz w:val="24"/>
                <w:highlight w:val="none"/>
              </w:rPr>
              <w:t>(100</w:t>
            </w:r>
            <w:r>
              <w:rPr>
                <w:sz w:val="24"/>
                <w:highlight w:val="none"/>
              </w:rPr>
              <w:t>μT</w:t>
            </w:r>
            <w:r>
              <w:rPr>
                <w:kern w:val="21"/>
                <w:sz w:val="24"/>
                <w:highlight w:val="none"/>
              </w:rPr>
              <w:t>=0.1mT)。</w:t>
            </w:r>
          </w:p>
          <w:p w14:paraId="3FB9194A">
            <w:pPr>
              <w:adjustRightInd w:val="0"/>
              <w:snapToGrid w:val="0"/>
              <w:spacing w:line="360" w:lineRule="auto"/>
              <w:ind w:firstLine="480" w:firstLineChars="200"/>
              <w:rPr>
                <w:kern w:val="21"/>
                <w:sz w:val="24"/>
                <w:highlight w:val="none"/>
              </w:rPr>
            </w:pPr>
            <w:r>
              <w:rPr>
                <w:kern w:val="21"/>
                <w:sz w:val="24"/>
                <w:highlight w:val="none"/>
              </w:rPr>
              <w:t>架空输电线路线下的耕地、园地、牧草地、畜禽饲养地、养殖水面、道路等场所，其频率50Hz的电场强度控制限值为10kV/m。</w:t>
            </w:r>
          </w:p>
          <w:p w14:paraId="78A0DA0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en-US" w:eastAsia="zh-CN"/>
              </w:rPr>
              <w:t>2、</w:t>
            </w:r>
            <w:r>
              <w:rPr>
                <w:rFonts w:hint="default" w:ascii="Times New Roman" w:hAnsi="Times New Roman" w:eastAsia="宋体" w:cs="Times New Roman"/>
                <w:b/>
                <w:bCs/>
                <w:color w:val="auto"/>
                <w:kern w:val="21"/>
                <w:sz w:val="24"/>
                <w:szCs w:val="24"/>
                <w:highlight w:val="none"/>
                <w:lang w:val="en-US" w:eastAsia="zh-CN"/>
              </w:rPr>
              <w:t>污染物排放评价标准</w:t>
            </w:r>
          </w:p>
          <w:p w14:paraId="7EBA84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cs="Times New Roman"/>
                <w:b w:val="0"/>
                <w:bCs w:val="0"/>
                <w:color w:val="auto"/>
                <w:kern w:val="0"/>
                <w:sz w:val="24"/>
                <w:szCs w:val="24"/>
                <w:highlight w:val="none"/>
                <w:lang w:val="en-US" w:eastAsia="zh-CN"/>
              </w:rPr>
              <w:t>（1）</w:t>
            </w:r>
            <w:r>
              <w:rPr>
                <w:rFonts w:hint="default" w:ascii="Times New Roman" w:hAnsi="Times New Roman" w:eastAsia="宋体" w:cs="Times New Roman"/>
                <w:color w:val="auto"/>
                <w:kern w:val="21"/>
                <w:sz w:val="24"/>
                <w:szCs w:val="24"/>
                <w:highlight w:val="none"/>
                <w:lang w:val="en-US" w:eastAsia="zh-CN"/>
              </w:rPr>
              <w:t>废气：施工期扬尘排放执行《施工场地扬尘排放标准》(DB13/2934-2019)表1扬尘排放浓度限制。</w:t>
            </w:r>
          </w:p>
          <w:p w14:paraId="3EF22DD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表</w:t>
            </w:r>
            <w:r>
              <w:rPr>
                <w:rFonts w:hint="eastAsia" w:ascii="Times New Roman" w:hAnsi="Times New Roman" w:eastAsia="宋体" w:cs="Times New Roman"/>
                <w:b/>
                <w:bCs/>
                <w:color w:val="auto"/>
                <w:kern w:val="0"/>
                <w:sz w:val="24"/>
                <w:szCs w:val="24"/>
                <w:highlight w:val="none"/>
                <w:lang w:val="en-US" w:eastAsia="zh-CN"/>
              </w:rPr>
              <w:t>3</w:t>
            </w:r>
            <w:r>
              <w:rPr>
                <w:rFonts w:hint="default" w:ascii="Times New Roman" w:hAnsi="Times New Roman" w:eastAsia="宋体" w:cs="Times New Roman"/>
                <w:b/>
                <w:bCs/>
                <w:color w:val="auto"/>
                <w:kern w:val="0"/>
                <w:sz w:val="24"/>
                <w:szCs w:val="24"/>
                <w:highlight w:val="none"/>
                <w:lang w:val="en-US" w:eastAsia="zh-CN"/>
              </w:rPr>
              <w:t>-</w:t>
            </w:r>
            <w:r>
              <w:rPr>
                <w:rFonts w:hint="eastAsia" w:ascii="Times New Roman" w:hAnsi="Times New Roman" w:eastAsia="宋体" w:cs="Times New Roman"/>
                <w:b/>
                <w:bCs/>
                <w:color w:val="auto"/>
                <w:kern w:val="0"/>
                <w:sz w:val="24"/>
                <w:szCs w:val="24"/>
                <w:highlight w:val="none"/>
                <w:lang w:val="en-US" w:eastAsia="zh-CN"/>
              </w:rPr>
              <w:t>1</w:t>
            </w:r>
            <w:r>
              <w:rPr>
                <w:rFonts w:hint="eastAsia" w:cs="Times New Roman"/>
                <w:b/>
                <w:bCs/>
                <w:color w:val="auto"/>
                <w:kern w:val="0"/>
                <w:sz w:val="24"/>
                <w:szCs w:val="24"/>
                <w:highlight w:val="none"/>
                <w:lang w:val="en-US" w:eastAsia="zh-CN"/>
              </w:rPr>
              <w:t>3</w:t>
            </w:r>
            <w:r>
              <w:rPr>
                <w:rFonts w:hint="default" w:ascii="Times New Roman" w:hAnsi="Times New Roman" w:eastAsia="宋体" w:cs="Times New Roman"/>
                <w:b/>
                <w:bCs/>
                <w:color w:val="auto"/>
                <w:kern w:val="0"/>
                <w:sz w:val="24"/>
                <w:szCs w:val="24"/>
                <w:highlight w:val="none"/>
                <w:lang w:val="en-US" w:eastAsia="zh-CN"/>
              </w:rPr>
              <w:t>大气污染物排放标准</w:t>
            </w:r>
          </w:p>
          <w:tbl>
            <w:tblPr>
              <w:tblStyle w:val="19"/>
              <w:tblW w:w="5000"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799"/>
              <w:gridCol w:w="2937"/>
              <w:gridCol w:w="1122"/>
              <w:gridCol w:w="1409"/>
              <w:gridCol w:w="1578"/>
            </w:tblGrid>
            <w:tr w14:paraId="7534054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509" w:type="pct"/>
                  <w:tcBorders>
                    <w:tl2br w:val="nil"/>
                    <w:tr2bl w:val="nil"/>
                  </w:tcBorders>
                  <w:noWrap w:val="0"/>
                  <w:vAlign w:val="center"/>
                </w:tcPr>
                <w:p w14:paraId="447C211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类别</w:t>
                  </w:r>
                </w:p>
              </w:tc>
              <w:tc>
                <w:tcPr>
                  <w:tcW w:w="1872" w:type="pct"/>
                  <w:tcBorders>
                    <w:tl2br w:val="nil"/>
                    <w:tr2bl w:val="nil"/>
                  </w:tcBorders>
                  <w:noWrap w:val="0"/>
                  <w:vAlign w:val="center"/>
                </w:tcPr>
                <w:p w14:paraId="5372D89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标准</w:t>
                  </w:r>
                </w:p>
              </w:tc>
              <w:tc>
                <w:tcPr>
                  <w:tcW w:w="715" w:type="pct"/>
                  <w:tcBorders>
                    <w:tl2br w:val="nil"/>
                    <w:tr2bl w:val="nil"/>
                  </w:tcBorders>
                  <w:noWrap w:val="0"/>
                  <w:vAlign w:val="center"/>
                </w:tcPr>
                <w:p w14:paraId="7DCCEC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污染物名称</w:t>
                  </w:r>
                </w:p>
              </w:tc>
              <w:tc>
                <w:tcPr>
                  <w:tcW w:w="898" w:type="pct"/>
                  <w:tcBorders>
                    <w:tl2br w:val="nil"/>
                    <w:tr2bl w:val="nil"/>
                  </w:tcBorders>
                  <w:noWrap w:val="0"/>
                  <w:vAlign w:val="center"/>
                </w:tcPr>
                <w:p w14:paraId="1ECBFAD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限值</w:t>
                  </w:r>
                </w:p>
              </w:tc>
              <w:tc>
                <w:tcPr>
                  <w:tcW w:w="1003" w:type="pct"/>
                  <w:tcBorders>
                    <w:tl2br w:val="nil"/>
                    <w:tr2bl w:val="nil"/>
                  </w:tcBorders>
                  <w:noWrap w:val="0"/>
                  <w:vAlign w:val="center"/>
                </w:tcPr>
                <w:p w14:paraId="02DFF5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达标判定依据</w:t>
                  </w:r>
                </w:p>
                <w:p w14:paraId="24E163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(次/天)</w:t>
                  </w:r>
                </w:p>
              </w:tc>
            </w:tr>
            <w:tr w14:paraId="7612951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509" w:type="pct"/>
                  <w:tcBorders>
                    <w:tl2br w:val="nil"/>
                    <w:tr2bl w:val="nil"/>
                  </w:tcBorders>
                  <w:noWrap w:val="0"/>
                  <w:vAlign w:val="center"/>
                </w:tcPr>
                <w:p w14:paraId="2AC83DE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施工期扬尘</w:t>
                  </w:r>
                </w:p>
              </w:tc>
              <w:tc>
                <w:tcPr>
                  <w:tcW w:w="1872" w:type="pct"/>
                  <w:tcBorders>
                    <w:tl2br w:val="nil"/>
                    <w:tr2bl w:val="nil"/>
                  </w:tcBorders>
                  <w:noWrap w:val="0"/>
                  <w:vAlign w:val="center"/>
                </w:tcPr>
                <w:p w14:paraId="256668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《施工场地扬尘排放标准》(DB13/2934-2019)表1扬尘排放浓度限制</w:t>
                  </w:r>
                </w:p>
              </w:tc>
              <w:tc>
                <w:tcPr>
                  <w:tcW w:w="715" w:type="pct"/>
                  <w:tcBorders>
                    <w:tl2br w:val="nil"/>
                    <w:tr2bl w:val="nil"/>
                  </w:tcBorders>
                  <w:noWrap w:val="0"/>
                  <w:vAlign w:val="center"/>
                </w:tcPr>
                <w:p w14:paraId="0123ECC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PM</w:t>
                  </w:r>
                  <w:r>
                    <w:rPr>
                      <w:rFonts w:hint="default" w:ascii="Times New Roman" w:hAnsi="Times New Roman" w:eastAsia="宋体" w:cs="Times New Roman"/>
                      <w:b w:val="0"/>
                      <w:bCs w:val="0"/>
                      <w:color w:val="auto"/>
                      <w:kern w:val="2"/>
                      <w:sz w:val="21"/>
                      <w:szCs w:val="21"/>
                      <w:highlight w:val="none"/>
                      <w:vertAlign w:val="subscript"/>
                      <w:lang w:val="en-US" w:eastAsia="zh-CN"/>
                    </w:rPr>
                    <w:t>10</w:t>
                  </w:r>
                </w:p>
              </w:tc>
              <w:tc>
                <w:tcPr>
                  <w:tcW w:w="898" w:type="pct"/>
                  <w:tcBorders>
                    <w:tl2br w:val="nil"/>
                    <w:tr2bl w:val="nil"/>
                  </w:tcBorders>
                  <w:noWrap w:val="0"/>
                  <w:vAlign w:val="center"/>
                </w:tcPr>
                <w:p w14:paraId="16ACD03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监测点浓度限值a≤80μg/m</w:t>
                  </w:r>
                  <w:r>
                    <w:rPr>
                      <w:rFonts w:hint="default" w:ascii="Times New Roman" w:hAnsi="Times New Roman" w:eastAsia="宋体" w:cs="Times New Roman"/>
                      <w:b w:val="0"/>
                      <w:bCs w:val="0"/>
                      <w:color w:val="auto"/>
                      <w:kern w:val="2"/>
                      <w:sz w:val="21"/>
                      <w:szCs w:val="21"/>
                      <w:highlight w:val="none"/>
                      <w:vertAlign w:val="superscript"/>
                      <w:lang w:val="en-US" w:eastAsia="zh-CN"/>
                    </w:rPr>
                    <w:t>3</w:t>
                  </w:r>
                </w:p>
              </w:tc>
              <w:tc>
                <w:tcPr>
                  <w:tcW w:w="1003" w:type="pct"/>
                  <w:tcBorders>
                    <w:tl2br w:val="nil"/>
                    <w:tr2bl w:val="nil"/>
                  </w:tcBorders>
                  <w:noWrap w:val="0"/>
                  <w:vAlign w:val="center"/>
                </w:tcPr>
                <w:p w14:paraId="7168A03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≤2</w:t>
                  </w:r>
                </w:p>
              </w:tc>
            </w:tr>
            <w:tr w14:paraId="6CDE476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5000" w:type="pct"/>
                  <w:gridSpan w:val="5"/>
                  <w:tcBorders>
                    <w:tl2br w:val="nil"/>
                    <w:tr2bl w:val="nil"/>
                  </w:tcBorders>
                  <w:noWrap w:val="0"/>
                  <w:vAlign w:val="center"/>
                </w:tcPr>
                <w:p w14:paraId="118648C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a指监测点PM</w:t>
                  </w:r>
                  <w:r>
                    <w:rPr>
                      <w:rFonts w:hint="default" w:ascii="Times New Roman" w:hAnsi="Times New Roman" w:eastAsia="宋体" w:cs="Times New Roman"/>
                      <w:color w:val="auto"/>
                      <w:kern w:val="21"/>
                      <w:sz w:val="21"/>
                      <w:szCs w:val="21"/>
                      <w:highlight w:val="none"/>
                      <w:vertAlign w:val="subscript"/>
                      <w:lang w:val="en-US" w:eastAsia="zh-CN"/>
                    </w:rPr>
                    <w:t>10</w:t>
                  </w:r>
                  <w:r>
                    <w:rPr>
                      <w:rFonts w:hint="default" w:ascii="Times New Roman" w:hAnsi="Times New Roman" w:eastAsia="宋体" w:cs="Times New Roman"/>
                      <w:color w:val="auto"/>
                      <w:kern w:val="21"/>
                      <w:sz w:val="21"/>
                      <w:szCs w:val="21"/>
                      <w:highlight w:val="none"/>
                      <w:lang w:val="en-US" w:eastAsia="zh-CN"/>
                    </w:rPr>
                    <w:t>小时平均浓度实测值与同时段所属县(市、区)PM</w:t>
                  </w:r>
                  <w:r>
                    <w:rPr>
                      <w:rFonts w:hint="default" w:ascii="Times New Roman" w:hAnsi="Times New Roman" w:eastAsia="宋体" w:cs="Times New Roman"/>
                      <w:color w:val="auto"/>
                      <w:kern w:val="21"/>
                      <w:sz w:val="21"/>
                      <w:szCs w:val="21"/>
                      <w:highlight w:val="none"/>
                      <w:vertAlign w:val="subscript"/>
                      <w:lang w:val="en-US" w:eastAsia="zh-CN"/>
                    </w:rPr>
                    <w:t>10</w:t>
                  </w:r>
                  <w:r>
                    <w:rPr>
                      <w:rFonts w:hint="default" w:ascii="Times New Roman" w:hAnsi="Times New Roman" w:eastAsia="宋体" w:cs="Times New Roman"/>
                      <w:color w:val="auto"/>
                      <w:kern w:val="21"/>
                      <w:sz w:val="21"/>
                      <w:szCs w:val="21"/>
                      <w:highlight w:val="none"/>
                      <w:lang w:val="en-US" w:eastAsia="zh-CN"/>
                    </w:rPr>
                    <w:t>小时平均浓度的差值。当县(市、区)PM</w:t>
                  </w:r>
                  <w:r>
                    <w:rPr>
                      <w:rFonts w:hint="default" w:ascii="Times New Roman" w:hAnsi="Times New Roman" w:eastAsia="宋体" w:cs="Times New Roman"/>
                      <w:color w:val="auto"/>
                      <w:kern w:val="21"/>
                      <w:sz w:val="21"/>
                      <w:szCs w:val="21"/>
                      <w:highlight w:val="none"/>
                      <w:vertAlign w:val="subscript"/>
                      <w:lang w:val="en-US" w:eastAsia="zh-CN"/>
                    </w:rPr>
                    <w:t>10</w:t>
                  </w:r>
                  <w:r>
                    <w:rPr>
                      <w:rFonts w:hint="default" w:ascii="Times New Roman" w:hAnsi="Times New Roman" w:eastAsia="宋体" w:cs="Times New Roman"/>
                      <w:color w:val="auto"/>
                      <w:kern w:val="21"/>
                      <w:sz w:val="21"/>
                      <w:szCs w:val="21"/>
                      <w:highlight w:val="none"/>
                      <w:lang w:val="en-US" w:eastAsia="zh-CN"/>
                    </w:rPr>
                    <w:t>小时平均浓度值大于150µg/m</w:t>
                  </w:r>
                  <w:r>
                    <w:rPr>
                      <w:rFonts w:hint="default" w:ascii="Times New Roman" w:hAnsi="Times New Roman" w:eastAsia="宋体" w:cs="Times New Roman"/>
                      <w:color w:val="auto"/>
                      <w:kern w:val="21"/>
                      <w:sz w:val="21"/>
                      <w:szCs w:val="21"/>
                      <w:highlight w:val="none"/>
                      <w:vertAlign w:val="superscript"/>
                      <w:lang w:val="en-US" w:eastAsia="zh-CN"/>
                    </w:rPr>
                    <w:t>3</w:t>
                  </w:r>
                  <w:r>
                    <w:rPr>
                      <w:rFonts w:hint="default" w:ascii="Times New Roman" w:hAnsi="Times New Roman" w:eastAsia="宋体" w:cs="Times New Roman"/>
                      <w:color w:val="auto"/>
                      <w:kern w:val="21"/>
                      <w:sz w:val="21"/>
                      <w:szCs w:val="21"/>
                      <w:highlight w:val="none"/>
                      <w:lang w:val="en-US" w:eastAsia="zh-CN"/>
                    </w:rPr>
                    <w:t>时，以150µg/m</w:t>
                  </w:r>
                  <w:r>
                    <w:rPr>
                      <w:rFonts w:hint="default" w:ascii="Times New Roman" w:hAnsi="Times New Roman" w:eastAsia="宋体" w:cs="Times New Roman"/>
                      <w:color w:val="auto"/>
                      <w:kern w:val="21"/>
                      <w:sz w:val="21"/>
                      <w:szCs w:val="21"/>
                      <w:highlight w:val="none"/>
                      <w:vertAlign w:val="superscript"/>
                      <w:lang w:val="en-US" w:eastAsia="zh-CN"/>
                    </w:rPr>
                    <w:t>3</w:t>
                  </w:r>
                  <w:r>
                    <w:rPr>
                      <w:rFonts w:hint="default" w:ascii="Times New Roman" w:hAnsi="Times New Roman" w:eastAsia="宋体" w:cs="Times New Roman"/>
                      <w:color w:val="auto"/>
                      <w:kern w:val="21"/>
                      <w:sz w:val="21"/>
                      <w:szCs w:val="21"/>
                      <w:highlight w:val="none"/>
                      <w:lang w:val="en-US" w:eastAsia="zh-CN"/>
                    </w:rPr>
                    <w:t>计。</w:t>
                  </w:r>
                </w:p>
              </w:tc>
            </w:tr>
          </w:tbl>
          <w:p w14:paraId="7EAF2C9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val="en-US" w:eastAsia="zh-CN"/>
              </w:rPr>
              <w:t>噪声评价标准</w:t>
            </w:r>
          </w:p>
          <w:p w14:paraId="1C0E2A9F">
            <w:pPr>
              <w:adjustRightInd w:val="0"/>
              <w:snapToGrid w:val="0"/>
              <w:spacing w:line="360" w:lineRule="auto"/>
              <w:ind w:firstLine="480" w:firstLineChars="200"/>
              <w:rPr>
                <w:kern w:val="21"/>
                <w:sz w:val="24"/>
                <w:highlight w:val="none"/>
              </w:rPr>
            </w:pPr>
            <w:r>
              <w:rPr>
                <w:kern w:val="21"/>
                <w:sz w:val="24"/>
                <w:highlight w:val="none"/>
              </w:rPr>
              <w:t>建筑施工场界噪声执行《建筑施工场界环境噪声排放标准》(GB12523-2011)中噪声限值；</w:t>
            </w:r>
          </w:p>
          <w:p w14:paraId="7D3DE2BA">
            <w:pPr>
              <w:adjustRightInd w:val="0"/>
              <w:snapToGrid w:val="0"/>
              <w:spacing w:line="360" w:lineRule="auto"/>
              <w:ind w:firstLine="480" w:firstLineChars="200"/>
              <w:rPr>
                <w:kern w:val="21"/>
                <w:sz w:val="24"/>
                <w:highlight w:val="none"/>
              </w:rPr>
            </w:pPr>
            <w:r>
              <w:rPr>
                <w:rFonts w:hint="eastAsia"/>
                <w:kern w:val="21"/>
                <w:sz w:val="24"/>
                <w:highlight w:val="none"/>
                <w:lang w:eastAsia="zh-CN"/>
              </w:rPr>
              <w:t>运营期</w:t>
            </w:r>
            <w:r>
              <w:rPr>
                <w:kern w:val="21"/>
                <w:sz w:val="24"/>
                <w:highlight w:val="none"/>
              </w:rPr>
              <w:t>产生的噪声执行《声环境质量标准》(GB3096-2008)标准要求，标准值见下表。</w:t>
            </w:r>
          </w:p>
          <w:p w14:paraId="449020CD">
            <w:pPr>
              <w:adjustRightInd w:val="0"/>
              <w:snapToGrid w:val="0"/>
              <w:spacing w:line="360" w:lineRule="auto"/>
              <w:jc w:val="center"/>
              <w:rPr>
                <w:b/>
                <w:bCs/>
                <w:kern w:val="0"/>
                <w:sz w:val="24"/>
                <w:highlight w:val="none"/>
              </w:rPr>
            </w:pPr>
            <w:r>
              <w:rPr>
                <w:b/>
                <w:bCs/>
                <w:kern w:val="0"/>
                <w:sz w:val="24"/>
                <w:highlight w:val="none"/>
              </w:rPr>
              <w:t>表</w:t>
            </w:r>
            <w:r>
              <w:rPr>
                <w:rFonts w:hint="eastAsia"/>
                <w:b/>
                <w:bCs/>
                <w:kern w:val="0"/>
                <w:sz w:val="24"/>
                <w:highlight w:val="none"/>
                <w:lang w:val="en-US" w:eastAsia="zh-CN"/>
              </w:rPr>
              <w:t>3-14</w:t>
            </w:r>
            <w:r>
              <w:rPr>
                <w:b/>
                <w:bCs/>
                <w:kern w:val="0"/>
                <w:sz w:val="24"/>
                <w:highlight w:val="none"/>
              </w:rPr>
              <w:t>噪声排放标准</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345"/>
              <w:gridCol w:w="2380"/>
              <w:gridCol w:w="2137"/>
              <w:gridCol w:w="1980"/>
            </w:tblGrid>
            <w:tr w14:paraId="62CBE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857" w:type="pct"/>
                  <w:noWrap w:val="0"/>
                  <w:vAlign w:val="center"/>
                </w:tcPr>
                <w:p w14:paraId="2ABD41C3">
                  <w:pPr>
                    <w:spacing w:line="360" w:lineRule="auto"/>
                    <w:jc w:val="center"/>
                    <w:rPr>
                      <w:sz w:val="21"/>
                      <w:szCs w:val="21"/>
                      <w:highlight w:val="none"/>
                    </w:rPr>
                  </w:pPr>
                  <w:r>
                    <w:rPr>
                      <w:sz w:val="21"/>
                      <w:szCs w:val="21"/>
                      <w:highlight w:val="none"/>
                    </w:rPr>
                    <w:t>项目阶段</w:t>
                  </w:r>
                </w:p>
              </w:tc>
              <w:tc>
                <w:tcPr>
                  <w:tcW w:w="1517" w:type="pct"/>
                  <w:noWrap w:val="0"/>
                  <w:vAlign w:val="center"/>
                </w:tcPr>
                <w:p w14:paraId="7A7AE930">
                  <w:pPr>
                    <w:spacing w:line="360" w:lineRule="auto"/>
                    <w:jc w:val="center"/>
                    <w:rPr>
                      <w:sz w:val="21"/>
                      <w:szCs w:val="21"/>
                      <w:highlight w:val="none"/>
                    </w:rPr>
                  </w:pPr>
                  <w:r>
                    <w:rPr>
                      <w:sz w:val="21"/>
                      <w:szCs w:val="21"/>
                      <w:highlight w:val="none"/>
                    </w:rPr>
                    <w:t>类别</w:t>
                  </w:r>
                </w:p>
              </w:tc>
              <w:tc>
                <w:tcPr>
                  <w:tcW w:w="1362" w:type="pct"/>
                  <w:noWrap w:val="0"/>
                  <w:vAlign w:val="center"/>
                </w:tcPr>
                <w:p w14:paraId="4063961C">
                  <w:pPr>
                    <w:spacing w:line="360" w:lineRule="auto"/>
                    <w:jc w:val="center"/>
                    <w:rPr>
                      <w:sz w:val="21"/>
                      <w:szCs w:val="21"/>
                      <w:highlight w:val="none"/>
                    </w:rPr>
                  </w:pPr>
                  <w:r>
                    <w:rPr>
                      <w:sz w:val="21"/>
                      <w:szCs w:val="21"/>
                      <w:highlight w:val="none"/>
                    </w:rPr>
                    <w:t>时段</w:t>
                  </w:r>
                </w:p>
              </w:tc>
              <w:tc>
                <w:tcPr>
                  <w:tcW w:w="1262" w:type="pct"/>
                  <w:noWrap w:val="0"/>
                  <w:vAlign w:val="center"/>
                </w:tcPr>
                <w:p w14:paraId="54EB2242">
                  <w:pPr>
                    <w:spacing w:line="360" w:lineRule="auto"/>
                    <w:jc w:val="center"/>
                    <w:rPr>
                      <w:sz w:val="21"/>
                      <w:szCs w:val="21"/>
                      <w:highlight w:val="none"/>
                    </w:rPr>
                  </w:pPr>
                  <w:r>
                    <w:rPr>
                      <w:sz w:val="21"/>
                      <w:szCs w:val="21"/>
                      <w:highlight w:val="none"/>
                    </w:rPr>
                    <w:t>标准值(dB)</w:t>
                  </w:r>
                </w:p>
              </w:tc>
            </w:tr>
            <w:tr w14:paraId="43BE8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857" w:type="pct"/>
                  <w:vMerge w:val="restart"/>
                  <w:noWrap w:val="0"/>
                  <w:vAlign w:val="center"/>
                </w:tcPr>
                <w:p w14:paraId="28007CCB">
                  <w:pPr>
                    <w:spacing w:line="360" w:lineRule="auto"/>
                    <w:jc w:val="center"/>
                    <w:rPr>
                      <w:sz w:val="21"/>
                      <w:szCs w:val="21"/>
                      <w:highlight w:val="none"/>
                    </w:rPr>
                  </w:pPr>
                  <w:r>
                    <w:rPr>
                      <w:sz w:val="21"/>
                      <w:szCs w:val="21"/>
                      <w:highlight w:val="none"/>
                    </w:rPr>
                    <w:t>施工期</w:t>
                  </w:r>
                </w:p>
              </w:tc>
              <w:tc>
                <w:tcPr>
                  <w:tcW w:w="1517" w:type="pct"/>
                  <w:vMerge w:val="restart"/>
                  <w:noWrap w:val="0"/>
                  <w:vAlign w:val="center"/>
                </w:tcPr>
                <w:p w14:paraId="02099EC9">
                  <w:pPr>
                    <w:spacing w:line="360" w:lineRule="auto"/>
                    <w:jc w:val="center"/>
                    <w:rPr>
                      <w:sz w:val="21"/>
                      <w:szCs w:val="21"/>
                      <w:highlight w:val="none"/>
                    </w:rPr>
                  </w:pPr>
                  <w:r>
                    <w:rPr>
                      <w:sz w:val="21"/>
                      <w:szCs w:val="21"/>
                      <w:highlight w:val="none"/>
                    </w:rPr>
                    <w:t>/</w:t>
                  </w:r>
                </w:p>
              </w:tc>
              <w:tc>
                <w:tcPr>
                  <w:tcW w:w="1362" w:type="pct"/>
                  <w:noWrap w:val="0"/>
                  <w:vAlign w:val="center"/>
                </w:tcPr>
                <w:p w14:paraId="0E452C77">
                  <w:pPr>
                    <w:spacing w:line="360" w:lineRule="auto"/>
                    <w:jc w:val="center"/>
                    <w:rPr>
                      <w:sz w:val="21"/>
                      <w:szCs w:val="21"/>
                      <w:highlight w:val="none"/>
                    </w:rPr>
                  </w:pPr>
                  <w:r>
                    <w:rPr>
                      <w:sz w:val="21"/>
                      <w:szCs w:val="21"/>
                      <w:highlight w:val="none"/>
                    </w:rPr>
                    <w:t>昼间</w:t>
                  </w:r>
                </w:p>
              </w:tc>
              <w:tc>
                <w:tcPr>
                  <w:tcW w:w="1262" w:type="pct"/>
                  <w:noWrap w:val="0"/>
                  <w:vAlign w:val="center"/>
                </w:tcPr>
                <w:p w14:paraId="7EE727C4">
                  <w:pPr>
                    <w:spacing w:line="360" w:lineRule="auto"/>
                    <w:jc w:val="center"/>
                    <w:rPr>
                      <w:sz w:val="21"/>
                      <w:szCs w:val="21"/>
                      <w:highlight w:val="none"/>
                    </w:rPr>
                  </w:pPr>
                  <w:r>
                    <w:rPr>
                      <w:sz w:val="21"/>
                      <w:szCs w:val="21"/>
                      <w:highlight w:val="none"/>
                    </w:rPr>
                    <w:t>70</w:t>
                  </w:r>
                </w:p>
              </w:tc>
            </w:tr>
            <w:tr w14:paraId="09888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857" w:type="pct"/>
                  <w:vMerge w:val="continue"/>
                  <w:noWrap w:val="0"/>
                  <w:vAlign w:val="center"/>
                </w:tcPr>
                <w:p w14:paraId="0ED1D719">
                  <w:pPr>
                    <w:spacing w:line="360" w:lineRule="auto"/>
                    <w:jc w:val="center"/>
                    <w:rPr>
                      <w:sz w:val="21"/>
                      <w:szCs w:val="21"/>
                      <w:highlight w:val="none"/>
                    </w:rPr>
                  </w:pPr>
                </w:p>
              </w:tc>
              <w:tc>
                <w:tcPr>
                  <w:tcW w:w="1517" w:type="pct"/>
                  <w:vMerge w:val="continue"/>
                  <w:noWrap w:val="0"/>
                  <w:vAlign w:val="center"/>
                </w:tcPr>
                <w:p w14:paraId="7C98E882">
                  <w:pPr>
                    <w:spacing w:line="360" w:lineRule="auto"/>
                    <w:jc w:val="center"/>
                    <w:rPr>
                      <w:sz w:val="21"/>
                      <w:szCs w:val="21"/>
                      <w:highlight w:val="none"/>
                    </w:rPr>
                  </w:pPr>
                </w:p>
              </w:tc>
              <w:tc>
                <w:tcPr>
                  <w:tcW w:w="1362" w:type="pct"/>
                  <w:noWrap w:val="0"/>
                  <w:vAlign w:val="center"/>
                </w:tcPr>
                <w:p w14:paraId="6F76AE7B">
                  <w:pPr>
                    <w:spacing w:line="360" w:lineRule="auto"/>
                    <w:jc w:val="center"/>
                    <w:rPr>
                      <w:sz w:val="21"/>
                      <w:szCs w:val="21"/>
                      <w:highlight w:val="none"/>
                    </w:rPr>
                  </w:pPr>
                  <w:r>
                    <w:rPr>
                      <w:sz w:val="21"/>
                      <w:szCs w:val="21"/>
                      <w:highlight w:val="none"/>
                    </w:rPr>
                    <w:t>夜间</w:t>
                  </w:r>
                </w:p>
              </w:tc>
              <w:tc>
                <w:tcPr>
                  <w:tcW w:w="1262" w:type="pct"/>
                  <w:noWrap w:val="0"/>
                  <w:vAlign w:val="center"/>
                </w:tcPr>
                <w:p w14:paraId="02B9BC1A">
                  <w:pPr>
                    <w:spacing w:line="360" w:lineRule="auto"/>
                    <w:jc w:val="center"/>
                    <w:rPr>
                      <w:sz w:val="21"/>
                      <w:szCs w:val="21"/>
                      <w:highlight w:val="none"/>
                    </w:rPr>
                  </w:pPr>
                  <w:r>
                    <w:rPr>
                      <w:sz w:val="21"/>
                      <w:szCs w:val="21"/>
                      <w:highlight w:val="none"/>
                    </w:rPr>
                    <w:t>55</w:t>
                  </w:r>
                </w:p>
              </w:tc>
            </w:tr>
            <w:tr w14:paraId="34A3A8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857" w:type="pct"/>
                  <w:vMerge w:val="restart"/>
                  <w:noWrap w:val="0"/>
                  <w:vAlign w:val="center"/>
                </w:tcPr>
                <w:p w14:paraId="2D22F2BF">
                  <w:pPr>
                    <w:spacing w:line="360" w:lineRule="auto"/>
                    <w:jc w:val="center"/>
                    <w:rPr>
                      <w:rFonts w:hint="eastAsia" w:eastAsia="宋体"/>
                      <w:sz w:val="21"/>
                      <w:szCs w:val="21"/>
                      <w:highlight w:val="none"/>
                      <w:lang w:eastAsia="zh-CN"/>
                    </w:rPr>
                  </w:pPr>
                  <w:r>
                    <w:rPr>
                      <w:rFonts w:hint="eastAsia"/>
                      <w:sz w:val="21"/>
                      <w:szCs w:val="21"/>
                      <w:highlight w:val="none"/>
                      <w:lang w:eastAsia="zh-CN"/>
                    </w:rPr>
                    <w:t>运营期</w:t>
                  </w:r>
                </w:p>
              </w:tc>
              <w:tc>
                <w:tcPr>
                  <w:tcW w:w="1517" w:type="pct"/>
                  <w:vMerge w:val="restart"/>
                  <w:noWrap w:val="0"/>
                  <w:vAlign w:val="center"/>
                </w:tcPr>
                <w:p w14:paraId="278D7B6F">
                  <w:pPr>
                    <w:spacing w:line="360" w:lineRule="auto"/>
                    <w:jc w:val="center"/>
                    <w:rPr>
                      <w:sz w:val="21"/>
                      <w:szCs w:val="21"/>
                      <w:highlight w:val="none"/>
                    </w:rPr>
                  </w:pPr>
                  <w:r>
                    <w:rPr>
                      <w:sz w:val="21"/>
                      <w:szCs w:val="21"/>
                      <w:highlight w:val="none"/>
                    </w:rPr>
                    <w:t>1类</w:t>
                  </w:r>
                </w:p>
              </w:tc>
              <w:tc>
                <w:tcPr>
                  <w:tcW w:w="1362" w:type="pct"/>
                  <w:noWrap w:val="0"/>
                  <w:vAlign w:val="center"/>
                </w:tcPr>
                <w:p w14:paraId="245C5AB5">
                  <w:pPr>
                    <w:spacing w:line="360" w:lineRule="auto"/>
                    <w:jc w:val="center"/>
                    <w:rPr>
                      <w:sz w:val="21"/>
                      <w:szCs w:val="21"/>
                      <w:highlight w:val="none"/>
                    </w:rPr>
                  </w:pPr>
                  <w:r>
                    <w:rPr>
                      <w:sz w:val="21"/>
                      <w:szCs w:val="21"/>
                      <w:highlight w:val="none"/>
                    </w:rPr>
                    <w:t>昼间</w:t>
                  </w:r>
                </w:p>
              </w:tc>
              <w:tc>
                <w:tcPr>
                  <w:tcW w:w="1262" w:type="pct"/>
                  <w:noWrap w:val="0"/>
                  <w:vAlign w:val="center"/>
                </w:tcPr>
                <w:p w14:paraId="27D3CDB5">
                  <w:pPr>
                    <w:spacing w:line="360" w:lineRule="auto"/>
                    <w:jc w:val="center"/>
                    <w:rPr>
                      <w:sz w:val="21"/>
                      <w:szCs w:val="21"/>
                      <w:highlight w:val="none"/>
                    </w:rPr>
                  </w:pPr>
                  <w:r>
                    <w:rPr>
                      <w:sz w:val="21"/>
                      <w:szCs w:val="21"/>
                      <w:highlight w:val="none"/>
                    </w:rPr>
                    <w:t>55</w:t>
                  </w:r>
                </w:p>
              </w:tc>
            </w:tr>
            <w:tr w14:paraId="614BB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857" w:type="pct"/>
                  <w:vMerge w:val="continue"/>
                  <w:noWrap w:val="0"/>
                  <w:vAlign w:val="center"/>
                </w:tcPr>
                <w:p w14:paraId="2CF1CC5F">
                  <w:pPr>
                    <w:spacing w:line="360" w:lineRule="auto"/>
                    <w:jc w:val="center"/>
                    <w:rPr>
                      <w:sz w:val="21"/>
                      <w:szCs w:val="21"/>
                      <w:highlight w:val="none"/>
                    </w:rPr>
                  </w:pPr>
                </w:p>
              </w:tc>
              <w:tc>
                <w:tcPr>
                  <w:tcW w:w="1517" w:type="pct"/>
                  <w:vMerge w:val="continue"/>
                  <w:noWrap w:val="0"/>
                  <w:vAlign w:val="center"/>
                </w:tcPr>
                <w:p w14:paraId="0F021840">
                  <w:pPr>
                    <w:spacing w:line="360" w:lineRule="auto"/>
                    <w:jc w:val="center"/>
                    <w:rPr>
                      <w:sz w:val="21"/>
                      <w:szCs w:val="21"/>
                      <w:highlight w:val="none"/>
                    </w:rPr>
                  </w:pPr>
                </w:p>
              </w:tc>
              <w:tc>
                <w:tcPr>
                  <w:tcW w:w="1362" w:type="pct"/>
                  <w:noWrap w:val="0"/>
                  <w:vAlign w:val="center"/>
                </w:tcPr>
                <w:p w14:paraId="305DAC40">
                  <w:pPr>
                    <w:spacing w:line="360" w:lineRule="auto"/>
                    <w:jc w:val="center"/>
                    <w:rPr>
                      <w:sz w:val="21"/>
                      <w:szCs w:val="21"/>
                      <w:highlight w:val="none"/>
                    </w:rPr>
                  </w:pPr>
                  <w:r>
                    <w:rPr>
                      <w:sz w:val="21"/>
                      <w:szCs w:val="21"/>
                      <w:highlight w:val="none"/>
                    </w:rPr>
                    <w:t>夜间</w:t>
                  </w:r>
                </w:p>
              </w:tc>
              <w:tc>
                <w:tcPr>
                  <w:tcW w:w="1262" w:type="pct"/>
                  <w:noWrap w:val="0"/>
                  <w:vAlign w:val="center"/>
                </w:tcPr>
                <w:p w14:paraId="180483D5">
                  <w:pPr>
                    <w:spacing w:line="360" w:lineRule="auto"/>
                    <w:jc w:val="center"/>
                    <w:rPr>
                      <w:sz w:val="21"/>
                      <w:szCs w:val="21"/>
                      <w:highlight w:val="none"/>
                    </w:rPr>
                  </w:pPr>
                  <w:r>
                    <w:rPr>
                      <w:sz w:val="21"/>
                      <w:szCs w:val="21"/>
                      <w:highlight w:val="none"/>
                    </w:rPr>
                    <w:t>45</w:t>
                  </w:r>
                </w:p>
              </w:tc>
            </w:tr>
            <w:tr w14:paraId="429F1B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857" w:type="pct"/>
                  <w:vMerge w:val="continue"/>
                  <w:noWrap w:val="0"/>
                  <w:vAlign w:val="center"/>
                </w:tcPr>
                <w:p w14:paraId="23E1E7B2">
                  <w:pPr>
                    <w:spacing w:line="360" w:lineRule="auto"/>
                    <w:jc w:val="center"/>
                    <w:rPr>
                      <w:sz w:val="21"/>
                      <w:szCs w:val="21"/>
                      <w:highlight w:val="none"/>
                    </w:rPr>
                  </w:pPr>
                </w:p>
              </w:tc>
              <w:tc>
                <w:tcPr>
                  <w:tcW w:w="1517" w:type="pct"/>
                  <w:vMerge w:val="restart"/>
                  <w:noWrap w:val="0"/>
                  <w:vAlign w:val="center"/>
                </w:tcPr>
                <w:p w14:paraId="00A88DC2">
                  <w:pPr>
                    <w:spacing w:line="360" w:lineRule="auto"/>
                    <w:jc w:val="center"/>
                    <w:rPr>
                      <w:rFonts w:hint="default" w:eastAsia="宋体"/>
                      <w:sz w:val="21"/>
                      <w:szCs w:val="21"/>
                      <w:highlight w:val="none"/>
                      <w:lang w:val="en-US" w:eastAsia="zh-CN"/>
                    </w:rPr>
                  </w:pPr>
                  <w:r>
                    <w:rPr>
                      <w:rFonts w:hint="eastAsia"/>
                      <w:sz w:val="21"/>
                      <w:szCs w:val="21"/>
                      <w:highlight w:val="none"/>
                      <w:lang w:val="en-US" w:eastAsia="zh-CN"/>
                    </w:rPr>
                    <w:t>2类</w:t>
                  </w:r>
                </w:p>
              </w:tc>
              <w:tc>
                <w:tcPr>
                  <w:tcW w:w="1362" w:type="pct"/>
                  <w:noWrap w:val="0"/>
                  <w:vAlign w:val="center"/>
                </w:tcPr>
                <w:p w14:paraId="4D2D325A">
                  <w:pPr>
                    <w:spacing w:line="360" w:lineRule="auto"/>
                    <w:jc w:val="center"/>
                    <w:rPr>
                      <w:rFonts w:cs="宋体"/>
                      <w:kern w:val="2"/>
                      <w:sz w:val="21"/>
                      <w:szCs w:val="21"/>
                      <w:highlight w:val="none"/>
                      <w:lang w:val="en-US" w:eastAsia="zh-CN" w:bidi="ar-SA"/>
                    </w:rPr>
                  </w:pPr>
                  <w:r>
                    <w:rPr>
                      <w:sz w:val="21"/>
                      <w:szCs w:val="21"/>
                      <w:highlight w:val="none"/>
                    </w:rPr>
                    <w:t>昼间</w:t>
                  </w:r>
                </w:p>
              </w:tc>
              <w:tc>
                <w:tcPr>
                  <w:tcW w:w="1262" w:type="pct"/>
                  <w:noWrap w:val="0"/>
                  <w:vAlign w:val="center"/>
                </w:tcPr>
                <w:p w14:paraId="3151D790">
                  <w:pPr>
                    <w:spacing w:line="360" w:lineRule="auto"/>
                    <w:jc w:val="center"/>
                    <w:rPr>
                      <w:rFonts w:hint="default" w:eastAsia="宋体"/>
                      <w:sz w:val="21"/>
                      <w:szCs w:val="21"/>
                      <w:highlight w:val="none"/>
                      <w:lang w:val="en-US" w:eastAsia="zh-CN"/>
                    </w:rPr>
                  </w:pPr>
                  <w:r>
                    <w:rPr>
                      <w:rFonts w:hint="eastAsia"/>
                      <w:sz w:val="21"/>
                      <w:szCs w:val="21"/>
                      <w:highlight w:val="none"/>
                      <w:lang w:val="en-US" w:eastAsia="zh-CN"/>
                    </w:rPr>
                    <w:t>60</w:t>
                  </w:r>
                </w:p>
              </w:tc>
            </w:tr>
            <w:tr w14:paraId="3633F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857" w:type="pct"/>
                  <w:vMerge w:val="continue"/>
                  <w:noWrap w:val="0"/>
                  <w:vAlign w:val="center"/>
                </w:tcPr>
                <w:p w14:paraId="6D10D9EB">
                  <w:pPr>
                    <w:spacing w:line="360" w:lineRule="auto"/>
                    <w:jc w:val="center"/>
                    <w:rPr>
                      <w:sz w:val="21"/>
                      <w:szCs w:val="21"/>
                      <w:highlight w:val="none"/>
                    </w:rPr>
                  </w:pPr>
                </w:p>
              </w:tc>
              <w:tc>
                <w:tcPr>
                  <w:tcW w:w="1517" w:type="pct"/>
                  <w:vMerge w:val="continue"/>
                  <w:noWrap w:val="0"/>
                  <w:vAlign w:val="center"/>
                </w:tcPr>
                <w:p w14:paraId="5CE7293A">
                  <w:pPr>
                    <w:spacing w:line="360" w:lineRule="auto"/>
                    <w:jc w:val="center"/>
                    <w:rPr>
                      <w:sz w:val="21"/>
                      <w:szCs w:val="21"/>
                      <w:highlight w:val="none"/>
                    </w:rPr>
                  </w:pPr>
                </w:p>
              </w:tc>
              <w:tc>
                <w:tcPr>
                  <w:tcW w:w="1362" w:type="pct"/>
                  <w:noWrap w:val="0"/>
                  <w:vAlign w:val="center"/>
                </w:tcPr>
                <w:p w14:paraId="50FE92F3">
                  <w:pPr>
                    <w:spacing w:line="360" w:lineRule="auto"/>
                    <w:jc w:val="center"/>
                    <w:rPr>
                      <w:rFonts w:cs="宋体"/>
                      <w:kern w:val="2"/>
                      <w:sz w:val="21"/>
                      <w:szCs w:val="21"/>
                      <w:highlight w:val="none"/>
                      <w:lang w:val="en-US" w:eastAsia="zh-CN" w:bidi="ar-SA"/>
                    </w:rPr>
                  </w:pPr>
                  <w:r>
                    <w:rPr>
                      <w:sz w:val="21"/>
                      <w:szCs w:val="21"/>
                      <w:highlight w:val="none"/>
                    </w:rPr>
                    <w:t>夜间</w:t>
                  </w:r>
                </w:p>
              </w:tc>
              <w:tc>
                <w:tcPr>
                  <w:tcW w:w="1262" w:type="pct"/>
                  <w:noWrap w:val="0"/>
                  <w:vAlign w:val="center"/>
                </w:tcPr>
                <w:p w14:paraId="5388C3C7">
                  <w:pPr>
                    <w:spacing w:line="360" w:lineRule="auto"/>
                    <w:jc w:val="center"/>
                    <w:rPr>
                      <w:rFonts w:hint="default" w:eastAsia="宋体"/>
                      <w:sz w:val="21"/>
                      <w:szCs w:val="21"/>
                      <w:highlight w:val="none"/>
                      <w:lang w:val="en-US" w:eastAsia="zh-CN"/>
                    </w:rPr>
                  </w:pPr>
                  <w:r>
                    <w:rPr>
                      <w:rFonts w:hint="eastAsia"/>
                      <w:sz w:val="21"/>
                      <w:szCs w:val="21"/>
                      <w:highlight w:val="none"/>
                      <w:lang w:val="en-US" w:eastAsia="zh-CN"/>
                    </w:rPr>
                    <w:t>50</w:t>
                  </w:r>
                </w:p>
              </w:tc>
            </w:tr>
            <w:tr w14:paraId="05D48E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857" w:type="pct"/>
                  <w:vMerge w:val="continue"/>
                  <w:noWrap w:val="0"/>
                  <w:vAlign w:val="center"/>
                </w:tcPr>
                <w:p w14:paraId="03C377E4">
                  <w:pPr>
                    <w:spacing w:line="360" w:lineRule="auto"/>
                    <w:jc w:val="center"/>
                    <w:rPr>
                      <w:sz w:val="21"/>
                      <w:szCs w:val="21"/>
                      <w:highlight w:val="none"/>
                    </w:rPr>
                  </w:pPr>
                </w:p>
              </w:tc>
              <w:tc>
                <w:tcPr>
                  <w:tcW w:w="1517" w:type="pct"/>
                  <w:vMerge w:val="restart"/>
                  <w:noWrap w:val="0"/>
                  <w:vAlign w:val="center"/>
                </w:tcPr>
                <w:p w14:paraId="75C155DF">
                  <w:pPr>
                    <w:spacing w:line="360" w:lineRule="auto"/>
                    <w:jc w:val="center"/>
                    <w:rPr>
                      <w:sz w:val="21"/>
                      <w:szCs w:val="21"/>
                      <w:highlight w:val="none"/>
                    </w:rPr>
                  </w:pPr>
                  <w:r>
                    <w:rPr>
                      <w:sz w:val="21"/>
                      <w:szCs w:val="21"/>
                      <w:highlight w:val="none"/>
                    </w:rPr>
                    <w:t>4a类</w:t>
                  </w:r>
                </w:p>
              </w:tc>
              <w:tc>
                <w:tcPr>
                  <w:tcW w:w="1362" w:type="pct"/>
                  <w:noWrap w:val="0"/>
                  <w:vAlign w:val="center"/>
                </w:tcPr>
                <w:p w14:paraId="4FB53BE4">
                  <w:pPr>
                    <w:spacing w:line="360" w:lineRule="auto"/>
                    <w:jc w:val="center"/>
                    <w:rPr>
                      <w:sz w:val="21"/>
                      <w:szCs w:val="21"/>
                      <w:highlight w:val="none"/>
                    </w:rPr>
                  </w:pPr>
                  <w:r>
                    <w:rPr>
                      <w:sz w:val="21"/>
                      <w:szCs w:val="21"/>
                      <w:highlight w:val="none"/>
                    </w:rPr>
                    <w:t>昼间</w:t>
                  </w:r>
                </w:p>
              </w:tc>
              <w:tc>
                <w:tcPr>
                  <w:tcW w:w="1262" w:type="pct"/>
                  <w:noWrap w:val="0"/>
                  <w:vAlign w:val="center"/>
                </w:tcPr>
                <w:p w14:paraId="2EDD1C7E">
                  <w:pPr>
                    <w:spacing w:line="360" w:lineRule="auto"/>
                    <w:jc w:val="center"/>
                    <w:rPr>
                      <w:sz w:val="21"/>
                      <w:szCs w:val="21"/>
                      <w:highlight w:val="none"/>
                    </w:rPr>
                  </w:pPr>
                  <w:r>
                    <w:rPr>
                      <w:sz w:val="21"/>
                      <w:szCs w:val="21"/>
                      <w:highlight w:val="none"/>
                    </w:rPr>
                    <w:t>70</w:t>
                  </w:r>
                </w:p>
              </w:tc>
            </w:tr>
            <w:tr w14:paraId="23B31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857" w:type="pct"/>
                  <w:vMerge w:val="continue"/>
                  <w:noWrap w:val="0"/>
                  <w:vAlign w:val="center"/>
                </w:tcPr>
                <w:p w14:paraId="4BF423F7">
                  <w:pPr>
                    <w:spacing w:line="360" w:lineRule="auto"/>
                    <w:jc w:val="center"/>
                    <w:rPr>
                      <w:sz w:val="21"/>
                      <w:szCs w:val="21"/>
                      <w:highlight w:val="none"/>
                    </w:rPr>
                  </w:pPr>
                </w:p>
              </w:tc>
              <w:tc>
                <w:tcPr>
                  <w:tcW w:w="1517" w:type="pct"/>
                  <w:vMerge w:val="continue"/>
                  <w:noWrap w:val="0"/>
                  <w:vAlign w:val="center"/>
                </w:tcPr>
                <w:p w14:paraId="056402D1">
                  <w:pPr>
                    <w:spacing w:line="360" w:lineRule="auto"/>
                    <w:jc w:val="center"/>
                    <w:rPr>
                      <w:sz w:val="21"/>
                      <w:szCs w:val="21"/>
                      <w:highlight w:val="none"/>
                    </w:rPr>
                  </w:pPr>
                </w:p>
              </w:tc>
              <w:tc>
                <w:tcPr>
                  <w:tcW w:w="1362" w:type="pct"/>
                  <w:noWrap w:val="0"/>
                  <w:vAlign w:val="center"/>
                </w:tcPr>
                <w:p w14:paraId="1D4F2C2F">
                  <w:pPr>
                    <w:spacing w:line="360" w:lineRule="auto"/>
                    <w:jc w:val="center"/>
                    <w:rPr>
                      <w:sz w:val="21"/>
                      <w:szCs w:val="21"/>
                      <w:highlight w:val="none"/>
                    </w:rPr>
                  </w:pPr>
                  <w:r>
                    <w:rPr>
                      <w:sz w:val="21"/>
                      <w:szCs w:val="21"/>
                      <w:highlight w:val="none"/>
                    </w:rPr>
                    <w:t>夜间</w:t>
                  </w:r>
                </w:p>
              </w:tc>
              <w:tc>
                <w:tcPr>
                  <w:tcW w:w="1262" w:type="pct"/>
                  <w:noWrap w:val="0"/>
                  <w:vAlign w:val="center"/>
                </w:tcPr>
                <w:p w14:paraId="01BFDD5B">
                  <w:pPr>
                    <w:spacing w:line="360" w:lineRule="auto"/>
                    <w:jc w:val="center"/>
                    <w:rPr>
                      <w:sz w:val="21"/>
                      <w:szCs w:val="21"/>
                      <w:highlight w:val="none"/>
                    </w:rPr>
                  </w:pPr>
                  <w:r>
                    <w:rPr>
                      <w:sz w:val="21"/>
                      <w:szCs w:val="21"/>
                      <w:highlight w:val="none"/>
                    </w:rPr>
                    <w:t>55</w:t>
                  </w:r>
                </w:p>
              </w:tc>
            </w:tr>
          </w:tbl>
          <w:p w14:paraId="0CC22A15">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cs="Times New Roman"/>
                <w:color w:val="auto"/>
                <w:kern w:val="21"/>
                <w:sz w:val="24"/>
                <w:szCs w:val="24"/>
                <w:highlight w:val="none"/>
                <w:lang w:val="en-US" w:eastAsia="zh-CN"/>
              </w:rPr>
              <w:t>（3）</w:t>
            </w:r>
            <w:r>
              <w:rPr>
                <w:rFonts w:hint="default" w:ascii="Times New Roman" w:hAnsi="Times New Roman" w:eastAsia="宋体" w:cs="Times New Roman"/>
                <w:color w:val="auto"/>
                <w:kern w:val="21"/>
                <w:sz w:val="24"/>
                <w:szCs w:val="24"/>
                <w:highlight w:val="none"/>
                <w:lang w:val="en-US" w:eastAsia="zh-CN"/>
              </w:rPr>
              <w:t>固体废物评价标准</w:t>
            </w:r>
          </w:p>
          <w:p w14:paraId="2CDBD73A">
            <w:pPr>
              <w:pStyle w:val="24"/>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spacing w:val="-1"/>
                <w:sz w:val="24"/>
                <w:szCs w:val="24"/>
                <w:highlight w:val="none"/>
                <w:lang w:eastAsia="zh-CN"/>
              </w:rPr>
            </w:pPr>
            <w:r>
              <w:rPr>
                <w:rFonts w:hint="default" w:ascii="Times New Roman" w:hAnsi="Times New Roman" w:eastAsia="宋体" w:cs="Times New Roman"/>
                <w:color w:val="auto"/>
                <w:kern w:val="21"/>
                <w:sz w:val="24"/>
                <w:szCs w:val="24"/>
                <w:highlight w:val="none"/>
                <w:lang w:val="en-US" w:eastAsia="zh-CN"/>
              </w:rPr>
              <w:t>一般工业固体废物处置执行《一般工业固体废物贮存和填埋污染控制标准》(GB18599-2020)，生活垃圾处置参照执行《中华人民共和国固体废物污染环境防治法》(2020年09月施行)中第四章中的相关内容。</w:t>
            </w:r>
          </w:p>
          <w:p w14:paraId="02B6ED0A">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cs="Times New Roman"/>
                <w:color w:val="auto"/>
                <w:kern w:val="21"/>
                <w:sz w:val="24"/>
                <w:szCs w:val="24"/>
                <w:highlight w:val="none"/>
                <w:lang w:val="en-US" w:eastAsia="zh-CN"/>
              </w:rPr>
              <w:t>（4）</w:t>
            </w:r>
            <w:r>
              <w:rPr>
                <w:rFonts w:hint="default" w:ascii="Times New Roman" w:hAnsi="Times New Roman" w:eastAsia="宋体" w:cs="Times New Roman"/>
                <w:color w:val="auto"/>
                <w:kern w:val="21"/>
                <w:sz w:val="24"/>
                <w:szCs w:val="24"/>
                <w:highlight w:val="none"/>
                <w:lang w:val="en-US" w:eastAsia="zh-CN"/>
              </w:rPr>
              <w:t>工频电磁场评价标准</w:t>
            </w:r>
          </w:p>
          <w:p w14:paraId="1F986B99">
            <w:pPr>
              <w:adjustRightInd w:val="0"/>
              <w:snapToGrid w:val="0"/>
              <w:spacing w:line="360" w:lineRule="auto"/>
              <w:ind w:firstLine="480" w:firstLineChars="200"/>
              <w:jc w:val="left"/>
              <w:rPr>
                <w:kern w:val="21"/>
                <w:sz w:val="24"/>
                <w:highlight w:val="none"/>
              </w:rPr>
            </w:pPr>
            <w:r>
              <w:rPr>
                <w:kern w:val="21"/>
                <w:sz w:val="24"/>
                <w:highlight w:val="none"/>
              </w:rPr>
              <w:t>工频电场强度、工频磁感应强度执行《电磁环境控制限值》(GB8702-2014)表1标准，即工频电场强度控制限值为4kV/m（</w:t>
            </w:r>
            <w:r>
              <w:rPr>
                <w:sz w:val="24"/>
                <w:highlight w:val="none"/>
              </w:rPr>
              <w:t>对于架空输电线路线下的耕地、园地、牧草地、畜禽饲养地、养殖水面、道路等场所，其频率50Hz的电场强度控制限值为10kV/m</w:t>
            </w:r>
            <w:r>
              <w:rPr>
                <w:kern w:val="21"/>
                <w:sz w:val="24"/>
                <w:highlight w:val="none"/>
              </w:rPr>
              <w:t>），工频磁感应强度控制限值为100μT，因此本评价公众曝露控制限值要求详见下表。</w:t>
            </w:r>
          </w:p>
          <w:p w14:paraId="40868CAF">
            <w:pPr>
              <w:adjustRightInd w:val="0"/>
              <w:snapToGrid w:val="0"/>
              <w:spacing w:line="360" w:lineRule="auto"/>
              <w:jc w:val="center"/>
              <w:rPr>
                <w:kern w:val="0"/>
                <w:sz w:val="24"/>
                <w:highlight w:val="none"/>
              </w:rPr>
            </w:pPr>
            <w:r>
              <w:rPr>
                <w:b/>
                <w:sz w:val="24"/>
                <w:highlight w:val="none"/>
              </w:rPr>
              <w:t>表</w:t>
            </w:r>
            <w:r>
              <w:rPr>
                <w:rFonts w:hint="eastAsia"/>
                <w:b/>
                <w:sz w:val="24"/>
                <w:highlight w:val="none"/>
                <w:lang w:val="en-US" w:eastAsia="zh-CN"/>
              </w:rPr>
              <w:t>3-15</w:t>
            </w:r>
            <w:r>
              <w:rPr>
                <w:b/>
                <w:sz w:val="24"/>
                <w:highlight w:val="none"/>
              </w:rPr>
              <w:t>工频电场强度和磁场强度执行标准</w:t>
            </w:r>
          </w:p>
          <w:tbl>
            <w:tblPr>
              <w:tblStyle w:val="19"/>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94"/>
              <w:gridCol w:w="1473"/>
              <w:gridCol w:w="5176"/>
            </w:tblGrid>
            <w:tr w14:paraId="7051E1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761" w:type="pct"/>
                  <w:vMerge w:val="restart"/>
                  <w:noWrap w:val="0"/>
                  <w:vAlign w:val="center"/>
                </w:tcPr>
                <w:p w14:paraId="5E992106">
                  <w:pPr>
                    <w:spacing w:line="360" w:lineRule="auto"/>
                    <w:jc w:val="center"/>
                    <w:rPr>
                      <w:sz w:val="21"/>
                      <w:szCs w:val="21"/>
                      <w:highlight w:val="none"/>
                    </w:rPr>
                  </w:pPr>
                  <w:r>
                    <w:rPr>
                      <w:sz w:val="21"/>
                      <w:szCs w:val="21"/>
                      <w:highlight w:val="none"/>
                    </w:rPr>
                    <w:t>《电磁环境控制限值》(GB8702-2014)</w:t>
                  </w:r>
                </w:p>
              </w:tc>
              <w:tc>
                <w:tcPr>
                  <w:tcW w:w="939" w:type="pct"/>
                  <w:noWrap w:val="0"/>
                  <w:vAlign w:val="center"/>
                </w:tcPr>
                <w:p w14:paraId="2ADA0F8E">
                  <w:pPr>
                    <w:spacing w:line="360" w:lineRule="auto"/>
                    <w:jc w:val="center"/>
                    <w:rPr>
                      <w:sz w:val="21"/>
                      <w:szCs w:val="21"/>
                      <w:highlight w:val="none"/>
                    </w:rPr>
                  </w:pPr>
                  <w:r>
                    <w:rPr>
                      <w:sz w:val="21"/>
                      <w:szCs w:val="21"/>
                      <w:highlight w:val="none"/>
                    </w:rPr>
                    <w:t>工频电场强度</w:t>
                  </w:r>
                </w:p>
              </w:tc>
              <w:tc>
                <w:tcPr>
                  <w:tcW w:w="3299" w:type="pct"/>
                  <w:noWrap w:val="0"/>
                  <w:vAlign w:val="center"/>
                </w:tcPr>
                <w:p w14:paraId="583EAE88">
                  <w:pPr>
                    <w:spacing w:line="360" w:lineRule="auto"/>
                    <w:jc w:val="center"/>
                    <w:rPr>
                      <w:sz w:val="21"/>
                      <w:szCs w:val="21"/>
                      <w:highlight w:val="none"/>
                    </w:rPr>
                  </w:pPr>
                  <w:r>
                    <w:rPr>
                      <w:sz w:val="21"/>
                      <w:szCs w:val="21"/>
                      <w:highlight w:val="none"/>
                    </w:rPr>
                    <w:t>公众曝露电场强度控制限值为4kV/m，且应给出警示和防护指示标志。（对于架空输电线路线下的耕地、园地、牧草地、畜禽饲养地、养殖水面、道路等场所，其频率50Hz的电场强度控制限值为10kV/m）</w:t>
                  </w:r>
                </w:p>
              </w:tc>
            </w:tr>
            <w:tr w14:paraId="2F56DF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761" w:type="pct"/>
                  <w:vMerge w:val="continue"/>
                  <w:noWrap w:val="0"/>
                  <w:vAlign w:val="center"/>
                </w:tcPr>
                <w:p w14:paraId="2CB8DE95">
                  <w:pPr>
                    <w:spacing w:line="360" w:lineRule="auto"/>
                    <w:jc w:val="center"/>
                    <w:rPr>
                      <w:sz w:val="21"/>
                      <w:szCs w:val="21"/>
                      <w:highlight w:val="none"/>
                    </w:rPr>
                  </w:pPr>
                </w:p>
              </w:tc>
              <w:tc>
                <w:tcPr>
                  <w:tcW w:w="939" w:type="pct"/>
                  <w:noWrap w:val="0"/>
                  <w:vAlign w:val="center"/>
                </w:tcPr>
                <w:p w14:paraId="4F3CE1E1">
                  <w:pPr>
                    <w:spacing w:line="360" w:lineRule="auto"/>
                    <w:jc w:val="center"/>
                    <w:rPr>
                      <w:sz w:val="21"/>
                      <w:szCs w:val="21"/>
                      <w:highlight w:val="none"/>
                    </w:rPr>
                  </w:pPr>
                  <w:r>
                    <w:rPr>
                      <w:sz w:val="21"/>
                      <w:szCs w:val="21"/>
                      <w:highlight w:val="none"/>
                    </w:rPr>
                    <w:t>工频磁感应强度</w:t>
                  </w:r>
                </w:p>
              </w:tc>
              <w:tc>
                <w:tcPr>
                  <w:tcW w:w="3299" w:type="pct"/>
                  <w:noWrap w:val="0"/>
                  <w:vAlign w:val="center"/>
                </w:tcPr>
                <w:p w14:paraId="0B277E6E">
                  <w:pPr>
                    <w:spacing w:line="360" w:lineRule="auto"/>
                    <w:jc w:val="center"/>
                    <w:rPr>
                      <w:sz w:val="21"/>
                      <w:szCs w:val="21"/>
                      <w:highlight w:val="none"/>
                    </w:rPr>
                  </w:pPr>
                  <w:r>
                    <w:rPr>
                      <w:sz w:val="21"/>
                      <w:szCs w:val="21"/>
                      <w:highlight w:val="none"/>
                    </w:rPr>
                    <w:t>100μT</w:t>
                  </w:r>
                </w:p>
              </w:tc>
            </w:tr>
          </w:tbl>
          <w:p w14:paraId="5AE7D30F">
            <w:pPr>
              <w:pStyle w:val="24"/>
              <w:keepNext w:val="0"/>
              <w:keepLines w:val="0"/>
              <w:pageBreakBefore w:val="0"/>
              <w:widowControl w:val="0"/>
              <w:kinsoku/>
              <w:wordWrap/>
              <w:overflowPunct/>
              <w:topLinePunct w:val="0"/>
              <w:autoSpaceDE/>
              <w:autoSpaceDN/>
              <w:bidi w:val="0"/>
              <w:adjustRightInd w:val="0"/>
              <w:snapToGrid w:val="0"/>
              <w:spacing w:line="360" w:lineRule="auto"/>
              <w:ind w:right="0" w:firstLine="476" w:firstLineChars="200"/>
              <w:textAlignment w:val="auto"/>
              <w:rPr>
                <w:rFonts w:hint="eastAsia"/>
                <w:spacing w:val="-1"/>
                <w:sz w:val="24"/>
                <w:szCs w:val="24"/>
                <w:highlight w:val="none"/>
                <w:lang w:eastAsia="zh-CN"/>
              </w:rPr>
            </w:pPr>
          </w:p>
        </w:tc>
      </w:tr>
      <w:tr w14:paraId="283F3E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8" w:type="dxa"/>
            <w:noWrap w:val="0"/>
            <w:vAlign w:val="center"/>
          </w:tcPr>
          <w:p w14:paraId="5DBAF7AA">
            <w:pPr>
              <w:pStyle w:val="24"/>
              <w:spacing w:before="68" w:line="231" w:lineRule="auto"/>
              <w:ind w:right="243" w:rightChars="0"/>
              <w:jc w:val="center"/>
              <w:rPr>
                <w:rFonts w:hint="eastAsia" w:eastAsia="宋体"/>
                <w:spacing w:val="-3"/>
                <w:lang w:val="en-US" w:eastAsia="zh-CN"/>
              </w:rPr>
            </w:pPr>
            <w:r>
              <w:rPr>
                <w:rFonts w:hint="eastAsia"/>
                <w:spacing w:val="-3"/>
                <w:lang w:val="en-US" w:eastAsia="zh-CN"/>
              </w:rPr>
              <w:t>其他</w:t>
            </w:r>
          </w:p>
        </w:tc>
        <w:tc>
          <w:tcPr>
            <w:tcW w:w="8061" w:type="dxa"/>
            <w:noWrap w:val="0"/>
            <w:tcMar>
              <w:top w:w="0" w:type="dxa"/>
              <w:left w:w="108" w:type="dxa"/>
              <w:bottom w:w="0" w:type="dxa"/>
              <w:right w:w="108" w:type="dxa"/>
            </w:tcMar>
            <w:vAlign w:val="center"/>
          </w:tcPr>
          <w:p w14:paraId="050EB4B3">
            <w:pPr>
              <w:pStyle w:val="24"/>
              <w:keepNext w:val="0"/>
              <w:keepLines w:val="0"/>
              <w:pageBreakBefore w:val="0"/>
              <w:widowControl w:val="0"/>
              <w:kinsoku/>
              <w:wordWrap/>
              <w:overflowPunct/>
              <w:topLinePunct w:val="0"/>
              <w:autoSpaceDE/>
              <w:autoSpaceDN/>
              <w:bidi w:val="0"/>
              <w:adjustRightInd w:val="0"/>
              <w:snapToGrid w:val="0"/>
              <w:spacing w:line="360" w:lineRule="auto"/>
              <w:ind w:right="0" w:firstLine="476" w:firstLineChars="200"/>
              <w:jc w:val="center"/>
              <w:textAlignment w:val="auto"/>
              <w:rPr>
                <w:rFonts w:hint="default"/>
                <w:spacing w:val="-1"/>
                <w:sz w:val="24"/>
                <w:szCs w:val="24"/>
                <w:highlight w:val="none"/>
                <w:lang w:val="en-US" w:eastAsia="zh-CN"/>
              </w:rPr>
            </w:pPr>
            <w:r>
              <w:rPr>
                <w:rFonts w:hint="eastAsia"/>
                <w:spacing w:val="-1"/>
                <w:sz w:val="24"/>
                <w:szCs w:val="24"/>
                <w:highlight w:val="none"/>
                <w:lang w:val="en-US" w:eastAsia="zh-CN"/>
              </w:rPr>
              <w:t>无</w:t>
            </w:r>
          </w:p>
        </w:tc>
      </w:tr>
    </w:tbl>
    <w:p w14:paraId="200E7A7F">
      <w:pPr>
        <w:pStyle w:val="16"/>
        <w:ind w:left="0" w:leftChars="0" w:firstLine="0" w:firstLineChars="0"/>
      </w:pPr>
    </w:p>
    <w:p w14:paraId="3211F975"/>
    <w:p w14:paraId="65D9282F"/>
    <w:p w14:paraId="5C88759F"/>
    <w:p w14:paraId="77297AAC"/>
    <w:p w14:paraId="005224C3"/>
    <w:p w14:paraId="6430E2B0"/>
    <w:p w14:paraId="5AFB6127"/>
    <w:p w14:paraId="6AED887A"/>
    <w:p w14:paraId="595BD378"/>
    <w:p w14:paraId="456AA95D"/>
    <w:p w14:paraId="5A75D9AE">
      <w:pPr>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br w:type="page"/>
      </w:r>
    </w:p>
    <w:p w14:paraId="6261DA19">
      <w:pPr>
        <w:pStyle w:val="17"/>
        <w:keepNext w:val="0"/>
        <w:keepLines w:val="0"/>
        <w:pageBreakBefore w:val="0"/>
        <w:widowControl/>
        <w:kinsoku/>
        <w:wordWrap/>
        <w:overflowPunct/>
        <w:topLinePunct w:val="0"/>
        <w:autoSpaceDE/>
        <w:autoSpaceDN/>
        <w:bidi w:val="0"/>
        <w:adjustRightInd w:val="0"/>
        <w:snapToGrid w:val="0"/>
        <w:jc w:val="center"/>
        <w:textAlignment w:val="auto"/>
        <w:outlineLvl w:val="0"/>
        <w:rPr>
          <w:rFonts w:hint="default" w:ascii="Times New Roman" w:hAnsi="Times New Roman" w:eastAsia="黑体" w:cs="Times New Roman"/>
          <w:snapToGrid w:val="0"/>
          <w:color w:val="auto"/>
          <w:sz w:val="30"/>
          <w:szCs w:val="30"/>
          <w:highlight w:val="none"/>
        </w:rPr>
      </w:pPr>
      <w:bookmarkStart w:id="32" w:name="_Toc20878"/>
      <w:bookmarkStart w:id="33" w:name="_Toc9714"/>
      <w:r>
        <w:rPr>
          <w:rFonts w:hint="default" w:ascii="Times New Roman" w:hAnsi="Times New Roman" w:eastAsia="黑体" w:cs="Times New Roman"/>
          <w:snapToGrid w:val="0"/>
          <w:color w:val="auto"/>
          <w:sz w:val="30"/>
          <w:szCs w:val="30"/>
          <w:highlight w:val="none"/>
        </w:rPr>
        <w:t>四、生态环境影响分析</w:t>
      </w:r>
      <w:bookmarkEnd w:id="32"/>
      <w:bookmarkEnd w:id="33"/>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4"/>
        <w:gridCol w:w="7648"/>
      </w:tblGrid>
      <w:tr w14:paraId="3B4A3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94" w:type="dxa"/>
            <w:noWrap w:val="0"/>
            <w:tcMar>
              <w:left w:w="28" w:type="dxa"/>
              <w:right w:w="28" w:type="dxa"/>
            </w:tcMar>
            <w:vAlign w:val="center"/>
          </w:tcPr>
          <w:p w14:paraId="4C6FD8B3">
            <w:pPr>
              <w:pStyle w:val="17"/>
              <w:keepNext w:val="0"/>
              <w:keepLines w:val="0"/>
              <w:pageBreakBefore w:val="0"/>
              <w:kinsoku/>
              <w:wordWrap/>
              <w:overflowPunct/>
              <w:topLinePunct w:val="0"/>
              <w:bidi w:val="0"/>
              <w:adjustRightInd w:val="0"/>
              <w:snapToGrid w:val="0"/>
              <w:spacing w:before="0" w:beforeAutospacing="0" w:after="0" w:afterAutospacing="0"/>
              <w:jc w:val="center"/>
              <w:textAlignment w:val="auto"/>
              <w:rPr>
                <w:rFonts w:hint="default" w:ascii="Times New Roman" w:hAnsi="Times New Roman" w:eastAsia="宋体" w:cs="Times New Roman"/>
                <w:bCs/>
                <w:color w:val="auto"/>
                <w:kern w:val="2"/>
                <w:sz w:val="21"/>
                <w:szCs w:val="21"/>
                <w:highlight w:val="none"/>
              </w:rPr>
            </w:pPr>
            <w:bookmarkStart w:id="34" w:name="_Hlk49796138"/>
            <w:r>
              <w:rPr>
                <w:rFonts w:hint="default" w:ascii="Times New Roman" w:hAnsi="Times New Roman" w:eastAsia="宋体" w:cs="Times New Roman"/>
                <w:kern w:val="0"/>
                <w:sz w:val="24"/>
                <w:szCs w:val="24"/>
                <w:highlight w:val="none"/>
                <w:lang w:val="en-US" w:eastAsia="zh-CN" w:bidi="ar-SA"/>
              </w:rPr>
              <w:t>施工期生态环境影响分析</w:t>
            </w:r>
            <w:bookmarkEnd w:id="34"/>
          </w:p>
        </w:tc>
        <w:tc>
          <w:tcPr>
            <w:tcW w:w="7648" w:type="dxa"/>
            <w:noWrap w:val="0"/>
            <w:vAlign w:val="center"/>
          </w:tcPr>
          <w:p w14:paraId="237879C5">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施工期环境影响评价主要考虑废气、废水、噪声、固体废物、生态环境等方面的内容。</w:t>
            </w:r>
          </w:p>
          <w:p w14:paraId="27B52407">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both"/>
              <w:textAlignment w:val="auto"/>
              <w:outlineLvl w:val="9"/>
              <w:rPr>
                <w:rFonts w:hint="default"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en-US" w:eastAsia="zh-CN"/>
              </w:rPr>
              <w:t>1</w:t>
            </w:r>
            <w:r>
              <w:rPr>
                <w:rFonts w:hint="default" w:ascii="Times New Roman" w:hAnsi="Times New Roman" w:eastAsia="宋体" w:cs="Times New Roman"/>
                <w:b/>
                <w:bCs/>
                <w:color w:val="auto"/>
                <w:kern w:val="21"/>
                <w:sz w:val="24"/>
                <w:szCs w:val="24"/>
                <w:highlight w:val="none"/>
                <w:lang w:val="en-US" w:eastAsia="zh-CN"/>
              </w:rPr>
              <w:t>、大气环境影响分析</w:t>
            </w:r>
          </w:p>
          <w:p w14:paraId="03FFD795">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输电线路施工作业特点是施工线路长，总土方量较大，但局部施工期短施工场地清理、塔基开挖、回填等过程中的土方开挖、翻动及堆放过程中将造成风起扬尘，工程车辆运输亦会产生一定量扬尘，此外，施工机械会产生少量的尾气。</w:t>
            </w:r>
          </w:p>
          <w:p w14:paraId="13F45AFC">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项目在施工时应严格按照</w:t>
            </w:r>
            <w:r>
              <w:rPr>
                <w:rFonts w:hint="default" w:ascii="Times New Roman" w:hAnsi="Times New Roman" w:cs="Times New Roman"/>
                <w:color w:val="auto"/>
                <w:sz w:val="24"/>
                <w:szCs w:val="24"/>
                <w:highlight w:val="none"/>
              </w:rPr>
              <w:t>《京津冀及周边地区落实大气污染防治行动计划实施细则》、《环境空气细颗粒物污染综合防治技术政策》、《国务院关于印发大气污染防治行动计划的通知》、省住建厅发布建筑施工扬尘治理措施</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15条</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、《施工场地扬尘排放标准》</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DB13/2934-2019</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、“六个100%”等相关政策要求</w:t>
            </w:r>
            <w:r>
              <w:rPr>
                <w:rFonts w:hint="default" w:ascii="Times New Roman" w:hAnsi="Times New Roman" w:cs="Times New Roman"/>
                <w:bCs/>
                <w:color w:val="auto"/>
                <w:sz w:val="24"/>
                <w:szCs w:val="24"/>
                <w:highlight w:val="none"/>
                <w:lang w:eastAsia="zh-CN"/>
              </w:rPr>
              <w:t>，采取严格的扬尘控制措施，以最大限度的减少扬尘对周围敏感点的影响。评价建议在施工期采取以下措施：</w:t>
            </w:r>
          </w:p>
          <w:p w14:paraId="7A65AC06">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1)施工单位文明施工，加强施工期的环境管理和环境监控工作，并接受环境保护部门的监督管理。施工场地出口应设置车辆冲洗设施，设置冲洗槽和沉淀池，车辆驶出施工场地前，应将车厢外和轮胎冲洗干净，确保出场运输车辆清洗率达到100%，避免车辆将泥土带到道路上产生二次扬尘，冲洗水沉淀后循环使用。</w:t>
            </w:r>
          </w:p>
          <w:p w14:paraId="7AB68221">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2)为避免混凝土搅拌产生大量扬尘污染，本工程直接购置成品混凝土并由罐车直接运至施工点，</w:t>
            </w:r>
            <w:r>
              <w:rPr>
                <w:rFonts w:hint="default" w:ascii="Times New Roman" w:hAnsi="Times New Roman" w:cs="Times New Roman"/>
                <w:bCs/>
                <w:color w:val="auto"/>
                <w:sz w:val="24"/>
                <w:szCs w:val="24"/>
                <w:highlight w:val="none"/>
                <w:lang w:val="en-US" w:eastAsia="zh-CN"/>
              </w:rPr>
              <w:t>不在现场进行搅拌作业</w:t>
            </w:r>
            <w:r>
              <w:rPr>
                <w:rFonts w:hint="default" w:ascii="Times New Roman" w:hAnsi="Times New Roman" w:cs="Times New Roman"/>
                <w:bCs/>
                <w:color w:val="auto"/>
                <w:sz w:val="24"/>
                <w:szCs w:val="24"/>
                <w:highlight w:val="none"/>
                <w:lang w:eastAsia="zh-CN"/>
              </w:rPr>
              <w:t>。</w:t>
            </w:r>
          </w:p>
          <w:p w14:paraId="6F21BB62">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3)施工期间做到“六个100%”，即施工现场100%围挡、现场路面100%硬化、散流体和裸地100%覆盖、车辆驶离100%冲洗、散流体运输车辆100%密封、洒水降尘制度100%落实。</w:t>
            </w:r>
          </w:p>
          <w:p w14:paraId="64E740DD">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①在施工现场周围建筑防护围墙高度不低于</w:t>
            </w:r>
            <w:r>
              <w:rPr>
                <w:rFonts w:hint="default" w:ascii="Times New Roman" w:hAnsi="Times New Roman" w:cs="Times New Roman"/>
                <w:bCs/>
                <w:color w:val="auto"/>
                <w:sz w:val="24"/>
                <w:szCs w:val="24"/>
                <w:highlight w:val="none"/>
                <w:lang w:val="en-US" w:eastAsia="zh-CN"/>
              </w:rPr>
              <w:t>1.8</w:t>
            </w:r>
            <w:r>
              <w:rPr>
                <w:rFonts w:hint="default" w:ascii="Times New Roman" w:hAnsi="Times New Roman" w:cs="Times New Roman"/>
                <w:bCs/>
                <w:color w:val="auto"/>
                <w:sz w:val="24"/>
                <w:szCs w:val="24"/>
                <w:highlight w:val="none"/>
                <w:lang w:eastAsia="zh-CN"/>
              </w:rPr>
              <w:t>m，确保施工现场100%围蔽，场内道路、堆场及车辆进出道路应定时洒水，保持湿润，避免或减少产生扬尘。</w:t>
            </w:r>
          </w:p>
          <w:p w14:paraId="2C4F3357">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②基础开挖过程中，应定时、及时洒水使施工区域保持一定的湿度，对施工场地内松散、干涸的表土，也应定时、及时洒水或采取临时覆盖措施防止起尘，做到施工场地100%覆盖。</w:t>
            </w:r>
          </w:p>
          <w:p w14:paraId="2BB3EDE3">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③车辆运输散体材料和废弃物时，必须100%密闭、包扎、覆盖，不得沿途漏撒；运载土方的车辆必须在规定的时间内，按指定路段行驶，控制扬尘污染。</w:t>
            </w:r>
          </w:p>
          <w:p w14:paraId="6236F47B">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④加强材料转</w:t>
            </w:r>
            <w:r>
              <w:rPr>
                <w:rFonts w:hint="default" w:ascii="Times New Roman" w:hAnsi="Times New Roman" w:eastAsia="宋体" w:cs="Times New Roman"/>
                <w:bCs/>
                <w:color w:val="auto"/>
                <w:sz w:val="24"/>
                <w:szCs w:val="24"/>
                <w:highlight w:val="none"/>
                <w:lang w:eastAsia="zh-CN"/>
              </w:rPr>
              <w:t>运与使用的管理，规范操作。进出场地的车辆限制车速，且出装卸场地前应先冲洗干净，减少车轮、底盘携带的泥土散落，做到出工地车辆100%冲净车轮。</w:t>
            </w:r>
          </w:p>
          <w:p w14:paraId="6A6C30E6">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⑤</w:t>
            </w:r>
            <w:r>
              <w:rPr>
                <w:rFonts w:hint="default" w:ascii="Times New Roman" w:hAnsi="Times New Roman" w:eastAsia="宋体" w:cs="Times New Roman"/>
                <w:bCs/>
                <w:color w:val="auto"/>
                <w:sz w:val="24"/>
                <w:szCs w:val="24"/>
                <w:highlight w:val="none"/>
                <w:lang w:val="en-US" w:eastAsia="zh-CN"/>
              </w:rPr>
              <w:t>选用尾气合格的施工机械和施工车辆。</w:t>
            </w:r>
          </w:p>
          <w:p w14:paraId="28070794">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⑥车辆经过附近村庄时须低速行驶，防止车辆扬尘。</w:t>
            </w:r>
          </w:p>
          <w:p w14:paraId="48182E0A">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cs="Times New Roman"/>
                <w:b/>
                <w:bCs w:val="0"/>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本项目施工期较短，采取措施后可有效抑制扬尘的产生，建筑施工场地扬尘满足《施工场地扬尘排放标准》(DB13/2934-2019)表1要求，使其对周围环境的影响降至最低。</w:t>
            </w:r>
          </w:p>
          <w:p w14:paraId="57422FD6">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both"/>
              <w:textAlignment w:val="auto"/>
              <w:outlineLvl w:val="9"/>
              <w:rPr>
                <w:rFonts w:hint="default"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en-US" w:eastAsia="zh-CN"/>
              </w:rPr>
              <w:t>2</w:t>
            </w:r>
            <w:r>
              <w:rPr>
                <w:rFonts w:hint="default" w:ascii="Times New Roman" w:hAnsi="Times New Roman" w:eastAsia="宋体" w:cs="Times New Roman"/>
                <w:b/>
                <w:bCs/>
                <w:color w:val="auto"/>
                <w:kern w:val="21"/>
                <w:sz w:val="24"/>
                <w:szCs w:val="24"/>
                <w:highlight w:val="none"/>
                <w:lang w:val="en-US" w:eastAsia="zh-CN"/>
              </w:rPr>
              <w:t>、水环境影响分析</w:t>
            </w:r>
          </w:p>
          <w:p w14:paraId="3697BC14">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施工期废水主要为施工人员产生的生活污水和施工废水。</w:t>
            </w:r>
          </w:p>
          <w:p w14:paraId="0DB1C904">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(1)</w:t>
            </w:r>
            <w:r>
              <w:rPr>
                <w:rFonts w:hint="default" w:ascii="Times New Roman" w:hAnsi="Times New Roman" w:eastAsia="宋体" w:cs="Times New Roman"/>
                <w:color w:val="auto"/>
                <w:kern w:val="21"/>
                <w:sz w:val="24"/>
                <w:szCs w:val="24"/>
                <w:highlight w:val="none"/>
                <w:lang w:val="en-US" w:eastAsia="zh-CN"/>
              </w:rPr>
              <w:t>施工人员的生活污水</w:t>
            </w:r>
          </w:p>
          <w:p w14:paraId="4A8F8285">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施工人员生活污水修建防渗</w:t>
            </w:r>
            <w:r>
              <w:rPr>
                <w:rFonts w:hint="eastAsia" w:ascii="Times New Roman" w:hAnsi="Times New Roman" w:eastAsia="宋体" w:cs="Times New Roman"/>
                <w:color w:val="auto"/>
                <w:kern w:val="21"/>
                <w:sz w:val="24"/>
                <w:szCs w:val="24"/>
                <w:highlight w:val="none"/>
                <w:lang w:val="en-US" w:eastAsia="zh-CN"/>
              </w:rPr>
              <w:t>旱厕</w:t>
            </w:r>
            <w:r>
              <w:rPr>
                <w:rFonts w:hint="default" w:ascii="Times New Roman" w:hAnsi="Times New Roman" w:eastAsia="宋体" w:cs="Times New Roman"/>
                <w:color w:val="auto"/>
                <w:kern w:val="21"/>
                <w:sz w:val="24"/>
                <w:szCs w:val="24"/>
                <w:highlight w:val="none"/>
                <w:lang w:val="en-US" w:eastAsia="zh-CN"/>
              </w:rPr>
              <w:t>，</w:t>
            </w:r>
            <w:r>
              <w:rPr>
                <w:rFonts w:hint="eastAsia" w:ascii="Times New Roman" w:hAnsi="Times New Roman" w:eastAsia="宋体" w:cs="Times New Roman"/>
                <w:color w:val="auto"/>
                <w:kern w:val="21"/>
                <w:sz w:val="24"/>
                <w:szCs w:val="24"/>
                <w:highlight w:val="none"/>
                <w:lang w:val="en-US" w:eastAsia="zh-CN"/>
              </w:rPr>
              <w:t>有当地环卫部门处理</w:t>
            </w:r>
            <w:r>
              <w:rPr>
                <w:rFonts w:hint="default" w:ascii="Times New Roman" w:hAnsi="Times New Roman" w:eastAsia="宋体" w:cs="Times New Roman"/>
                <w:color w:val="auto"/>
                <w:kern w:val="21"/>
                <w:sz w:val="24"/>
                <w:szCs w:val="24"/>
                <w:highlight w:val="none"/>
                <w:lang w:val="en-US" w:eastAsia="zh-CN"/>
              </w:rPr>
              <w:t>。同时加强施工人员的节约用水意识，尽可能降低污水的产生量。</w:t>
            </w:r>
          </w:p>
          <w:p w14:paraId="59427F59">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val="en-US" w:eastAsia="zh-CN"/>
              </w:rPr>
              <w:t>施工废水</w:t>
            </w:r>
          </w:p>
          <w:p w14:paraId="5A981D29">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施工废水主要包括结构阶段混凝土养护及各种车辆冲洗水。项目建设过程中，根据《建设工程施工场地文明施工及环境管理暂行规定》的要求，应在施工区设置单体沉淀池，用于处理施工过程产生的废水，经沉淀处理后用于洒水降尘，不外排。</w:t>
            </w:r>
          </w:p>
          <w:p w14:paraId="0D7D0794">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综上，项目施工期产生废水经处理后回用或综合利用，不外排，对区域水环境影响较小。</w:t>
            </w:r>
          </w:p>
          <w:p w14:paraId="21DC3325">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both"/>
              <w:textAlignment w:val="auto"/>
              <w:outlineLvl w:val="9"/>
              <w:rPr>
                <w:rFonts w:hint="default"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en-US" w:eastAsia="zh-CN"/>
              </w:rPr>
              <w:t>3</w:t>
            </w:r>
            <w:r>
              <w:rPr>
                <w:rFonts w:hint="default" w:ascii="Times New Roman" w:hAnsi="Times New Roman" w:eastAsia="宋体" w:cs="Times New Roman"/>
                <w:b/>
                <w:bCs/>
                <w:color w:val="auto"/>
                <w:kern w:val="21"/>
                <w:sz w:val="24"/>
                <w:szCs w:val="24"/>
                <w:highlight w:val="none"/>
                <w:lang w:val="en-US" w:eastAsia="zh-CN"/>
              </w:rPr>
              <w:t>、噪声环境影响分析</w:t>
            </w:r>
          </w:p>
          <w:p w14:paraId="22CF7C04">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1)施工场地噪声</w:t>
            </w:r>
          </w:p>
          <w:p w14:paraId="7404B5DB">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虽然施工期场地噪声可以达标排放，对环境影响小，但为将施工期噪声对环境的影响降至最低，评价提出以下噪声防治措施：</w:t>
            </w:r>
          </w:p>
          <w:p w14:paraId="24F65E92">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①降低声源的噪声强度。尽量选用低噪声设备，同时加强设备的日常维修保养，使施工机械保持良好的运行状态，避免高噪声设备在非正常状态下运转，有效缩小施工期噪声影响范围。</w:t>
            </w:r>
          </w:p>
          <w:p w14:paraId="1BC21052">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②加强施工噪声监督管理，</w:t>
            </w:r>
            <w:r>
              <w:rPr>
                <w:rFonts w:hint="default" w:ascii="Times New Roman" w:hAnsi="Times New Roman" w:cs="Times New Roman"/>
                <w:bCs/>
                <w:color w:val="auto"/>
                <w:sz w:val="24"/>
                <w:szCs w:val="24"/>
                <w:highlight w:val="none"/>
                <w:lang w:val="en-US" w:eastAsia="zh-CN"/>
              </w:rPr>
              <w:t>合理安排施工时间</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尽量避免高噪声设备同时进行施工作业</w:t>
            </w:r>
            <w:r>
              <w:rPr>
                <w:rFonts w:hint="eastAsia" w:ascii="Times New Roman" w:hAnsi="Times New Roman"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严禁在22：00-次日6：00期间，中午12：00-14：00期间施工</w:t>
            </w:r>
            <w:r>
              <w:rPr>
                <w:rFonts w:hint="default" w:ascii="Times New Roman" w:hAnsi="Times New Roman" w:cs="Times New Roman"/>
                <w:bCs/>
                <w:color w:val="auto"/>
                <w:sz w:val="24"/>
                <w:szCs w:val="24"/>
                <w:highlight w:val="none"/>
                <w:lang w:eastAsia="zh-CN"/>
              </w:rPr>
              <w:t>。</w:t>
            </w:r>
          </w:p>
          <w:p w14:paraId="69CB7145">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③加强施工队伍的教育，提高职工的环保意识，对一些零星的手工作业，如装卸施工器材和管线，尽可能做到轻拿轻放，并辅以一定的噪声减缓措施，如在未硬化的沙土地进行管件器材装卸。</w:t>
            </w:r>
          </w:p>
          <w:p w14:paraId="01461496">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2)交通噪声</w:t>
            </w:r>
          </w:p>
          <w:p w14:paraId="586E59E7">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为进一步减少交通运输噪声对运输道路沿线居民的影响，评价建议建设单位应对施工运输车辆行驶时间、行驶路线进行严格控制和管理，施工车辆安排在白天通行，禁止夜间运输，注意避开噪声敏感时段和敏感区域。在运输道路临近居民点处设置警示牌，提醒来往车辆减速慢行，本工程施工车辆在通过居民点时，应减速行驶和禁止鸣笛，同时加强道路养护和车辆的维修保养，从源头降低噪声，尽量减轻交通运输噪声对道路沿线居民的影响。</w:t>
            </w:r>
          </w:p>
          <w:p w14:paraId="2490D483">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项目施工噪声产生的影响属于短期影响，待施工结束后即可消除。施工过程中产生的噪声通过采取以上防治措施后，对周围环境的影响较小。</w:t>
            </w:r>
          </w:p>
          <w:p w14:paraId="717561E8">
            <w:pPr>
              <w:keepNext w:val="0"/>
              <w:keepLines w:val="0"/>
              <w:pageBreakBefore w:val="0"/>
              <w:kinsoku/>
              <w:wordWrap/>
              <w:overflowPunct/>
              <w:topLinePunct w:val="0"/>
              <w:autoSpaceDE/>
              <w:autoSpaceDN/>
              <w:bidi w:val="0"/>
              <w:spacing w:line="460" w:lineRule="exact"/>
              <w:ind w:firstLine="482" w:firstLineChars="200"/>
              <w:jc w:val="both"/>
              <w:textAlignment w:val="auto"/>
              <w:outlineLvl w:val="9"/>
              <w:rPr>
                <w:rFonts w:hint="default"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en-US" w:eastAsia="zh-CN"/>
              </w:rPr>
              <w:t>4</w:t>
            </w:r>
            <w:r>
              <w:rPr>
                <w:rFonts w:hint="default" w:ascii="Times New Roman" w:hAnsi="Times New Roman" w:eastAsia="宋体" w:cs="Times New Roman"/>
                <w:b/>
                <w:bCs/>
                <w:color w:val="auto"/>
                <w:kern w:val="21"/>
                <w:sz w:val="24"/>
                <w:szCs w:val="24"/>
                <w:highlight w:val="none"/>
                <w:lang w:val="en-US" w:eastAsia="zh-CN"/>
              </w:rPr>
              <w:t>、固体废弃物影响分析</w:t>
            </w:r>
          </w:p>
          <w:p w14:paraId="46DB9ABD">
            <w:pPr>
              <w:keepNext w:val="0"/>
              <w:keepLines w:val="0"/>
              <w:pageBreakBefore w:val="0"/>
              <w:kinsoku/>
              <w:wordWrap/>
              <w:overflowPunct/>
              <w:topLinePunct w:val="0"/>
              <w:autoSpaceDE/>
              <w:autoSpaceDN/>
              <w:bidi w:val="0"/>
              <w:spacing w:line="460" w:lineRule="exact"/>
              <w:ind w:firstLine="480"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施工期固体废物为施工废渣及施工人员生活垃圾。</w:t>
            </w:r>
          </w:p>
          <w:p w14:paraId="6366AA03">
            <w:pPr>
              <w:keepNext w:val="0"/>
              <w:keepLines w:val="0"/>
              <w:pageBreakBefore w:val="0"/>
              <w:kinsoku/>
              <w:wordWrap/>
              <w:overflowPunct/>
              <w:topLinePunct w:val="0"/>
              <w:autoSpaceDE/>
              <w:autoSpaceDN/>
              <w:bidi w:val="0"/>
              <w:spacing w:line="460" w:lineRule="exact"/>
              <w:ind w:firstLine="480"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(1)施工废渣</w:t>
            </w:r>
          </w:p>
          <w:p w14:paraId="3EFDEF3A">
            <w:pPr>
              <w:spacing w:line="500" w:lineRule="exact"/>
              <w:ind w:firstLine="480" w:firstLineChars="200"/>
              <w:rPr>
                <w:color w:val="000000"/>
                <w:sz w:val="24"/>
                <w:highlight w:val="none"/>
              </w:rPr>
            </w:pPr>
            <w:r>
              <w:rPr>
                <w:color w:val="000000"/>
                <w:sz w:val="24"/>
                <w:highlight w:val="none"/>
              </w:rPr>
              <w:t>本工程施工过程中开挖主要有升压站平整、道路平整和施工生产区场地平整等。表土就近堆放于道路工程区周边，生产区施工结束后用作绿化覆土。项目土方在施工初期表土剥离时，预留表层腐殖土，作为后期复耕及绿化恢复用土，剩余土</w:t>
            </w:r>
            <w:r>
              <w:rPr>
                <w:rFonts w:hint="eastAsia"/>
                <w:color w:val="000000"/>
                <w:sz w:val="24"/>
                <w:highlight w:val="none"/>
              </w:rPr>
              <w:t>用于场地平整</w:t>
            </w:r>
            <w:r>
              <w:rPr>
                <w:color w:val="000000"/>
                <w:sz w:val="24"/>
                <w:highlight w:val="none"/>
              </w:rPr>
              <w:t>。</w:t>
            </w:r>
          </w:p>
          <w:p w14:paraId="71B2926E">
            <w:pPr>
              <w:keepNext w:val="0"/>
              <w:keepLines w:val="0"/>
              <w:pageBreakBefore w:val="0"/>
              <w:kinsoku/>
              <w:wordWrap/>
              <w:overflowPunct/>
              <w:topLinePunct w:val="0"/>
              <w:autoSpaceDE/>
              <w:autoSpaceDN/>
              <w:bidi w:val="0"/>
              <w:spacing w:line="460" w:lineRule="exact"/>
              <w:ind w:firstLine="480"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本项目须加强对表土临时堆存的管理，为了防止临时堆土受雨水冲刷产生水土流失，施工区临时堆土场应对表面进行压实</w:t>
            </w:r>
            <w:r>
              <w:rPr>
                <w:rFonts w:hint="eastAsia" w:ascii="Times New Roman" w:hAnsi="Times New Roman" w:eastAsia="宋体" w:cs="Times New Roman"/>
                <w:color w:val="auto"/>
                <w:kern w:val="21"/>
                <w:sz w:val="24"/>
                <w:szCs w:val="24"/>
                <w:highlight w:val="none"/>
                <w:lang w:val="en-US" w:eastAsia="zh-CN"/>
              </w:rPr>
              <w:t>，</w:t>
            </w:r>
            <w:r>
              <w:rPr>
                <w:rFonts w:hint="default" w:ascii="Times New Roman" w:hAnsi="Times New Roman" w:eastAsia="宋体" w:cs="Times New Roman"/>
                <w:color w:val="auto"/>
                <w:kern w:val="21"/>
                <w:sz w:val="24"/>
                <w:szCs w:val="24"/>
                <w:highlight w:val="none"/>
                <w:lang w:val="en-US" w:eastAsia="zh-CN"/>
              </w:rPr>
              <w:t>采取编织袋装土防护和苫布覆盖、并应设置临时排水导流系统，避免对周围环境造成不良影响。</w:t>
            </w:r>
          </w:p>
          <w:p w14:paraId="67A59496">
            <w:pPr>
              <w:keepNext w:val="0"/>
              <w:keepLines w:val="0"/>
              <w:pageBreakBefore w:val="0"/>
              <w:kinsoku/>
              <w:wordWrap/>
              <w:overflowPunct/>
              <w:topLinePunct w:val="0"/>
              <w:autoSpaceDE/>
              <w:autoSpaceDN/>
              <w:bidi w:val="0"/>
              <w:spacing w:line="460" w:lineRule="exact"/>
              <w:ind w:firstLine="480"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(2)施工建筑垃圾</w:t>
            </w:r>
          </w:p>
          <w:p w14:paraId="2C054DD0">
            <w:pPr>
              <w:keepNext w:val="0"/>
              <w:keepLines w:val="0"/>
              <w:pageBreakBefore w:val="0"/>
              <w:kinsoku/>
              <w:wordWrap/>
              <w:overflowPunct/>
              <w:topLinePunct w:val="0"/>
              <w:autoSpaceDE/>
              <w:autoSpaceDN/>
              <w:bidi w:val="0"/>
              <w:spacing w:line="460" w:lineRule="exact"/>
              <w:ind w:firstLine="480" w:firstLineChars="200"/>
              <w:jc w:val="both"/>
              <w:textAlignment w:val="auto"/>
              <w:outlineLvl w:val="9"/>
              <w:rPr>
                <w:rFonts w:hint="default"/>
                <w:highlight w:val="none"/>
                <w:lang w:val="en-US" w:eastAsia="zh-CN"/>
              </w:rPr>
            </w:pPr>
            <w:r>
              <w:rPr>
                <w:rFonts w:hint="default" w:ascii="Times New Roman" w:hAnsi="Times New Roman" w:eastAsia="宋体" w:cs="Times New Roman"/>
                <w:color w:val="auto"/>
                <w:kern w:val="21"/>
                <w:sz w:val="24"/>
                <w:szCs w:val="24"/>
                <w:highlight w:val="none"/>
                <w:lang w:val="en-US" w:eastAsia="zh-CN"/>
              </w:rPr>
              <w:t>本项目施工时产生少量建筑垃圾，建筑垃圾主要包括砂石、废金属、废钢筋等杂物，废金属、废钢筋回收处理，废砂石用于升压站地基填埋</w:t>
            </w:r>
            <w:r>
              <w:rPr>
                <w:rFonts w:hint="default"/>
                <w:highlight w:val="none"/>
                <w:lang w:val="en-US" w:eastAsia="zh-CN"/>
              </w:rPr>
              <w:t>。</w:t>
            </w:r>
          </w:p>
          <w:p w14:paraId="7920545B">
            <w:pPr>
              <w:keepNext w:val="0"/>
              <w:keepLines w:val="0"/>
              <w:pageBreakBefore w:val="0"/>
              <w:kinsoku/>
              <w:wordWrap/>
              <w:overflowPunct/>
              <w:topLinePunct w:val="0"/>
              <w:autoSpaceDE/>
              <w:autoSpaceDN/>
              <w:bidi w:val="0"/>
              <w:spacing w:line="460" w:lineRule="exact"/>
              <w:ind w:firstLine="480"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w:t>
            </w:r>
            <w:r>
              <w:rPr>
                <w:rFonts w:hint="eastAsia" w:ascii="Times New Roman" w:hAnsi="Times New Roman" w:eastAsia="宋体" w:cs="Times New Roman"/>
                <w:color w:val="auto"/>
                <w:kern w:val="21"/>
                <w:sz w:val="24"/>
                <w:szCs w:val="24"/>
                <w:highlight w:val="none"/>
                <w:lang w:val="en-US" w:eastAsia="zh-CN"/>
              </w:rPr>
              <w:t>3</w:t>
            </w:r>
            <w:r>
              <w:rPr>
                <w:rFonts w:hint="default" w:ascii="Times New Roman" w:hAnsi="Times New Roman" w:eastAsia="宋体" w:cs="Times New Roman"/>
                <w:color w:val="auto"/>
                <w:kern w:val="21"/>
                <w:sz w:val="24"/>
                <w:szCs w:val="24"/>
                <w:highlight w:val="none"/>
                <w:lang w:val="en-US" w:eastAsia="zh-CN"/>
              </w:rPr>
              <w:t>)施工人员生活垃圾</w:t>
            </w:r>
          </w:p>
          <w:p w14:paraId="62334192">
            <w:pPr>
              <w:keepNext w:val="0"/>
              <w:keepLines w:val="0"/>
              <w:pageBreakBefore w:val="0"/>
              <w:kinsoku/>
              <w:wordWrap/>
              <w:overflowPunct/>
              <w:topLinePunct w:val="0"/>
              <w:autoSpaceDE/>
              <w:autoSpaceDN/>
              <w:bidi w:val="0"/>
              <w:spacing w:line="460" w:lineRule="exact"/>
              <w:ind w:firstLine="480"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施工人员生活垃圾定点集中收集，定期运至环卫部门指定垃圾中转站处置，不得任意堆放和丢弃。</w:t>
            </w:r>
          </w:p>
          <w:p w14:paraId="0A6765C0">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通过以上措施，施工期固体废物对环境的影响较小。</w:t>
            </w:r>
          </w:p>
          <w:p w14:paraId="5AD4D45A">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both"/>
              <w:textAlignment w:val="auto"/>
              <w:outlineLvl w:val="9"/>
              <w:rPr>
                <w:rFonts w:hint="default"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en-US" w:eastAsia="zh-CN"/>
              </w:rPr>
              <w:t>5</w:t>
            </w:r>
            <w:r>
              <w:rPr>
                <w:rFonts w:hint="default" w:ascii="Times New Roman" w:hAnsi="Times New Roman" w:eastAsia="宋体" w:cs="Times New Roman"/>
                <w:b/>
                <w:bCs/>
                <w:color w:val="auto"/>
                <w:kern w:val="21"/>
                <w:sz w:val="24"/>
                <w:szCs w:val="24"/>
                <w:highlight w:val="none"/>
                <w:lang w:val="en-US" w:eastAsia="zh-CN"/>
              </w:rPr>
              <w:t>、施工期生态环境影响</w:t>
            </w:r>
          </w:p>
          <w:p w14:paraId="21B5DC73">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本工程220kV升压站施工期永久占地主要为升压站占地，占地</w:t>
            </w:r>
            <w:r>
              <w:rPr>
                <w:rFonts w:hint="eastAsia" w:ascii="Times New Roman" w:hAnsi="Times New Roman" w:eastAsia="宋体" w:cs="Times New Roman"/>
                <w:bCs/>
                <w:color w:val="auto"/>
                <w:sz w:val="24"/>
                <w:szCs w:val="24"/>
                <w:highlight w:val="none"/>
                <w:lang w:val="en-US" w:eastAsia="zh-CN"/>
              </w:rPr>
              <w:t>类型</w:t>
            </w:r>
            <w:r>
              <w:rPr>
                <w:rFonts w:hint="default" w:ascii="Times New Roman" w:hAnsi="Times New Roman" w:eastAsia="宋体" w:cs="Times New Roman"/>
                <w:bCs/>
                <w:color w:val="auto"/>
                <w:sz w:val="24"/>
                <w:szCs w:val="24"/>
                <w:highlight w:val="none"/>
                <w:lang w:val="en-US" w:eastAsia="zh-CN"/>
              </w:rPr>
              <w:t>为农用地，</w:t>
            </w:r>
            <w:r>
              <w:rPr>
                <w:rFonts w:hint="eastAsia" w:ascii="Times New Roman" w:hAnsi="Times New Roman" w:eastAsia="宋体" w:cs="Times New Roman"/>
                <w:bCs/>
                <w:color w:val="auto"/>
                <w:sz w:val="24"/>
                <w:szCs w:val="24"/>
                <w:highlight w:val="none"/>
                <w:lang w:val="en-US" w:eastAsia="zh-CN"/>
              </w:rPr>
              <w:t>现状为草地，</w:t>
            </w:r>
            <w:r>
              <w:rPr>
                <w:rFonts w:hint="default" w:ascii="Times New Roman" w:hAnsi="Times New Roman" w:eastAsia="宋体" w:cs="Times New Roman"/>
                <w:bCs/>
                <w:color w:val="auto"/>
                <w:sz w:val="24"/>
                <w:szCs w:val="24"/>
                <w:highlight w:val="none"/>
                <w:lang w:val="en-US" w:eastAsia="zh-CN"/>
              </w:rPr>
              <w:t>工程的实施将改变原有土地的使用类型，可能对占地区域内生态产生一定的不良影响。工程基础需开挖地面，需要一定的临时占地，会对占地区域内生态产生一定的不良影响，但升压站施工时间较短，施工期结束后，临时占地将被恢复原貌，可有效减轻施工期对生态环境造成的不良影响。</w:t>
            </w:r>
          </w:p>
          <w:p w14:paraId="511214AA">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1)土地利用变化</w:t>
            </w:r>
          </w:p>
          <w:p w14:paraId="5691D08D">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项目建设会导致土地利用类型变化，站址处原有性质将被升压站所替代，土地利用类型的变化还直接导致了区域地表裸露面积增大、加剧水土流失，同时还直接导致农户庄稼收成减少。项目站址占地量较小，土地利用变化影响较小。</w:t>
            </w:r>
          </w:p>
          <w:p w14:paraId="22C7C08E">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2)对野生动物的影响</w:t>
            </w:r>
          </w:p>
          <w:p w14:paraId="02E59632">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项目站址占地为</w:t>
            </w:r>
            <w:r>
              <w:rPr>
                <w:rFonts w:hint="eastAsia" w:ascii="Times New Roman" w:hAnsi="Times New Roman" w:eastAsia="宋体" w:cs="Times New Roman"/>
                <w:bCs/>
                <w:color w:val="auto"/>
                <w:sz w:val="24"/>
                <w:szCs w:val="24"/>
                <w:highlight w:val="none"/>
                <w:lang w:val="en-US" w:eastAsia="zh-CN"/>
              </w:rPr>
              <w:t>农用地</w:t>
            </w:r>
            <w:r>
              <w:rPr>
                <w:rFonts w:hint="default" w:ascii="Times New Roman" w:hAnsi="Times New Roman" w:eastAsia="宋体" w:cs="Times New Roman"/>
                <w:bCs/>
                <w:color w:val="auto"/>
                <w:sz w:val="24"/>
                <w:szCs w:val="24"/>
                <w:highlight w:val="none"/>
                <w:lang w:val="en-US" w:eastAsia="zh-CN"/>
              </w:rPr>
              <w:t>，根据现状调查，评价区受人为活动影响，项目区域内野生动物以兔、鼠类野生动物及麻雀、燕等禽类为主。项目区未发现大型野生动物，未发现国家重点保护的或珍稀、濒危野生动物。施工期受人为活动和机械设备的影响，区内野兔、鼠等野生动物将迁往附近同类生境，动物迁徙能力强，同类生境易于在附近找寻，并且施工仅在昼间进行，夜间不施工。因此，对动物活动影响较小，加之施工结束后动物会逐渐适应并回到该区域活动。</w:t>
            </w:r>
          </w:p>
          <w:p w14:paraId="69550BEE">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在项目区域活动的鸟类主要为麻雀、雉等一般鸟类，未见国家级省级重点保护鸟类。由于项目施工破坏项目区草地，可能会对麻雀、雉等的觅食造成一定影响。由于同类生境在附近易于找寻，受施工影响的鸟类将暂时迁往附近同类生境，施工结束后仍能返回原地。</w:t>
            </w:r>
          </w:p>
          <w:p w14:paraId="03C998D2">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综上所述，施工期植被破坏对爬行动物及鸟类的影响是暂时的，施工结束后这些动物及鸟类仍能返回原地，不会引起其种群和数量上的减少。因此，施工期对项目区域内动物影响较小。</w:t>
            </w:r>
          </w:p>
          <w:p w14:paraId="338EE963">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3)对植被的影响</w:t>
            </w:r>
          </w:p>
          <w:p w14:paraId="0077B0D3">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项目建设区未发现珍稀濒危植被分布，工程建设对植被的影响主要为站区施工过程对用地范围内植被清除，造成站址区域内地表植被的完全破坏，植被破坏带来的主要生态影响为生态系统破坏、水土流失、植被覆盖度降低等影响。项目永久占地原为</w:t>
            </w:r>
            <w:r>
              <w:rPr>
                <w:rFonts w:hint="eastAsia" w:ascii="Times New Roman" w:hAnsi="Times New Roman" w:eastAsia="宋体" w:cs="Times New Roman"/>
                <w:bCs/>
                <w:color w:val="auto"/>
                <w:sz w:val="24"/>
                <w:szCs w:val="24"/>
                <w:highlight w:val="none"/>
                <w:lang w:val="en-US" w:eastAsia="zh-CN"/>
              </w:rPr>
              <w:t>农用地</w:t>
            </w:r>
            <w:r>
              <w:rPr>
                <w:rFonts w:hint="default" w:ascii="Times New Roman" w:hAnsi="Times New Roman" w:eastAsia="宋体" w:cs="Times New Roman"/>
                <w:bCs/>
                <w:color w:val="auto"/>
                <w:sz w:val="24"/>
                <w:szCs w:val="24"/>
                <w:highlight w:val="none"/>
                <w:lang w:val="en-US" w:eastAsia="zh-CN"/>
              </w:rPr>
              <w:t>，主要植被为灌草，施工结束后站区将以长期的、稳定的人工绿化替代原有间断性、规律性作物植被，临时占地将被恢复原貌，施工对植被影响较小。</w:t>
            </w:r>
          </w:p>
          <w:p w14:paraId="0C34ECA9">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4)施工期占地影响</w:t>
            </w:r>
          </w:p>
          <w:p w14:paraId="75144CF1">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工程占地主要为永久占地和临时占地，工程永久占地在一定程度上改变原有景观空间结构，使土地失去原有的生物生产功能和生态功能，改变局部区域土地利用现状；临时占地施工前进行表土剥离，剥离厚度为30cm，剥离的表土临时堆放在场地周边，并用苫布覆盖，临时占地施工结束后恢复原状，施工产生的影响较小。</w:t>
            </w:r>
          </w:p>
          <w:p w14:paraId="4494FC95">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)占地对生物影响</w:t>
            </w:r>
          </w:p>
          <w:p w14:paraId="42C574A1">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项目施工期占地范围内植被将被剥离，施工会损失一定量生物量。项目占地为</w:t>
            </w:r>
            <w:r>
              <w:rPr>
                <w:rFonts w:hint="eastAsia" w:ascii="Times New Roman" w:hAnsi="Times New Roman" w:eastAsia="宋体" w:cs="Times New Roman"/>
                <w:bCs/>
                <w:color w:val="auto"/>
                <w:sz w:val="24"/>
                <w:szCs w:val="24"/>
                <w:highlight w:val="none"/>
                <w:lang w:val="en-US" w:eastAsia="zh-CN"/>
              </w:rPr>
              <w:t>农用地</w:t>
            </w:r>
            <w:r>
              <w:rPr>
                <w:rFonts w:hint="default" w:ascii="Times New Roman" w:hAnsi="Times New Roman" w:eastAsia="宋体" w:cs="Times New Roman"/>
                <w:bCs/>
                <w:color w:val="auto"/>
                <w:sz w:val="24"/>
                <w:szCs w:val="24"/>
                <w:highlight w:val="none"/>
                <w:lang w:val="en-US" w:eastAsia="zh-CN"/>
              </w:rPr>
              <w:t>，主要为灌木、杂草等，生物量损失量极少。</w:t>
            </w:r>
          </w:p>
          <w:p w14:paraId="1AAC8359">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本工程施工期已经结束，在采取上述污染防治措施、生态保护措施后，项目的实施对周围环境影响较小。</w:t>
            </w:r>
          </w:p>
          <w:p w14:paraId="5B2E9893">
            <w:pPr>
              <w:spacing w:line="500" w:lineRule="exact"/>
              <w:ind w:firstLine="480" w:firstLineChars="200"/>
              <w:rPr>
                <w:color w:val="000000"/>
                <w:sz w:val="24"/>
                <w:highlight w:val="none"/>
              </w:rPr>
            </w:pPr>
            <w:r>
              <w:rPr>
                <w:color w:val="000000"/>
                <w:sz w:val="24"/>
                <w:highlight w:val="none"/>
              </w:rPr>
              <w:t>综上所述，本项目建设所造成的区域土地利用格局的变化，将对区域的自然体系产生一定影响，但影响较小，不会对生态系统的稳定性、多样性造成不可逆的影响。但应在施工期间制定施工制度，尽量减少施工对附近林地、灌丛和灌草丛的占用和破坏。</w:t>
            </w:r>
          </w:p>
          <w:p w14:paraId="0C24D83A">
            <w:pPr>
              <w:keepNext w:val="0"/>
              <w:keepLines w:val="0"/>
              <w:pageBreakBefore w:val="0"/>
              <w:widowControl w:val="0"/>
              <w:kinsoku/>
              <w:wordWrap/>
              <w:overflowPunct/>
              <w:topLinePunct w:val="0"/>
              <w:autoSpaceDE/>
              <w:autoSpaceDN/>
              <w:bidi w:val="0"/>
              <w:adjustRightInd w:val="0"/>
              <w:snapToGrid w:val="0"/>
              <w:spacing w:line="460" w:lineRule="atLeast"/>
              <w:ind w:firstLine="482" w:firstLineChars="200"/>
              <w:jc w:val="both"/>
              <w:textAlignment w:val="auto"/>
              <w:outlineLvl w:val="9"/>
              <w:rPr>
                <w:rFonts w:hint="default" w:ascii="Times New Roman" w:hAnsi="Times New Roman" w:eastAsia="宋体" w:cs="Times New Roman"/>
                <w:b/>
                <w:bCs w:val="0"/>
                <w:color w:val="auto"/>
                <w:sz w:val="24"/>
                <w:szCs w:val="24"/>
                <w:highlight w:val="none"/>
                <w:lang w:val="en-US" w:eastAsia="zh-CN"/>
              </w:rPr>
            </w:pPr>
            <w:bookmarkStart w:id="35" w:name="OLE_LINK1"/>
            <w:r>
              <w:rPr>
                <w:rFonts w:hint="eastAsia" w:cs="Times New Roman"/>
                <w:b/>
                <w:bCs w:val="0"/>
                <w:color w:val="auto"/>
                <w:sz w:val="24"/>
                <w:szCs w:val="24"/>
                <w:highlight w:val="none"/>
                <w:lang w:val="en-US" w:eastAsia="zh-CN"/>
              </w:rPr>
              <w:t>6</w:t>
            </w:r>
            <w:r>
              <w:rPr>
                <w:rFonts w:hint="eastAsia" w:ascii="Times New Roman" w:hAnsi="Times New Roman" w:eastAsia="宋体" w:cs="Times New Roman"/>
                <w:b/>
                <w:bCs w:val="0"/>
                <w:color w:val="auto"/>
                <w:sz w:val="24"/>
                <w:szCs w:val="24"/>
                <w:highlight w:val="none"/>
                <w:lang w:val="en-US" w:eastAsia="zh-CN"/>
              </w:rPr>
              <w:t>、</w:t>
            </w:r>
            <w:r>
              <w:rPr>
                <w:rFonts w:hint="eastAsia" w:cs="Times New Roman"/>
                <w:b/>
                <w:bCs w:val="0"/>
                <w:color w:val="auto"/>
                <w:sz w:val="24"/>
                <w:szCs w:val="24"/>
                <w:highlight w:val="none"/>
                <w:lang w:val="en-US" w:eastAsia="zh-CN"/>
              </w:rPr>
              <w:t>生态红线环境影响分析</w:t>
            </w:r>
          </w:p>
          <w:bookmarkEnd w:id="35"/>
          <w:p w14:paraId="6AF4E4CE">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位于河北省承德市围场满族蒙古族自治县城子镇、牌楼乡、燕格柏乡和半截塔镇。根据围场满族蒙古族自治县自然资源和规划局于2024年4月7日出具的《关于围场满族蒙古族自治县阳洁光伏发电有限责任公司华能围场“风光储氢热一体化”项目（风电200MW）项目220KV送出线路工程塔基用地的情况说明》（STHXHS20240052号），本项目线路塔基范围不占永久基本农田，但部分线路塔基范围占生态保护红线（0.12公顷），占生态保护红线塔基分别为（21、23、26）；根据围场满族蒙古族自治县自然资源和规划局于2024年4月7日出具的《华能围场“风光储氢热一体化”项目（风电200MW）项目220KV送出线路工程不可避让生态保护红线报告》的审查意见，本项目建设占用生态保护红线不可避免，《报告》提出的项目用地占用和穿越生态保护红线的保护措施以及相关施工措施可行，同意通过论证；根据围场满族蒙古族自治县自然资源和规划局于2024年9月25日出具的《关于华能围场“风光储氢一体化”项目（风电200MW）项目220kV送出线路工程路径的说明》，该项目配套220kV送出线路工程路径经过围场县城子镇、牌楼乡、燕格柏乡、半截塔镇部分线路涉及穿越生态保护红线，按照《河北省自然资源厅河北省生态环境厅 河北省林业和草原局 关于加强生态保护红线管理的通知》(冀自然资发〔2024〕4号)编制了不可避让论证报告并通过专家论证，原则同意该线路预选址，后续按程序办理相关手续</w:t>
            </w:r>
            <w:r>
              <w:rPr>
                <w:rFonts w:hint="eastAsia" w:cs="Times New Roman"/>
                <w:bCs/>
                <w:color w:val="auto"/>
                <w:sz w:val="24"/>
                <w:szCs w:val="24"/>
                <w:highlight w:val="none"/>
                <w:lang w:val="en-US" w:eastAsia="zh-CN"/>
              </w:rPr>
              <w:t>。</w:t>
            </w:r>
          </w:p>
          <w:p w14:paraId="7693FC68">
            <w:pPr>
              <w:keepNext w:val="0"/>
              <w:keepLines w:val="0"/>
              <w:pageBreakBefore w:val="0"/>
              <w:widowControl w:val="0"/>
              <w:kinsoku/>
              <w:wordWrap/>
              <w:overflowPunct/>
              <w:topLinePunct w:val="0"/>
              <w:autoSpaceDE/>
              <w:autoSpaceDN/>
              <w:bidi w:val="0"/>
              <w:adjustRightInd w:val="0"/>
              <w:snapToGrid w:val="0"/>
              <w:spacing w:line="460" w:lineRule="atLeast"/>
              <w:ind w:firstLine="482" w:firstLineChars="200"/>
              <w:jc w:val="both"/>
              <w:textAlignment w:val="auto"/>
              <w:outlineLvl w:val="9"/>
              <w:rPr>
                <w:rFonts w:hint="default" w:ascii="Times New Roman" w:hAnsi="Times New Roman" w:eastAsia="宋体"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7</w:t>
            </w:r>
            <w:r>
              <w:rPr>
                <w:rFonts w:hint="eastAsia" w:ascii="Times New Roman" w:hAnsi="Times New Roman" w:eastAsia="宋体" w:cs="Times New Roman"/>
                <w:b/>
                <w:bCs w:val="0"/>
                <w:color w:val="auto"/>
                <w:sz w:val="24"/>
                <w:szCs w:val="24"/>
                <w:highlight w:val="none"/>
                <w:lang w:val="en-US" w:eastAsia="zh-CN"/>
              </w:rPr>
              <w:t>、</w:t>
            </w:r>
            <w:r>
              <w:rPr>
                <w:rFonts w:hint="eastAsia" w:cs="Times New Roman"/>
                <w:b/>
                <w:bCs w:val="0"/>
                <w:color w:val="auto"/>
                <w:sz w:val="24"/>
                <w:szCs w:val="24"/>
                <w:highlight w:val="none"/>
                <w:lang w:val="en-US" w:eastAsia="zh-CN"/>
              </w:rPr>
              <w:t>沙区影响分析</w:t>
            </w:r>
          </w:p>
          <w:p w14:paraId="37CBA869">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eastAsia"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华能围场“风光储氢热一体化”项目（风电200MW）项目220kV送出线路工程</w:t>
            </w:r>
            <w:r>
              <w:rPr>
                <w:rFonts w:hint="eastAsia" w:ascii="Times New Roman" w:hAnsi="Times New Roman" w:eastAsia="宋体" w:cs="Times New Roman"/>
                <w:bCs/>
                <w:color w:val="auto"/>
                <w:sz w:val="24"/>
                <w:szCs w:val="24"/>
                <w:highlight w:val="none"/>
                <w:lang w:val="en-US" w:eastAsia="zh-CN"/>
              </w:rPr>
              <w:t>，位于</w:t>
            </w:r>
            <w:r>
              <w:rPr>
                <w:rFonts w:hint="eastAsia" w:cs="Times New Roman"/>
                <w:bCs/>
                <w:color w:val="auto"/>
                <w:sz w:val="24"/>
                <w:szCs w:val="24"/>
                <w:highlight w:val="none"/>
                <w:lang w:val="en-US" w:eastAsia="zh-CN"/>
              </w:rPr>
              <w:t>河北省承德市围场满族蒙古族自治县城子镇、牌楼乡、燕格柏乡和半截塔镇</w:t>
            </w:r>
            <w:r>
              <w:rPr>
                <w:rFonts w:hint="eastAsia" w:ascii="Times New Roman" w:hAnsi="Times New Roman" w:eastAsia="宋体" w:cs="Times New Roman"/>
                <w:bCs/>
                <w:color w:val="auto"/>
                <w:sz w:val="24"/>
                <w:szCs w:val="24"/>
                <w:highlight w:val="none"/>
                <w:lang w:val="en-US" w:eastAsia="zh-CN"/>
              </w:rPr>
              <w:t>，占地类型为农用地。</w:t>
            </w:r>
          </w:p>
          <w:p w14:paraId="60CE358D">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根据主体设计资料和工程特点，施工布置是以施工过程中扰动面积最小为原则，施工区的布设占地较小，施工时根据各项目分区具体的工程措施合理安排施工工艺，减少或避免各工序间的相互干扰。临时占地施工结束后均可整平土地进行植被恢复。工程施工采用机械配合人工进行，机械以铲运机、推土机为主，人工配合机械对零星场地或边角区域的平整，工程基础开挖、放线等过程中都采用先进的施工工艺，在建设过程中加强生态保护，建设完成后对临时占地进行植被恢复，在永久占地内进行绿化。根据</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因地制宜，宜林则林，宜草则草，大力恢复林草植被</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的原则，对生态环境进行恢复和重建。</w:t>
            </w:r>
          </w:p>
          <w:p w14:paraId="528C1F43">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根据本项目建设特点，防沙治沙及水土保持措施依照地形条件及施工工艺，分区域进行布设，具体如下：</w:t>
            </w:r>
          </w:p>
          <w:p w14:paraId="0A62D78C">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①道路工程防治区施工前对进站道路及临时占地进行表土剥离，剥离厚度平均30</w:t>
            </w:r>
            <w:r>
              <w:rPr>
                <w:rFonts w:hint="default" w:ascii="Times New Roman" w:hAnsi="Times New Roman" w:eastAsia="宋体" w:cs="Times New Roman"/>
                <w:bCs/>
                <w:color w:val="auto"/>
                <w:sz w:val="24"/>
                <w:szCs w:val="24"/>
                <w:highlight w:val="none"/>
                <w:lang w:val="en-US" w:eastAsia="zh-CN"/>
              </w:rPr>
              <w:t>cm</w:t>
            </w:r>
            <w:r>
              <w:rPr>
                <w:rFonts w:hint="eastAsia" w:ascii="Times New Roman" w:hAnsi="Times New Roman" w:eastAsia="宋体" w:cs="Times New Roman"/>
                <w:bCs/>
                <w:color w:val="auto"/>
                <w:sz w:val="24"/>
                <w:szCs w:val="24"/>
                <w:highlight w:val="none"/>
                <w:lang w:val="en-US" w:eastAsia="zh-CN"/>
              </w:rPr>
              <w:t>。所剥离表土分段临时堆放，用于施工结束后绿化覆土。项目区地势较为平坦，道路工程区可将剥离表土或开挖土方临时堆放在施工区空地，需在临时堆土周边设置临时拦挡，临时挡墙采用梯形断面，采用“品”字形紧密排列的堆砌方式，对堆积的剥离表土周边设置临时拦挡，临时挡墙采用梯形断面。对修筑道路期间开挖土方及表土采用密目网临时苫盖，防治雨水冲刷和大风吹蚀。施工结束后，及时清理地表，对道路临时占地进行表土回覆，对区内植被绿化的区域进行土地平整，施肥，耕翻地。施工检修道路完工对临时占地进行恢复。</w:t>
            </w:r>
          </w:p>
          <w:p w14:paraId="2E7D2D86">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施工期间，为防尘降尘，采取道路面临时洒水措施，减少施工期间扬尘，促进路面硬化。</w:t>
            </w:r>
          </w:p>
          <w:p w14:paraId="47DA5380">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③施工临时设施防治区</w:t>
            </w:r>
          </w:p>
          <w:p w14:paraId="0096056D">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施工前对施工临时设施区占地进行表土剥离，所剥离表土临时堆存于临时施工场地一角，用于施工结束后绿化覆土，表土回填面积，回填厚度30</w:t>
            </w:r>
            <w:r>
              <w:rPr>
                <w:rFonts w:hint="default" w:ascii="Times New Roman" w:hAnsi="Times New Roman" w:eastAsia="宋体" w:cs="Times New Roman"/>
                <w:bCs/>
                <w:color w:val="auto"/>
                <w:sz w:val="24"/>
                <w:szCs w:val="24"/>
                <w:highlight w:val="none"/>
                <w:lang w:val="en-US" w:eastAsia="zh-CN"/>
              </w:rPr>
              <w:t>cm</w:t>
            </w:r>
            <w:r>
              <w:rPr>
                <w:rFonts w:hint="eastAsia" w:ascii="Times New Roman" w:hAnsi="Times New Roman" w:eastAsia="宋体" w:cs="Times New Roman"/>
                <w:bCs/>
                <w:color w:val="auto"/>
                <w:sz w:val="24"/>
                <w:szCs w:val="24"/>
                <w:highlight w:val="none"/>
                <w:lang w:val="en-US" w:eastAsia="zh-CN"/>
              </w:rPr>
              <w:t>。施工期间对堆积土方和裸露地表进行表面苫盖，采用密目网，防止雨水冲刷和大风吹蚀。施工结束后，拆除施工临时设施，清理场地垃圾、杂物，对场地进行平整，施肥，耕翻地，并对施工临时设施区域进行及时复垦。</w:t>
            </w:r>
          </w:p>
        </w:tc>
      </w:tr>
      <w:tr w14:paraId="7C11F0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94" w:type="dxa"/>
            <w:noWrap w:val="0"/>
            <w:tcMar>
              <w:left w:w="28" w:type="dxa"/>
              <w:right w:w="28" w:type="dxa"/>
            </w:tcMar>
            <w:vAlign w:val="center"/>
          </w:tcPr>
          <w:p w14:paraId="678D4CF1">
            <w:pPr>
              <w:pStyle w:val="17"/>
              <w:keepNext w:val="0"/>
              <w:keepLines w:val="0"/>
              <w:pageBreakBefore w:val="0"/>
              <w:kinsoku/>
              <w:wordWrap/>
              <w:overflowPunct/>
              <w:topLinePunct w:val="0"/>
              <w:bidi w:val="0"/>
              <w:adjustRightInd w:val="0"/>
              <w:snapToGrid w:val="0"/>
              <w:spacing w:before="0" w:beforeAutospacing="0" w:after="0" w:afterAutospacing="0"/>
              <w:jc w:val="center"/>
              <w:textAlignment w:val="auto"/>
              <w:rPr>
                <w:rFonts w:hint="default" w:ascii="Times New Roman" w:hAnsi="Times New Roman" w:eastAsia="宋体" w:cs="Times New Roman"/>
                <w:bCs/>
                <w:color w:val="auto"/>
                <w:kern w:val="2"/>
                <w:sz w:val="21"/>
                <w:szCs w:val="21"/>
                <w:highlight w:val="yellow"/>
                <w:lang w:val="en-US" w:eastAsia="zh-CN" w:bidi="ar-SA"/>
              </w:rPr>
            </w:pPr>
            <w:r>
              <w:rPr>
                <w:rFonts w:hint="eastAsia" w:ascii="Times New Roman" w:hAnsi="Times New Roman" w:cs="Times New Roman"/>
                <w:bCs/>
                <w:color w:val="auto"/>
                <w:spacing w:val="10"/>
                <w:kern w:val="2"/>
                <w:sz w:val="24"/>
                <w:szCs w:val="24"/>
                <w:highlight w:val="none"/>
                <w:lang w:val="en-US" w:eastAsia="zh-CN"/>
              </w:rPr>
              <w:t>运营</w:t>
            </w:r>
            <w:r>
              <w:rPr>
                <w:rFonts w:hint="eastAsia" w:ascii="Times New Roman" w:hAnsi="Times New Roman" w:eastAsia="宋体" w:cs="Times New Roman"/>
                <w:bCs/>
                <w:color w:val="auto"/>
                <w:spacing w:val="10"/>
                <w:kern w:val="2"/>
                <w:sz w:val="24"/>
                <w:szCs w:val="24"/>
                <w:highlight w:val="none"/>
                <w:lang w:eastAsia="zh-CN"/>
              </w:rPr>
              <w:t>期</w:t>
            </w:r>
            <w:r>
              <w:rPr>
                <w:rFonts w:hint="default" w:ascii="Times New Roman" w:hAnsi="Times New Roman" w:eastAsia="宋体" w:cs="Times New Roman"/>
                <w:bCs/>
                <w:color w:val="auto"/>
                <w:spacing w:val="10"/>
                <w:kern w:val="2"/>
                <w:sz w:val="24"/>
                <w:szCs w:val="24"/>
                <w:highlight w:val="none"/>
              </w:rPr>
              <w:t>生态环境影响分析</w:t>
            </w:r>
          </w:p>
        </w:tc>
        <w:tc>
          <w:tcPr>
            <w:tcW w:w="7648" w:type="dxa"/>
            <w:noWrap w:val="0"/>
            <w:vAlign w:val="center"/>
          </w:tcPr>
          <w:p w14:paraId="7E16B4A8">
            <w:pPr>
              <w:keepNext w:val="0"/>
              <w:keepLines w:val="0"/>
              <w:pageBreakBefore w:val="0"/>
              <w:widowControl w:val="0"/>
              <w:kinsoku/>
              <w:wordWrap/>
              <w:overflowPunct/>
              <w:topLinePunct w:val="0"/>
              <w:autoSpaceDE/>
              <w:autoSpaceDN/>
              <w:bidi w:val="0"/>
              <w:adjustRightInd w:val="0"/>
              <w:snapToGrid w:val="0"/>
              <w:spacing w:line="460" w:lineRule="atLeast"/>
              <w:ind w:firstLine="482" w:firstLineChars="200"/>
              <w:jc w:val="both"/>
              <w:textAlignment w:val="auto"/>
              <w:outlineLvl w:val="9"/>
              <w:rPr>
                <w:rFonts w:hint="default"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en-US" w:eastAsia="zh-CN"/>
              </w:rPr>
              <w:t>1、</w:t>
            </w:r>
            <w:r>
              <w:rPr>
                <w:rFonts w:hint="default" w:ascii="Times New Roman" w:hAnsi="Times New Roman" w:eastAsia="宋体" w:cs="Times New Roman"/>
                <w:b/>
                <w:bCs/>
                <w:color w:val="auto"/>
                <w:kern w:val="21"/>
                <w:sz w:val="24"/>
                <w:szCs w:val="24"/>
                <w:highlight w:val="none"/>
                <w:lang w:val="en-US" w:eastAsia="zh-CN"/>
              </w:rPr>
              <w:t>大气环境影响分析</w:t>
            </w:r>
          </w:p>
          <w:p w14:paraId="41AC6B1F">
            <w:pPr>
              <w:spacing w:line="500" w:lineRule="exact"/>
              <w:ind w:firstLine="480" w:firstLineChars="200"/>
              <w:rPr>
                <w:rFonts w:hint="default" w:ascii="Times New Roman" w:hAnsi="Times New Roman" w:eastAsia="宋体" w:cs="宋体"/>
                <w:color w:val="000000"/>
                <w:sz w:val="24"/>
                <w:highlight w:val="none"/>
                <w:lang w:val="en-US" w:eastAsia="zh-CN"/>
              </w:rPr>
            </w:pPr>
            <w:r>
              <w:rPr>
                <w:rFonts w:hint="default" w:ascii="Times New Roman" w:hAnsi="Times New Roman" w:eastAsia="宋体" w:cs="宋体"/>
                <w:color w:val="000000"/>
                <w:sz w:val="24"/>
                <w:highlight w:val="none"/>
                <w:lang w:val="en-US" w:eastAsia="zh-CN"/>
              </w:rPr>
              <w:t>线路</w:t>
            </w:r>
            <w:r>
              <w:rPr>
                <w:rFonts w:hint="eastAsia" w:cs="宋体"/>
                <w:color w:val="000000"/>
                <w:sz w:val="24"/>
                <w:highlight w:val="none"/>
                <w:lang w:val="en-US" w:eastAsia="zh-CN"/>
              </w:rPr>
              <w:t>运营期</w:t>
            </w:r>
            <w:r>
              <w:rPr>
                <w:rFonts w:hint="default" w:ascii="Times New Roman" w:hAnsi="Times New Roman" w:eastAsia="宋体" w:cs="宋体"/>
                <w:color w:val="000000"/>
                <w:sz w:val="24"/>
                <w:highlight w:val="none"/>
                <w:lang w:val="en-US" w:eastAsia="zh-CN"/>
              </w:rPr>
              <w:t>间不产生废气，不会对周边大气环境产生影响。</w:t>
            </w:r>
          </w:p>
          <w:p w14:paraId="57950AD8">
            <w:pPr>
              <w:keepNext w:val="0"/>
              <w:keepLines w:val="0"/>
              <w:pageBreakBefore w:val="0"/>
              <w:widowControl w:val="0"/>
              <w:kinsoku/>
              <w:wordWrap/>
              <w:overflowPunct/>
              <w:topLinePunct w:val="0"/>
              <w:autoSpaceDE/>
              <w:autoSpaceDN/>
              <w:bidi w:val="0"/>
              <w:adjustRightInd w:val="0"/>
              <w:snapToGrid w:val="0"/>
              <w:spacing w:line="460" w:lineRule="atLeast"/>
              <w:ind w:firstLine="482"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b/>
                <w:bCs/>
                <w:color w:val="auto"/>
                <w:kern w:val="21"/>
                <w:sz w:val="24"/>
                <w:szCs w:val="24"/>
                <w:highlight w:val="none"/>
                <w:lang w:val="en-US" w:eastAsia="zh-CN"/>
              </w:rPr>
              <w:t>2、水环境影响分析</w:t>
            </w:r>
          </w:p>
          <w:p w14:paraId="4D9E4CA5">
            <w:pPr>
              <w:spacing w:line="500" w:lineRule="exact"/>
              <w:ind w:firstLine="480" w:firstLineChars="200"/>
              <w:rPr>
                <w:rFonts w:hint="default" w:ascii="Times New Roman" w:hAnsi="Times New Roman" w:eastAsia="宋体" w:cs="宋体"/>
                <w:color w:val="000000"/>
                <w:sz w:val="24"/>
                <w:highlight w:val="none"/>
                <w:lang w:val="en-US" w:eastAsia="zh-CN"/>
              </w:rPr>
            </w:pPr>
            <w:r>
              <w:rPr>
                <w:rFonts w:hint="default" w:ascii="Times New Roman" w:hAnsi="Times New Roman" w:eastAsia="宋体" w:cs="宋体"/>
                <w:color w:val="000000"/>
                <w:sz w:val="24"/>
                <w:highlight w:val="none"/>
                <w:lang w:val="en-US" w:eastAsia="zh-CN"/>
              </w:rPr>
              <w:t>本项目运营期无废水产生，对周边水环境无影响。</w:t>
            </w:r>
          </w:p>
          <w:p w14:paraId="3FC15DA0">
            <w:pPr>
              <w:spacing w:line="500" w:lineRule="exact"/>
              <w:ind w:firstLine="442" w:firstLineChars="200"/>
              <w:rPr>
                <w:rFonts w:hint="default" w:ascii="Times New Roman" w:hAnsi="Times New Roman" w:cs="Times New Roman"/>
                <w:b/>
                <w:bCs w:val="0"/>
                <w:color w:val="auto"/>
                <w:spacing w:val="-10"/>
                <w:sz w:val="24"/>
                <w:szCs w:val="24"/>
                <w:highlight w:val="none"/>
              </w:rPr>
            </w:pPr>
            <w:r>
              <w:rPr>
                <w:rFonts w:hint="default" w:ascii="Times New Roman" w:hAnsi="Times New Roman" w:cs="Times New Roman"/>
                <w:b/>
                <w:bCs w:val="0"/>
                <w:color w:val="auto"/>
                <w:spacing w:val="-10"/>
                <w:sz w:val="24"/>
                <w:szCs w:val="24"/>
                <w:highlight w:val="none"/>
                <w:lang w:val="en-US" w:eastAsia="zh-CN"/>
              </w:rPr>
              <w:t>3、</w:t>
            </w:r>
            <w:r>
              <w:rPr>
                <w:rFonts w:hint="default" w:ascii="Times New Roman" w:hAnsi="Times New Roman" w:cs="Times New Roman"/>
                <w:b/>
                <w:bCs w:val="0"/>
                <w:color w:val="auto"/>
                <w:sz w:val="24"/>
                <w:szCs w:val="24"/>
                <w:highlight w:val="none"/>
                <w:lang w:val="en-US" w:eastAsia="zh-CN"/>
              </w:rPr>
              <w:t>声环境</w:t>
            </w:r>
            <w:r>
              <w:rPr>
                <w:rFonts w:hint="default" w:ascii="Times New Roman" w:hAnsi="Times New Roman" w:eastAsia="宋体" w:cs="Times New Roman"/>
                <w:b/>
                <w:bCs/>
                <w:color w:val="auto"/>
                <w:kern w:val="21"/>
                <w:sz w:val="24"/>
                <w:szCs w:val="24"/>
                <w:highlight w:val="none"/>
                <w:lang w:val="en-US" w:eastAsia="zh-CN"/>
              </w:rPr>
              <w:t>影响分析</w:t>
            </w:r>
          </w:p>
          <w:p w14:paraId="7D5F4126">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本工程架空输电线路声环境评价采用类比监测的方式进行评价。</w:t>
            </w:r>
          </w:p>
          <w:p w14:paraId="53A9D233">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本工程架空输电线路声环境评价采用类比监测的方式进行评价。</w:t>
            </w:r>
          </w:p>
          <w:p w14:paraId="2227CE10">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（1）类比对象</w:t>
            </w:r>
          </w:p>
          <w:p w14:paraId="574DF9A2">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1）类比对象</w:t>
            </w:r>
          </w:p>
          <w:p w14:paraId="2A2018F9">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 xml:space="preserve">本工程送出线路投入使用后，220kV架空线路噪声源主要是高压线的电晕放电而引起的无规则噪声以及输电线路的电荷运动产生的交流声，同时因高空风速大，线路振动发出一些风鸣声，但噪声级很小，一般情况下220kV输电线路走廊下方的噪声值与声环境背景值很接近，本项目与已经建设运行的“河北建投丰宁森吉图风电场三期 150 兆瓦工程 </w:t>
            </w:r>
          </w:p>
          <w:p w14:paraId="3ECD5781">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青石砬（昆头岭）220kV 升压站及输出线路工程”（以下简称“该噪声类比线路”）电压等级相同，架设方式相同，因此用该噪声类比线路验收噪声监测报</w:t>
            </w:r>
            <w:r>
              <w:rPr>
                <w:rFonts w:hint="eastAsia" w:ascii="Times New Roman" w:hAnsi="Times New Roman" w:eastAsia="宋体" w:cs="Times New Roman"/>
                <w:color w:val="auto"/>
                <w:kern w:val="2"/>
                <w:sz w:val="24"/>
                <w:szCs w:val="24"/>
                <w:highlight w:val="none"/>
                <w:lang w:val="en-US" w:eastAsia="zh-CN"/>
              </w:rPr>
              <w:t>【DLHJ字（2019）第258号】</w:t>
            </w:r>
            <w:r>
              <w:rPr>
                <w:rFonts w:hint="default" w:ascii="Times New Roman" w:hAnsi="Times New Roman" w:eastAsia="宋体" w:cs="Times New Roman"/>
                <w:color w:val="auto"/>
                <w:kern w:val="2"/>
                <w:sz w:val="24"/>
                <w:szCs w:val="24"/>
                <w:highlight w:val="none"/>
                <w:lang w:val="en-US" w:eastAsia="zh-CN"/>
              </w:rPr>
              <w:t>监测数据进行类比分析。</w:t>
            </w:r>
          </w:p>
          <w:p w14:paraId="0A43800A">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该噪声类比线路基本情况，即基于百兆瓦压缩空气储能系统的综合能源应用示范项目基本情况见下表：</w:t>
            </w:r>
          </w:p>
          <w:p w14:paraId="44D17F0B">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rPr>
              <w:t>表4-1 类比对象</w:t>
            </w:r>
            <w:r>
              <w:rPr>
                <w:rFonts w:hint="eastAsia" w:ascii="Times New Roman" w:hAnsi="Times New Roman" w:eastAsia="宋体" w:cs="Times New Roman"/>
                <w:b/>
                <w:bCs/>
                <w:color w:val="auto"/>
                <w:kern w:val="2"/>
                <w:sz w:val="24"/>
                <w:szCs w:val="24"/>
                <w:highlight w:val="none"/>
                <w:lang w:val="en-US" w:eastAsia="zh-CN"/>
              </w:rPr>
              <w:t>昆桂</w:t>
            </w:r>
            <w:r>
              <w:rPr>
                <w:rFonts w:hint="default" w:ascii="Times New Roman" w:hAnsi="Times New Roman" w:eastAsia="宋体" w:cs="Times New Roman"/>
                <w:b/>
                <w:bCs/>
                <w:color w:val="auto"/>
                <w:kern w:val="2"/>
                <w:sz w:val="24"/>
                <w:szCs w:val="24"/>
                <w:highlight w:val="none"/>
                <w:lang w:val="en-US" w:eastAsia="zh-CN"/>
              </w:rPr>
              <w:t>线基本参数</w:t>
            </w:r>
          </w:p>
          <w:tbl>
            <w:tblPr>
              <w:tblStyle w:val="20"/>
              <w:tblW w:w="5000"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4"/>
              <w:gridCol w:w="5648"/>
            </w:tblGrid>
            <w:tr w14:paraId="08796A1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pct"/>
                  <w:tcBorders>
                    <w:tl2br w:val="nil"/>
                    <w:tr2bl w:val="nil"/>
                  </w:tcBorders>
                  <w:noWrap w:val="0"/>
                  <w:vAlign w:val="top"/>
                </w:tcPr>
                <w:p w14:paraId="32751FD3">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线路路径长度</w:t>
                  </w:r>
                </w:p>
              </w:tc>
              <w:tc>
                <w:tcPr>
                  <w:tcW w:w="3799" w:type="pct"/>
                  <w:tcBorders>
                    <w:tl2br w:val="nil"/>
                    <w:tr2bl w:val="nil"/>
                  </w:tcBorders>
                  <w:noWrap w:val="0"/>
                  <w:vAlign w:val="top"/>
                </w:tcPr>
                <w:p w14:paraId="3FD0EAC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32.863</w:t>
                  </w:r>
                  <w:r>
                    <w:rPr>
                      <w:rFonts w:hint="default" w:ascii="Times New Roman" w:hAnsi="Times New Roman" w:eastAsia="宋体" w:cs="Times New Roman"/>
                      <w:color w:val="auto"/>
                      <w:kern w:val="2"/>
                      <w:sz w:val="24"/>
                      <w:szCs w:val="24"/>
                      <w:highlight w:val="none"/>
                      <w:lang w:val="en-US" w:eastAsia="zh-CN"/>
                    </w:rPr>
                    <w:t>km</w:t>
                  </w:r>
                </w:p>
              </w:tc>
            </w:tr>
            <w:tr w14:paraId="681F0B2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pct"/>
                  <w:tcBorders>
                    <w:tl2br w:val="nil"/>
                    <w:tr2bl w:val="nil"/>
                  </w:tcBorders>
                  <w:noWrap w:val="0"/>
                  <w:vAlign w:val="top"/>
                </w:tcPr>
                <w:p w14:paraId="7A295EB1">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架设形式</w:t>
                  </w:r>
                </w:p>
              </w:tc>
              <w:tc>
                <w:tcPr>
                  <w:tcW w:w="3799" w:type="pct"/>
                  <w:tcBorders>
                    <w:tl2br w:val="nil"/>
                    <w:tr2bl w:val="nil"/>
                  </w:tcBorders>
                  <w:noWrap w:val="0"/>
                  <w:vAlign w:val="top"/>
                </w:tcPr>
                <w:p w14:paraId="69101AE6">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单</w:t>
                  </w:r>
                  <w:r>
                    <w:rPr>
                      <w:rFonts w:hint="default" w:ascii="Times New Roman" w:hAnsi="Times New Roman" w:eastAsia="宋体" w:cs="Times New Roman"/>
                      <w:color w:val="auto"/>
                      <w:kern w:val="2"/>
                      <w:sz w:val="24"/>
                      <w:szCs w:val="24"/>
                      <w:highlight w:val="none"/>
                      <w:lang w:val="en-US" w:eastAsia="zh-CN"/>
                    </w:rPr>
                    <w:t>回路</w:t>
                  </w:r>
                </w:p>
              </w:tc>
            </w:tr>
            <w:tr w14:paraId="33D65BB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pct"/>
                  <w:tcBorders>
                    <w:tl2br w:val="nil"/>
                    <w:tr2bl w:val="nil"/>
                  </w:tcBorders>
                  <w:noWrap w:val="0"/>
                  <w:vAlign w:val="top"/>
                </w:tcPr>
                <w:p w14:paraId="221895A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导线型号</w:t>
                  </w:r>
                </w:p>
              </w:tc>
              <w:tc>
                <w:tcPr>
                  <w:tcW w:w="3799" w:type="pct"/>
                  <w:tcBorders>
                    <w:tl2br w:val="nil"/>
                    <w:tr2bl w:val="nil"/>
                  </w:tcBorders>
                  <w:noWrap w:val="0"/>
                  <w:vAlign w:val="top"/>
                </w:tcPr>
                <w:p w14:paraId="1EA16AAE">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2×JL/G1A-240/30</w:t>
                  </w:r>
                </w:p>
              </w:tc>
            </w:tr>
            <w:tr w14:paraId="64CC3D1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pct"/>
                  <w:tcBorders>
                    <w:tl2br w:val="nil"/>
                    <w:tr2bl w:val="nil"/>
                  </w:tcBorders>
                  <w:noWrap w:val="0"/>
                  <w:vAlign w:val="top"/>
                </w:tcPr>
                <w:p w14:paraId="69137960">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主要塔型</w:t>
                  </w:r>
                </w:p>
              </w:tc>
              <w:tc>
                <w:tcPr>
                  <w:tcW w:w="3799" w:type="pct"/>
                  <w:tcBorders>
                    <w:tl2br w:val="nil"/>
                    <w:tr2bl w:val="nil"/>
                  </w:tcBorders>
                  <w:noWrap w:val="0"/>
                  <w:vAlign w:val="top"/>
                </w:tcPr>
                <w:p w14:paraId="5750A93C">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 xml:space="preserve">2K1-DJC、2K1-JC1、2K1-JC2、2K1-JC3、2K1- ZMC2、 </w:t>
                  </w:r>
                </w:p>
                <w:p w14:paraId="7931929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2K1- ZMC3、2K1- JC4 等</w:t>
                  </w:r>
                </w:p>
              </w:tc>
            </w:tr>
            <w:tr w14:paraId="136A384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pct"/>
                  <w:tcBorders>
                    <w:tl2br w:val="nil"/>
                    <w:tr2bl w:val="nil"/>
                  </w:tcBorders>
                  <w:noWrap w:val="0"/>
                  <w:vAlign w:val="top"/>
                </w:tcPr>
                <w:p w14:paraId="58BD4C21">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塔基数量</w:t>
                  </w:r>
                </w:p>
              </w:tc>
              <w:tc>
                <w:tcPr>
                  <w:tcW w:w="3799" w:type="pct"/>
                  <w:tcBorders>
                    <w:tl2br w:val="nil"/>
                    <w:tr2bl w:val="nil"/>
                  </w:tcBorders>
                  <w:noWrap w:val="0"/>
                  <w:vAlign w:val="top"/>
                </w:tcPr>
                <w:p w14:paraId="5F31D4DA">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新建</w:t>
                  </w:r>
                  <w:r>
                    <w:rPr>
                      <w:rFonts w:hint="eastAsia" w:ascii="Times New Roman" w:hAnsi="Times New Roman" w:eastAsia="宋体" w:cs="Times New Roman"/>
                      <w:color w:val="auto"/>
                      <w:kern w:val="2"/>
                      <w:sz w:val="24"/>
                      <w:szCs w:val="24"/>
                      <w:highlight w:val="none"/>
                      <w:lang w:val="en-US" w:eastAsia="zh-CN"/>
                    </w:rPr>
                    <w:t>83</w:t>
                  </w:r>
                  <w:r>
                    <w:rPr>
                      <w:rFonts w:hint="default" w:ascii="Times New Roman" w:hAnsi="Times New Roman" w:eastAsia="宋体" w:cs="Times New Roman"/>
                      <w:color w:val="auto"/>
                      <w:kern w:val="2"/>
                      <w:sz w:val="24"/>
                      <w:szCs w:val="24"/>
                      <w:highlight w:val="none"/>
                      <w:lang w:val="en-US" w:eastAsia="zh-CN"/>
                    </w:rPr>
                    <w:t>基</w:t>
                  </w:r>
                </w:p>
              </w:tc>
            </w:tr>
            <w:tr w14:paraId="4B59DF9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pct"/>
                  <w:tcBorders>
                    <w:tl2br w:val="nil"/>
                    <w:tr2bl w:val="nil"/>
                  </w:tcBorders>
                  <w:noWrap w:val="0"/>
                  <w:vAlign w:val="top"/>
                </w:tcPr>
                <w:p w14:paraId="554FA9CF">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线高</w:t>
                  </w:r>
                </w:p>
              </w:tc>
              <w:tc>
                <w:tcPr>
                  <w:tcW w:w="3799" w:type="pct"/>
                  <w:tcBorders>
                    <w:tl2br w:val="nil"/>
                    <w:tr2bl w:val="nil"/>
                  </w:tcBorders>
                  <w:noWrap w:val="0"/>
                  <w:vAlign w:val="top"/>
                </w:tcPr>
                <w:p w14:paraId="774C8EF5">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11m（类比线路）</w:t>
                  </w:r>
                </w:p>
              </w:tc>
            </w:tr>
            <w:tr w14:paraId="490943DD">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pct"/>
                  <w:tcBorders>
                    <w:tl2br w:val="nil"/>
                    <w:tr2bl w:val="nil"/>
                  </w:tcBorders>
                  <w:noWrap w:val="0"/>
                  <w:vAlign w:val="top"/>
                </w:tcPr>
                <w:p w14:paraId="0DFC20DC">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输送容量</w:t>
                  </w:r>
                </w:p>
              </w:tc>
              <w:tc>
                <w:tcPr>
                  <w:tcW w:w="3799" w:type="pct"/>
                  <w:tcBorders>
                    <w:tl2br w:val="nil"/>
                    <w:tr2bl w:val="nil"/>
                  </w:tcBorders>
                  <w:noWrap w:val="0"/>
                  <w:vAlign w:val="top"/>
                </w:tcPr>
                <w:p w14:paraId="108576F6">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150</w:t>
                  </w:r>
                  <w:r>
                    <w:rPr>
                      <w:rFonts w:hint="default" w:ascii="Times New Roman" w:hAnsi="Times New Roman" w:eastAsia="宋体" w:cs="Times New Roman"/>
                      <w:color w:val="auto"/>
                      <w:kern w:val="2"/>
                      <w:sz w:val="24"/>
                      <w:szCs w:val="24"/>
                      <w:highlight w:val="none"/>
                      <w:lang w:val="en-US" w:eastAsia="zh-CN"/>
                    </w:rPr>
                    <w:t>MW</w:t>
                  </w:r>
                </w:p>
              </w:tc>
            </w:tr>
            <w:tr w14:paraId="28FEDF6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pct"/>
                  <w:tcBorders>
                    <w:tl2br w:val="nil"/>
                    <w:tr2bl w:val="nil"/>
                  </w:tcBorders>
                  <w:noWrap w:val="0"/>
                  <w:vAlign w:val="top"/>
                </w:tcPr>
                <w:p w14:paraId="1E2356C1">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环境条件</w:t>
                  </w:r>
                </w:p>
              </w:tc>
              <w:tc>
                <w:tcPr>
                  <w:tcW w:w="3799" w:type="pct"/>
                  <w:tcBorders>
                    <w:tl2br w:val="nil"/>
                    <w:tr2bl w:val="nil"/>
                  </w:tcBorders>
                  <w:noWrap w:val="0"/>
                  <w:vAlign w:val="top"/>
                </w:tcPr>
                <w:p w14:paraId="64EC766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空旷地带，草地和</w:t>
                  </w:r>
                  <w:r>
                    <w:rPr>
                      <w:rFonts w:hint="eastAsia" w:ascii="Times New Roman" w:hAnsi="Times New Roman" w:eastAsia="宋体" w:cs="Times New Roman"/>
                      <w:color w:val="auto"/>
                      <w:kern w:val="2"/>
                      <w:sz w:val="24"/>
                      <w:szCs w:val="24"/>
                      <w:highlight w:val="none"/>
                      <w:lang w:val="en-US" w:eastAsia="zh-CN"/>
                    </w:rPr>
                    <w:t>林地</w:t>
                  </w:r>
                </w:p>
              </w:tc>
            </w:tr>
          </w:tbl>
          <w:p w14:paraId="1DC5B3CA">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b/>
                <w:bCs/>
                <w:color w:val="auto"/>
                <w:kern w:val="2"/>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rPr>
              <w:t>表4-2本工程输电线路与类比输电线路基本情况</w:t>
            </w:r>
          </w:p>
          <w:tbl>
            <w:tblPr>
              <w:tblStyle w:val="20"/>
              <w:tblW w:w="4997"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3022"/>
              <w:gridCol w:w="3111"/>
            </w:tblGrid>
            <w:tr w14:paraId="2799190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2" w:type="pct"/>
                  <w:tcBorders>
                    <w:tl2br w:val="nil"/>
                    <w:tr2bl w:val="nil"/>
                  </w:tcBorders>
                  <w:noWrap w:val="0"/>
                  <w:vAlign w:val="center"/>
                </w:tcPr>
                <w:p w14:paraId="18E1D84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项目</w:t>
                  </w:r>
                </w:p>
              </w:tc>
              <w:tc>
                <w:tcPr>
                  <w:tcW w:w="2033" w:type="pct"/>
                  <w:tcBorders>
                    <w:tl2br w:val="nil"/>
                    <w:tr2bl w:val="nil"/>
                  </w:tcBorders>
                  <w:noWrap w:val="0"/>
                  <w:vAlign w:val="center"/>
                </w:tcPr>
                <w:p w14:paraId="09488A4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eastAsia" w:cs="Times New Roman"/>
                      <w:color w:val="auto"/>
                      <w:kern w:val="2"/>
                      <w:sz w:val="24"/>
                      <w:szCs w:val="24"/>
                      <w:highlight w:val="none"/>
                      <w:lang w:val="en-US" w:eastAsia="zh-CN"/>
                    </w:rPr>
                    <w:t>华能围场“风光储氢热一体化”项目（风电200MW）项目220kV送出线路工程</w:t>
                  </w:r>
                </w:p>
              </w:tc>
              <w:tc>
                <w:tcPr>
                  <w:tcW w:w="2093" w:type="pct"/>
                  <w:tcBorders>
                    <w:tl2br w:val="nil"/>
                    <w:tr2bl w:val="nil"/>
                  </w:tcBorders>
                  <w:noWrap w:val="0"/>
                  <w:vAlign w:val="center"/>
                </w:tcPr>
                <w:p w14:paraId="5D3D6672">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河北建投丰宁森吉图风电场三期 150 兆瓦工程青石砬（昆头岭）220kV 升压站及输出线路工程</w:t>
                  </w:r>
                </w:p>
              </w:tc>
            </w:tr>
            <w:tr w14:paraId="772F5DD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2" w:type="pct"/>
                  <w:tcBorders>
                    <w:tl2br w:val="nil"/>
                    <w:tr2bl w:val="nil"/>
                  </w:tcBorders>
                  <w:noWrap w:val="0"/>
                  <w:vAlign w:val="center"/>
                </w:tcPr>
                <w:p w14:paraId="471546B9">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架设型式</w:t>
                  </w:r>
                </w:p>
              </w:tc>
              <w:tc>
                <w:tcPr>
                  <w:tcW w:w="2033" w:type="pct"/>
                  <w:tcBorders>
                    <w:tl2br w:val="nil"/>
                    <w:tr2bl w:val="nil"/>
                  </w:tcBorders>
                  <w:noWrap w:val="0"/>
                  <w:vAlign w:val="center"/>
                </w:tcPr>
                <w:p w14:paraId="410276CF">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单回路</w:t>
                  </w:r>
                </w:p>
              </w:tc>
              <w:tc>
                <w:tcPr>
                  <w:tcW w:w="2093" w:type="pct"/>
                  <w:tcBorders>
                    <w:tl2br w:val="nil"/>
                    <w:tr2bl w:val="nil"/>
                  </w:tcBorders>
                  <w:noWrap w:val="0"/>
                  <w:vAlign w:val="center"/>
                </w:tcPr>
                <w:p w14:paraId="3A0A0B56">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单回路</w:t>
                  </w:r>
                </w:p>
              </w:tc>
            </w:tr>
            <w:tr w14:paraId="4D83A95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2" w:type="pct"/>
                  <w:tcBorders>
                    <w:tl2br w:val="nil"/>
                    <w:tr2bl w:val="nil"/>
                  </w:tcBorders>
                  <w:noWrap w:val="0"/>
                  <w:vAlign w:val="center"/>
                </w:tcPr>
                <w:p w14:paraId="1BA721CB">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电压等级</w:t>
                  </w:r>
                </w:p>
              </w:tc>
              <w:tc>
                <w:tcPr>
                  <w:tcW w:w="2033" w:type="pct"/>
                  <w:tcBorders>
                    <w:tl2br w:val="nil"/>
                    <w:tr2bl w:val="nil"/>
                  </w:tcBorders>
                  <w:noWrap w:val="0"/>
                  <w:vAlign w:val="center"/>
                </w:tcPr>
                <w:p w14:paraId="2B3AC42E">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220kV</w:t>
                  </w:r>
                </w:p>
              </w:tc>
              <w:tc>
                <w:tcPr>
                  <w:tcW w:w="2093" w:type="pct"/>
                  <w:tcBorders>
                    <w:tl2br w:val="nil"/>
                    <w:tr2bl w:val="nil"/>
                  </w:tcBorders>
                  <w:noWrap w:val="0"/>
                  <w:vAlign w:val="center"/>
                </w:tcPr>
                <w:p w14:paraId="64AAB8CB">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220kV</w:t>
                  </w:r>
                </w:p>
              </w:tc>
            </w:tr>
            <w:tr w14:paraId="3646EDDD">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2" w:type="pct"/>
                  <w:tcBorders>
                    <w:tl2br w:val="nil"/>
                    <w:tr2bl w:val="nil"/>
                  </w:tcBorders>
                  <w:noWrap w:val="0"/>
                  <w:vAlign w:val="center"/>
                </w:tcPr>
                <w:p w14:paraId="28EB344F">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环境条件</w:t>
                  </w:r>
                </w:p>
              </w:tc>
              <w:tc>
                <w:tcPr>
                  <w:tcW w:w="2033" w:type="pct"/>
                  <w:tcBorders>
                    <w:tl2br w:val="nil"/>
                    <w:tr2bl w:val="nil"/>
                  </w:tcBorders>
                  <w:noWrap w:val="0"/>
                  <w:vAlign w:val="center"/>
                </w:tcPr>
                <w:p w14:paraId="374B6035">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草地/</w:t>
                  </w:r>
                  <w:r>
                    <w:rPr>
                      <w:rFonts w:hint="eastAsia" w:ascii="Times New Roman" w:hAnsi="Times New Roman" w:eastAsia="宋体" w:cs="Times New Roman"/>
                      <w:color w:val="auto"/>
                      <w:kern w:val="2"/>
                      <w:sz w:val="24"/>
                      <w:szCs w:val="24"/>
                      <w:highlight w:val="none"/>
                      <w:lang w:val="en-US" w:eastAsia="zh-CN"/>
                    </w:rPr>
                    <w:t>林地</w:t>
                  </w:r>
                </w:p>
              </w:tc>
              <w:tc>
                <w:tcPr>
                  <w:tcW w:w="2093" w:type="pct"/>
                  <w:tcBorders>
                    <w:tl2br w:val="nil"/>
                    <w:tr2bl w:val="nil"/>
                  </w:tcBorders>
                  <w:noWrap w:val="0"/>
                  <w:vAlign w:val="center"/>
                </w:tcPr>
                <w:p w14:paraId="325B276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草地/</w:t>
                  </w:r>
                  <w:r>
                    <w:rPr>
                      <w:rFonts w:hint="eastAsia" w:ascii="Times New Roman" w:hAnsi="Times New Roman" w:eastAsia="宋体" w:cs="Times New Roman"/>
                      <w:color w:val="auto"/>
                      <w:kern w:val="2"/>
                      <w:sz w:val="24"/>
                      <w:szCs w:val="24"/>
                      <w:highlight w:val="none"/>
                      <w:lang w:val="en-US" w:eastAsia="zh-CN"/>
                    </w:rPr>
                    <w:t>林地</w:t>
                  </w:r>
                </w:p>
              </w:tc>
            </w:tr>
            <w:tr w14:paraId="7C8CCD2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2" w:type="pct"/>
                  <w:tcBorders>
                    <w:tl2br w:val="nil"/>
                    <w:tr2bl w:val="nil"/>
                  </w:tcBorders>
                  <w:noWrap w:val="0"/>
                  <w:vAlign w:val="center"/>
                </w:tcPr>
                <w:p w14:paraId="184EA813">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类比塔型</w:t>
                  </w:r>
                </w:p>
              </w:tc>
              <w:tc>
                <w:tcPr>
                  <w:tcW w:w="2033" w:type="pct"/>
                  <w:tcBorders>
                    <w:tl2br w:val="nil"/>
                    <w:tr2bl w:val="nil"/>
                  </w:tcBorders>
                  <w:noWrap w:val="0"/>
                  <w:vAlign w:val="center"/>
                </w:tcPr>
                <w:p w14:paraId="604A4F41">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220-</w:t>
                  </w:r>
                  <w:r>
                    <w:rPr>
                      <w:rFonts w:hint="eastAsia" w:ascii="Times New Roman" w:hAnsi="Times New Roman" w:eastAsia="宋体" w:cs="Times New Roman"/>
                      <w:color w:val="auto"/>
                      <w:kern w:val="2"/>
                      <w:sz w:val="24"/>
                      <w:szCs w:val="24"/>
                      <w:highlight w:val="none"/>
                      <w:lang w:val="en-US" w:eastAsia="zh-CN"/>
                    </w:rPr>
                    <w:t>HD</w:t>
                  </w:r>
                  <w:r>
                    <w:rPr>
                      <w:rFonts w:hint="default" w:ascii="Times New Roman" w:hAnsi="Times New Roman" w:eastAsia="宋体" w:cs="Times New Roman"/>
                      <w:color w:val="auto"/>
                      <w:kern w:val="2"/>
                      <w:sz w:val="24"/>
                      <w:szCs w:val="24"/>
                      <w:highlight w:val="none"/>
                      <w:lang w:val="en-US" w:eastAsia="zh-CN"/>
                    </w:rPr>
                    <w:t>22</w:t>
                  </w:r>
                  <w:r>
                    <w:rPr>
                      <w:rFonts w:hint="eastAsia" w:ascii="Times New Roman" w:hAnsi="Times New Roman" w:eastAsia="宋体" w:cs="Times New Roman"/>
                      <w:color w:val="auto"/>
                      <w:kern w:val="2"/>
                      <w:sz w:val="24"/>
                      <w:szCs w:val="24"/>
                      <w:highlight w:val="none"/>
                      <w:lang w:val="en-US" w:eastAsia="zh-CN"/>
                    </w:rPr>
                    <w:t>D</w:t>
                  </w:r>
                  <w:r>
                    <w:rPr>
                      <w:rFonts w:hint="default" w:ascii="Times New Roman" w:hAnsi="Times New Roman" w:eastAsia="宋体"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ZBC</w:t>
                  </w:r>
                  <w:r>
                    <w:rPr>
                      <w:rFonts w:hint="eastAsia" w:cs="Times New Roman"/>
                      <w:color w:val="auto"/>
                      <w:kern w:val="2"/>
                      <w:sz w:val="24"/>
                      <w:szCs w:val="24"/>
                      <w:highlight w:val="none"/>
                      <w:lang w:val="en-US" w:eastAsia="zh-CN"/>
                    </w:rPr>
                    <w:t>3</w:t>
                  </w:r>
                </w:p>
              </w:tc>
              <w:tc>
                <w:tcPr>
                  <w:tcW w:w="2093" w:type="pct"/>
                  <w:tcBorders>
                    <w:tl2br w:val="nil"/>
                    <w:tr2bl w:val="nil"/>
                  </w:tcBorders>
                  <w:noWrap w:val="0"/>
                  <w:vAlign w:val="center"/>
                </w:tcPr>
                <w:p w14:paraId="4C3B9CC0">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2K1-JC2</w:t>
                  </w:r>
                </w:p>
              </w:tc>
            </w:tr>
            <w:tr w14:paraId="4CBB637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2" w:type="pct"/>
                  <w:tcBorders>
                    <w:tl2br w:val="nil"/>
                    <w:tr2bl w:val="nil"/>
                  </w:tcBorders>
                  <w:noWrap w:val="0"/>
                  <w:vAlign w:val="center"/>
                </w:tcPr>
                <w:p w14:paraId="4DD1059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主要塔型</w:t>
                  </w:r>
                </w:p>
              </w:tc>
              <w:tc>
                <w:tcPr>
                  <w:tcW w:w="2033" w:type="pct"/>
                  <w:tcBorders>
                    <w:tl2br w:val="nil"/>
                    <w:tr2bl w:val="nil"/>
                  </w:tcBorders>
                  <w:noWrap w:val="0"/>
                  <w:vAlign w:val="center"/>
                </w:tcPr>
                <w:p w14:paraId="2A0B5592">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220-</w:t>
                  </w:r>
                  <w:r>
                    <w:rPr>
                      <w:rFonts w:hint="eastAsia" w:ascii="Times New Roman" w:hAnsi="Times New Roman" w:eastAsia="宋体" w:cs="Times New Roman"/>
                      <w:color w:val="auto"/>
                      <w:kern w:val="2"/>
                      <w:sz w:val="24"/>
                      <w:szCs w:val="24"/>
                      <w:highlight w:val="none"/>
                      <w:lang w:val="en-US" w:eastAsia="zh-CN"/>
                    </w:rPr>
                    <w:t>HD</w:t>
                  </w:r>
                  <w:r>
                    <w:rPr>
                      <w:rFonts w:hint="default" w:ascii="Times New Roman" w:hAnsi="Times New Roman" w:eastAsia="宋体" w:cs="Times New Roman"/>
                      <w:color w:val="auto"/>
                      <w:kern w:val="2"/>
                      <w:sz w:val="24"/>
                      <w:szCs w:val="24"/>
                      <w:highlight w:val="none"/>
                      <w:lang w:val="en-US" w:eastAsia="zh-CN"/>
                    </w:rPr>
                    <w:t>22</w:t>
                  </w:r>
                  <w:r>
                    <w:rPr>
                      <w:rFonts w:hint="eastAsia" w:ascii="Times New Roman" w:hAnsi="Times New Roman" w:eastAsia="宋体" w:cs="Times New Roman"/>
                      <w:color w:val="auto"/>
                      <w:kern w:val="2"/>
                      <w:sz w:val="24"/>
                      <w:szCs w:val="24"/>
                      <w:highlight w:val="none"/>
                      <w:lang w:val="en-US" w:eastAsia="zh-CN"/>
                    </w:rPr>
                    <w:t>D</w:t>
                  </w:r>
                  <w:r>
                    <w:rPr>
                      <w:rFonts w:hint="default" w:ascii="Times New Roman" w:hAnsi="Times New Roman" w:eastAsia="宋体"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ZBC4/</w:t>
                  </w:r>
                  <w:r>
                    <w:rPr>
                      <w:rFonts w:hint="default" w:ascii="Times New Roman" w:hAnsi="Times New Roman" w:eastAsia="宋体" w:cs="Times New Roman"/>
                      <w:color w:val="auto"/>
                      <w:kern w:val="2"/>
                      <w:sz w:val="24"/>
                      <w:szCs w:val="24"/>
                      <w:highlight w:val="none"/>
                      <w:lang w:val="en-US" w:eastAsia="zh-CN"/>
                    </w:rPr>
                    <w:t>220-</w:t>
                  </w:r>
                  <w:r>
                    <w:rPr>
                      <w:rFonts w:hint="eastAsia" w:ascii="Times New Roman" w:hAnsi="Times New Roman" w:eastAsia="宋体" w:cs="Times New Roman"/>
                      <w:color w:val="auto"/>
                      <w:kern w:val="2"/>
                      <w:sz w:val="24"/>
                      <w:szCs w:val="24"/>
                      <w:highlight w:val="none"/>
                      <w:lang w:val="en-US" w:eastAsia="zh-CN"/>
                    </w:rPr>
                    <w:t>HD</w:t>
                  </w:r>
                  <w:r>
                    <w:rPr>
                      <w:rFonts w:hint="default" w:ascii="Times New Roman" w:hAnsi="Times New Roman" w:eastAsia="宋体" w:cs="Times New Roman"/>
                      <w:color w:val="auto"/>
                      <w:kern w:val="2"/>
                      <w:sz w:val="24"/>
                      <w:szCs w:val="24"/>
                      <w:highlight w:val="none"/>
                      <w:lang w:val="en-US" w:eastAsia="zh-CN"/>
                    </w:rPr>
                    <w:t>22</w:t>
                  </w:r>
                  <w:r>
                    <w:rPr>
                      <w:rFonts w:hint="eastAsia" w:ascii="Times New Roman" w:hAnsi="Times New Roman" w:eastAsia="宋体" w:cs="Times New Roman"/>
                      <w:color w:val="auto"/>
                      <w:kern w:val="2"/>
                      <w:sz w:val="24"/>
                      <w:szCs w:val="24"/>
                      <w:highlight w:val="none"/>
                      <w:lang w:val="en-US" w:eastAsia="zh-CN"/>
                    </w:rPr>
                    <w:t>D</w:t>
                  </w:r>
                  <w:r>
                    <w:rPr>
                      <w:rFonts w:hint="default" w:ascii="Times New Roman" w:hAnsi="Times New Roman" w:eastAsia="宋体"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ZBC3</w:t>
                  </w:r>
                </w:p>
              </w:tc>
              <w:tc>
                <w:tcPr>
                  <w:tcW w:w="2093" w:type="pct"/>
                  <w:tcBorders>
                    <w:tl2br w:val="nil"/>
                    <w:tr2bl w:val="nil"/>
                  </w:tcBorders>
                  <w:noWrap w:val="0"/>
                  <w:vAlign w:val="center"/>
                </w:tcPr>
                <w:p w14:paraId="663FB599">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2K1-JC1、2K1-JC2</w:t>
                  </w:r>
                  <w:r>
                    <w:rPr>
                      <w:rFonts w:hint="eastAsia" w:ascii="Times New Roman" w:hAnsi="Times New Roman" w:eastAsia="宋体"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rPr>
                    <w:t>2K1- ZMC2、2K1- ZMC3</w:t>
                  </w:r>
                </w:p>
              </w:tc>
            </w:tr>
            <w:tr w14:paraId="4588F48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72" w:type="pct"/>
                  <w:tcBorders>
                    <w:tl2br w:val="nil"/>
                    <w:tr2bl w:val="nil"/>
                  </w:tcBorders>
                  <w:noWrap w:val="0"/>
                  <w:vAlign w:val="center"/>
                </w:tcPr>
                <w:p w14:paraId="3217C3E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运行工况</w:t>
                  </w:r>
                </w:p>
              </w:tc>
              <w:tc>
                <w:tcPr>
                  <w:tcW w:w="2033" w:type="pct"/>
                  <w:tcBorders>
                    <w:tl2br w:val="nil"/>
                    <w:tr2bl w:val="nil"/>
                  </w:tcBorders>
                  <w:noWrap w:val="0"/>
                  <w:vAlign w:val="center"/>
                </w:tcPr>
                <w:p w14:paraId="7D229A8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正常</w:t>
                  </w:r>
                </w:p>
              </w:tc>
              <w:tc>
                <w:tcPr>
                  <w:tcW w:w="2093" w:type="pct"/>
                  <w:tcBorders>
                    <w:tl2br w:val="nil"/>
                    <w:tr2bl w:val="nil"/>
                  </w:tcBorders>
                  <w:noWrap w:val="0"/>
                  <w:vAlign w:val="center"/>
                </w:tcPr>
                <w:p w14:paraId="6025A552">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正常</w:t>
                  </w:r>
                </w:p>
              </w:tc>
            </w:tr>
            <w:tr w14:paraId="51370CA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2" w:type="pct"/>
                  <w:tcBorders>
                    <w:tl2br w:val="nil"/>
                    <w:tr2bl w:val="nil"/>
                  </w:tcBorders>
                  <w:noWrap w:val="0"/>
                  <w:vAlign w:val="center"/>
                </w:tcPr>
                <w:p w14:paraId="07943E0C">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工程规模</w:t>
                  </w:r>
                </w:p>
              </w:tc>
              <w:tc>
                <w:tcPr>
                  <w:tcW w:w="2033" w:type="pct"/>
                  <w:tcBorders>
                    <w:tl2br w:val="nil"/>
                    <w:tr2bl w:val="nil"/>
                  </w:tcBorders>
                  <w:noWrap w:val="0"/>
                  <w:vAlign w:val="center"/>
                </w:tcPr>
                <w:p w14:paraId="4A87D1CD">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eastAsia" w:cs="Times New Roman"/>
                      <w:color w:val="auto"/>
                      <w:kern w:val="2"/>
                      <w:sz w:val="24"/>
                      <w:szCs w:val="24"/>
                      <w:highlight w:val="none"/>
                      <w:lang w:val="en-US" w:eastAsia="zh-CN"/>
                    </w:rPr>
                    <w:t>95</w:t>
                  </w:r>
                  <w:r>
                    <w:rPr>
                      <w:rFonts w:hint="default" w:ascii="Times New Roman" w:hAnsi="Times New Roman" w:eastAsia="宋体" w:cs="Times New Roman"/>
                      <w:color w:val="auto"/>
                      <w:kern w:val="2"/>
                      <w:sz w:val="24"/>
                      <w:szCs w:val="24"/>
                      <w:highlight w:val="none"/>
                      <w:lang w:val="en-US" w:eastAsia="zh-CN"/>
                    </w:rPr>
                    <w:t>基</w:t>
                  </w:r>
                </w:p>
              </w:tc>
              <w:tc>
                <w:tcPr>
                  <w:tcW w:w="2093" w:type="pct"/>
                  <w:tcBorders>
                    <w:tl2br w:val="nil"/>
                    <w:tr2bl w:val="nil"/>
                  </w:tcBorders>
                  <w:noWrap w:val="0"/>
                  <w:vAlign w:val="center"/>
                </w:tcPr>
                <w:p w14:paraId="72AD8911">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83</w:t>
                  </w:r>
                  <w:r>
                    <w:rPr>
                      <w:rFonts w:hint="default" w:ascii="Times New Roman" w:hAnsi="Times New Roman" w:eastAsia="宋体" w:cs="Times New Roman"/>
                      <w:color w:val="auto"/>
                      <w:kern w:val="2"/>
                      <w:sz w:val="24"/>
                      <w:szCs w:val="24"/>
                      <w:highlight w:val="none"/>
                      <w:lang w:val="en-US" w:eastAsia="zh-CN"/>
                    </w:rPr>
                    <w:t>基</w:t>
                  </w:r>
                </w:p>
              </w:tc>
            </w:tr>
            <w:tr w14:paraId="28FDE2E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2" w:type="pct"/>
                  <w:tcBorders>
                    <w:tl2br w:val="nil"/>
                    <w:tr2bl w:val="nil"/>
                  </w:tcBorders>
                  <w:noWrap w:val="0"/>
                  <w:vAlign w:val="center"/>
                </w:tcPr>
                <w:p w14:paraId="4F855B0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路径长度</w:t>
                  </w:r>
                </w:p>
              </w:tc>
              <w:tc>
                <w:tcPr>
                  <w:tcW w:w="2033" w:type="pct"/>
                  <w:tcBorders>
                    <w:tl2br w:val="nil"/>
                    <w:tr2bl w:val="nil"/>
                  </w:tcBorders>
                  <w:noWrap w:val="0"/>
                  <w:vAlign w:val="center"/>
                </w:tcPr>
                <w:p w14:paraId="719F68DE">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eastAsia" w:cs="Times New Roman"/>
                      <w:color w:val="auto"/>
                      <w:kern w:val="2"/>
                      <w:sz w:val="24"/>
                      <w:szCs w:val="24"/>
                      <w:highlight w:val="none"/>
                      <w:lang w:val="en-US" w:eastAsia="zh-CN"/>
                    </w:rPr>
                    <w:t>29.9</w:t>
                  </w:r>
                  <w:r>
                    <w:rPr>
                      <w:rFonts w:hint="default" w:ascii="Times New Roman" w:hAnsi="Times New Roman" w:eastAsia="宋体" w:cs="Times New Roman"/>
                      <w:color w:val="auto"/>
                      <w:kern w:val="2"/>
                      <w:sz w:val="24"/>
                      <w:szCs w:val="24"/>
                      <w:highlight w:val="none"/>
                      <w:lang w:val="en-US" w:eastAsia="zh-CN"/>
                    </w:rPr>
                    <w:t>km</w:t>
                  </w:r>
                </w:p>
              </w:tc>
              <w:tc>
                <w:tcPr>
                  <w:tcW w:w="2093" w:type="pct"/>
                  <w:tcBorders>
                    <w:tl2br w:val="nil"/>
                    <w:tr2bl w:val="nil"/>
                  </w:tcBorders>
                  <w:noWrap w:val="0"/>
                  <w:vAlign w:val="center"/>
                </w:tcPr>
                <w:p w14:paraId="6887B51D">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32.863</w:t>
                  </w:r>
                  <w:r>
                    <w:rPr>
                      <w:rFonts w:hint="default" w:ascii="Times New Roman" w:hAnsi="Times New Roman" w:eastAsia="宋体" w:cs="Times New Roman"/>
                      <w:color w:val="auto"/>
                      <w:kern w:val="2"/>
                      <w:sz w:val="24"/>
                      <w:szCs w:val="24"/>
                      <w:highlight w:val="none"/>
                      <w:lang w:val="en-US" w:eastAsia="zh-CN"/>
                    </w:rPr>
                    <w:t>km</w:t>
                  </w:r>
                </w:p>
              </w:tc>
            </w:tr>
            <w:tr w14:paraId="01D30B2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2" w:type="pct"/>
                  <w:tcBorders>
                    <w:tl2br w:val="nil"/>
                    <w:tr2bl w:val="nil"/>
                  </w:tcBorders>
                  <w:noWrap w:val="0"/>
                  <w:vAlign w:val="center"/>
                </w:tcPr>
                <w:p w14:paraId="6799EAFC">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架线高度</w:t>
                  </w:r>
                </w:p>
              </w:tc>
              <w:tc>
                <w:tcPr>
                  <w:tcW w:w="2033" w:type="pct"/>
                  <w:tcBorders>
                    <w:tl2br w:val="nil"/>
                    <w:tr2bl w:val="nil"/>
                  </w:tcBorders>
                  <w:noWrap w:val="0"/>
                  <w:vAlign w:val="center"/>
                </w:tcPr>
                <w:p w14:paraId="2F526A82">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45m</w:t>
                  </w:r>
                </w:p>
              </w:tc>
              <w:tc>
                <w:tcPr>
                  <w:tcW w:w="2093" w:type="pct"/>
                  <w:tcBorders>
                    <w:tl2br w:val="nil"/>
                    <w:tr2bl w:val="nil"/>
                  </w:tcBorders>
                  <w:noWrap w:val="0"/>
                  <w:vAlign w:val="center"/>
                </w:tcPr>
                <w:p w14:paraId="0A5A0D46">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18m</w:t>
                  </w:r>
                </w:p>
              </w:tc>
            </w:tr>
          </w:tbl>
          <w:p w14:paraId="41283466">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由上表可知</w:t>
            </w:r>
            <w:r>
              <w:rPr>
                <w:rFonts w:hint="eastAsia" w:cs="Times New Roman"/>
                <w:color w:val="auto"/>
                <w:kern w:val="2"/>
                <w:sz w:val="24"/>
                <w:szCs w:val="24"/>
                <w:highlight w:val="none"/>
                <w:lang w:val="en-US" w:eastAsia="zh-CN"/>
              </w:rPr>
              <w:t>华能围场“风光储氢热一体化”项目（风电200MW）项目220kV送出线路工程</w:t>
            </w:r>
            <w:r>
              <w:rPr>
                <w:rFonts w:hint="default" w:ascii="Times New Roman" w:hAnsi="Times New Roman" w:eastAsia="宋体" w:cs="Times New Roman"/>
                <w:color w:val="auto"/>
                <w:kern w:val="2"/>
                <w:sz w:val="24"/>
                <w:szCs w:val="24"/>
                <w:highlight w:val="none"/>
                <w:lang w:val="en-US" w:eastAsia="zh-CN"/>
              </w:rPr>
              <w:t>与类比线路架设方式、电压等级、声功能区类别相同，环境条件相似，架线高度高于类比线路，线路弧垂对地高度高于类比电站，故该噪声类比线路验收监测数据可以代表本工程运行后的噪声影响。</w:t>
            </w:r>
          </w:p>
          <w:p w14:paraId="25A3CB7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综上，故该噪声类比线路验收监测数据可以代表本工程运行后的噪声影响。</w:t>
            </w:r>
          </w:p>
          <w:p w14:paraId="30EBAB86">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2）监测情况</w:t>
            </w:r>
          </w:p>
          <w:p w14:paraId="1CDE048B">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①监测单位：</w:t>
            </w:r>
            <w:r>
              <w:rPr>
                <w:rFonts w:hint="eastAsia" w:ascii="Times New Roman" w:hAnsi="Times New Roman" w:eastAsia="宋体" w:cs="Times New Roman"/>
                <w:color w:val="auto"/>
                <w:kern w:val="2"/>
                <w:sz w:val="24"/>
                <w:szCs w:val="24"/>
                <w:highlight w:val="none"/>
                <w:lang w:val="en-US" w:eastAsia="zh-CN"/>
              </w:rPr>
              <w:t>承德市东岭环境监测有限公司</w:t>
            </w:r>
          </w:p>
          <w:p w14:paraId="23CE3990">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②监测时间：202</w:t>
            </w:r>
            <w:r>
              <w:rPr>
                <w:rFonts w:hint="eastAsia" w:ascii="Times New Roman" w:hAnsi="Times New Roman" w:eastAsia="宋体" w:cs="Times New Roman"/>
                <w:color w:val="auto"/>
                <w:kern w:val="2"/>
                <w:sz w:val="24"/>
                <w:szCs w:val="24"/>
                <w:highlight w:val="none"/>
                <w:lang w:val="en-US" w:eastAsia="zh-CN"/>
              </w:rPr>
              <w:t>1</w:t>
            </w:r>
            <w:r>
              <w:rPr>
                <w:rFonts w:hint="default" w:ascii="Times New Roman" w:hAnsi="Times New Roman" w:eastAsia="宋体" w:cs="Times New Roman"/>
                <w:color w:val="auto"/>
                <w:kern w:val="2"/>
                <w:sz w:val="24"/>
                <w:szCs w:val="24"/>
                <w:highlight w:val="none"/>
                <w:lang w:val="en-US" w:eastAsia="zh-CN"/>
              </w:rPr>
              <w:t>年0</w:t>
            </w:r>
            <w:r>
              <w:rPr>
                <w:rFonts w:hint="eastAsia" w:ascii="Times New Roman" w:hAnsi="Times New Roman" w:eastAsia="宋体" w:cs="Times New Roman"/>
                <w:color w:val="auto"/>
                <w:kern w:val="2"/>
                <w:sz w:val="24"/>
                <w:szCs w:val="24"/>
                <w:highlight w:val="none"/>
                <w:lang w:val="en-US" w:eastAsia="zh-CN"/>
              </w:rPr>
              <w:t>6</w:t>
            </w:r>
            <w:r>
              <w:rPr>
                <w:rFonts w:hint="default" w:ascii="Times New Roman" w:hAnsi="Times New Roman" w:eastAsia="宋体" w:cs="Times New Roman"/>
                <w:color w:val="auto"/>
                <w:kern w:val="2"/>
                <w:sz w:val="24"/>
                <w:szCs w:val="24"/>
                <w:highlight w:val="none"/>
                <w:lang w:val="en-US" w:eastAsia="zh-CN"/>
              </w:rPr>
              <w:t>月</w:t>
            </w:r>
            <w:r>
              <w:rPr>
                <w:rFonts w:hint="eastAsia" w:ascii="Times New Roman" w:hAnsi="Times New Roman" w:eastAsia="宋体" w:cs="Times New Roman"/>
                <w:color w:val="auto"/>
                <w:kern w:val="2"/>
                <w:sz w:val="24"/>
                <w:szCs w:val="24"/>
                <w:highlight w:val="none"/>
                <w:lang w:val="en-US" w:eastAsia="zh-CN"/>
              </w:rPr>
              <w:t>10</w:t>
            </w:r>
            <w:r>
              <w:rPr>
                <w:rFonts w:hint="default" w:ascii="Times New Roman" w:hAnsi="Times New Roman" w:eastAsia="宋体" w:cs="Times New Roman"/>
                <w:color w:val="auto"/>
                <w:kern w:val="2"/>
                <w:sz w:val="24"/>
                <w:szCs w:val="24"/>
                <w:highlight w:val="none"/>
                <w:lang w:val="en-US" w:eastAsia="zh-CN"/>
              </w:rPr>
              <w:t>日</w:t>
            </w:r>
          </w:p>
          <w:p w14:paraId="67793F10">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③气象条件：</w:t>
            </w:r>
          </w:p>
          <w:p w14:paraId="2E43E8C7">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气象条件如下：</w:t>
            </w:r>
          </w:p>
          <w:p w14:paraId="41CF786D">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b/>
                <w:bCs/>
                <w:color w:val="auto"/>
                <w:kern w:val="2"/>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rPr>
              <w:t>表4-3气象条件一览表</w:t>
            </w:r>
          </w:p>
          <w:tbl>
            <w:tblPr>
              <w:tblStyle w:val="20"/>
              <w:tblW w:w="4999"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1217"/>
              <w:gridCol w:w="1063"/>
              <w:gridCol w:w="1021"/>
              <w:gridCol w:w="1139"/>
              <w:gridCol w:w="1223"/>
            </w:tblGrid>
            <w:tr w14:paraId="5853C07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c>
                <w:tcPr>
                  <w:tcW w:w="1189" w:type="pct"/>
                  <w:vMerge w:val="restart"/>
                  <w:tcBorders>
                    <w:tl2br w:val="nil"/>
                    <w:tr2bl w:val="nil"/>
                  </w:tcBorders>
                  <w:noWrap w:val="0"/>
                  <w:vAlign w:val="top"/>
                </w:tcPr>
                <w:p w14:paraId="11B4F990">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2"/>
                      <w:szCs w:val="22"/>
                      <w:highlight w:val="none"/>
                      <w:lang w:val="en-US" w:eastAsia="zh-CN"/>
                    </w:rPr>
                  </w:pPr>
                  <w:r>
                    <w:rPr>
                      <w:rFonts w:hint="default" w:ascii="Times New Roman" w:hAnsi="Times New Roman" w:eastAsia="宋体" w:cs="Times New Roman"/>
                      <w:color w:val="auto"/>
                      <w:kern w:val="2"/>
                      <w:sz w:val="22"/>
                      <w:szCs w:val="22"/>
                      <w:highlight w:val="none"/>
                      <w:lang w:val="en-US" w:eastAsia="zh-CN"/>
                    </w:rPr>
                    <w:t>监测点位</w:t>
                  </w:r>
                </w:p>
              </w:tc>
              <w:tc>
                <w:tcPr>
                  <w:tcW w:w="818" w:type="pct"/>
                  <w:vMerge w:val="restart"/>
                  <w:tcBorders>
                    <w:tl2br w:val="nil"/>
                    <w:tr2bl w:val="nil"/>
                  </w:tcBorders>
                  <w:noWrap w:val="0"/>
                  <w:vAlign w:val="top"/>
                </w:tcPr>
                <w:p w14:paraId="768BFC31">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2"/>
                      <w:szCs w:val="22"/>
                      <w:highlight w:val="none"/>
                      <w:lang w:val="en-US" w:eastAsia="zh-CN"/>
                    </w:rPr>
                  </w:pPr>
                  <w:r>
                    <w:rPr>
                      <w:rFonts w:hint="default" w:ascii="Times New Roman" w:hAnsi="Times New Roman" w:eastAsia="宋体" w:cs="Times New Roman"/>
                      <w:color w:val="auto"/>
                      <w:kern w:val="2"/>
                      <w:sz w:val="22"/>
                      <w:szCs w:val="22"/>
                      <w:highlight w:val="none"/>
                      <w:lang w:val="en-US" w:eastAsia="zh-CN"/>
                    </w:rPr>
                    <w:t>检测时段</w:t>
                  </w:r>
                </w:p>
              </w:tc>
              <w:tc>
                <w:tcPr>
                  <w:tcW w:w="2991" w:type="pct"/>
                  <w:gridSpan w:val="4"/>
                  <w:tcBorders>
                    <w:tl2br w:val="nil"/>
                    <w:tr2bl w:val="nil"/>
                  </w:tcBorders>
                  <w:noWrap w:val="0"/>
                  <w:vAlign w:val="top"/>
                </w:tcPr>
                <w:p w14:paraId="6EA3D051">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2"/>
                      <w:szCs w:val="22"/>
                      <w:highlight w:val="none"/>
                      <w:lang w:val="en-US" w:eastAsia="zh-CN"/>
                    </w:rPr>
                  </w:pPr>
                  <w:r>
                    <w:rPr>
                      <w:rFonts w:hint="default" w:ascii="Times New Roman" w:hAnsi="Times New Roman" w:eastAsia="宋体" w:cs="Times New Roman"/>
                      <w:color w:val="auto"/>
                      <w:kern w:val="2"/>
                      <w:sz w:val="22"/>
                      <w:szCs w:val="22"/>
                      <w:highlight w:val="none"/>
                      <w:lang w:val="en-US" w:eastAsia="zh-CN"/>
                    </w:rPr>
                    <w:t>气象条件</w:t>
                  </w:r>
                </w:p>
              </w:tc>
            </w:tr>
            <w:tr w14:paraId="6A7AE16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9" w:type="pct"/>
                  <w:vMerge w:val="continue"/>
                  <w:tcBorders>
                    <w:tl2br w:val="nil"/>
                    <w:tr2bl w:val="nil"/>
                  </w:tcBorders>
                  <w:noWrap w:val="0"/>
                  <w:vAlign w:val="top"/>
                </w:tcPr>
                <w:p w14:paraId="78CE0B46">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40" w:firstLineChars="200"/>
                    <w:jc w:val="center"/>
                    <w:rPr>
                      <w:rFonts w:hint="default" w:ascii="Times New Roman" w:hAnsi="Times New Roman" w:eastAsia="宋体" w:cs="Times New Roman"/>
                      <w:color w:val="auto"/>
                      <w:kern w:val="2"/>
                      <w:sz w:val="22"/>
                      <w:szCs w:val="22"/>
                      <w:highlight w:val="none"/>
                      <w:lang w:val="en-US" w:eastAsia="zh-CN"/>
                    </w:rPr>
                  </w:pPr>
                </w:p>
              </w:tc>
              <w:tc>
                <w:tcPr>
                  <w:tcW w:w="818" w:type="pct"/>
                  <w:vMerge w:val="continue"/>
                  <w:tcBorders>
                    <w:tl2br w:val="nil"/>
                    <w:tr2bl w:val="nil"/>
                  </w:tcBorders>
                  <w:noWrap w:val="0"/>
                  <w:vAlign w:val="top"/>
                </w:tcPr>
                <w:p w14:paraId="7D94098D">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40" w:firstLineChars="200"/>
                    <w:jc w:val="center"/>
                    <w:rPr>
                      <w:rFonts w:hint="default" w:ascii="Times New Roman" w:hAnsi="Times New Roman" w:eastAsia="宋体" w:cs="Times New Roman"/>
                      <w:color w:val="auto"/>
                      <w:kern w:val="2"/>
                      <w:sz w:val="22"/>
                      <w:szCs w:val="22"/>
                      <w:highlight w:val="none"/>
                      <w:lang w:val="en-US" w:eastAsia="zh-CN"/>
                    </w:rPr>
                  </w:pPr>
                </w:p>
              </w:tc>
              <w:tc>
                <w:tcPr>
                  <w:tcW w:w="715" w:type="pct"/>
                  <w:tcBorders>
                    <w:tl2br w:val="nil"/>
                    <w:tr2bl w:val="nil"/>
                  </w:tcBorders>
                  <w:noWrap w:val="0"/>
                  <w:vAlign w:val="top"/>
                </w:tcPr>
                <w:p w14:paraId="1EB8C9C2">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2"/>
                      <w:szCs w:val="22"/>
                      <w:highlight w:val="none"/>
                      <w:lang w:val="en-US" w:eastAsia="zh-CN"/>
                    </w:rPr>
                  </w:pPr>
                  <w:r>
                    <w:rPr>
                      <w:rFonts w:hint="default" w:ascii="Times New Roman" w:hAnsi="Times New Roman" w:eastAsia="宋体" w:cs="Times New Roman"/>
                      <w:color w:val="auto"/>
                      <w:kern w:val="2"/>
                      <w:sz w:val="22"/>
                      <w:szCs w:val="22"/>
                      <w:highlight w:val="none"/>
                      <w:lang w:val="en-US" w:eastAsia="zh-CN"/>
                    </w:rPr>
                    <w:t>风速m/s</w:t>
                  </w:r>
                </w:p>
              </w:tc>
              <w:tc>
                <w:tcPr>
                  <w:tcW w:w="686" w:type="pct"/>
                  <w:tcBorders>
                    <w:tl2br w:val="nil"/>
                    <w:tr2bl w:val="nil"/>
                  </w:tcBorders>
                  <w:noWrap w:val="0"/>
                  <w:vAlign w:val="top"/>
                </w:tcPr>
                <w:p w14:paraId="584E548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2"/>
                      <w:szCs w:val="22"/>
                      <w:highlight w:val="none"/>
                      <w:lang w:val="en-US" w:eastAsia="zh-CN"/>
                    </w:rPr>
                  </w:pPr>
                  <w:r>
                    <w:rPr>
                      <w:rFonts w:hint="default" w:ascii="Times New Roman" w:hAnsi="Times New Roman" w:eastAsia="宋体" w:cs="Times New Roman"/>
                      <w:color w:val="auto"/>
                      <w:kern w:val="2"/>
                      <w:sz w:val="22"/>
                      <w:szCs w:val="22"/>
                      <w:highlight w:val="none"/>
                      <w:lang w:val="en-US" w:eastAsia="zh-CN"/>
                    </w:rPr>
                    <w:t>温度℃</w:t>
                  </w:r>
                </w:p>
              </w:tc>
              <w:tc>
                <w:tcPr>
                  <w:tcW w:w="766" w:type="pct"/>
                  <w:tcBorders>
                    <w:tl2br w:val="nil"/>
                    <w:tr2bl w:val="nil"/>
                  </w:tcBorders>
                  <w:noWrap w:val="0"/>
                  <w:vAlign w:val="top"/>
                </w:tcPr>
                <w:p w14:paraId="75A56205">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2"/>
                      <w:szCs w:val="22"/>
                      <w:highlight w:val="none"/>
                      <w:lang w:val="en-US" w:eastAsia="zh-CN"/>
                    </w:rPr>
                  </w:pPr>
                  <w:r>
                    <w:rPr>
                      <w:rFonts w:hint="default" w:ascii="Times New Roman" w:hAnsi="Times New Roman" w:eastAsia="宋体" w:cs="Times New Roman"/>
                      <w:color w:val="auto"/>
                      <w:kern w:val="2"/>
                      <w:sz w:val="22"/>
                      <w:szCs w:val="22"/>
                      <w:highlight w:val="none"/>
                      <w:lang w:val="en-US" w:eastAsia="zh-CN"/>
                    </w:rPr>
                    <w:t>湿度%</w:t>
                  </w:r>
                </w:p>
              </w:tc>
              <w:tc>
                <w:tcPr>
                  <w:tcW w:w="822" w:type="pct"/>
                  <w:tcBorders>
                    <w:tl2br w:val="nil"/>
                    <w:tr2bl w:val="nil"/>
                  </w:tcBorders>
                  <w:noWrap w:val="0"/>
                  <w:vAlign w:val="top"/>
                </w:tcPr>
                <w:p w14:paraId="323038ED">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2"/>
                      <w:szCs w:val="22"/>
                      <w:highlight w:val="none"/>
                      <w:lang w:val="en-US" w:eastAsia="zh-CN"/>
                    </w:rPr>
                  </w:pPr>
                  <w:r>
                    <w:rPr>
                      <w:rFonts w:hint="default" w:ascii="Times New Roman" w:hAnsi="Times New Roman" w:eastAsia="宋体" w:cs="Times New Roman"/>
                      <w:color w:val="auto"/>
                      <w:kern w:val="2"/>
                      <w:sz w:val="22"/>
                      <w:szCs w:val="22"/>
                      <w:highlight w:val="none"/>
                      <w:lang w:val="en-US" w:eastAsia="zh-CN"/>
                    </w:rPr>
                    <w:t>天气</w:t>
                  </w:r>
                </w:p>
              </w:tc>
            </w:tr>
            <w:tr w14:paraId="7F1469C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1189" w:type="pct"/>
                  <w:vMerge w:val="restart"/>
                  <w:tcBorders>
                    <w:tl2br w:val="nil"/>
                    <w:tr2bl w:val="nil"/>
                  </w:tcBorders>
                  <w:noWrap w:val="0"/>
                  <w:vAlign w:val="top"/>
                </w:tcPr>
                <w:p w14:paraId="4B013F77">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4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2"/>
                      <w:szCs w:val="22"/>
                      <w:highlight w:val="none"/>
                      <w:lang w:val="en-US" w:eastAsia="zh-CN"/>
                    </w:rPr>
                    <w:t>昆桂线001-002号塔基线路西北侧监测断面(单回路)</w:t>
                  </w:r>
                </w:p>
              </w:tc>
              <w:tc>
                <w:tcPr>
                  <w:tcW w:w="818" w:type="pct"/>
                  <w:tcBorders>
                    <w:tl2br w:val="nil"/>
                    <w:tr2bl w:val="nil"/>
                  </w:tcBorders>
                  <w:noWrap w:val="0"/>
                  <w:vAlign w:val="top"/>
                </w:tcPr>
                <w:p w14:paraId="4EC1FFA6">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2"/>
                      <w:szCs w:val="22"/>
                      <w:highlight w:val="none"/>
                      <w:lang w:val="en-US" w:eastAsia="zh-CN"/>
                    </w:rPr>
                  </w:pPr>
                  <w:r>
                    <w:rPr>
                      <w:rFonts w:hint="default" w:ascii="Times New Roman" w:hAnsi="Times New Roman" w:eastAsia="宋体" w:cs="Times New Roman"/>
                      <w:color w:val="auto"/>
                      <w:kern w:val="2"/>
                      <w:sz w:val="22"/>
                      <w:szCs w:val="22"/>
                      <w:highlight w:val="none"/>
                      <w:lang w:val="en-US" w:eastAsia="zh-CN"/>
                    </w:rPr>
                    <w:t>昼间</w:t>
                  </w:r>
                </w:p>
              </w:tc>
              <w:tc>
                <w:tcPr>
                  <w:tcW w:w="715" w:type="pct"/>
                  <w:tcBorders>
                    <w:tl2br w:val="nil"/>
                    <w:tr2bl w:val="nil"/>
                  </w:tcBorders>
                  <w:noWrap w:val="0"/>
                  <w:vAlign w:val="top"/>
                </w:tcPr>
                <w:p w14:paraId="0485DBA3">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2"/>
                      <w:szCs w:val="22"/>
                      <w:highlight w:val="none"/>
                      <w:lang w:val="en-US" w:eastAsia="zh-CN"/>
                    </w:rPr>
                  </w:pPr>
                  <w:r>
                    <w:rPr>
                      <w:rFonts w:hint="eastAsia" w:ascii="Times New Roman" w:hAnsi="Times New Roman" w:eastAsia="宋体" w:cs="Times New Roman"/>
                      <w:color w:val="auto"/>
                      <w:kern w:val="2"/>
                      <w:sz w:val="22"/>
                      <w:szCs w:val="22"/>
                      <w:highlight w:val="none"/>
                      <w:lang w:val="en-US" w:eastAsia="zh-CN"/>
                    </w:rPr>
                    <w:t>1.6</w:t>
                  </w:r>
                </w:p>
              </w:tc>
              <w:tc>
                <w:tcPr>
                  <w:tcW w:w="686" w:type="pct"/>
                  <w:tcBorders>
                    <w:tl2br w:val="nil"/>
                    <w:tr2bl w:val="nil"/>
                  </w:tcBorders>
                  <w:noWrap w:val="0"/>
                  <w:vAlign w:val="top"/>
                </w:tcPr>
                <w:p w14:paraId="6CB201FC">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2"/>
                      <w:szCs w:val="22"/>
                      <w:highlight w:val="none"/>
                      <w:lang w:val="en-US" w:eastAsia="zh-CN"/>
                    </w:rPr>
                  </w:pPr>
                  <w:r>
                    <w:rPr>
                      <w:rFonts w:hint="eastAsia" w:ascii="Times New Roman" w:hAnsi="Times New Roman" w:eastAsia="宋体" w:cs="Times New Roman"/>
                      <w:color w:val="auto"/>
                      <w:kern w:val="2"/>
                      <w:sz w:val="22"/>
                      <w:szCs w:val="22"/>
                      <w:highlight w:val="none"/>
                      <w:lang w:val="en-US" w:eastAsia="zh-CN"/>
                    </w:rPr>
                    <w:t>30</w:t>
                  </w:r>
                </w:p>
              </w:tc>
              <w:tc>
                <w:tcPr>
                  <w:tcW w:w="766" w:type="pct"/>
                  <w:tcBorders>
                    <w:tl2br w:val="nil"/>
                    <w:tr2bl w:val="nil"/>
                  </w:tcBorders>
                  <w:noWrap w:val="0"/>
                  <w:vAlign w:val="top"/>
                </w:tcPr>
                <w:p w14:paraId="0B2F5989">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2"/>
                      <w:szCs w:val="22"/>
                      <w:highlight w:val="none"/>
                      <w:lang w:val="en-US" w:eastAsia="zh-CN"/>
                    </w:rPr>
                  </w:pPr>
                  <w:r>
                    <w:rPr>
                      <w:rFonts w:hint="eastAsia" w:ascii="Times New Roman" w:hAnsi="Times New Roman" w:eastAsia="宋体" w:cs="Times New Roman"/>
                      <w:color w:val="auto"/>
                      <w:kern w:val="2"/>
                      <w:sz w:val="22"/>
                      <w:szCs w:val="22"/>
                      <w:highlight w:val="none"/>
                      <w:lang w:val="en-US" w:eastAsia="zh-CN"/>
                    </w:rPr>
                    <w:t>40</w:t>
                  </w:r>
                </w:p>
              </w:tc>
              <w:tc>
                <w:tcPr>
                  <w:tcW w:w="822" w:type="pct"/>
                  <w:tcBorders>
                    <w:tl2br w:val="nil"/>
                    <w:tr2bl w:val="nil"/>
                  </w:tcBorders>
                  <w:noWrap w:val="0"/>
                  <w:vAlign w:val="top"/>
                </w:tcPr>
                <w:p w14:paraId="57056CA9">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2"/>
                      <w:szCs w:val="22"/>
                      <w:highlight w:val="none"/>
                      <w:lang w:val="en-US" w:eastAsia="zh-CN"/>
                    </w:rPr>
                  </w:pPr>
                  <w:r>
                    <w:rPr>
                      <w:rFonts w:hint="eastAsia" w:ascii="Times New Roman" w:hAnsi="Times New Roman" w:eastAsia="宋体" w:cs="Times New Roman"/>
                      <w:color w:val="auto"/>
                      <w:kern w:val="2"/>
                      <w:sz w:val="22"/>
                      <w:szCs w:val="22"/>
                      <w:highlight w:val="none"/>
                      <w:lang w:val="en-US" w:eastAsia="zh-CN"/>
                    </w:rPr>
                    <w:t>无雨无雪</w:t>
                  </w:r>
                </w:p>
              </w:tc>
            </w:tr>
            <w:tr w14:paraId="10953E6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9" w:type="pct"/>
                  <w:vMerge w:val="continue"/>
                  <w:tcBorders>
                    <w:tl2br w:val="nil"/>
                    <w:tr2bl w:val="nil"/>
                  </w:tcBorders>
                  <w:noWrap w:val="0"/>
                  <w:vAlign w:val="top"/>
                </w:tcPr>
                <w:p w14:paraId="76447276">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center"/>
                    <w:rPr>
                      <w:rFonts w:hint="default" w:ascii="Times New Roman" w:hAnsi="Times New Roman" w:eastAsia="宋体" w:cs="Times New Roman"/>
                      <w:color w:val="auto"/>
                      <w:kern w:val="2"/>
                      <w:sz w:val="24"/>
                      <w:szCs w:val="24"/>
                      <w:highlight w:val="none"/>
                      <w:lang w:val="en-US" w:eastAsia="zh-CN"/>
                    </w:rPr>
                  </w:pPr>
                </w:p>
              </w:tc>
              <w:tc>
                <w:tcPr>
                  <w:tcW w:w="818" w:type="pct"/>
                  <w:tcBorders>
                    <w:tl2br w:val="nil"/>
                    <w:tr2bl w:val="nil"/>
                  </w:tcBorders>
                  <w:noWrap w:val="0"/>
                  <w:vAlign w:val="top"/>
                </w:tcPr>
                <w:p w14:paraId="6F67571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2"/>
                      <w:szCs w:val="22"/>
                      <w:highlight w:val="none"/>
                      <w:lang w:val="en-US" w:eastAsia="zh-CN"/>
                    </w:rPr>
                  </w:pPr>
                  <w:r>
                    <w:rPr>
                      <w:rFonts w:hint="default" w:ascii="Times New Roman" w:hAnsi="Times New Roman" w:eastAsia="宋体" w:cs="Times New Roman"/>
                      <w:color w:val="auto"/>
                      <w:kern w:val="2"/>
                      <w:sz w:val="22"/>
                      <w:szCs w:val="22"/>
                      <w:highlight w:val="none"/>
                      <w:lang w:val="en-US" w:eastAsia="zh-CN"/>
                    </w:rPr>
                    <w:t>夜间</w:t>
                  </w:r>
                </w:p>
              </w:tc>
              <w:tc>
                <w:tcPr>
                  <w:tcW w:w="715" w:type="pct"/>
                  <w:tcBorders>
                    <w:tl2br w:val="nil"/>
                    <w:tr2bl w:val="nil"/>
                  </w:tcBorders>
                  <w:noWrap w:val="0"/>
                  <w:vAlign w:val="top"/>
                </w:tcPr>
                <w:p w14:paraId="38690025">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2"/>
                      <w:szCs w:val="22"/>
                      <w:highlight w:val="none"/>
                      <w:lang w:val="en-US" w:eastAsia="zh-CN"/>
                    </w:rPr>
                  </w:pPr>
                  <w:r>
                    <w:rPr>
                      <w:rFonts w:hint="eastAsia" w:ascii="Times New Roman" w:hAnsi="Times New Roman" w:eastAsia="宋体" w:cs="Times New Roman"/>
                      <w:color w:val="auto"/>
                      <w:kern w:val="2"/>
                      <w:sz w:val="22"/>
                      <w:szCs w:val="22"/>
                      <w:highlight w:val="none"/>
                      <w:lang w:val="en-US" w:eastAsia="zh-CN"/>
                    </w:rPr>
                    <w:t>1.2</w:t>
                  </w:r>
                </w:p>
              </w:tc>
              <w:tc>
                <w:tcPr>
                  <w:tcW w:w="686" w:type="pct"/>
                  <w:tcBorders>
                    <w:tl2br w:val="nil"/>
                    <w:tr2bl w:val="nil"/>
                  </w:tcBorders>
                  <w:noWrap w:val="0"/>
                  <w:vAlign w:val="top"/>
                </w:tcPr>
                <w:p w14:paraId="431C37DF">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2"/>
                      <w:szCs w:val="22"/>
                      <w:highlight w:val="none"/>
                      <w:lang w:val="en-US" w:eastAsia="zh-CN"/>
                    </w:rPr>
                  </w:pPr>
                  <w:r>
                    <w:rPr>
                      <w:rFonts w:hint="eastAsia" w:ascii="Times New Roman" w:hAnsi="Times New Roman" w:eastAsia="宋体" w:cs="Times New Roman"/>
                      <w:color w:val="auto"/>
                      <w:kern w:val="2"/>
                      <w:sz w:val="22"/>
                      <w:szCs w:val="22"/>
                      <w:highlight w:val="none"/>
                      <w:lang w:val="en-US" w:eastAsia="zh-CN"/>
                    </w:rPr>
                    <w:t>22</w:t>
                  </w:r>
                </w:p>
              </w:tc>
              <w:tc>
                <w:tcPr>
                  <w:tcW w:w="766" w:type="pct"/>
                  <w:tcBorders>
                    <w:tl2br w:val="nil"/>
                    <w:tr2bl w:val="nil"/>
                  </w:tcBorders>
                  <w:noWrap w:val="0"/>
                  <w:vAlign w:val="top"/>
                </w:tcPr>
                <w:p w14:paraId="7444B60A">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2"/>
                      <w:szCs w:val="22"/>
                      <w:highlight w:val="none"/>
                      <w:lang w:val="en-US" w:eastAsia="zh-CN"/>
                    </w:rPr>
                  </w:pPr>
                  <w:r>
                    <w:rPr>
                      <w:rFonts w:hint="eastAsia" w:ascii="Times New Roman" w:hAnsi="Times New Roman" w:eastAsia="宋体" w:cs="Times New Roman"/>
                      <w:color w:val="auto"/>
                      <w:kern w:val="2"/>
                      <w:sz w:val="22"/>
                      <w:szCs w:val="22"/>
                      <w:highlight w:val="none"/>
                      <w:lang w:val="en-US" w:eastAsia="zh-CN"/>
                    </w:rPr>
                    <w:t>40</w:t>
                  </w:r>
                </w:p>
              </w:tc>
              <w:tc>
                <w:tcPr>
                  <w:tcW w:w="822" w:type="pct"/>
                  <w:tcBorders>
                    <w:tl2br w:val="nil"/>
                    <w:tr2bl w:val="nil"/>
                  </w:tcBorders>
                  <w:noWrap w:val="0"/>
                  <w:vAlign w:val="top"/>
                </w:tcPr>
                <w:p w14:paraId="1C92FEEE">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2"/>
                      <w:szCs w:val="22"/>
                      <w:highlight w:val="none"/>
                      <w:lang w:val="en-US" w:eastAsia="zh-CN"/>
                    </w:rPr>
                  </w:pPr>
                  <w:r>
                    <w:rPr>
                      <w:rFonts w:hint="eastAsia" w:ascii="Times New Roman" w:hAnsi="Times New Roman" w:eastAsia="宋体" w:cs="Times New Roman"/>
                      <w:color w:val="auto"/>
                      <w:kern w:val="2"/>
                      <w:sz w:val="22"/>
                      <w:szCs w:val="22"/>
                      <w:highlight w:val="none"/>
                      <w:lang w:val="en-US" w:eastAsia="zh-CN"/>
                    </w:rPr>
                    <w:t>无雨无雪</w:t>
                  </w:r>
                </w:p>
              </w:tc>
            </w:tr>
          </w:tbl>
          <w:p w14:paraId="6C1005A0">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④监测仪器</w:t>
            </w:r>
          </w:p>
          <w:p w14:paraId="59E2582A">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所用仪器均经国家计量部门检定合格，本项目声环境监测所用多功能声级计经检定合格，并处于证书有效期内，仪器的频率性能覆盖监测对象的频率范围。</w:t>
            </w:r>
          </w:p>
          <w:p w14:paraId="0817E5D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多功能声级计设备型号：</w:t>
            </w:r>
            <w:r>
              <w:rPr>
                <w:rFonts w:hint="eastAsia" w:ascii="Times New Roman" w:hAnsi="Times New Roman" w:eastAsia="宋体" w:cs="Times New Roman"/>
                <w:color w:val="auto"/>
                <w:kern w:val="2"/>
                <w:sz w:val="24"/>
                <w:szCs w:val="24"/>
                <w:highlight w:val="none"/>
                <w:lang w:val="en-US" w:eastAsia="zh-CN"/>
              </w:rPr>
              <w:t>噪声频谱分析仪HS6288B</w:t>
            </w:r>
            <w:r>
              <w:rPr>
                <w:rFonts w:hint="default" w:ascii="Times New Roman" w:hAnsi="Times New Roman" w:eastAsia="宋体" w:cs="Times New Roman"/>
                <w:color w:val="auto"/>
                <w:kern w:val="2"/>
                <w:sz w:val="24"/>
                <w:szCs w:val="24"/>
                <w:highlight w:val="none"/>
                <w:lang w:val="en-US" w:eastAsia="zh-CN"/>
              </w:rPr>
              <w:t>，检定日期20</w:t>
            </w:r>
            <w:r>
              <w:rPr>
                <w:rFonts w:hint="eastAsia" w:ascii="Times New Roman" w:hAnsi="Times New Roman" w:eastAsia="宋体" w:cs="Times New Roman"/>
                <w:color w:val="auto"/>
                <w:kern w:val="2"/>
                <w:sz w:val="24"/>
                <w:szCs w:val="24"/>
                <w:highlight w:val="none"/>
                <w:lang w:val="en-US" w:eastAsia="zh-CN"/>
              </w:rPr>
              <w:t>19</w:t>
            </w:r>
            <w:r>
              <w:rPr>
                <w:rFonts w:hint="default" w:ascii="Times New Roman" w:hAnsi="Times New Roman" w:eastAsia="宋体" w:cs="Times New Roman"/>
                <w:color w:val="auto"/>
                <w:kern w:val="2"/>
                <w:sz w:val="24"/>
                <w:szCs w:val="24"/>
                <w:highlight w:val="none"/>
                <w:lang w:val="en-US" w:eastAsia="zh-CN"/>
              </w:rPr>
              <w:t>年1</w:t>
            </w:r>
            <w:r>
              <w:rPr>
                <w:rFonts w:hint="eastAsia" w:ascii="Times New Roman" w:hAnsi="Times New Roman" w:eastAsia="宋体" w:cs="Times New Roman"/>
                <w:color w:val="auto"/>
                <w:kern w:val="2"/>
                <w:sz w:val="24"/>
                <w:szCs w:val="24"/>
                <w:highlight w:val="none"/>
                <w:lang w:val="en-US" w:eastAsia="zh-CN"/>
              </w:rPr>
              <w:t>1</w:t>
            </w:r>
            <w:r>
              <w:rPr>
                <w:rFonts w:hint="default" w:ascii="Times New Roman" w:hAnsi="Times New Roman" w:eastAsia="宋体" w:cs="Times New Roman"/>
                <w:color w:val="auto"/>
                <w:kern w:val="2"/>
                <w:sz w:val="24"/>
                <w:szCs w:val="24"/>
                <w:highlight w:val="none"/>
                <w:lang w:val="en-US" w:eastAsia="zh-CN"/>
              </w:rPr>
              <w:t>月</w:t>
            </w:r>
            <w:r>
              <w:rPr>
                <w:rFonts w:hint="eastAsia" w:ascii="Times New Roman" w:hAnsi="Times New Roman" w:eastAsia="宋体" w:cs="Times New Roman"/>
                <w:color w:val="auto"/>
                <w:kern w:val="2"/>
                <w:sz w:val="24"/>
                <w:szCs w:val="24"/>
                <w:highlight w:val="none"/>
                <w:lang w:val="en-US" w:eastAsia="zh-CN"/>
              </w:rPr>
              <w:t>1</w:t>
            </w:r>
            <w:r>
              <w:rPr>
                <w:rFonts w:hint="default" w:ascii="Times New Roman" w:hAnsi="Times New Roman" w:eastAsia="宋体" w:cs="Times New Roman"/>
                <w:color w:val="auto"/>
                <w:kern w:val="2"/>
                <w:sz w:val="24"/>
                <w:szCs w:val="24"/>
                <w:highlight w:val="none"/>
                <w:lang w:val="en-US" w:eastAsia="zh-CN"/>
              </w:rPr>
              <w:t>日；有效期至202</w:t>
            </w:r>
            <w:r>
              <w:rPr>
                <w:rFonts w:hint="eastAsia" w:ascii="Times New Roman" w:hAnsi="Times New Roman" w:eastAsia="宋体" w:cs="Times New Roman"/>
                <w:color w:val="auto"/>
                <w:kern w:val="2"/>
                <w:sz w:val="24"/>
                <w:szCs w:val="24"/>
                <w:highlight w:val="none"/>
                <w:lang w:val="en-US" w:eastAsia="zh-CN"/>
              </w:rPr>
              <w:t>0</w:t>
            </w:r>
            <w:r>
              <w:rPr>
                <w:rFonts w:hint="default" w:ascii="Times New Roman" w:hAnsi="Times New Roman" w:eastAsia="宋体" w:cs="Times New Roman"/>
                <w:color w:val="auto"/>
                <w:kern w:val="2"/>
                <w:sz w:val="24"/>
                <w:szCs w:val="24"/>
                <w:highlight w:val="none"/>
                <w:lang w:val="en-US" w:eastAsia="zh-CN"/>
              </w:rPr>
              <w:t>年</w:t>
            </w:r>
            <w:r>
              <w:rPr>
                <w:rFonts w:hint="eastAsia" w:ascii="Times New Roman" w:hAnsi="Times New Roman" w:eastAsia="宋体" w:cs="Times New Roman"/>
                <w:color w:val="auto"/>
                <w:kern w:val="2"/>
                <w:sz w:val="24"/>
                <w:szCs w:val="24"/>
                <w:highlight w:val="none"/>
                <w:lang w:val="en-US" w:eastAsia="zh-CN"/>
              </w:rPr>
              <w:t>10</w:t>
            </w:r>
            <w:r>
              <w:rPr>
                <w:rFonts w:hint="default" w:ascii="Times New Roman" w:hAnsi="Times New Roman" w:eastAsia="宋体" w:cs="Times New Roman"/>
                <w:color w:val="auto"/>
                <w:kern w:val="2"/>
                <w:sz w:val="24"/>
                <w:szCs w:val="24"/>
                <w:highlight w:val="none"/>
                <w:lang w:val="en-US" w:eastAsia="zh-CN"/>
              </w:rPr>
              <w:t>月</w:t>
            </w:r>
            <w:r>
              <w:rPr>
                <w:rFonts w:hint="eastAsia" w:ascii="Times New Roman" w:hAnsi="Times New Roman" w:eastAsia="宋体" w:cs="Times New Roman"/>
                <w:color w:val="auto"/>
                <w:kern w:val="2"/>
                <w:sz w:val="24"/>
                <w:szCs w:val="24"/>
                <w:highlight w:val="none"/>
                <w:lang w:val="en-US" w:eastAsia="zh-CN"/>
              </w:rPr>
              <w:t>31</w:t>
            </w:r>
            <w:r>
              <w:rPr>
                <w:rFonts w:hint="default" w:ascii="Times New Roman" w:hAnsi="Times New Roman" w:eastAsia="宋体" w:cs="Times New Roman"/>
                <w:color w:val="auto"/>
                <w:kern w:val="2"/>
                <w:sz w:val="24"/>
                <w:szCs w:val="24"/>
                <w:highlight w:val="none"/>
                <w:lang w:val="en-US" w:eastAsia="zh-CN"/>
              </w:rPr>
              <w:t>日。</w:t>
            </w:r>
          </w:p>
          <w:p w14:paraId="5FFD4919">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风速仪，设备型号：</w:t>
            </w:r>
            <w:r>
              <w:rPr>
                <w:rFonts w:hint="eastAsia" w:ascii="Times New Roman" w:hAnsi="Times New Roman" w:eastAsia="宋体" w:cs="Times New Roman"/>
                <w:color w:val="auto"/>
                <w:kern w:val="2"/>
                <w:sz w:val="24"/>
                <w:szCs w:val="24"/>
                <w:highlight w:val="none"/>
                <w:lang w:val="en-US" w:eastAsia="zh-CN"/>
              </w:rPr>
              <w:t>ZRQF-F30J</w:t>
            </w:r>
            <w:r>
              <w:rPr>
                <w:rFonts w:hint="default" w:ascii="Times New Roman" w:hAnsi="Times New Roman" w:eastAsia="宋体" w:cs="Times New Roman"/>
                <w:color w:val="auto"/>
                <w:kern w:val="2"/>
                <w:sz w:val="24"/>
                <w:szCs w:val="24"/>
                <w:highlight w:val="none"/>
                <w:lang w:val="en-US" w:eastAsia="zh-CN"/>
              </w:rPr>
              <w:t>；校准日期20</w:t>
            </w:r>
            <w:r>
              <w:rPr>
                <w:rFonts w:hint="eastAsia" w:ascii="Times New Roman" w:hAnsi="Times New Roman" w:eastAsia="宋体" w:cs="Times New Roman"/>
                <w:color w:val="auto"/>
                <w:kern w:val="2"/>
                <w:sz w:val="24"/>
                <w:szCs w:val="24"/>
                <w:highlight w:val="none"/>
                <w:lang w:val="en-US" w:eastAsia="zh-CN"/>
              </w:rPr>
              <w:t>19</w:t>
            </w:r>
            <w:r>
              <w:rPr>
                <w:rFonts w:hint="default" w:ascii="Times New Roman" w:hAnsi="Times New Roman" w:eastAsia="宋体" w:cs="Times New Roman"/>
                <w:color w:val="auto"/>
                <w:kern w:val="2"/>
                <w:sz w:val="24"/>
                <w:szCs w:val="24"/>
                <w:highlight w:val="none"/>
                <w:lang w:val="en-US" w:eastAsia="zh-CN"/>
              </w:rPr>
              <w:t>年0</w:t>
            </w:r>
            <w:r>
              <w:rPr>
                <w:rFonts w:hint="eastAsia" w:ascii="Times New Roman" w:hAnsi="Times New Roman" w:eastAsia="宋体" w:cs="Times New Roman"/>
                <w:color w:val="auto"/>
                <w:kern w:val="2"/>
                <w:sz w:val="24"/>
                <w:szCs w:val="24"/>
                <w:highlight w:val="none"/>
                <w:lang w:val="en-US" w:eastAsia="zh-CN"/>
              </w:rPr>
              <w:t>3</w:t>
            </w:r>
            <w:r>
              <w:rPr>
                <w:rFonts w:hint="default" w:ascii="Times New Roman" w:hAnsi="Times New Roman" w:eastAsia="宋体" w:cs="Times New Roman"/>
                <w:color w:val="auto"/>
                <w:kern w:val="2"/>
                <w:sz w:val="24"/>
                <w:szCs w:val="24"/>
                <w:highlight w:val="none"/>
                <w:lang w:val="en-US" w:eastAsia="zh-CN"/>
              </w:rPr>
              <w:t>月</w:t>
            </w:r>
            <w:r>
              <w:rPr>
                <w:rFonts w:hint="eastAsia" w:ascii="Times New Roman" w:hAnsi="Times New Roman" w:eastAsia="宋体" w:cs="Times New Roman"/>
                <w:color w:val="auto"/>
                <w:kern w:val="2"/>
                <w:sz w:val="24"/>
                <w:szCs w:val="24"/>
                <w:highlight w:val="none"/>
                <w:lang w:val="en-US" w:eastAsia="zh-CN"/>
              </w:rPr>
              <w:t>05</w:t>
            </w:r>
            <w:r>
              <w:rPr>
                <w:rFonts w:hint="default" w:ascii="Times New Roman" w:hAnsi="Times New Roman" w:eastAsia="宋体" w:cs="Times New Roman"/>
                <w:color w:val="auto"/>
                <w:kern w:val="2"/>
                <w:sz w:val="24"/>
                <w:szCs w:val="24"/>
                <w:highlight w:val="none"/>
                <w:lang w:val="en-US" w:eastAsia="zh-CN"/>
              </w:rPr>
              <w:t>日；有效期至202</w:t>
            </w:r>
            <w:r>
              <w:rPr>
                <w:rFonts w:hint="eastAsia" w:ascii="Times New Roman" w:hAnsi="Times New Roman" w:eastAsia="宋体" w:cs="Times New Roman"/>
                <w:color w:val="auto"/>
                <w:kern w:val="2"/>
                <w:sz w:val="24"/>
                <w:szCs w:val="24"/>
                <w:highlight w:val="none"/>
                <w:lang w:val="en-US" w:eastAsia="zh-CN"/>
              </w:rPr>
              <w:t>0</w:t>
            </w:r>
            <w:r>
              <w:rPr>
                <w:rFonts w:hint="default" w:ascii="Times New Roman" w:hAnsi="Times New Roman" w:eastAsia="宋体" w:cs="Times New Roman"/>
                <w:color w:val="auto"/>
                <w:kern w:val="2"/>
                <w:sz w:val="24"/>
                <w:szCs w:val="24"/>
                <w:highlight w:val="none"/>
                <w:lang w:val="en-US" w:eastAsia="zh-CN"/>
              </w:rPr>
              <w:t>年0</w:t>
            </w:r>
            <w:r>
              <w:rPr>
                <w:rFonts w:hint="eastAsia" w:ascii="Times New Roman" w:hAnsi="Times New Roman" w:eastAsia="宋体" w:cs="Times New Roman"/>
                <w:color w:val="auto"/>
                <w:kern w:val="2"/>
                <w:sz w:val="24"/>
                <w:szCs w:val="24"/>
                <w:highlight w:val="none"/>
                <w:lang w:val="en-US" w:eastAsia="zh-CN"/>
              </w:rPr>
              <w:t>3</w:t>
            </w:r>
            <w:r>
              <w:rPr>
                <w:rFonts w:hint="default" w:ascii="Times New Roman" w:hAnsi="Times New Roman" w:eastAsia="宋体" w:cs="Times New Roman"/>
                <w:color w:val="auto"/>
                <w:kern w:val="2"/>
                <w:sz w:val="24"/>
                <w:szCs w:val="24"/>
                <w:highlight w:val="none"/>
                <w:lang w:val="en-US" w:eastAsia="zh-CN"/>
              </w:rPr>
              <w:t>月</w:t>
            </w:r>
            <w:r>
              <w:rPr>
                <w:rFonts w:hint="eastAsia" w:ascii="Times New Roman" w:hAnsi="Times New Roman" w:eastAsia="宋体" w:cs="Times New Roman"/>
                <w:color w:val="auto"/>
                <w:kern w:val="2"/>
                <w:sz w:val="24"/>
                <w:szCs w:val="24"/>
                <w:highlight w:val="none"/>
                <w:lang w:val="en-US" w:eastAsia="zh-CN"/>
              </w:rPr>
              <w:t>04</w:t>
            </w:r>
            <w:r>
              <w:rPr>
                <w:rFonts w:hint="default" w:ascii="Times New Roman" w:hAnsi="Times New Roman" w:eastAsia="宋体" w:cs="Times New Roman"/>
                <w:color w:val="auto"/>
                <w:kern w:val="2"/>
                <w:sz w:val="24"/>
                <w:szCs w:val="24"/>
                <w:highlight w:val="none"/>
                <w:lang w:val="en-US" w:eastAsia="zh-CN"/>
              </w:rPr>
              <w:t>日。</w:t>
            </w:r>
          </w:p>
          <w:p w14:paraId="1EA8D950">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⑤监测工况</w:t>
            </w:r>
          </w:p>
          <w:p w14:paraId="617D8AB1">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监测工况如下：</w:t>
            </w:r>
          </w:p>
          <w:p w14:paraId="50E5164C">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b/>
                <w:bCs/>
                <w:color w:val="auto"/>
                <w:kern w:val="2"/>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rPr>
              <w:t>表4-4监测期间运行工况工况表</w:t>
            </w:r>
          </w:p>
          <w:tbl>
            <w:tblPr>
              <w:tblStyle w:val="20"/>
              <w:tblW w:w="4997"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3"/>
              <w:gridCol w:w="810"/>
              <w:gridCol w:w="810"/>
              <w:gridCol w:w="1"/>
              <w:gridCol w:w="809"/>
              <w:gridCol w:w="810"/>
              <w:gridCol w:w="2"/>
              <w:gridCol w:w="808"/>
              <w:gridCol w:w="810"/>
              <w:gridCol w:w="3"/>
              <w:gridCol w:w="807"/>
              <w:gridCol w:w="816"/>
            </w:tblGrid>
            <w:tr w14:paraId="2D8E5FE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634" w:type="pct"/>
                  <w:vMerge w:val="restart"/>
                  <w:tcBorders>
                    <w:tl2br w:val="nil"/>
                    <w:tr2bl w:val="nil"/>
                  </w:tcBorders>
                  <w:noWrap w:val="0"/>
                  <w:vAlign w:val="top"/>
                </w:tcPr>
                <w:p w14:paraId="1EC70AB2">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名称</w:t>
                  </w:r>
                </w:p>
              </w:tc>
              <w:tc>
                <w:tcPr>
                  <w:tcW w:w="1090" w:type="pct"/>
                  <w:gridSpan w:val="3"/>
                  <w:tcBorders>
                    <w:tl2br w:val="nil"/>
                    <w:tr2bl w:val="nil"/>
                  </w:tcBorders>
                  <w:noWrap w:val="0"/>
                  <w:vAlign w:val="top"/>
                </w:tcPr>
                <w:p w14:paraId="6F0B849C">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电压kV</w:t>
                  </w:r>
                </w:p>
              </w:tc>
              <w:tc>
                <w:tcPr>
                  <w:tcW w:w="1090" w:type="pct"/>
                  <w:gridSpan w:val="3"/>
                  <w:tcBorders>
                    <w:tl2br w:val="nil"/>
                    <w:tr2bl w:val="nil"/>
                  </w:tcBorders>
                  <w:noWrap w:val="0"/>
                  <w:vAlign w:val="top"/>
                </w:tcPr>
                <w:p w14:paraId="33648E65">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电流</w:t>
                  </w:r>
                  <w:r>
                    <w:rPr>
                      <w:rFonts w:hint="eastAsia" w:ascii="Times New Roman" w:hAnsi="Times New Roman" w:eastAsia="宋体" w:cs="Times New Roman"/>
                      <w:color w:val="auto"/>
                      <w:kern w:val="2"/>
                      <w:sz w:val="24"/>
                      <w:szCs w:val="24"/>
                      <w:highlight w:val="none"/>
                      <w:lang w:val="en-US" w:eastAsia="zh-CN"/>
                    </w:rPr>
                    <w:t>m</w:t>
                  </w:r>
                  <w:r>
                    <w:rPr>
                      <w:rFonts w:hint="default" w:ascii="Times New Roman" w:hAnsi="Times New Roman" w:eastAsia="宋体" w:cs="Times New Roman"/>
                      <w:color w:val="auto"/>
                      <w:kern w:val="2"/>
                      <w:sz w:val="24"/>
                      <w:szCs w:val="24"/>
                      <w:highlight w:val="none"/>
                      <w:lang w:val="en-US" w:eastAsia="zh-CN"/>
                    </w:rPr>
                    <w:t>A</w:t>
                  </w:r>
                </w:p>
              </w:tc>
              <w:tc>
                <w:tcPr>
                  <w:tcW w:w="1090" w:type="pct"/>
                  <w:gridSpan w:val="3"/>
                  <w:tcBorders>
                    <w:tl2br w:val="nil"/>
                    <w:tr2bl w:val="nil"/>
                  </w:tcBorders>
                  <w:noWrap w:val="0"/>
                  <w:vAlign w:val="top"/>
                </w:tcPr>
                <w:p w14:paraId="3D9485B2">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有功功率MW</w:t>
                  </w:r>
                </w:p>
              </w:tc>
              <w:tc>
                <w:tcPr>
                  <w:tcW w:w="1092" w:type="pct"/>
                  <w:gridSpan w:val="2"/>
                  <w:tcBorders>
                    <w:tl2br w:val="nil"/>
                    <w:tr2bl w:val="nil"/>
                  </w:tcBorders>
                  <w:noWrap w:val="0"/>
                  <w:vAlign w:val="top"/>
                </w:tcPr>
                <w:p w14:paraId="29A1400C">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无功功率Mvar</w:t>
                  </w:r>
                </w:p>
              </w:tc>
            </w:tr>
            <w:tr w14:paraId="40287D2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634" w:type="pct"/>
                  <w:vMerge w:val="continue"/>
                  <w:tcBorders>
                    <w:tl2br w:val="nil"/>
                    <w:tr2bl w:val="nil"/>
                  </w:tcBorders>
                  <w:noWrap w:val="0"/>
                  <w:vAlign w:val="top"/>
                </w:tcPr>
                <w:p w14:paraId="3E543BAB">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p>
              </w:tc>
              <w:tc>
                <w:tcPr>
                  <w:tcW w:w="545" w:type="pct"/>
                  <w:tcBorders>
                    <w:tl2br w:val="nil"/>
                    <w:tr2bl w:val="nil"/>
                  </w:tcBorders>
                  <w:noWrap w:val="0"/>
                  <w:vAlign w:val="top"/>
                </w:tcPr>
                <w:p w14:paraId="3F7D77CE">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Max</w:t>
                  </w:r>
                </w:p>
              </w:tc>
              <w:tc>
                <w:tcPr>
                  <w:tcW w:w="545" w:type="pct"/>
                  <w:tcBorders>
                    <w:tl2br w:val="nil"/>
                    <w:tr2bl w:val="nil"/>
                  </w:tcBorders>
                  <w:noWrap w:val="0"/>
                  <w:vAlign w:val="top"/>
                </w:tcPr>
                <w:p w14:paraId="3802030F">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Min</w:t>
                  </w:r>
                </w:p>
              </w:tc>
              <w:tc>
                <w:tcPr>
                  <w:tcW w:w="545" w:type="pct"/>
                  <w:gridSpan w:val="2"/>
                  <w:tcBorders>
                    <w:tl2br w:val="nil"/>
                    <w:tr2bl w:val="nil"/>
                  </w:tcBorders>
                  <w:noWrap w:val="0"/>
                  <w:vAlign w:val="top"/>
                </w:tcPr>
                <w:p w14:paraId="79F3AE0F">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Max</w:t>
                  </w:r>
                </w:p>
              </w:tc>
              <w:tc>
                <w:tcPr>
                  <w:tcW w:w="545" w:type="pct"/>
                  <w:tcBorders>
                    <w:tl2br w:val="nil"/>
                    <w:tr2bl w:val="nil"/>
                  </w:tcBorders>
                  <w:noWrap w:val="0"/>
                  <w:vAlign w:val="top"/>
                </w:tcPr>
                <w:p w14:paraId="74AAA8F1">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Min</w:t>
                  </w:r>
                </w:p>
              </w:tc>
              <w:tc>
                <w:tcPr>
                  <w:tcW w:w="545" w:type="pct"/>
                  <w:gridSpan w:val="2"/>
                  <w:tcBorders>
                    <w:tl2br w:val="nil"/>
                    <w:tr2bl w:val="nil"/>
                  </w:tcBorders>
                  <w:noWrap w:val="0"/>
                  <w:vAlign w:val="top"/>
                </w:tcPr>
                <w:p w14:paraId="45E220FA">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Max</w:t>
                  </w:r>
                </w:p>
              </w:tc>
              <w:tc>
                <w:tcPr>
                  <w:tcW w:w="545" w:type="pct"/>
                  <w:tcBorders>
                    <w:tl2br w:val="nil"/>
                    <w:tr2bl w:val="nil"/>
                  </w:tcBorders>
                  <w:noWrap w:val="0"/>
                  <w:vAlign w:val="top"/>
                </w:tcPr>
                <w:p w14:paraId="782245E3">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Min</w:t>
                  </w:r>
                </w:p>
              </w:tc>
              <w:tc>
                <w:tcPr>
                  <w:tcW w:w="545" w:type="pct"/>
                  <w:gridSpan w:val="2"/>
                  <w:tcBorders>
                    <w:tl2br w:val="nil"/>
                    <w:tr2bl w:val="nil"/>
                  </w:tcBorders>
                  <w:noWrap w:val="0"/>
                  <w:vAlign w:val="top"/>
                </w:tcPr>
                <w:p w14:paraId="1FB2D4B6">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Max</w:t>
                  </w:r>
                </w:p>
              </w:tc>
              <w:tc>
                <w:tcPr>
                  <w:tcW w:w="549" w:type="pct"/>
                  <w:tcBorders>
                    <w:tl2br w:val="nil"/>
                    <w:tr2bl w:val="nil"/>
                  </w:tcBorders>
                  <w:noWrap w:val="0"/>
                  <w:vAlign w:val="top"/>
                </w:tcPr>
                <w:p w14:paraId="6AD07AAB">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Min</w:t>
                  </w:r>
                </w:p>
              </w:tc>
            </w:tr>
            <w:tr w14:paraId="052EAD5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34" w:type="pct"/>
                  <w:vMerge w:val="restart"/>
                  <w:tcBorders>
                    <w:tl2br w:val="nil"/>
                    <w:tr2bl w:val="nil"/>
                  </w:tcBorders>
                  <w:noWrap w:val="0"/>
                  <w:vAlign w:val="top"/>
                </w:tcPr>
                <w:p w14:paraId="3FC5E989">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2"/>
                      <w:szCs w:val="22"/>
                      <w:highlight w:val="none"/>
                      <w:lang w:val="en-US" w:eastAsia="zh-CN"/>
                    </w:rPr>
                    <w:t>昆桂线</w:t>
                  </w:r>
                </w:p>
              </w:tc>
              <w:tc>
                <w:tcPr>
                  <w:tcW w:w="545" w:type="pct"/>
                  <w:tcBorders>
                    <w:tl2br w:val="nil"/>
                    <w:tr2bl w:val="nil"/>
                  </w:tcBorders>
                  <w:noWrap w:val="0"/>
                  <w:vAlign w:val="top"/>
                </w:tcPr>
                <w:p w14:paraId="3FEF5B8C">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208.21</w:t>
                  </w:r>
                </w:p>
              </w:tc>
              <w:tc>
                <w:tcPr>
                  <w:tcW w:w="545" w:type="pct"/>
                  <w:tcBorders>
                    <w:tl2br w:val="nil"/>
                    <w:tr2bl w:val="nil"/>
                  </w:tcBorders>
                  <w:noWrap w:val="0"/>
                  <w:vAlign w:val="top"/>
                </w:tcPr>
                <w:p w14:paraId="57547CEA">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225.71</w:t>
                  </w:r>
                </w:p>
              </w:tc>
              <w:tc>
                <w:tcPr>
                  <w:tcW w:w="545" w:type="pct"/>
                  <w:gridSpan w:val="2"/>
                  <w:tcBorders>
                    <w:tl2br w:val="nil"/>
                    <w:tr2bl w:val="nil"/>
                  </w:tcBorders>
                  <w:noWrap w:val="0"/>
                  <w:vAlign w:val="top"/>
                </w:tcPr>
                <w:p w14:paraId="558D69E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16010</w:t>
                  </w:r>
                </w:p>
              </w:tc>
              <w:tc>
                <w:tcPr>
                  <w:tcW w:w="545" w:type="pct"/>
                  <w:tcBorders>
                    <w:tl2br w:val="nil"/>
                    <w:tr2bl w:val="nil"/>
                  </w:tcBorders>
                  <w:noWrap w:val="0"/>
                  <w:vAlign w:val="top"/>
                </w:tcPr>
                <w:p w14:paraId="1D6F4BC0">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14240</w:t>
                  </w:r>
                </w:p>
              </w:tc>
              <w:tc>
                <w:tcPr>
                  <w:tcW w:w="545" w:type="pct"/>
                  <w:gridSpan w:val="2"/>
                  <w:tcBorders>
                    <w:tl2br w:val="nil"/>
                    <w:tr2bl w:val="nil"/>
                  </w:tcBorders>
                  <w:noWrap w:val="0"/>
                  <w:vAlign w:val="top"/>
                </w:tcPr>
                <w:p w14:paraId="266624E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4.33</w:t>
                  </w:r>
                </w:p>
              </w:tc>
              <w:tc>
                <w:tcPr>
                  <w:tcW w:w="545" w:type="pct"/>
                  <w:tcBorders>
                    <w:tl2br w:val="nil"/>
                    <w:tr2bl w:val="nil"/>
                  </w:tcBorders>
                  <w:noWrap w:val="0"/>
                  <w:vAlign w:val="top"/>
                </w:tcPr>
                <w:p w14:paraId="2D22E019">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3.15</w:t>
                  </w:r>
                </w:p>
              </w:tc>
              <w:tc>
                <w:tcPr>
                  <w:tcW w:w="545" w:type="pct"/>
                  <w:gridSpan w:val="2"/>
                  <w:tcBorders>
                    <w:tl2br w:val="nil"/>
                    <w:tr2bl w:val="nil"/>
                  </w:tcBorders>
                  <w:noWrap w:val="0"/>
                  <w:vAlign w:val="top"/>
                </w:tcPr>
                <w:p w14:paraId="4BBCDF0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4.85</w:t>
                  </w:r>
                </w:p>
              </w:tc>
              <w:tc>
                <w:tcPr>
                  <w:tcW w:w="549" w:type="pct"/>
                  <w:tcBorders>
                    <w:tl2br w:val="nil"/>
                    <w:tr2bl w:val="nil"/>
                  </w:tcBorders>
                  <w:noWrap w:val="0"/>
                  <w:vAlign w:val="top"/>
                </w:tcPr>
                <w:p w14:paraId="4421C340">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3.38</w:t>
                  </w:r>
                </w:p>
              </w:tc>
            </w:tr>
            <w:tr w14:paraId="69DF202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34" w:type="pct"/>
                  <w:vMerge w:val="continue"/>
                  <w:tcBorders>
                    <w:tl2br w:val="nil"/>
                    <w:tr2bl w:val="nil"/>
                  </w:tcBorders>
                  <w:noWrap w:val="0"/>
                  <w:vAlign w:val="top"/>
                </w:tcPr>
                <w:p w14:paraId="166AD272">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p>
              </w:tc>
              <w:tc>
                <w:tcPr>
                  <w:tcW w:w="545" w:type="pct"/>
                  <w:tcBorders>
                    <w:tl2br w:val="nil"/>
                    <w:tr2bl w:val="nil"/>
                  </w:tcBorders>
                  <w:noWrap w:val="0"/>
                  <w:vAlign w:val="top"/>
                </w:tcPr>
                <w:p w14:paraId="32C712C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227.99</w:t>
                  </w:r>
                </w:p>
              </w:tc>
              <w:tc>
                <w:tcPr>
                  <w:tcW w:w="545" w:type="pct"/>
                  <w:tcBorders>
                    <w:tl2br w:val="nil"/>
                    <w:tr2bl w:val="nil"/>
                  </w:tcBorders>
                  <w:noWrap w:val="0"/>
                  <w:vAlign w:val="top"/>
                </w:tcPr>
                <w:p w14:paraId="5B4EC509">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225.77</w:t>
                  </w:r>
                </w:p>
              </w:tc>
              <w:tc>
                <w:tcPr>
                  <w:tcW w:w="545" w:type="pct"/>
                  <w:gridSpan w:val="2"/>
                  <w:tcBorders>
                    <w:tl2br w:val="nil"/>
                    <w:tr2bl w:val="nil"/>
                  </w:tcBorders>
                  <w:noWrap w:val="0"/>
                  <w:vAlign w:val="top"/>
                </w:tcPr>
                <w:p w14:paraId="4B26C97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16370</w:t>
                  </w:r>
                </w:p>
              </w:tc>
              <w:tc>
                <w:tcPr>
                  <w:tcW w:w="545" w:type="pct"/>
                  <w:tcBorders>
                    <w:tl2br w:val="nil"/>
                    <w:tr2bl w:val="nil"/>
                  </w:tcBorders>
                  <w:noWrap w:val="0"/>
                  <w:vAlign w:val="top"/>
                </w:tcPr>
                <w:p w14:paraId="41ED3FB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14950</w:t>
                  </w:r>
                </w:p>
              </w:tc>
              <w:tc>
                <w:tcPr>
                  <w:tcW w:w="545" w:type="pct"/>
                  <w:gridSpan w:val="2"/>
                  <w:tcBorders>
                    <w:tl2br w:val="nil"/>
                    <w:tr2bl w:val="nil"/>
                  </w:tcBorders>
                  <w:noWrap w:val="0"/>
                  <w:vAlign w:val="top"/>
                </w:tcPr>
                <w:p w14:paraId="5FF0C9DE">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5.38</w:t>
                  </w:r>
                </w:p>
              </w:tc>
              <w:tc>
                <w:tcPr>
                  <w:tcW w:w="545" w:type="pct"/>
                  <w:tcBorders>
                    <w:tl2br w:val="nil"/>
                    <w:tr2bl w:val="nil"/>
                  </w:tcBorders>
                  <w:noWrap w:val="0"/>
                  <w:vAlign w:val="top"/>
                </w:tcPr>
                <w:p w14:paraId="38BD04F5">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4.25</w:t>
                  </w:r>
                </w:p>
              </w:tc>
              <w:tc>
                <w:tcPr>
                  <w:tcW w:w="545" w:type="pct"/>
                  <w:gridSpan w:val="2"/>
                  <w:tcBorders>
                    <w:tl2br w:val="nil"/>
                    <w:tr2bl w:val="nil"/>
                  </w:tcBorders>
                  <w:noWrap w:val="0"/>
                  <w:vAlign w:val="top"/>
                </w:tcPr>
                <w:p w14:paraId="63929C2D">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4.95</w:t>
                  </w:r>
                </w:p>
              </w:tc>
              <w:tc>
                <w:tcPr>
                  <w:tcW w:w="549" w:type="pct"/>
                  <w:tcBorders>
                    <w:tl2br w:val="nil"/>
                    <w:tr2bl w:val="nil"/>
                  </w:tcBorders>
                  <w:noWrap w:val="0"/>
                  <w:vAlign w:val="top"/>
                </w:tcPr>
                <w:p w14:paraId="51BDED5E">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3.81</w:t>
                  </w:r>
                </w:p>
              </w:tc>
            </w:tr>
          </w:tbl>
          <w:p w14:paraId="3B7B80EE">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⑥监测结果</w:t>
            </w:r>
          </w:p>
          <w:p w14:paraId="3203C8D2">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监测结果见下表;</w:t>
            </w:r>
          </w:p>
          <w:p w14:paraId="152FB47E">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b/>
                <w:bCs/>
                <w:color w:val="auto"/>
                <w:kern w:val="2"/>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rPr>
              <w:t>表4-5监测结果一览表</w:t>
            </w:r>
          </w:p>
          <w:tbl>
            <w:tblPr>
              <w:tblStyle w:val="20"/>
              <w:tblW w:w="4999"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02"/>
              <w:gridCol w:w="1452"/>
              <w:gridCol w:w="1238"/>
              <w:gridCol w:w="1239"/>
            </w:tblGrid>
            <w:tr w14:paraId="0955B37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33" w:type="pct"/>
                  <w:gridSpan w:val="2"/>
                  <w:tcBorders>
                    <w:tl2br w:val="nil"/>
                    <w:tr2bl w:val="nil"/>
                  </w:tcBorders>
                  <w:noWrap w:val="0"/>
                  <w:vAlign w:val="center"/>
                </w:tcPr>
                <w:p w14:paraId="7BFAE29D">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监测位置</w:t>
                  </w:r>
                </w:p>
              </w:tc>
              <w:tc>
                <w:tcPr>
                  <w:tcW w:w="832" w:type="pct"/>
                  <w:tcBorders>
                    <w:tl2br w:val="nil"/>
                    <w:tr2bl w:val="nil"/>
                  </w:tcBorders>
                  <w:noWrap w:val="0"/>
                  <w:vAlign w:val="center"/>
                </w:tcPr>
                <w:p w14:paraId="20827065">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昼间dB(A)</w:t>
                  </w:r>
                </w:p>
              </w:tc>
              <w:tc>
                <w:tcPr>
                  <w:tcW w:w="833" w:type="pct"/>
                  <w:tcBorders>
                    <w:tl2br w:val="nil"/>
                    <w:tr2bl w:val="nil"/>
                  </w:tcBorders>
                  <w:noWrap w:val="0"/>
                  <w:vAlign w:val="center"/>
                </w:tcPr>
                <w:p w14:paraId="7836FFE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夜间dB(A)</w:t>
                  </w:r>
                </w:p>
              </w:tc>
            </w:tr>
            <w:tr w14:paraId="3721B73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56" w:type="pct"/>
                  <w:tcBorders>
                    <w:tl2br w:val="nil"/>
                    <w:tr2bl w:val="nil"/>
                  </w:tcBorders>
                  <w:noWrap w:val="0"/>
                  <w:vAlign w:val="center"/>
                </w:tcPr>
                <w:p w14:paraId="73E99217">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2"/>
                      <w:szCs w:val="22"/>
                      <w:highlight w:val="none"/>
                      <w:lang w:val="en-US" w:eastAsia="zh-CN"/>
                    </w:rPr>
                    <w:t>昆桂线001-002号塔基线路西北侧监测断面(单回路)</w:t>
                  </w:r>
                </w:p>
              </w:tc>
              <w:tc>
                <w:tcPr>
                  <w:tcW w:w="976" w:type="pct"/>
                  <w:tcBorders>
                    <w:tl2br w:val="nil"/>
                    <w:tr2bl w:val="nil"/>
                  </w:tcBorders>
                  <w:noWrap w:val="0"/>
                  <w:vAlign w:val="center"/>
                </w:tcPr>
                <w:p w14:paraId="123B86DF">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0m</w:t>
                  </w:r>
                </w:p>
              </w:tc>
              <w:tc>
                <w:tcPr>
                  <w:tcW w:w="832" w:type="pct"/>
                  <w:tcBorders>
                    <w:tl2br w:val="nil"/>
                    <w:tr2bl w:val="nil"/>
                  </w:tcBorders>
                  <w:noWrap w:val="0"/>
                  <w:vAlign w:val="center"/>
                </w:tcPr>
                <w:p w14:paraId="721FF14E">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50.3</w:t>
                  </w:r>
                </w:p>
              </w:tc>
              <w:tc>
                <w:tcPr>
                  <w:tcW w:w="833" w:type="pct"/>
                  <w:tcBorders>
                    <w:tl2br w:val="nil"/>
                    <w:tr2bl w:val="nil"/>
                  </w:tcBorders>
                  <w:noWrap w:val="0"/>
                  <w:vAlign w:val="center"/>
                </w:tcPr>
                <w:p w14:paraId="27207AF1">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right="0"/>
                    <w:jc w:val="center"/>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43.5</w:t>
                  </w:r>
                </w:p>
              </w:tc>
            </w:tr>
          </w:tbl>
          <w:p w14:paraId="0E972846">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该类比监测线路（</w:t>
            </w:r>
            <w:r>
              <w:rPr>
                <w:rFonts w:hint="eastAsia" w:ascii="Times New Roman" w:hAnsi="Times New Roman" w:eastAsia="宋体" w:cs="Times New Roman"/>
                <w:color w:val="auto"/>
                <w:kern w:val="2"/>
                <w:sz w:val="24"/>
                <w:szCs w:val="24"/>
                <w:highlight w:val="none"/>
                <w:lang w:val="en-US" w:eastAsia="zh-CN"/>
              </w:rPr>
              <w:t>昆桂</w:t>
            </w:r>
            <w:r>
              <w:rPr>
                <w:rFonts w:hint="default" w:ascii="Times New Roman" w:hAnsi="Times New Roman" w:eastAsia="宋体" w:cs="Times New Roman"/>
                <w:color w:val="auto"/>
                <w:kern w:val="2"/>
                <w:sz w:val="24"/>
                <w:szCs w:val="24"/>
                <w:highlight w:val="none"/>
                <w:lang w:val="en-US" w:eastAsia="zh-CN"/>
              </w:rPr>
              <w:t>线）线下检测结果满足《声环境质量标准》（GB3096-2008）中1类标准。</w:t>
            </w:r>
          </w:p>
          <w:p w14:paraId="71114FB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（2）评价结果</w:t>
            </w:r>
          </w:p>
          <w:p w14:paraId="0F869D9C">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根据河北建投丰宁森吉图风电场三期 150 兆瓦工程青石砬（昆头岭）220kV 升压站及输出线路工程竣工验收监测，类比监测数据表明：本工程线路运行后产生的环境噪声满足《声环境质量标准》（GB3096-2008）中相应功能区标准限值。</w:t>
            </w:r>
          </w:p>
          <w:p w14:paraId="647CD614">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综上所述，本项目运营后，线路两侧噪声均能够满足《声环境质量标准》（GB3096-2008）中功能区限值的要求。</w:t>
            </w:r>
          </w:p>
          <w:p w14:paraId="0A7AF910">
            <w:pPr>
              <w:keepNext w:val="0"/>
              <w:keepLines w:val="0"/>
              <w:pageBreakBefore w:val="0"/>
              <w:widowControl w:val="0"/>
              <w:numPr>
                <w:ilvl w:val="0"/>
                <w:numId w:val="10"/>
              </w:numPr>
              <w:kinsoku/>
              <w:wordWrap/>
              <w:overflowPunct/>
              <w:topLinePunct w:val="0"/>
              <w:autoSpaceDE/>
              <w:autoSpaceDN/>
              <w:bidi w:val="0"/>
              <w:adjustRightInd w:val="0"/>
              <w:snapToGrid w:val="0"/>
              <w:spacing w:line="460" w:lineRule="atLeast"/>
              <w:ind w:left="0" w:leftChars="0" w:firstLine="482" w:firstLineChars="200"/>
              <w:jc w:val="both"/>
              <w:textAlignment w:val="auto"/>
              <w:outlineLvl w:val="9"/>
              <w:rPr>
                <w:rFonts w:hint="eastAsia" w:ascii="Times New Roman" w:hAnsi="Times New Roman" w:eastAsia="宋体" w:cs="Times New Roman"/>
                <w:b/>
                <w:bCs/>
                <w:color w:val="auto"/>
                <w:kern w:val="21"/>
                <w:sz w:val="24"/>
                <w:szCs w:val="24"/>
                <w:highlight w:val="none"/>
                <w:lang w:val="en-US" w:eastAsia="zh-CN"/>
              </w:rPr>
            </w:pPr>
            <w:r>
              <w:rPr>
                <w:rFonts w:hint="default" w:ascii="Times New Roman" w:hAnsi="Times New Roman" w:eastAsia="宋体" w:cs="Times New Roman"/>
                <w:b/>
                <w:bCs/>
                <w:color w:val="auto"/>
                <w:kern w:val="21"/>
                <w:sz w:val="24"/>
                <w:szCs w:val="24"/>
                <w:highlight w:val="none"/>
                <w:lang w:val="en-US" w:eastAsia="zh-CN"/>
              </w:rPr>
              <w:t>电磁环境影响</w:t>
            </w:r>
            <w:r>
              <w:rPr>
                <w:rFonts w:hint="eastAsia" w:ascii="Times New Roman" w:hAnsi="Times New Roman" w:eastAsia="宋体" w:cs="Times New Roman"/>
                <w:b/>
                <w:bCs/>
                <w:color w:val="auto"/>
                <w:kern w:val="21"/>
                <w:sz w:val="24"/>
                <w:szCs w:val="24"/>
                <w:highlight w:val="none"/>
                <w:lang w:val="en-US" w:eastAsia="zh-CN"/>
              </w:rPr>
              <w:t>分析</w:t>
            </w:r>
          </w:p>
          <w:p w14:paraId="742269EB">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根据本项目电磁环境影响专题评价，由模式预测可知，当本项目架空线路投入运行后，架空线路周围工频电场强度、工频磁感应强度满足《电磁环境控制限值》（GB8702-2014） 中 4kV/m 、100μT 的评价标准，架空输电线路线下的耕地、园地、牧草地、畜禽饲养地、 养殖水面、道路等场所，其频率 50Hz 的电场强度控制限值为 10kV/m，且应给出警示和防护指示标志。</w:t>
            </w:r>
          </w:p>
          <w:p w14:paraId="054EED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评价详细内容参见本项目电磁环境影响专题评价。</w:t>
            </w:r>
          </w:p>
          <w:p w14:paraId="1B0C2DA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5、</w:t>
            </w:r>
            <w:r>
              <w:rPr>
                <w:rFonts w:hint="default" w:ascii="Times New Roman" w:hAnsi="Times New Roman" w:eastAsia="宋体" w:cs="Times New Roman"/>
                <w:b/>
                <w:bCs w:val="0"/>
                <w:color w:val="auto"/>
                <w:sz w:val="24"/>
                <w:szCs w:val="24"/>
                <w:highlight w:val="none"/>
                <w:lang w:eastAsia="zh-CN"/>
              </w:rPr>
              <w:t>固体废物</w:t>
            </w:r>
            <w:r>
              <w:rPr>
                <w:rFonts w:hint="default" w:ascii="Times New Roman" w:hAnsi="Times New Roman" w:eastAsia="宋体" w:cs="Times New Roman"/>
                <w:b/>
                <w:bCs w:val="0"/>
                <w:color w:val="auto"/>
                <w:sz w:val="24"/>
                <w:szCs w:val="24"/>
                <w:highlight w:val="none"/>
                <w:lang w:val="en-US" w:eastAsia="zh-CN"/>
              </w:rPr>
              <w:t>环境</w:t>
            </w:r>
            <w:r>
              <w:rPr>
                <w:rFonts w:hint="eastAsia" w:ascii="Times New Roman" w:hAnsi="Times New Roman" w:eastAsia="宋体" w:cs="Times New Roman"/>
                <w:b/>
                <w:bCs w:val="0"/>
                <w:color w:val="auto"/>
                <w:sz w:val="24"/>
                <w:szCs w:val="24"/>
                <w:highlight w:val="none"/>
                <w:lang w:val="en-US" w:eastAsia="zh-CN"/>
              </w:rPr>
              <w:t>影响分析</w:t>
            </w:r>
          </w:p>
          <w:p w14:paraId="0DD921A9">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eastAsia" w:ascii="Times New Roman" w:hAnsi="Times New Roman" w:eastAsia="宋体" w:cs="Times New Roman"/>
                <w:b w:val="0"/>
                <w:bCs w:val="0"/>
                <w:color w:val="auto"/>
                <w:kern w:val="21"/>
                <w:sz w:val="24"/>
                <w:szCs w:val="24"/>
                <w:highlight w:val="none"/>
                <w:lang w:val="en-US" w:eastAsia="zh-CN"/>
              </w:rPr>
            </w:pPr>
            <w:r>
              <w:rPr>
                <w:rFonts w:hint="eastAsia" w:ascii="Times New Roman" w:hAnsi="Times New Roman" w:eastAsia="宋体" w:cs="Times New Roman"/>
                <w:b w:val="0"/>
                <w:bCs w:val="0"/>
                <w:color w:val="auto"/>
                <w:kern w:val="21"/>
                <w:sz w:val="24"/>
                <w:szCs w:val="24"/>
                <w:highlight w:val="none"/>
                <w:lang w:val="en-US" w:eastAsia="zh-CN"/>
              </w:rPr>
              <w:t>本项目运营期无固体废物产生，不会对周围环境产生影响。</w:t>
            </w:r>
          </w:p>
          <w:p w14:paraId="2F47BB9E">
            <w:pPr>
              <w:keepNext w:val="0"/>
              <w:keepLines w:val="0"/>
              <w:pageBreakBefore w:val="0"/>
              <w:widowControl w:val="0"/>
              <w:kinsoku/>
              <w:wordWrap/>
              <w:overflowPunct/>
              <w:topLinePunct w:val="0"/>
              <w:autoSpaceDE/>
              <w:autoSpaceDN/>
              <w:bidi w:val="0"/>
              <w:adjustRightInd/>
              <w:snapToGrid/>
              <w:spacing w:line="460" w:lineRule="atLeast"/>
              <w:ind w:firstLine="482" w:firstLineChars="200"/>
              <w:jc w:val="both"/>
              <w:textAlignment w:val="auto"/>
              <w:outlineLvl w:val="9"/>
              <w:rPr>
                <w:rFonts w:hint="default"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en-US" w:eastAsia="zh-CN"/>
              </w:rPr>
              <w:t>6</w:t>
            </w:r>
            <w:r>
              <w:rPr>
                <w:rFonts w:hint="default" w:ascii="Times New Roman" w:hAnsi="Times New Roman" w:eastAsia="宋体" w:cs="Times New Roman"/>
                <w:b/>
                <w:bCs/>
                <w:color w:val="auto"/>
                <w:kern w:val="21"/>
                <w:sz w:val="24"/>
                <w:szCs w:val="24"/>
                <w:highlight w:val="none"/>
                <w:lang w:val="en-US" w:eastAsia="zh-CN"/>
              </w:rPr>
              <w:t>、环境风险分析</w:t>
            </w:r>
          </w:p>
          <w:p w14:paraId="11CB5B91">
            <w:pPr>
              <w:keepNext w:val="0"/>
              <w:keepLines w:val="0"/>
              <w:pageBreakBefore w:val="0"/>
              <w:widowControl w:val="0"/>
              <w:kinsoku/>
              <w:wordWrap/>
              <w:overflowPunct/>
              <w:topLinePunct w:val="0"/>
              <w:autoSpaceDE/>
              <w:autoSpaceDN/>
              <w:bidi w:val="0"/>
              <w:adjustRightInd/>
              <w:snapToGrid/>
              <w:spacing w:line="460" w:lineRule="atLeast"/>
              <w:ind w:firstLine="480" w:firstLineChars="200"/>
              <w:jc w:val="both"/>
              <w:textAlignment w:val="auto"/>
              <w:outlineLvl w:val="9"/>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本工程运营期不涉及风险物质使用，无环境风险。</w:t>
            </w:r>
          </w:p>
          <w:p w14:paraId="4AC60DE4">
            <w:pPr>
              <w:keepNext w:val="0"/>
              <w:keepLines w:val="0"/>
              <w:pageBreakBefore w:val="0"/>
              <w:widowControl w:val="0"/>
              <w:kinsoku/>
              <w:wordWrap/>
              <w:overflowPunct/>
              <w:topLinePunct w:val="0"/>
              <w:autoSpaceDE/>
              <w:autoSpaceDN/>
              <w:bidi w:val="0"/>
              <w:adjustRightInd w:val="0"/>
              <w:snapToGrid w:val="0"/>
              <w:spacing w:line="460" w:lineRule="atLeast"/>
              <w:ind w:firstLine="482" w:firstLineChars="200"/>
              <w:jc w:val="both"/>
              <w:textAlignment w:val="auto"/>
              <w:outlineLvl w:val="9"/>
              <w:rPr>
                <w:rFonts w:hint="default" w:ascii="Times New Roman" w:hAnsi="Times New Roman" w:eastAsia="宋体" w:cs="Times New Roman"/>
                <w:b/>
                <w:bCs/>
                <w:color w:val="auto"/>
                <w:kern w:val="21"/>
                <w:sz w:val="24"/>
                <w:szCs w:val="24"/>
                <w:highlight w:val="none"/>
                <w:lang w:val="en-US" w:eastAsia="zh-CN"/>
              </w:rPr>
            </w:pPr>
            <w:r>
              <w:rPr>
                <w:rFonts w:hint="default" w:ascii="Times New Roman" w:hAnsi="Times New Roman" w:eastAsia="宋体" w:cs="Times New Roman"/>
                <w:b/>
                <w:bCs/>
                <w:color w:val="auto"/>
                <w:kern w:val="21"/>
                <w:sz w:val="24"/>
                <w:szCs w:val="24"/>
                <w:highlight w:val="none"/>
                <w:lang w:val="en-US" w:eastAsia="zh-CN"/>
              </w:rPr>
              <w:t>7、地下水、土壤影响分析</w:t>
            </w:r>
          </w:p>
          <w:p w14:paraId="2BB8CC65">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default" w:ascii="Times New Roman" w:hAnsi="Times New Roman" w:eastAsia="宋体" w:cs="Times New Roman"/>
                <w:b w:val="0"/>
                <w:bCs w:val="0"/>
                <w:color w:val="auto"/>
                <w:kern w:val="21"/>
                <w:sz w:val="24"/>
                <w:szCs w:val="24"/>
                <w:highlight w:val="none"/>
                <w:lang w:val="en-US" w:eastAsia="zh-CN"/>
              </w:rPr>
            </w:pPr>
            <w:r>
              <w:rPr>
                <w:rFonts w:hint="default" w:ascii="Times New Roman" w:hAnsi="Times New Roman" w:eastAsia="宋体" w:cs="Times New Roman"/>
                <w:b w:val="0"/>
                <w:bCs w:val="0"/>
                <w:color w:val="auto"/>
                <w:kern w:val="21"/>
                <w:sz w:val="24"/>
                <w:szCs w:val="24"/>
                <w:highlight w:val="none"/>
                <w:lang w:val="en-US" w:eastAsia="zh-CN"/>
              </w:rPr>
              <w:t>本项目运行后不产生废气，废水及固体废物，不会对地下水、土壤环境产生影响。</w:t>
            </w:r>
          </w:p>
          <w:p w14:paraId="69D0133B">
            <w:pPr>
              <w:keepNext w:val="0"/>
              <w:keepLines w:val="0"/>
              <w:pageBreakBefore w:val="0"/>
              <w:widowControl w:val="0"/>
              <w:kinsoku/>
              <w:wordWrap/>
              <w:overflowPunct/>
              <w:topLinePunct w:val="0"/>
              <w:autoSpaceDE/>
              <w:autoSpaceDN/>
              <w:bidi w:val="0"/>
              <w:adjustRightInd w:val="0"/>
              <w:snapToGrid w:val="0"/>
              <w:spacing w:line="460" w:lineRule="atLeast"/>
              <w:ind w:firstLine="482" w:firstLineChars="200"/>
              <w:jc w:val="both"/>
              <w:textAlignment w:val="auto"/>
              <w:outlineLvl w:val="9"/>
              <w:rPr>
                <w:rFonts w:hint="default" w:ascii="Times New Roman" w:hAnsi="Times New Roman" w:eastAsia="宋体" w:cs="Times New Roman"/>
                <w:b/>
                <w:bCs/>
                <w:color w:val="auto"/>
                <w:kern w:val="21"/>
                <w:sz w:val="24"/>
                <w:szCs w:val="24"/>
                <w:highlight w:val="yellow"/>
                <w:lang w:val="en-US" w:eastAsia="zh-CN"/>
              </w:rPr>
            </w:pPr>
            <w:r>
              <w:rPr>
                <w:rFonts w:hint="default" w:ascii="Times New Roman" w:hAnsi="Times New Roman" w:eastAsia="宋体" w:cs="Times New Roman"/>
                <w:b/>
                <w:bCs/>
                <w:color w:val="auto"/>
                <w:kern w:val="21"/>
                <w:sz w:val="24"/>
                <w:szCs w:val="24"/>
                <w:highlight w:val="none"/>
                <w:lang w:val="en-US" w:eastAsia="zh-CN"/>
              </w:rPr>
              <w:t>8、生态</w:t>
            </w:r>
            <w:r>
              <w:rPr>
                <w:rFonts w:hint="eastAsia" w:cs="Times New Roman"/>
                <w:b/>
                <w:bCs/>
                <w:color w:val="auto"/>
                <w:kern w:val="21"/>
                <w:sz w:val="24"/>
                <w:szCs w:val="24"/>
                <w:highlight w:val="none"/>
                <w:lang w:val="en-US" w:eastAsia="zh-CN"/>
              </w:rPr>
              <w:t>保护红线</w:t>
            </w:r>
            <w:r>
              <w:rPr>
                <w:rFonts w:hint="default" w:ascii="Times New Roman" w:hAnsi="Times New Roman" w:eastAsia="宋体" w:cs="Times New Roman"/>
                <w:b/>
                <w:bCs/>
                <w:color w:val="auto"/>
                <w:kern w:val="21"/>
                <w:sz w:val="24"/>
                <w:szCs w:val="24"/>
                <w:highlight w:val="none"/>
                <w:lang w:val="en-US" w:eastAsia="zh-CN"/>
              </w:rPr>
              <w:t>环境影响分析</w:t>
            </w:r>
          </w:p>
          <w:p w14:paraId="05B99665">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eastAsia" w:ascii="Times New Roman" w:hAnsi="Times New Roman" w:eastAsia="宋体" w:cs="Times New Roman"/>
                <w:b w:val="0"/>
                <w:bCs w:val="0"/>
                <w:color w:val="auto"/>
                <w:kern w:val="21"/>
                <w:sz w:val="24"/>
                <w:szCs w:val="24"/>
                <w:highlight w:val="none"/>
                <w:lang w:val="en-US" w:eastAsia="zh-CN"/>
              </w:rPr>
            </w:pPr>
            <w:r>
              <w:rPr>
                <w:rFonts w:hint="eastAsia" w:ascii="Times New Roman" w:hAnsi="Times New Roman" w:eastAsia="宋体" w:cs="Times New Roman"/>
                <w:b w:val="0"/>
                <w:bCs w:val="0"/>
                <w:color w:val="auto"/>
                <w:kern w:val="21"/>
                <w:sz w:val="24"/>
                <w:szCs w:val="24"/>
                <w:highlight w:val="none"/>
                <w:lang w:val="en-US" w:eastAsia="zh-CN"/>
              </w:rPr>
              <w:t>线路</w:t>
            </w:r>
            <w:r>
              <w:rPr>
                <w:rFonts w:hint="eastAsia" w:cs="Times New Roman"/>
                <w:b w:val="0"/>
                <w:bCs w:val="0"/>
                <w:color w:val="auto"/>
                <w:kern w:val="21"/>
                <w:sz w:val="24"/>
                <w:szCs w:val="24"/>
                <w:highlight w:val="none"/>
                <w:lang w:val="en-US" w:eastAsia="zh-CN"/>
              </w:rPr>
              <w:t>运营期</w:t>
            </w:r>
            <w:r>
              <w:rPr>
                <w:rFonts w:hint="eastAsia" w:ascii="Times New Roman" w:hAnsi="Times New Roman" w:eastAsia="宋体" w:cs="Times New Roman"/>
                <w:b w:val="0"/>
                <w:bCs w:val="0"/>
                <w:color w:val="auto"/>
                <w:kern w:val="21"/>
                <w:sz w:val="24"/>
                <w:szCs w:val="24"/>
                <w:highlight w:val="none"/>
                <w:lang w:val="en-US" w:eastAsia="zh-CN"/>
              </w:rPr>
              <w:t>间不产生废水、废气等污染物，主要为工作人员巡检，因此对生态保护红线影响较小。</w:t>
            </w:r>
          </w:p>
          <w:p w14:paraId="1B6B2305">
            <w:pPr>
              <w:keepNext w:val="0"/>
              <w:keepLines w:val="0"/>
              <w:pageBreakBefore w:val="0"/>
              <w:widowControl w:val="0"/>
              <w:kinsoku/>
              <w:wordWrap/>
              <w:overflowPunct/>
              <w:topLinePunct w:val="0"/>
              <w:autoSpaceDE/>
              <w:autoSpaceDN/>
              <w:bidi w:val="0"/>
              <w:adjustRightInd w:val="0"/>
              <w:snapToGrid w:val="0"/>
              <w:spacing w:line="460" w:lineRule="atLeast"/>
              <w:ind w:firstLine="482" w:firstLineChars="200"/>
              <w:jc w:val="both"/>
              <w:textAlignment w:val="auto"/>
              <w:outlineLvl w:val="9"/>
              <w:rPr>
                <w:rFonts w:hint="default"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en-US" w:eastAsia="zh-CN"/>
              </w:rPr>
              <w:t>9</w:t>
            </w:r>
            <w:r>
              <w:rPr>
                <w:rFonts w:hint="default" w:ascii="Times New Roman" w:hAnsi="Times New Roman" w:eastAsia="宋体" w:cs="Times New Roman"/>
                <w:b/>
                <w:bCs/>
                <w:color w:val="auto"/>
                <w:kern w:val="21"/>
                <w:sz w:val="24"/>
                <w:szCs w:val="24"/>
                <w:highlight w:val="none"/>
                <w:lang w:val="en-US" w:eastAsia="zh-CN"/>
              </w:rPr>
              <w:t>、土地</w:t>
            </w:r>
            <w:r>
              <w:rPr>
                <w:rFonts w:hint="eastAsia" w:ascii="Times New Roman" w:hAnsi="Times New Roman" w:eastAsia="宋体" w:cs="Times New Roman"/>
                <w:b/>
                <w:bCs/>
                <w:color w:val="auto"/>
                <w:kern w:val="21"/>
                <w:sz w:val="24"/>
                <w:szCs w:val="24"/>
                <w:highlight w:val="none"/>
                <w:lang w:val="en-US" w:eastAsia="zh-CN"/>
              </w:rPr>
              <w:t>沙化</w:t>
            </w:r>
            <w:r>
              <w:rPr>
                <w:rFonts w:hint="eastAsia" w:cs="Times New Roman"/>
                <w:b/>
                <w:bCs/>
                <w:color w:val="auto"/>
                <w:kern w:val="21"/>
                <w:sz w:val="24"/>
                <w:szCs w:val="24"/>
                <w:highlight w:val="none"/>
                <w:lang w:val="en-US" w:eastAsia="zh-CN"/>
              </w:rPr>
              <w:t>区</w:t>
            </w:r>
            <w:r>
              <w:rPr>
                <w:rFonts w:hint="eastAsia" w:ascii="Times New Roman" w:hAnsi="Times New Roman" w:eastAsia="宋体" w:cs="Times New Roman"/>
                <w:b/>
                <w:bCs/>
                <w:color w:val="auto"/>
                <w:kern w:val="21"/>
                <w:sz w:val="24"/>
                <w:szCs w:val="24"/>
                <w:highlight w:val="none"/>
                <w:lang w:val="en-US" w:eastAsia="zh-CN"/>
              </w:rPr>
              <w:t>影响</w:t>
            </w:r>
            <w:r>
              <w:rPr>
                <w:rFonts w:hint="default" w:ascii="Times New Roman" w:hAnsi="Times New Roman" w:eastAsia="宋体" w:cs="Times New Roman"/>
                <w:b/>
                <w:bCs/>
                <w:color w:val="auto"/>
                <w:kern w:val="21"/>
                <w:sz w:val="24"/>
                <w:szCs w:val="24"/>
                <w:highlight w:val="none"/>
                <w:lang w:val="en-US" w:eastAsia="zh-CN"/>
              </w:rPr>
              <w:t>分析</w:t>
            </w:r>
          </w:p>
          <w:p w14:paraId="78A7A44F">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auto"/>
              <w:outlineLvl w:val="9"/>
              <w:rPr>
                <w:rFonts w:hint="eastAsia" w:ascii="Times New Roman" w:hAnsi="Times New Roman" w:eastAsia="宋体" w:cs="Times New Roman"/>
                <w:color w:val="auto"/>
                <w:kern w:val="2"/>
                <w:sz w:val="24"/>
                <w:szCs w:val="24"/>
                <w:highlight w:val="yellow"/>
                <w:lang w:val="en-US" w:eastAsia="zh-CN"/>
              </w:rPr>
            </w:pPr>
            <w:r>
              <w:rPr>
                <w:rFonts w:hint="default" w:ascii="Times New Roman" w:hAnsi="Times New Roman" w:eastAsia="宋体" w:cs="Times New Roman"/>
                <w:b w:val="0"/>
                <w:bCs w:val="0"/>
                <w:color w:val="auto"/>
                <w:kern w:val="21"/>
                <w:sz w:val="24"/>
                <w:szCs w:val="24"/>
                <w:highlight w:val="none"/>
                <w:lang w:val="en-US" w:eastAsia="zh-CN"/>
              </w:rPr>
              <w:t>对于临时施工道路，由于大型机械碾压，很容易造成局部地表裸露，形成地表植物破坏，诱发土地沙化。</w:t>
            </w:r>
          </w:p>
        </w:tc>
      </w:tr>
      <w:tr w14:paraId="19871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94" w:type="dxa"/>
            <w:noWrap w:val="0"/>
            <w:tcMar>
              <w:left w:w="28" w:type="dxa"/>
              <w:right w:w="28" w:type="dxa"/>
            </w:tcMar>
            <w:vAlign w:val="center"/>
          </w:tcPr>
          <w:p w14:paraId="2A82F4CD">
            <w:pPr>
              <w:pStyle w:val="17"/>
              <w:keepNext w:val="0"/>
              <w:keepLines w:val="0"/>
              <w:pageBreakBefore w:val="0"/>
              <w:kinsoku/>
              <w:wordWrap/>
              <w:overflowPunct/>
              <w:topLinePunct w:val="0"/>
              <w:bidi w:val="0"/>
              <w:adjustRightInd w:val="0"/>
              <w:snapToGrid w:val="0"/>
              <w:spacing w:before="0" w:beforeAutospacing="0" w:after="0" w:afterAutospacing="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4"/>
                <w:szCs w:val="24"/>
                <w:highlight w:val="none"/>
              </w:rPr>
              <w:t>选址选线环境合理性分析</w:t>
            </w:r>
          </w:p>
        </w:tc>
        <w:tc>
          <w:tcPr>
            <w:tcW w:w="7648" w:type="dxa"/>
            <w:noWrap w:val="0"/>
            <w:vAlign w:val="center"/>
          </w:tcPr>
          <w:p w14:paraId="5719A694">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auto"/>
                <w:kern w:val="21"/>
                <w:sz w:val="24"/>
                <w:szCs w:val="24"/>
                <w:highlight w:val="none"/>
                <w:lang w:val="en-US" w:eastAsia="zh-CN"/>
              </w:rPr>
            </w:pPr>
            <w:r>
              <w:rPr>
                <w:rFonts w:hint="default" w:ascii="Times New Roman" w:hAnsi="Times New Roman" w:eastAsia="宋体" w:cs="Times New Roman"/>
                <w:b/>
                <w:bCs/>
                <w:color w:val="auto"/>
                <w:kern w:val="21"/>
                <w:sz w:val="24"/>
                <w:szCs w:val="24"/>
                <w:highlight w:val="none"/>
                <w:lang w:val="en-US" w:eastAsia="zh-CN"/>
              </w:rPr>
              <w:t>1、环境</w:t>
            </w:r>
            <w:r>
              <w:rPr>
                <w:rFonts w:hint="eastAsia" w:ascii="Times New Roman" w:hAnsi="Times New Roman" w:eastAsia="宋体" w:cs="Times New Roman"/>
                <w:b/>
                <w:bCs/>
                <w:color w:val="auto"/>
                <w:kern w:val="21"/>
                <w:sz w:val="24"/>
                <w:szCs w:val="24"/>
                <w:highlight w:val="none"/>
                <w:lang w:val="en-US" w:eastAsia="zh-CN"/>
              </w:rPr>
              <w:t>敏感性</w:t>
            </w:r>
          </w:p>
          <w:p w14:paraId="1BFDA360">
            <w:pPr>
              <w:pStyle w:val="27"/>
              <w:keepNext w:val="0"/>
              <w:keepLines w:val="0"/>
              <w:pageBreakBefore w:val="0"/>
              <w:widowControl w:val="0"/>
              <w:kinsoku/>
              <w:wordWrap/>
              <w:overflowPunct/>
              <w:topLinePunct w:val="0"/>
              <w:autoSpaceDE/>
              <w:autoSpaceDN/>
              <w:bidi w:val="0"/>
              <w:adjustRightInd w:val="0"/>
              <w:snapToGrid/>
              <w:spacing w:line="360" w:lineRule="auto"/>
              <w:ind w:firstLine="482"/>
              <w:textAlignment w:val="auto"/>
              <w:rPr>
                <w:rFonts w:hint="default" w:ascii="Times New Roman" w:hAnsi="Times New Roman" w:eastAsia="宋体" w:cs="Times New Roman"/>
                <w:b w:val="0"/>
                <w:bCs w:val="0"/>
                <w:color w:val="auto"/>
                <w:kern w:val="21"/>
                <w:sz w:val="24"/>
                <w:szCs w:val="24"/>
                <w:highlight w:val="none"/>
                <w:lang w:val="en-US" w:eastAsia="zh-CN"/>
              </w:rPr>
            </w:pPr>
            <w:r>
              <w:rPr>
                <w:rFonts w:hint="default" w:ascii="Times New Roman" w:hAnsi="Times New Roman" w:eastAsia="宋体" w:cs="Times New Roman"/>
                <w:b w:val="0"/>
                <w:bCs w:val="0"/>
                <w:color w:val="auto"/>
                <w:kern w:val="21"/>
                <w:sz w:val="24"/>
                <w:szCs w:val="24"/>
                <w:highlight w:val="none"/>
                <w:lang w:val="en-US" w:eastAsia="zh-CN"/>
              </w:rPr>
              <w:t>本项目位于河北省承德市围场满族蒙古族自治县城子镇、牌楼乡、燕格柏乡和半截塔镇。</w:t>
            </w:r>
            <w:r>
              <w:rPr>
                <w:rFonts w:hint="eastAsia" w:ascii="Times New Roman" w:hAnsi="Times New Roman" w:eastAsia="宋体" w:cs="Times New Roman"/>
                <w:b w:val="0"/>
                <w:bCs w:val="0"/>
                <w:color w:val="auto"/>
                <w:kern w:val="21"/>
                <w:sz w:val="24"/>
                <w:szCs w:val="24"/>
                <w:highlight w:val="none"/>
                <w:lang w:val="en-US" w:eastAsia="zh-CN"/>
              </w:rPr>
              <w:t>根据围场满族蒙古族自治县自然资源和规划局于2024年4月7日出具的《关于围场满族蒙古族自治县阳洁光伏发电有限责任公司华能围场“风光储氢热一体化”项目（风电200MW）项目220KV送出线路工程塔基用地的情况说明》（STHXHS20240052号），本项目线路塔基范围不占永久基本农田，但部分线路塔基范围占生态保护红线（0.12公顷），占生态保护红线塔基分别为（21、23、26）</w:t>
            </w:r>
            <w:r>
              <w:rPr>
                <w:rFonts w:hint="default" w:ascii="Times New Roman" w:hAnsi="Times New Roman" w:eastAsia="宋体" w:cs="Times New Roman"/>
                <w:b w:val="0"/>
                <w:bCs w:val="0"/>
                <w:color w:val="auto"/>
                <w:kern w:val="21"/>
                <w:sz w:val="24"/>
                <w:szCs w:val="24"/>
                <w:highlight w:val="none"/>
                <w:lang w:val="en-US" w:eastAsia="zh-CN"/>
              </w:rPr>
              <w:t>；</w:t>
            </w:r>
            <w:r>
              <w:rPr>
                <w:rFonts w:hint="eastAsia" w:ascii="Times New Roman" w:hAnsi="Times New Roman" w:eastAsia="宋体" w:cs="Times New Roman"/>
                <w:b w:val="0"/>
                <w:bCs w:val="0"/>
                <w:color w:val="auto"/>
                <w:kern w:val="21"/>
                <w:sz w:val="24"/>
                <w:szCs w:val="24"/>
                <w:highlight w:val="none"/>
                <w:lang w:val="en-US" w:eastAsia="zh-CN"/>
              </w:rPr>
              <w:t>根据围场满族蒙古族自治县自然资源和规划局于2024年4月7日出具的</w:t>
            </w:r>
            <w:r>
              <w:rPr>
                <w:rFonts w:hint="default" w:ascii="Times New Roman" w:hAnsi="Times New Roman" w:eastAsia="宋体" w:cs="Times New Roman"/>
                <w:b w:val="0"/>
                <w:bCs w:val="0"/>
                <w:color w:val="auto"/>
                <w:kern w:val="21"/>
                <w:sz w:val="24"/>
                <w:szCs w:val="24"/>
                <w:highlight w:val="none"/>
                <w:lang w:val="en-US" w:eastAsia="zh-CN"/>
              </w:rPr>
              <w:t>《</w:t>
            </w:r>
            <w:r>
              <w:rPr>
                <w:rFonts w:hint="eastAsia" w:ascii="Times New Roman" w:hAnsi="Times New Roman" w:eastAsia="宋体" w:cs="Times New Roman"/>
                <w:b w:val="0"/>
                <w:bCs w:val="0"/>
                <w:color w:val="auto"/>
                <w:kern w:val="21"/>
                <w:sz w:val="24"/>
                <w:szCs w:val="24"/>
                <w:highlight w:val="none"/>
                <w:lang w:val="en-US" w:eastAsia="zh-CN"/>
              </w:rPr>
              <w:t>华能围场“风光储氢热一体化”项目（风电200MW）项目220KV送出线路工程</w:t>
            </w:r>
            <w:r>
              <w:rPr>
                <w:rFonts w:hint="default" w:ascii="Times New Roman" w:hAnsi="Times New Roman" w:eastAsia="宋体" w:cs="Times New Roman"/>
                <w:b w:val="0"/>
                <w:bCs w:val="0"/>
                <w:color w:val="auto"/>
                <w:kern w:val="21"/>
                <w:sz w:val="24"/>
                <w:szCs w:val="24"/>
                <w:highlight w:val="none"/>
                <w:lang w:val="en-US" w:eastAsia="zh-CN"/>
              </w:rPr>
              <w:t>不可避让生态保护红线报告》的审查意见</w:t>
            </w:r>
            <w:r>
              <w:rPr>
                <w:rFonts w:hint="eastAsia" w:ascii="Times New Roman" w:hAnsi="Times New Roman" w:eastAsia="宋体" w:cs="Times New Roman"/>
                <w:b w:val="0"/>
                <w:bCs w:val="0"/>
                <w:color w:val="auto"/>
                <w:kern w:val="21"/>
                <w:sz w:val="24"/>
                <w:szCs w:val="24"/>
                <w:highlight w:val="none"/>
                <w:lang w:val="en-US" w:eastAsia="zh-CN"/>
              </w:rPr>
              <w:t>，</w:t>
            </w:r>
            <w:r>
              <w:rPr>
                <w:rFonts w:hint="default" w:ascii="Times New Roman" w:hAnsi="Times New Roman" w:eastAsia="宋体" w:cs="Times New Roman"/>
                <w:b w:val="0"/>
                <w:bCs w:val="0"/>
                <w:color w:val="auto"/>
                <w:kern w:val="21"/>
                <w:sz w:val="24"/>
                <w:szCs w:val="24"/>
                <w:highlight w:val="none"/>
                <w:lang w:val="en-US" w:eastAsia="zh-CN"/>
              </w:rPr>
              <w:t>本项目建设占用生态保护红线不可避免，《报告》提出的项目用地占用和穿越生态保护红线的保护措施以及相关施工措施可行，同意通过论证；根据围场满族蒙古族自治县自然资源和规划局于2024年9月25日出具的《关于华能围场“风光储氢一体化”项目（风电200MW）项目220kV送出线路工程路径的说明》，该项目配套220kV送出线路工程路径经过围场县城子镇、牌楼乡、燕格柏乡、半截塔镇部分线路涉及穿越生态保护红线，按照《河北省自然资源厅河北省生态环境厅 河北省林业和草原局 关于加强生态保护红线管理的通知》(冀自然资发〔2024〕4号)编制了不可避让论证报告并通过专家论证，原则同意该线路预选址，后续按程序办理相关手续。</w:t>
            </w:r>
          </w:p>
          <w:p w14:paraId="63A967D8">
            <w:pPr>
              <w:pStyle w:val="27"/>
              <w:keepNext w:val="0"/>
              <w:keepLines w:val="0"/>
              <w:pageBreakBefore w:val="0"/>
              <w:widowControl w:val="0"/>
              <w:kinsoku/>
              <w:wordWrap/>
              <w:overflowPunct/>
              <w:topLinePunct w:val="0"/>
              <w:autoSpaceDE/>
              <w:autoSpaceDN/>
              <w:bidi w:val="0"/>
              <w:adjustRightInd w:val="0"/>
              <w:snapToGrid/>
              <w:spacing w:line="360" w:lineRule="auto"/>
              <w:ind w:firstLine="482"/>
              <w:textAlignment w:val="auto"/>
              <w:rPr>
                <w:rFonts w:hint="default" w:ascii="Times New Roman" w:hAnsi="Times New Roman" w:eastAsia="宋体" w:cs="Times New Roman"/>
                <w:b w:val="0"/>
                <w:bCs w:val="0"/>
                <w:spacing w:val="0"/>
                <w:w w:val="100"/>
                <w:sz w:val="24"/>
                <w:szCs w:val="24"/>
                <w:highlight w:val="none"/>
                <w:lang w:val="en-US" w:eastAsia="zh-CN"/>
              </w:rPr>
            </w:pPr>
            <w:r>
              <w:rPr>
                <w:rFonts w:hint="eastAsia" w:ascii="Times New Roman" w:hAnsi="Times New Roman" w:eastAsia="宋体" w:cs="Times New Roman"/>
                <w:b w:val="0"/>
                <w:bCs w:val="0"/>
                <w:color w:val="auto"/>
                <w:kern w:val="21"/>
                <w:sz w:val="24"/>
                <w:szCs w:val="24"/>
                <w:highlight w:val="none"/>
                <w:lang w:val="en-US" w:eastAsia="zh-CN"/>
              </w:rPr>
              <w:t>根据围场满族蒙古族自治县河道事务中心于2024年3月27日出具的《关于华能围场“风光储氢热一体化”项目（风电200MW）项目220KV送出线路工程路径征求意见的复函》，本项目输电铁塔不在已划界河道管理范围内</w:t>
            </w:r>
            <w:r>
              <w:rPr>
                <w:rFonts w:hint="eastAsia" w:eastAsia="宋体" w:cs="Times New Roman"/>
                <w:b w:val="0"/>
                <w:bCs w:val="0"/>
                <w:color w:val="auto"/>
                <w:kern w:val="21"/>
                <w:sz w:val="24"/>
                <w:szCs w:val="24"/>
                <w:highlight w:val="none"/>
                <w:lang w:val="en-US" w:eastAsia="zh-CN"/>
              </w:rPr>
              <w:t>；</w:t>
            </w:r>
            <w:r>
              <w:rPr>
                <w:rFonts w:hint="default" w:ascii="Times New Roman" w:hAnsi="Times New Roman" w:eastAsia="宋体" w:cs="Times New Roman"/>
                <w:b w:val="0"/>
                <w:bCs w:val="0"/>
                <w:spacing w:val="0"/>
                <w:w w:val="100"/>
                <w:sz w:val="24"/>
                <w:szCs w:val="24"/>
                <w:highlight w:val="none"/>
                <w:lang w:val="en-US" w:eastAsia="zh-CN"/>
              </w:rPr>
              <w:t>依据附图可知，本项目不在饮用水源保护区内</w:t>
            </w:r>
            <w:r>
              <w:rPr>
                <w:rFonts w:hint="eastAsia" w:eastAsia="宋体" w:cs="Times New Roman"/>
                <w:b w:val="0"/>
                <w:bCs w:val="0"/>
                <w:spacing w:val="0"/>
                <w:w w:val="100"/>
                <w:sz w:val="24"/>
                <w:szCs w:val="24"/>
                <w:highlight w:val="none"/>
                <w:lang w:val="en-US" w:eastAsia="zh-CN"/>
              </w:rPr>
              <w:t>，不在自然保护区范围内。</w:t>
            </w:r>
          </w:p>
          <w:p w14:paraId="77C92E9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outlineLvl w:val="9"/>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综上，</w:t>
            </w:r>
            <w:r>
              <w:rPr>
                <w:rFonts w:hint="default" w:ascii="Times New Roman" w:hAnsi="Times New Roman" w:eastAsia="宋体" w:cs="Times New Roman"/>
                <w:bCs/>
                <w:color w:val="auto"/>
                <w:sz w:val="24"/>
                <w:szCs w:val="24"/>
                <w:highlight w:val="none"/>
                <w:lang w:eastAsia="zh-CN"/>
              </w:rPr>
              <w:t>本项目</w:t>
            </w:r>
            <w:r>
              <w:rPr>
                <w:rFonts w:hint="eastAsia" w:eastAsia="宋体" w:cs="Times New Roman"/>
                <w:bCs/>
                <w:color w:val="auto"/>
                <w:sz w:val="24"/>
                <w:szCs w:val="24"/>
                <w:highlight w:val="none"/>
                <w:lang w:val="en-US" w:eastAsia="zh-CN"/>
              </w:rPr>
              <w:t>送出线路</w:t>
            </w:r>
            <w:r>
              <w:rPr>
                <w:rFonts w:hint="default" w:ascii="Times New Roman" w:hAnsi="Times New Roman" w:eastAsia="宋体" w:cs="Times New Roman"/>
                <w:bCs/>
                <w:color w:val="auto"/>
                <w:sz w:val="24"/>
                <w:szCs w:val="24"/>
                <w:highlight w:val="none"/>
              </w:rPr>
              <w:t>不涉及自然保护区、</w:t>
            </w:r>
            <w:r>
              <w:rPr>
                <w:rFonts w:hint="eastAsia" w:ascii="Times New Roman" w:hAnsi="Times New Roman" w:eastAsia="宋体" w:cs="Times New Roman"/>
                <w:bCs/>
                <w:color w:val="auto"/>
                <w:sz w:val="24"/>
                <w:szCs w:val="24"/>
                <w:highlight w:val="none"/>
                <w:lang w:val="en-US" w:eastAsia="zh-CN"/>
              </w:rPr>
              <w:t>生态红线、水源保护地</w:t>
            </w:r>
            <w:r>
              <w:rPr>
                <w:rFonts w:hint="default" w:ascii="Times New Roman" w:hAnsi="Times New Roman" w:eastAsia="宋体" w:cs="Times New Roman"/>
                <w:bCs/>
                <w:color w:val="auto"/>
                <w:sz w:val="24"/>
                <w:szCs w:val="24"/>
                <w:highlight w:val="none"/>
              </w:rPr>
              <w:t>等环境敏感区，不涉及国家重点保护野生动植物，因此</w:t>
            </w:r>
            <w:r>
              <w:rPr>
                <w:rFonts w:hint="eastAsia" w:eastAsia="宋体" w:cs="Times New Roman"/>
                <w:bCs/>
                <w:color w:val="auto"/>
                <w:sz w:val="24"/>
                <w:szCs w:val="24"/>
                <w:highlight w:val="none"/>
                <w:lang w:val="en-US" w:eastAsia="zh-CN"/>
              </w:rPr>
              <w:t>送出线路</w:t>
            </w:r>
            <w:r>
              <w:rPr>
                <w:rFonts w:hint="default" w:ascii="Times New Roman" w:hAnsi="Times New Roman" w:eastAsia="宋体" w:cs="Times New Roman"/>
                <w:bCs/>
                <w:color w:val="auto"/>
                <w:sz w:val="24"/>
                <w:szCs w:val="24"/>
                <w:highlight w:val="none"/>
              </w:rPr>
              <w:t>工程不存在制约性环境因素</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选址合理</w:t>
            </w:r>
            <w:r>
              <w:rPr>
                <w:rFonts w:hint="default" w:ascii="Times New Roman" w:hAnsi="Times New Roman" w:eastAsia="宋体" w:cs="Times New Roman"/>
                <w:bCs/>
                <w:color w:val="auto"/>
                <w:sz w:val="24"/>
                <w:szCs w:val="24"/>
                <w:highlight w:val="none"/>
              </w:rPr>
              <w:t>。</w:t>
            </w:r>
          </w:p>
          <w:p w14:paraId="67173719">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eastAsia="宋体" w:cs="Times New Roman"/>
                <w:bCs/>
                <w:color w:val="auto"/>
                <w:sz w:val="24"/>
                <w:szCs w:val="24"/>
                <w:highlight w:val="none"/>
                <w:lang w:val="en-US" w:eastAsia="zh-CN"/>
              </w:rPr>
            </w:pPr>
            <w:r>
              <w:rPr>
                <w:rFonts w:hint="default" w:eastAsia="宋体" w:cs="Times New Roman"/>
                <w:bCs/>
                <w:color w:val="auto"/>
                <w:sz w:val="24"/>
                <w:szCs w:val="24"/>
                <w:highlight w:val="none"/>
                <w:lang w:val="en-US" w:eastAsia="zh-CN"/>
              </w:rPr>
              <w:t>2、环境影响程度</w:t>
            </w:r>
          </w:p>
          <w:p w14:paraId="15604C7C">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eastAsia" w:eastAsia="宋体" w:cs="Times New Roman"/>
                <w:bCs/>
                <w:color w:val="auto"/>
                <w:sz w:val="24"/>
                <w:szCs w:val="24"/>
                <w:highlight w:val="none"/>
                <w:lang w:val="en-US" w:eastAsia="zh-CN"/>
              </w:rPr>
            </w:pPr>
            <w:r>
              <w:rPr>
                <w:rFonts w:hint="eastAsia" w:eastAsia="宋体" w:cs="Times New Roman"/>
                <w:bCs/>
                <w:color w:val="auto"/>
                <w:sz w:val="24"/>
                <w:szCs w:val="24"/>
                <w:highlight w:val="none"/>
                <w:lang w:val="en-US" w:eastAsia="zh-CN"/>
              </w:rPr>
              <w:t>本项目施工期加强对施工现场的管理，严格执行《施工场地扬尘排放标准》</w:t>
            </w:r>
            <w:r>
              <w:rPr>
                <w:rFonts w:hint="default" w:eastAsia="宋体" w:cs="Times New Roman"/>
                <w:bCs/>
                <w:color w:val="auto"/>
                <w:sz w:val="24"/>
                <w:szCs w:val="24"/>
                <w:highlight w:val="none"/>
                <w:lang w:val="en-US" w:eastAsia="zh-CN"/>
              </w:rPr>
              <w:t>(DB13/2934-2019) 和《输变电建设项目环境保护技术要求》(HJ1113-2020)，在采取有效的防护措施后，可最大限度地 降低施工期间对周围环境的影响。运营期无生产废水产生。输电线路沿线噪声值均满足《声环境质量标准》(GB3096-2008)1 类标准限值的要求。输电线路沿线的工频电场强度满足 4kVm 标准限值的要求，架空输电线路线下的耕地、园地、牧草地、畜禽饲养地、养殖水面、道路等场所，其频率50Hz 的电场强度控制限值为10kVhm，且应给出警示和防护指示标志。工频磁感应强度满足 100uT 标准限值的要求。</w:t>
            </w:r>
          </w:p>
          <w:p w14:paraId="0DDAC191">
            <w:pPr>
              <w:keepNext w:val="0"/>
              <w:keepLines w:val="0"/>
              <w:widowControl/>
              <w:suppressLineNumbers w:val="0"/>
              <w:spacing w:line="360" w:lineRule="auto"/>
              <w:ind w:firstLine="420" w:firstLineChars="200"/>
              <w:jc w:val="left"/>
              <w:rPr>
                <w:rFonts w:hint="default" w:ascii="Times New Roman" w:hAnsi="Times New Roman" w:eastAsia="宋体" w:cs="Times New Roman"/>
                <w:b w:val="0"/>
                <w:bCs w:val="0"/>
                <w:color w:val="auto"/>
                <w:kern w:val="21"/>
                <w:sz w:val="24"/>
                <w:szCs w:val="24"/>
                <w:highlight w:val="none"/>
                <w:lang w:val="en-US" w:eastAsia="zh-CN"/>
              </w:rPr>
            </w:pPr>
            <w:r>
              <w:rPr>
                <w:rFonts w:ascii="瀹嬩綋" w:hAnsi="瀹嬩綋" w:eastAsia="瀹嬩綋" w:cs="瀹嬩綋"/>
                <w:color w:val="000000"/>
                <w:kern w:val="0"/>
                <w:sz w:val="21"/>
                <w:szCs w:val="21"/>
                <w:lang w:val="en-US" w:eastAsia="zh-CN" w:bidi="ar"/>
              </w:rPr>
              <w:t>综</w:t>
            </w:r>
            <w:r>
              <w:rPr>
                <w:rFonts w:hint="default" w:eastAsia="宋体" w:cs="Times New Roman"/>
                <w:bCs/>
                <w:color w:val="auto"/>
                <w:sz w:val="24"/>
                <w:szCs w:val="24"/>
                <w:highlight w:val="none"/>
                <w:lang w:val="en-US" w:eastAsia="zh-CN"/>
              </w:rPr>
              <w:t xml:space="preserve">上所述本项目不存在环境制约因素，污染物均能达标排放。从环保角度分析，本项目的选线是合理的。 </w:t>
            </w:r>
          </w:p>
        </w:tc>
      </w:tr>
    </w:tbl>
    <w:p w14:paraId="0A32FF80"/>
    <w:p w14:paraId="5CFFE326"/>
    <w:p w14:paraId="4A6C284C"/>
    <w:p w14:paraId="55AFDA1E"/>
    <w:p w14:paraId="35C5F295"/>
    <w:p w14:paraId="06950C3A">
      <w:pPr>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br w:type="page"/>
      </w:r>
    </w:p>
    <w:p w14:paraId="3B4ABEC5">
      <w:pPr>
        <w:pStyle w:val="17"/>
        <w:keepNext w:val="0"/>
        <w:keepLines w:val="0"/>
        <w:pageBreakBefore w:val="0"/>
        <w:kinsoku/>
        <w:wordWrap/>
        <w:overflowPunct/>
        <w:topLinePunct w:val="0"/>
        <w:bidi w:val="0"/>
        <w:adjustRightInd w:val="0"/>
        <w:snapToGrid w:val="0"/>
        <w:jc w:val="center"/>
        <w:textAlignment w:val="auto"/>
        <w:outlineLvl w:val="0"/>
        <w:rPr>
          <w:rFonts w:hint="default" w:ascii="Times New Roman" w:hAnsi="Times New Roman" w:eastAsia="黑体" w:cs="Times New Roman"/>
          <w:snapToGrid w:val="0"/>
          <w:color w:val="auto"/>
          <w:sz w:val="30"/>
          <w:szCs w:val="30"/>
          <w:highlight w:val="none"/>
        </w:rPr>
      </w:pPr>
      <w:bookmarkStart w:id="36" w:name="_Toc22457"/>
      <w:bookmarkStart w:id="37" w:name="_Toc14484"/>
      <w:r>
        <w:rPr>
          <w:rFonts w:hint="default" w:ascii="Times New Roman" w:hAnsi="Times New Roman" w:eastAsia="黑体" w:cs="Times New Roman"/>
          <w:snapToGrid w:val="0"/>
          <w:color w:val="auto"/>
          <w:sz w:val="30"/>
          <w:szCs w:val="30"/>
          <w:highlight w:val="none"/>
        </w:rPr>
        <w:t>五、主要生态环境保护措施</w:t>
      </w:r>
      <w:bookmarkEnd w:id="36"/>
      <w:bookmarkEnd w:id="37"/>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127"/>
      </w:tblGrid>
      <w:tr w14:paraId="32FAE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06" w:hRule="atLeast"/>
          <w:jc w:val="center"/>
        </w:trPr>
        <w:tc>
          <w:tcPr>
            <w:tcW w:w="426" w:type="dxa"/>
            <w:noWrap w:val="0"/>
            <w:tcMar>
              <w:left w:w="28" w:type="dxa"/>
              <w:right w:w="28" w:type="dxa"/>
            </w:tcMar>
            <w:vAlign w:val="center"/>
          </w:tcPr>
          <w:p w14:paraId="3E3C670F">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bCs/>
                <w:color w:val="auto"/>
                <w:szCs w:val="21"/>
                <w:highlight w:val="yellow"/>
              </w:rPr>
            </w:pPr>
            <w:r>
              <w:rPr>
                <w:rFonts w:hint="default" w:ascii="Times New Roman" w:hAnsi="Times New Roman" w:cs="Times New Roman"/>
                <w:bCs/>
                <w:color w:val="auto"/>
                <w:spacing w:val="10"/>
                <w:szCs w:val="21"/>
                <w:highlight w:val="none"/>
              </w:rPr>
              <w:t>施工期生态环境保护措施</w:t>
            </w:r>
          </w:p>
        </w:tc>
        <w:tc>
          <w:tcPr>
            <w:tcW w:w="8127" w:type="dxa"/>
            <w:noWrap w:val="0"/>
            <w:vAlign w:val="center"/>
          </w:tcPr>
          <w:p w14:paraId="7C5C6943">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auto"/>
              <w:outlineLvl w:val="9"/>
              <w:rPr>
                <w:rFonts w:hint="default" w:ascii="Times New Roman" w:hAnsi="Times New Roman" w:cs="Times New Roman"/>
                <w:b/>
                <w:bCs w:val="0"/>
                <w:color w:val="auto"/>
                <w:sz w:val="24"/>
                <w:szCs w:val="24"/>
                <w:highlight w:val="none"/>
                <w:lang w:eastAsia="zh-CN"/>
              </w:rPr>
            </w:pPr>
            <w:r>
              <w:rPr>
                <w:rFonts w:hint="default" w:ascii="Times New Roman" w:hAnsi="Times New Roman" w:cs="Times New Roman"/>
                <w:b/>
                <w:bCs w:val="0"/>
                <w:color w:val="auto"/>
                <w:sz w:val="24"/>
                <w:szCs w:val="24"/>
                <w:highlight w:val="none"/>
                <w:lang w:val="en-US" w:eastAsia="zh-CN"/>
              </w:rPr>
              <w:t>1、</w:t>
            </w:r>
            <w:r>
              <w:rPr>
                <w:rFonts w:hint="default" w:ascii="Times New Roman" w:hAnsi="Times New Roman" w:cs="Times New Roman"/>
                <w:b/>
                <w:bCs w:val="0"/>
                <w:color w:val="auto"/>
                <w:sz w:val="24"/>
                <w:szCs w:val="24"/>
                <w:highlight w:val="none"/>
                <w:lang w:eastAsia="zh-CN"/>
              </w:rPr>
              <w:t>施工期废气污染防治措施</w:t>
            </w:r>
          </w:p>
          <w:p w14:paraId="0C728605">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输电线路施工作业特点是施工线路长，总土方量较大，但局部施工期短施工场地清理、塔基开挖、回填等过程中的土方开挖、翻动及堆放过程中将造成风起扬尘，工程车辆运输亦会产生一定量扬尘，此外，施工机械会产生少量的尾气。</w:t>
            </w:r>
          </w:p>
          <w:p w14:paraId="64632C47">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为有效控制扬尘及机械尾气污染，采取以下措施降低施工扬尘及机械尾气对周围环境的影响。</w:t>
            </w:r>
          </w:p>
          <w:p w14:paraId="6FFD2396">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1）建筑材料采用防尘布苫盖；建筑垃圾采用覆盖防尘布、防尘网、定期喷洒抑尘剂、定期喷水压尘等措施，施工人员租住附近民房，生活垃圾定期清运；施工现场集中堆放的土方和裸露场地必须采取覆盖、固化等降尘措施，确保百分之百覆盖，严禁裸露施工现场必须密闭存放或严密覆盖，确保百分之百覆盖，严禁露天放置；场内装卸、搬倒物料应遮盖、封闭或洒水，不得凌空抛掷抛撒。</w:t>
            </w:r>
          </w:p>
          <w:p w14:paraId="01834FAE">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2）进出工地的物料、渣土、垃圾运输车辆，应尽可能采用密闭车斗，并保证物料不遗撒外漏。若无密闭车斗，物料、垃圾、渣土的装载高度不得超过车辆槽帮上沿，车斗应用苫布遮盖严实；装卸和运输渣土、砂石、建筑垃圾等易产生扬尘污染物料的，应当采取完全密闭措施，确保渣土车辆百分之百密闭运输。</w:t>
            </w:r>
          </w:p>
          <w:p w14:paraId="0549C9B7">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3）遇到干燥、易起尘的土方工程作业时，应辅以洒水压尘，尽量缩短起尘操作时间，遇有重污染天气预警时，必须采取扬尘防治应急措施，严禁土方开挖、土方回填、材料切割、金属焊接或其它有可能产生扬尘的作业。</w:t>
            </w:r>
          </w:p>
          <w:p w14:paraId="696980F3">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（4）本工程施工全部使用商品混凝土、预拌砂浆，不在现场搅拌。</w:t>
            </w:r>
          </w:p>
          <w:p w14:paraId="2E9C1246">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（5） 选用尾气排放达标的施工机械，此外，挖掘的临时土方应合理分层堆存，多余土方及时回填、清运，加强施工期的环保管理，最大限度减少扬尘产生。</w:t>
            </w:r>
          </w:p>
          <w:p w14:paraId="7E76C262">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both"/>
              <w:textAlignment w:val="auto"/>
              <w:outlineLvl w:val="9"/>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lang w:eastAsia="zh-CN"/>
              </w:rPr>
              <w:t>施工期废水处理措施</w:t>
            </w:r>
          </w:p>
          <w:p w14:paraId="77CFBDF9">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施工期间，废水主要有施工废水和生活污水。施工废水主要是</w:t>
            </w:r>
            <w:r>
              <w:rPr>
                <w:rFonts w:hint="eastAsia" w:ascii="Times New Roman" w:hAnsi="Times New Roman" w:eastAsia="宋体" w:cs="Times New Roman"/>
                <w:bCs/>
                <w:color w:val="auto"/>
                <w:sz w:val="24"/>
                <w:szCs w:val="24"/>
                <w:highlight w:val="none"/>
                <w:lang w:eastAsia="zh-CN"/>
              </w:rPr>
              <w:t>基础养护、灌注桩</w:t>
            </w:r>
            <w:r>
              <w:rPr>
                <w:rFonts w:hint="default" w:ascii="Times New Roman" w:hAnsi="Times New Roman" w:eastAsia="宋体" w:cs="Times New Roman"/>
                <w:bCs/>
                <w:color w:val="auto"/>
                <w:sz w:val="24"/>
                <w:szCs w:val="24"/>
                <w:highlight w:val="none"/>
                <w:lang w:eastAsia="zh-CN"/>
              </w:rPr>
              <w:t>所产生的废水，</w:t>
            </w:r>
            <w:r>
              <w:rPr>
                <w:rFonts w:hint="eastAsia" w:ascii="Times New Roman" w:hAnsi="Times New Roman" w:eastAsia="宋体" w:cs="Times New Roman"/>
                <w:bCs/>
                <w:color w:val="auto"/>
                <w:sz w:val="24"/>
                <w:szCs w:val="24"/>
                <w:highlight w:val="none"/>
                <w:lang w:eastAsia="zh-CN"/>
              </w:rPr>
              <w:t>灌注桩废水需设置沉砂池，</w:t>
            </w:r>
            <w:r>
              <w:rPr>
                <w:rFonts w:hint="default" w:ascii="Times New Roman" w:hAnsi="Times New Roman" w:eastAsia="宋体" w:cs="Times New Roman"/>
                <w:bCs/>
                <w:color w:val="auto"/>
                <w:sz w:val="24"/>
                <w:szCs w:val="24"/>
                <w:highlight w:val="none"/>
                <w:lang w:eastAsia="zh-CN"/>
              </w:rPr>
              <w:t>经简单沉淀处理后泼洒抑尘</w:t>
            </w:r>
            <w:r>
              <w:rPr>
                <w:rFonts w:hint="eastAsia"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eastAsia="zh-CN"/>
              </w:rPr>
              <w:t>不外排</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基础养护废水，用于泼洒抑尘，</w:t>
            </w:r>
            <w:r>
              <w:rPr>
                <w:rFonts w:hint="default" w:ascii="Times New Roman" w:hAnsi="Times New Roman" w:eastAsia="宋体" w:cs="Times New Roman"/>
                <w:bCs/>
                <w:color w:val="auto"/>
                <w:sz w:val="24"/>
                <w:szCs w:val="24"/>
                <w:highlight w:val="none"/>
                <w:lang w:eastAsia="zh-CN"/>
              </w:rPr>
              <w:t>不外排。</w:t>
            </w:r>
            <w:r>
              <w:rPr>
                <w:rFonts w:hint="eastAsia" w:ascii="Times New Roman" w:hAnsi="Times New Roman" w:eastAsia="宋体" w:cs="Times New Roman"/>
                <w:bCs/>
                <w:color w:val="auto"/>
                <w:sz w:val="24"/>
                <w:szCs w:val="24"/>
                <w:highlight w:val="none"/>
                <w:lang w:val="en-US" w:eastAsia="zh-CN"/>
              </w:rPr>
              <w:t>施工现场不设施工营地，</w:t>
            </w:r>
            <w:r>
              <w:rPr>
                <w:rFonts w:hint="default" w:ascii="Times New Roman" w:hAnsi="Times New Roman" w:eastAsia="宋体" w:cs="Times New Roman"/>
                <w:bCs/>
                <w:color w:val="auto"/>
                <w:sz w:val="24"/>
                <w:szCs w:val="24"/>
                <w:highlight w:val="none"/>
                <w:lang w:eastAsia="zh-CN"/>
              </w:rPr>
              <w:t>施工人员租住附近民房，生活废水利用当地</w:t>
            </w:r>
            <w:r>
              <w:rPr>
                <w:rFonts w:hint="eastAsia" w:ascii="Times New Roman" w:hAnsi="Times New Roman" w:eastAsia="宋体" w:cs="Times New Roman"/>
                <w:bCs/>
                <w:color w:val="auto"/>
                <w:sz w:val="24"/>
                <w:szCs w:val="24"/>
                <w:highlight w:val="none"/>
                <w:lang w:val="en-US" w:eastAsia="zh-CN"/>
              </w:rPr>
              <w:t>现有</w:t>
            </w:r>
            <w:r>
              <w:rPr>
                <w:rFonts w:hint="default" w:ascii="Times New Roman" w:hAnsi="Times New Roman" w:eastAsia="宋体" w:cs="Times New Roman"/>
                <w:bCs/>
                <w:color w:val="auto"/>
                <w:sz w:val="24"/>
                <w:szCs w:val="24"/>
                <w:highlight w:val="none"/>
                <w:lang w:eastAsia="zh-CN"/>
              </w:rPr>
              <w:t>旱厕进行处置，不外排。不会对周围水环境产生明显影响。</w:t>
            </w:r>
          </w:p>
          <w:p w14:paraId="46002F5E">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both"/>
              <w:textAlignment w:val="auto"/>
              <w:outlineLvl w:val="9"/>
              <w:rPr>
                <w:rFonts w:hint="default" w:ascii="Times New Roman" w:hAnsi="Times New Roman" w:eastAsia="宋体" w:cs="Times New Roman"/>
                <w:b/>
                <w:bCs w:val="0"/>
                <w:color w:val="auto"/>
                <w:sz w:val="24"/>
                <w:szCs w:val="24"/>
                <w:highlight w:val="none"/>
                <w:lang w:eastAsia="zh-CN"/>
              </w:rPr>
            </w:pPr>
            <w:r>
              <w:rPr>
                <w:rFonts w:hint="eastAsia" w:ascii="Times New Roman" w:hAnsi="Times New Roman" w:eastAsia="宋体" w:cs="Times New Roman"/>
                <w:b/>
                <w:bCs w:val="0"/>
                <w:color w:val="auto"/>
                <w:sz w:val="24"/>
                <w:szCs w:val="24"/>
                <w:highlight w:val="none"/>
                <w:lang w:val="en-US" w:eastAsia="zh-CN"/>
              </w:rPr>
              <w:t>3、</w:t>
            </w:r>
            <w:r>
              <w:rPr>
                <w:rFonts w:hint="default" w:ascii="Times New Roman" w:hAnsi="Times New Roman" w:eastAsia="宋体" w:cs="Times New Roman"/>
                <w:b/>
                <w:bCs w:val="0"/>
                <w:color w:val="auto"/>
                <w:sz w:val="24"/>
                <w:szCs w:val="24"/>
                <w:highlight w:val="none"/>
                <w:lang w:eastAsia="zh-CN"/>
              </w:rPr>
              <w:t>施工期噪声防治措施</w:t>
            </w:r>
          </w:p>
          <w:p w14:paraId="531363E4">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施工噪声主要为装载机、挖掘机、夯土机、混凝土振捣器等设备和运输车辆以及机械等在运行过程中产生的噪声，设备吊运、安装产生的噪声，该部分设备产噪声级为70dB(A) ~114dB (A)。利用点源衰减模式，预测计算施工机械噪声源至受声点的几何发散衰减，计算中不考虑声屏障、空气吸收等衰减预测结果见表</w:t>
            </w:r>
            <w:r>
              <w:rPr>
                <w:rFonts w:hint="eastAsia"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eastAsia="zh-CN"/>
              </w:rPr>
              <w:t>-1。</w:t>
            </w:r>
          </w:p>
          <w:p w14:paraId="3634F626">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outlineLvl w:val="9"/>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表</w:t>
            </w:r>
            <w:r>
              <w:rPr>
                <w:rFonts w:hint="eastAsia" w:ascii="Times New Roman" w:hAnsi="Times New Roman" w:eastAsia="宋体" w:cs="Times New Roman"/>
                <w:b/>
                <w:bCs w:val="0"/>
                <w:color w:val="auto"/>
                <w:sz w:val="24"/>
                <w:szCs w:val="24"/>
                <w:highlight w:val="none"/>
                <w:lang w:val="en-US" w:eastAsia="zh-CN"/>
              </w:rPr>
              <w:t>5</w:t>
            </w:r>
            <w:r>
              <w:rPr>
                <w:rFonts w:hint="default" w:ascii="Times New Roman" w:hAnsi="Times New Roman" w:eastAsia="宋体" w:cs="Times New Roman"/>
                <w:b/>
                <w:bCs w:val="0"/>
                <w:color w:val="auto"/>
                <w:sz w:val="24"/>
                <w:szCs w:val="24"/>
                <w:highlight w:val="none"/>
                <w:lang w:eastAsia="zh-CN"/>
              </w:rPr>
              <w:t>-1主要施工机械在不同距离处的噪声贡献值</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
              <w:gridCol w:w="660"/>
              <w:gridCol w:w="600"/>
              <w:gridCol w:w="630"/>
              <w:gridCol w:w="645"/>
              <w:gridCol w:w="712"/>
              <w:gridCol w:w="712"/>
              <w:gridCol w:w="712"/>
              <w:gridCol w:w="712"/>
              <w:gridCol w:w="712"/>
              <w:gridCol w:w="715"/>
              <w:gridCol w:w="750"/>
            </w:tblGrid>
            <w:tr w14:paraId="2163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 w:type="pct"/>
                  <w:vMerge w:val="restart"/>
                  <w:noWrap w:val="0"/>
                  <w:vAlign w:val="center"/>
                </w:tcPr>
                <w:p w14:paraId="40E0D98A">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序号</w:t>
                  </w:r>
                </w:p>
              </w:tc>
              <w:tc>
                <w:tcPr>
                  <w:tcW w:w="417" w:type="pct"/>
                  <w:vMerge w:val="restart"/>
                  <w:noWrap w:val="0"/>
                  <w:vAlign w:val="center"/>
                </w:tcPr>
                <w:p w14:paraId="78A75CE7">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设备</w:t>
                  </w:r>
                </w:p>
              </w:tc>
              <w:tc>
                <w:tcPr>
                  <w:tcW w:w="3891" w:type="pct"/>
                  <w:gridSpan w:val="9"/>
                  <w:noWrap w:val="0"/>
                  <w:vAlign w:val="center"/>
                </w:tcPr>
                <w:p w14:paraId="463FC069">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不同距离处的噪声贡献值dB (A)</w:t>
                  </w:r>
                </w:p>
              </w:tc>
              <w:tc>
                <w:tcPr>
                  <w:tcW w:w="474" w:type="pct"/>
                  <w:vMerge w:val="restart"/>
                  <w:noWrap w:val="0"/>
                  <w:vAlign w:val="center"/>
                </w:tcPr>
                <w:p w14:paraId="2114EC3A">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施工阶段</w:t>
                  </w:r>
                </w:p>
              </w:tc>
            </w:tr>
            <w:tr w14:paraId="12C4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 w:type="pct"/>
                  <w:vMerge w:val="continue"/>
                  <w:noWrap w:val="0"/>
                  <w:vAlign w:val="center"/>
                </w:tcPr>
                <w:p w14:paraId="2925D052">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p>
              </w:tc>
              <w:tc>
                <w:tcPr>
                  <w:tcW w:w="417" w:type="pct"/>
                  <w:vMerge w:val="continue"/>
                  <w:noWrap w:val="0"/>
                  <w:vAlign w:val="center"/>
                </w:tcPr>
                <w:p w14:paraId="6CEE7D46">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p>
              </w:tc>
              <w:tc>
                <w:tcPr>
                  <w:tcW w:w="379" w:type="pct"/>
                  <w:noWrap w:val="0"/>
                  <w:vAlign w:val="center"/>
                </w:tcPr>
                <w:p w14:paraId="3715AC64">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40m</w:t>
                  </w:r>
                </w:p>
              </w:tc>
              <w:tc>
                <w:tcPr>
                  <w:tcW w:w="398" w:type="pct"/>
                  <w:noWrap w:val="0"/>
                  <w:vAlign w:val="center"/>
                </w:tcPr>
                <w:p w14:paraId="46BE06DA">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50m</w:t>
                  </w:r>
                </w:p>
              </w:tc>
              <w:tc>
                <w:tcPr>
                  <w:tcW w:w="408" w:type="pct"/>
                  <w:noWrap w:val="0"/>
                  <w:vAlign w:val="center"/>
                </w:tcPr>
                <w:p w14:paraId="18BCFCAE">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60m</w:t>
                  </w:r>
                </w:p>
              </w:tc>
              <w:tc>
                <w:tcPr>
                  <w:tcW w:w="450" w:type="pct"/>
                  <w:noWrap w:val="0"/>
                  <w:vAlign w:val="center"/>
                </w:tcPr>
                <w:p w14:paraId="584A7CD7">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100m</w:t>
                  </w:r>
                </w:p>
              </w:tc>
              <w:tc>
                <w:tcPr>
                  <w:tcW w:w="450" w:type="pct"/>
                  <w:noWrap w:val="0"/>
                  <w:vAlign w:val="center"/>
                </w:tcPr>
                <w:p w14:paraId="620F0905">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130m</w:t>
                  </w:r>
                </w:p>
              </w:tc>
              <w:tc>
                <w:tcPr>
                  <w:tcW w:w="450" w:type="pct"/>
                  <w:noWrap w:val="0"/>
                  <w:vAlign w:val="center"/>
                </w:tcPr>
                <w:p w14:paraId="175B4190">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200m</w:t>
                  </w:r>
                </w:p>
              </w:tc>
              <w:tc>
                <w:tcPr>
                  <w:tcW w:w="450" w:type="pct"/>
                  <w:noWrap w:val="0"/>
                  <w:vAlign w:val="center"/>
                </w:tcPr>
                <w:p w14:paraId="6E20BF64">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240m</w:t>
                  </w:r>
                </w:p>
              </w:tc>
              <w:tc>
                <w:tcPr>
                  <w:tcW w:w="450" w:type="pct"/>
                  <w:noWrap w:val="0"/>
                  <w:vAlign w:val="center"/>
                </w:tcPr>
                <w:p w14:paraId="17716C69">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300m</w:t>
                  </w:r>
                </w:p>
              </w:tc>
              <w:tc>
                <w:tcPr>
                  <w:tcW w:w="452" w:type="pct"/>
                  <w:noWrap w:val="0"/>
                  <w:vAlign w:val="center"/>
                </w:tcPr>
                <w:p w14:paraId="60B42DC1">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400m</w:t>
                  </w:r>
                </w:p>
              </w:tc>
              <w:tc>
                <w:tcPr>
                  <w:tcW w:w="474" w:type="pct"/>
                  <w:vMerge w:val="continue"/>
                  <w:noWrap w:val="0"/>
                  <w:vAlign w:val="center"/>
                </w:tcPr>
                <w:p w14:paraId="05941F1F">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p>
              </w:tc>
            </w:tr>
            <w:tr w14:paraId="579D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 w:type="pct"/>
                  <w:noWrap w:val="0"/>
                  <w:vAlign w:val="center"/>
                </w:tcPr>
                <w:p w14:paraId="76109E21">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1</w:t>
                  </w:r>
                </w:p>
              </w:tc>
              <w:tc>
                <w:tcPr>
                  <w:tcW w:w="417" w:type="pct"/>
                  <w:noWrap w:val="0"/>
                  <w:vAlign w:val="center"/>
                </w:tcPr>
                <w:p w14:paraId="51A9A7B4">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装载机</w:t>
                  </w:r>
                </w:p>
              </w:tc>
              <w:tc>
                <w:tcPr>
                  <w:tcW w:w="379" w:type="pct"/>
                  <w:noWrap w:val="0"/>
                  <w:vAlign w:val="center"/>
                </w:tcPr>
                <w:p w14:paraId="1F9E96AC">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69</w:t>
                  </w:r>
                </w:p>
              </w:tc>
              <w:tc>
                <w:tcPr>
                  <w:tcW w:w="398" w:type="pct"/>
                  <w:noWrap w:val="0"/>
                  <w:vAlign w:val="center"/>
                </w:tcPr>
                <w:p w14:paraId="27CD37F4">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67</w:t>
                  </w:r>
                </w:p>
              </w:tc>
              <w:tc>
                <w:tcPr>
                  <w:tcW w:w="408" w:type="pct"/>
                  <w:noWrap w:val="0"/>
                  <w:vAlign w:val="center"/>
                </w:tcPr>
                <w:p w14:paraId="147664BE">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65</w:t>
                  </w:r>
                </w:p>
              </w:tc>
              <w:tc>
                <w:tcPr>
                  <w:tcW w:w="450" w:type="pct"/>
                  <w:noWrap w:val="0"/>
                  <w:vAlign w:val="center"/>
                </w:tcPr>
                <w:p w14:paraId="5AF2D72E">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61</w:t>
                  </w:r>
                </w:p>
              </w:tc>
              <w:tc>
                <w:tcPr>
                  <w:tcW w:w="450" w:type="pct"/>
                  <w:noWrap w:val="0"/>
                  <w:vAlign w:val="center"/>
                </w:tcPr>
                <w:p w14:paraId="76552B87">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59</w:t>
                  </w:r>
                </w:p>
              </w:tc>
              <w:tc>
                <w:tcPr>
                  <w:tcW w:w="450" w:type="pct"/>
                  <w:noWrap w:val="0"/>
                  <w:vAlign w:val="center"/>
                </w:tcPr>
                <w:p w14:paraId="446D6774">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55</w:t>
                  </w:r>
                </w:p>
              </w:tc>
              <w:tc>
                <w:tcPr>
                  <w:tcW w:w="450" w:type="pct"/>
                  <w:noWrap w:val="0"/>
                  <w:vAlign w:val="center"/>
                </w:tcPr>
                <w:p w14:paraId="4FB7A344">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53</w:t>
                  </w:r>
                </w:p>
              </w:tc>
              <w:tc>
                <w:tcPr>
                  <w:tcW w:w="450" w:type="pct"/>
                  <w:noWrap w:val="0"/>
                  <w:vAlign w:val="center"/>
                </w:tcPr>
                <w:p w14:paraId="05D6C188">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51</w:t>
                  </w:r>
                </w:p>
              </w:tc>
              <w:tc>
                <w:tcPr>
                  <w:tcW w:w="452" w:type="pct"/>
                  <w:noWrap w:val="0"/>
                  <w:vAlign w:val="center"/>
                </w:tcPr>
                <w:p w14:paraId="10F71517">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49</w:t>
                  </w:r>
                </w:p>
              </w:tc>
              <w:tc>
                <w:tcPr>
                  <w:tcW w:w="474" w:type="pct"/>
                  <w:vMerge w:val="restart"/>
                  <w:noWrap w:val="0"/>
                  <w:vAlign w:val="center"/>
                </w:tcPr>
                <w:p w14:paraId="6BDF92AC">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土石方</w:t>
                  </w:r>
                </w:p>
              </w:tc>
            </w:tr>
            <w:tr w14:paraId="2C25D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 w:type="pct"/>
                  <w:noWrap w:val="0"/>
                  <w:vAlign w:val="center"/>
                </w:tcPr>
                <w:p w14:paraId="411AA961">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2</w:t>
                  </w:r>
                </w:p>
              </w:tc>
              <w:tc>
                <w:tcPr>
                  <w:tcW w:w="417" w:type="pct"/>
                  <w:noWrap w:val="0"/>
                  <w:vAlign w:val="center"/>
                </w:tcPr>
                <w:p w14:paraId="54DF62CF">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挖掘机</w:t>
                  </w:r>
                </w:p>
              </w:tc>
              <w:tc>
                <w:tcPr>
                  <w:tcW w:w="379" w:type="pct"/>
                  <w:noWrap w:val="0"/>
                  <w:vAlign w:val="center"/>
                </w:tcPr>
                <w:p w14:paraId="2979205A">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66</w:t>
                  </w:r>
                </w:p>
              </w:tc>
              <w:tc>
                <w:tcPr>
                  <w:tcW w:w="398" w:type="pct"/>
                  <w:noWrap w:val="0"/>
                  <w:vAlign w:val="center"/>
                </w:tcPr>
                <w:p w14:paraId="3C9237C0">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64</w:t>
                  </w:r>
                </w:p>
              </w:tc>
              <w:tc>
                <w:tcPr>
                  <w:tcW w:w="408" w:type="pct"/>
                  <w:noWrap w:val="0"/>
                  <w:vAlign w:val="center"/>
                </w:tcPr>
                <w:p w14:paraId="0509D0B8">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66</w:t>
                  </w:r>
                </w:p>
              </w:tc>
              <w:tc>
                <w:tcPr>
                  <w:tcW w:w="450" w:type="pct"/>
                  <w:noWrap w:val="0"/>
                  <w:vAlign w:val="center"/>
                </w:tcPr>
                <w:p w14:paraId="5C532566">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58</w:t>
                  </w:r>
                </w:p>
              </w:tc>
              <w:tc>
                <w:tcPr>
                  <w:tcW w:w="450" w:type="pct"/>
                  <w:noWrap w:val="0"/>
                  <w:vAlign w:val="center"/>
                </w:tcPr>
                <w:p w14:paraId="274C15EA">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56</w:t>
                  </w:r>
                </w:p>
              </w:tc>
              <w:tc>
                <w:tcPr>
                  <w:tcW w:w="450" w:type="pct"/>
                  <w:noWrap w:val="0"/>
                  <w:vAlign w:val="center"/>
                </w:tcPr>
                <w:p w14:paraId="08C6408D">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52</w:t>
                  </w:r>
                </w:p>
              </w:tc>
              <w:tc>
                <w:tcPr>
                  <w:tcW w:w="450" w:type="pct"/>
                  <w:noWrap w:val="0"/>
                  <w:vAlign w:val="center"/>
                </w:tcPr>
                <w:p w14:paraId="59D614BD">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50</w:t>
                  </w:r>
                </w:p>
              </w:tc>
              <w:tc>
                <w:tcPr>
                  <w:tcW w:w="450" w:type="pct"/>
                  <w:noWrap w:val="0"/>
                  <w:vAlign w:val="center"/>
                </w:tcPr>
                <w:p w14:paraId="36DDF94F">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48</w:t>
                  </w:r>
                </w:p>
              </w:tc>
              <w:tc>
                <w:tcPr>
                  <w:tcW w:w="452" w:type="pct"/>
                  <w:noWrap w:val="0"/>
                  <w:vAlign w:val="center"/>
                </w:tcPr>
                <w:p w14:paraId="1CEFF58C">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46</w:t>
                  </w:r>
                </w:p>
              </w:tc>
              <w:tc>
                <w:tcPr>
                  <w:tcW w:w="474" w:type="pct"/>
                  <w:vMerge w:val="continue"/>
                  <w:noWrap w:val="0"/>
                  <w:vAlign w:val="center"/>
                </w:tcPr>
                <w:p w14:paraId="4D3354C9">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p>
              </w:tc>
            </w:tr>
            <w:tr w14:paraId="4645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 w:type="pct"/>
                  <w:noWrap w:val="0"/>
                  <w:vAlign w:val="center"/>
                </w:tcPr>
                <w:p w14:paraId="2EA26961">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3</w:t>
                  </w:r>
                </w:p>
              </w:tc>
              <w:tc>
                <w:tcPr>
                  <w:tcW w:w="417" w:type="pct"/>
                  <w:noWrap w:val="0"/>
                  <w:vAlign w:val="center"/>
                </w:tcPr>
                <w:p w14:paraId="3222293E">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夯土机</w:t>
                  </w:r>
                </w:p>
              </w:tc>
              <w:tc>
                <w:tcPr>
                  <w:tcW w:w="379" w:type="pct"/>
                  <w:noWrap w:val="0"/>
                  <w:vAlign w:val="center"/>
                </w:tcPr>
                <w:p w14:paraId="6919C99E">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64</w:t>
                  </w:r>
                </w:p>
              </w:tc>
              <w:tc>
                <w:tcPr>
                  <w:tcW w:w="398" w:type="pct"/>
                  <w:noWrap w:val="0"/>
                  <w:vAlign w:val="center"/>
                </w:tcPr>
                <w:p w14:paraId="7114FA6B">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62</w:t>
                  </w:r>
                </w:p>
              </w:tc>
              <w:tc>
                <w:tcPr>
                  <w:tcW w:w="408" w:type="pct"/>
                  <w:noWrap w:val="0"/>
                  <w:vAlign w:val="center"/>
                </w:tcPr>
                <w:p w14:paraId="2DBEE87F">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60</w:t>
                  </w:r>
                </w:p>
              </w:tc>
              <w:tc>
                <w:tcPr>
                  <w:tcW w:w="450" w:type="pct"/>
                  <w:noWrap w:val="0"/>
                  <w:vAlign w:val="center"/>
                </w:tcPr>
                <w:p w14:paraId="1A47F8E0">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56</w:t>
                  </w:r>
                </w:p>
              </w:tc>
              <w:tc>
                <w:tcPr>
                  <w:tcW w:w="450" w:type="pct"/>
                  <w:noWrap w:val="0"/>
                  <w:vAlign w:val="center"/>
                </w:tcPr>
                <w:p w14:paraId="0E5221C2">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54</w:t>
                  </w:r>
                </w:p>
              </w:tc>
              <w:tc>
                <w:tcPr>
                  <w:tcW w:w="450" w:type="pct"/>
                  <w:noWrap w:val="0"/>
                  <w:vAlign w:val="center"/>
                </w:tcPr>
                <w:p w14:paraId="174CE034">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50</w:t>
                  </w:r>
                </w:p>
              </w:tc>
              <w:tc>
                <w:tcPr>
                  <w:tcW w:w="450" w:type="pct"/>
                  <w:noWrap w:val="0"/>
                  <w:vAlign w:val="center"/>
                </w:tcPr>
                <w:p w14:paraId="5F1993CF">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48</w:t>
                  </w:r>
                </w:p>
              </w:tc>
              <w:tc>
                <w:tcPr>
                  <w:tcW w:w="450" w:type="pct"/>
                  <w:noWrap w:val="0"/>
                  <w:vAlign w:val="center"/>
                </w:tcPr>
                <w:p w14:paraId="26B62F95">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46</w:t>
                  </w:r>
                </w:p>
              </w:tc>
              <w:tc>
                <w:tcPr>
                  <w:tcW w:w="452" w:type="pct"/>
                  <w:noWrap w:val="0"/>
                  <w:vAlign w:val="center"/>
                </w:tcPr>
                <w:p w14:paraId="31B0B96E">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44</w:t>
                  </w:r>
                </w:p>
              </w:tc>
              <w:tc>
                <w:tcPr>
                  <w:tcW w:w="474" w:type="pct"/>
                  <w:vMerge w:val="continue"/>
                  <w:noWrap w:val="0"/>
                  <w:vAlign w:val="center"/>
                </w:tcPr>
                <w:p w14:paraId="25C7755F">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p>
              </w:tc>
            </w:tr>
            <w:tr w14:paraId="04A0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 w:type="pct"/>
                  <w:noWrap w:val="0"/>
                  <w:vAlign w:val="center"/>
                </w:tcPr>
                <w:p w14:paraId="10005649">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4</w:t>
                  </w:r>
                </w:p>
              </w:tc>
              <w:tc>
                <w:tcPr>
                  <w:tcW w:w="417" w:type="pct"/>
                  <w:noWrap w:val="0"/>
                  <w:vAlign w:val="center"/>
                </w:tcPr>
                <w:p w14:paraId="62191C5A">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混凝土振捣器</w:t>
                  </w:r>
                </w:p>
              </w:tc>
              <w:tc>
                <w:tcPr>
                  <w:tcW w:w="379" w:type="pct"/>
                  <w:noWrap w:val="0"/>
                  <w:vAlign w:val="center"/>
                </w:tcPr>
                <w:p w14:paraId="779B7DAB">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61</w:t>
                  </w:r>
                </w:p>
              </w:tc>
              <w:tc>
                <w:tcPr>
                  <w:tcW w:w="398" w:type="pct"/>
                  <w:noWrap w:val="0"/>
                  <w:vAlign w:val="center"/>
                </w:tcPr>
                <w:p w14:paraId="69DB5F08">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59</w:t>
                  </w:r>
                </w:p>
              </w:tc>
              <w:tc>
                <w:tcPr>
                  <w:tcW w:w="408" w:type="pct"/>
                  <w:noWrap w:val="0"/>
                  <w:vAlign w:val="center"/>
                </w:tcPr>
                <w:p w14:paraId="26A47805">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57</w:t>
                  </w:r>
                </w:p>
              </w:tc>
              <w:tc>
                <w:tcPr>
                  <w:tcW w:w="450" w:type="pct"/>
                  <w:noWrap w:val="0"/>
                  <w:vAlign w:val="center"/>
                </w:tcPr>
                <w:p w14:paraId="25C8B2D8">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53</w:t>
                  </w:r>
                </w:p>
              </w:tc>
              <w:tc>
                <w:tcPr>
                  <w:tcW w:w="450" w:type="pct"/>
                  <w:noWrap w:val="0"/>
                  <w:vAlign w:val="center"/>
                </w:tcPr>
                <w:p w14:paraId="26FDEEC0">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51</w:t>
                  </w:r>
                </w:p>
              </w:tc>
              <w:tc>
                <w:tcPr>
                  <w:tcW w:w="450" w:type="pct"/>
                  <w:noWrap w:val="0"/>
                  <w:vAlign w:val="center"/>
                </w:tcPr>
                <w:p w14:paraId="045BDCB5">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47</w:t>
                  </w:r>
                </w:p>
              </w:tc>
              <w:tc>
                <w:tcPr>
                  <w:tcW w:w="450" w:type="pct"/>
                  <w:noWrap w:val="0"/>
                  <w:vAlign w:val="center"/>
                </w:tcPr>
                <w:p w14:paraId="146EAD97">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45</w:t>
                  </w:r>
                </w:p>
              </w:tc>
              <w:tc>
                <w:tcPr>
                  <w:tcW w:w="450" w:type="pct"/>
                  <w:noWrap w:val="0"/>
                  <w:vAlign w:val="center"/>
                </w:tcPr>
                <w:p w14:paraId="1B8ED3B6">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43</w:t>
                  </w:r>
                </w:p>
              </w:tc>
              <w:tc>
                <w:tcPr>
                  <w:tcW w:w="452" w:type="pct"/>
                  <w:noWrap w:val="0"/>
                  <w:vAlign w:val="center"/>
                </w:tcPr>
                <w:p w14:paraId="2D7E2B4A">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41</w:t>
                  </w:r>
                </w:p>
              </w:tc>
              <w:tc>
                <w:tcPr>
                  <w:tcW w:w="474" w:type="pct"/>
                  <w:vMerge w:val="restart"/>
                  <w:noWrap w:val="0"/>
                  <w:vAlign w:val="center"/>
                </w:tcPr>
                <w:p w14:paraId="35FD16B4">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塔基结构</w:t>
                  </w:r>
                </w:p>
              </w:tc>
            </w:tr>
            <w:tr w14:paraId="0859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 w:type="pct"/>
                  <w:noWrap w:val="0"/>
                  <w:vAlign w:val="center"/>
                </w:tcPr>
                <w:p w14:paraId="617B54C9">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w:t>
                  </w:r>
                </w:p>
              </w:tc>
              <w:tc>
                <w:tcPr>
                  <w:tcW w:w="417" w:type="pct"/>
                  <w:noWrap w:val="0"/>
                  <w:vAlign w:val="center"/>
                </w:tcPr>
                <w:p w14:paraId="71EB31CB">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电锯电刨</w:t>
                  </w:r>
                </w:p>
              </w:tc>
              <w:tc>
                <w:tcPr>
                  <w:tcW w:w="379" w:type="pct"/>
                  <w:noWrap w:val="0"/>
                  <w:vAlign w:val="center"/>
                </w:tcPr>
                <w:p w14:paraId="0476EEDF">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71</w:t>
                  </w:r>
                </w:p>
              </w:tc>
              <w:tc>
                <w:tcPr>
                  <w:tcW w:w="398" w:type="pct"/>
                  <w:noWrap w:val="0"/>
                  <w:vAlign w:val="center"/>
                </w:tcPr>
                <w:p w14:paraId="3F067940">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69</w:t>
                  </w:r>
                </w:p>
              </w:tc>
              <w:tc>
                <w:tcPr>
                  <w:tcW w:w="408" w:type="pct"/>
                  <w:noWrap w:val="0"/>
                  <w:vAlign w:val="center"/>
                </w:tcPr>
                <w:p w14:paraId="464FDECD">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67</w:t>
                  </w:r>
                </w:p>
              </w:tc>
              <w:tc>
                <w:tcPr>
                  <w:tcW w:w="450" w:type="pct"/>
                  <w:noWrap w:val="0"/>
                  <w:vAlign w:val="center"/>
                </w:tcPr>
                <w:p w14:paraId="679E754F">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63</w:t>
                  </w:r>
                </w:p>
              </w:tc>
              <w:tc>
                <w:tcPr>
                  <w:tcW w:w="450" w:type="pct"/>
                  <w:noWrap w:val="0"/>
                  <w:vAlign w:val="center"/>
                </w:tcPr>
                <w:p w14:paraId="0EE908D7">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64</w:t>
                  </w:r>
                </w:p>
              </w:tc>
              <w:tc>
                <w:tcPr>
                  <w:tcW w:w="450" w:type="pct"/>
                  <w:noWrap w:val="0"/>
                  <w:vAlign w:val="center"/>
                </w:tcPr>
                <w:p w14:paraId="5F70EDE2">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57</w:t>
                  </w:r>
                </w:p>
              </w:tc>
              <w:tc>
                <w:tcPr>
                  <w:tcW w:w="450" w:type="pct"/>
                  <w:noWrap w:val="0"/>
                  <w:vAlign w:val="center"/>
                </w:tcPr>
                <w:p w14:paraId="0724F373">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55</w:t>
                  </w:r>
                </w:p>
              </w:tc>
              <w:tc>
                <w:tcPr>
                  <w:tcW w:w="450" w:type="pct"/>
                  <w:noWrap w:val="0"/>
                  <w:vAlign w:val="center"/>
                </w:tcPr>
                <w:p w14:paraId="5783F643">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54</w:t>
                  </w:r>
                </w:p>
              </w:tc>
              <w:tc>
                <w:tcPr>
                  <w:tcW w:w="452" w:type="pct"/>
                  <w:noWrap w:val="0"/>
                  <w:vAlign w:val="center"/>
                </w:tcPr>
                <w:p w14:paraId="0F97D299">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51</w:t>
                  </w:r>
                </w:p>
              </w:tc>
              <w:tc>
                <w:tcPr>
                  <w:tcW w:w="474" w:type="pct"/>
                  <w:vMerge w:val="continue"/>
                  <w:noWrap w:val="0"/>
                  <w:vAlign w:val="center"/>
                </w:tcPr>
                <w:p w14:paraId="37AB13A9">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p>
              </w:tc>
            </w:tr>
            <w:tr w14:paraId="6008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 w:type="pct"/>
                  <w:noWrap w:val="0"/>
                  <w:vAlign w:val="center"/>
                </w:tcPr>
                <w:p w14:paraId="6C51495C">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6</w:t>
                  </w:r>
                </w:p>
              </w:tc>
              <w:tc>
                <w:tcPr>
                  <w:tcW w:w="417" w:type="pct"/>
                  <w:noWrap w:val="0"/>
                  <w:vAlign w:val="center"/>
                </w:tcPr>
                <w:p w14:paraId="15EF9A7A">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运输车辆</w:t>
                  </w:r>
                </w:p>
              </w:tc>
              <w:tc>
                <w:tcPr>
                  <w:tcW w:w="379" w:type="pct"/>
                  <w:noWrap w:val="0"/>
                  <w:vAlign w:val="center"/>
                </w:tcPr>
                <w:p w14:paraId="22BAB29E">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61</w:t>
                  </w:r>
                </w:p>
              </w:tc>
              <w:tc>
                <w:tcPr>
                  <w:tcW w:w="398" w:type="pct"/>
                  <w:noWrap w:val="0"/>
                  <w:vAlign w:val="center"/>
                </w:tcPr>
                <w:p w14:paraId="493015FE">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59</w:t>
                  </w:r>
                </w:p>
              </w:tc>
              <w:tc>
                <w:tcPr>
                  <w:tcW w:w="408" w:type="pct"/>
                  <w:noWrap w:val="0"/>
                  <w:vAlign w:val="center"/>
                </w:tcPr>
                <w:p w14:paraId="16AD5138">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58</w:t>
                  </w:r>
                </w:p>
              </w:tc>
              <w:tc>
                <w:tcPr>
                  <w:tcW w:w="450" w:type="pct"/>
                  <w:noWrap w:val="0"/>
                  <w:vAlign w:val="center"/>
                </w:tcPr>
                <w:p w14:paraId="5E3EF5D8">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 xml:space="preserve">                                                                                                                                                                                                                                                                                                                                                                                                                                                                                                                                                                                                                                                                                                                                                                                                                                                                                                                                                                                                                                                                                                                                                                                                                                                                                                                                                                                                                                                                                                                                                                                                                                                                                                                                                                                                                                                                                                                                                                                                                                                                                                                                                                                                                                                                                                                                                                                                                                                                                                                                                                                                                                                                                                                                                                                                                                                                                                                                                                                                                                                                                                                                                                                                                                                                                                                                                                                                                                                                                                                                                                                                                                                                                                                                  53</w:t>
                  </w:r>
                </w:p>
              </w:tc>
              <w:tc>
                <w:tcPr>
                  <w:tcW w:w="450" w:type="pct"/>
                  <w:noWrap w:val="0"/>
                  <w:vAlign w:val="center"/>
                </w:tcPr>
                <w:p w14:paraId="43CDCB1D">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51</w:t>
                  </w:r>
                </w:p>
              </w:tc>
              <w:tc>
                <w:tcPr>
                  <w:tcW w:w="450" w:type="pct"/>
                  <w:noWrap w:val="0"/>
                  <w:vAlign w:val="center"/>
                </w:tcPr>
                <w:p w14:paraId="790759F0">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47</w:t>
                  </w:r>
                </w:p>
              </w:tc>
              <w:tc>
                <w:tcPr>
                  <w:tcW w:w="450" w:type="pct"/>
                  <w:noWrap w:val="0"/>
                  <w:vAlign w:val="center"/>
                </w:tcPr>
                <w:p w14:paraId="0C75A367">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45</w:t>
                  </w:r>
                </w:p>
              </w:tc>
              <w:tc>
                <w:tcPr>
                  <w:tcW w:w="450" w:type="pct"/>
                  <w:noWrap w:val="0"/>
                  <w:vAlign w:val="center"/>
                </w:tcPr>
                <w:p w14:paraId="371A7A0A">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44</w:t>
                  </w:r>
                </w:p>
              </w:tc>
              <w:tc>
                <w:tcPr>
                  <w:tcW w:w="452" w:type="pct"/>
                  <w:noWrap w:val="0"/>
                  <w:vAlign w:val="center"/>
                </w:tcPr>
                <w:p w14:paraId="746F0539">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41</w:t>
                  </w:r>
                </w:p>
              </w:tc>
              <w:tc>
                <w:tcPr>
                  <w:tcW w:w="474" w:type="pct"/>
                  <w:noWrap w:val="0"/>
                  <w:vAlign w:val="center"/>
                </w:tcPr>
                <w:p w14:paraId="69CC6014">
                  <w:pPr>
                    <w:adjustRightInd w:val="0"/>
                    <w:snapToGrid w:val="0"/>
                    <w:spacing w:line="240" w:lineRule="auto"/>
                    <w:jc w:val="center"/>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物料运输</w:t>
                  </w:r>
                </w:p>
              </w:tc>
            </w:tr>
          </w:tbl>
          <w:p w14:paraId="08CE34E8">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根据点源衰减模式计算，项目在土石方施工阶段，昼间距施工设备40m，夜间200m可满足《建筑施工场界环境噪声排放标准》 (GB12523-2011)；在建筑结构施工阶段，由于电锯、电刨噪声源产噪声级值较高，昼间距施工设备50m、夜间240m可达到《建筑施工场界环境噪声排放标准》 (GB12523-2011) 要求。</w:t>
            </w:r>
          </w:p>
          <w:p w14:paraId="1817BD4F">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为尽量减少施工噪声的影响，采取以下措施：</w:t>
            </w:r>
          </w:p>
          <w:p w14:paraId="5DBEC000">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（1）采用低噪音、振动小的施工设备，并注意对设备的维护和保养，合理操作保证施工机械在最佳状态；</w:t>
            </w:r>
          </w:p>
          <w:p w14:paraId="675D7D9D">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（2）合理安排施工时间，应尽量避免中午(12:00~14:00)、晚上（22:00~6:00）大型施工机械进行施工作业；</w:t>
            </w:r>
          </w:p>
          <w:p w14:paraId="533EE955">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（3）运输车辆在经过附近居民点时控制车速、禁鸣，加强车辆维护，减轻交通运输噪声对周围声环境的影响；</w:t>
            </w:r>
          </w:p>
          <w:p w14:paraId="043DC0FF">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（4）铁制或钢制工具在使用、装卸等过程中，应尽可能轻拿轻放，以免相互碰撞产生噪声。</w:t>
            </w:r>
          </w:p>
          <w:p w14:paraId="1E1DBF70">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本项目线路施工中的主要噪声源有材料运输产生的噪声以及基础、架线施工中各种设备噪声等，由于线路施工点呈线性分布，单个施工点铁塔组件的运输量较小，交通运输噪声对周围环境影响较小。</w:t>
            </w:r>
          </w:p>
          <w:p w14:paraId="692B1227">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在架线施工过程中，牵张场地内的牵张机、绞磨机等设备产生一定的机械噪声，其声级一般小于70dB (A) 。本项目设置的牵张场地距离居民点较远且各施工点施工量小，施工时间短，不会对周围声环境产生明显影响。本项目通过采取以上措施后，可最大限度避免本项目施工对周边区域声环境产生的影响。</w:t>
            </w:r>
          </w:p>
          <w:p w14:paraId="103AA3B3">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both"/>
              <w:textAlignment w:val="auto"/>
              <w:outlineLvl w:val="9"/>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val="en-US" w:eastAsia="zh-CN"/>
              </w:rPr>
              <w:t>4、</w:t>
            </w:r>
            <w:r>
              <w:rPr>
                <w:rFonts w:hint="default" w:ascii="Times New Roman" w:hAnsi="Times New Roman" w:eastAsia="宋体" w:cs="Times New Roman"/>
                <w:b/>
                <w:bCs w:val="0"/>
                <w:color w:val="auto"/>
                <w:sz w:val="24"/>
                <w:szCs w:val="24"/>
                <w:highlight w:val="none"/>
                <w:lang w:eastAsia="zh-CN"/>
              </w:rPr>
              <w:t>施工期固体废物处理措施</w:t>
            </w:r>
          </w:p>
          <w:p w14:paraId="19B80C59">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线路施工期的固体废物主要为建筑垃圾及施工人员产生的生活垃圾。施工期间严格按照《输变电建设项目环境保护技术要求》相关要求：施工过程中产生的余方平铺于塔基周边及临时道路，建筑垃圾、生活垃圾、少量废弃金具及材料包装定期清运，对当地环境影响较小。施工完成后及时做好迹地清理工作，在农田和经济作物区施工时，施工临时占地宜采取隔离保护措施，施工结束后应将混凝土余料和残渣及时清除，以免影响后期土地功能的恢复。</w:t>
            </w:r>
          </w:p>
          <w:p w14:paraId="1CB44859">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综上所述，固体废物合理处置，对环境的影响较小。</w:t>
            </w:r>
          </w:p>
          <w:p w14:paraId="66AF484B">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both"/>
              <w:textAlignment w:val="auto"/>
              <w:outlineLvl w:val="9"/>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5、</w:t>
            </w:r>
            <w:r>
              <w:rPr>
                <w:rFonts w:hint="eastAsia" w:cs="Times New Roman"/>
                <w:b/>
                <w:bCs w:val="0"/>
                <w:color w:val="auto"/>
                <w:sz w:val="24"/>
                <w:szCs w:val="24"/>
                <w:highlight w:val="none"/>
                <w:lang w:val="en-US" w:eastAsia="zh-CN"/>
              </w:rPr>
              <w:t>施工期</w:t>
            </w:r>
            <w:r>
              <w:rPr>
                <w:rFonts w:hint="default" w:ascii="Times New Roman" w:hAnsi="Times New Roman" w:eastAsia="宋体" w:cs="Times New Roman"/>
                <w:b/>
                <w:bCs w:val="0"/>
                <w:color w:val="auto"/>
                <w:sz w:val="24"/>
                <w:szCs w:val="24"/>
                <w:highlight w:val="none"/>
                <w:lang w:val="en-US" w:eastAsia="zh-CN"/>
              </w:rPr>
              <w:t>生态环境</w:t>
            </w:r>
            <w:r>
              <w:rPr>
                <w:rFonts w:hint="eastAsia" w:ascii="Times New Roman" w:hAnsi="Times New Roman" w:eastAsia="宋体" w:cs="Times New Roman"/>
                <w:b/>
                <w:bCs w:val="0"/>
                <w:color w:val="auto"/>
                <w:sz w:val="24"/>
                <w:szCs w:val="24"/>
                <w:highlight w:val="none"/>
                <w:lang w:val="en-US" w:eastAsia="zh-CN"/>
              </w:rPr>
              <w:t>保护措施</w:t>
            </w:r>
          </w:p>
          <w:p w14:paraId="51BE425E">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eastAsia" w:ascii="Times New Roman" w:hAnsi="Times New Roman" w:eastAsia="宋体" w:cs="Times New Roman"/>
                <w:bCs/>
                <w:color w:val="auto"/>
                <w:sz w:val="24"/>
                <w:szCs w:val="24"/>
                <w:highlight w:val="yellow"/>
                <w:lang w:val="en-US" w:eastAsia="zh-CN"/>
              </w:rPr>
            </w:pPr>
            <w:r>
              <w:rPr>
                <w:rFonts w:hint="eastAsia" w:ascii="Times New Roman" w:hAnsi="Times New Roman" w:eastAsia="宋体" w:cs="Times New Roman"/>
                <w:bCs/>
                <w:color w:val="auto"/>
                <w:sz w:val="24"/>
                <w:szCs w:val="24"/>
                <w:highlight w:val="none"/>
                <w:lang w:val="en-US" w:eastAsia="zh-CN"/>
              </w:rPr>
              <w:t>在施工过程中，由于开挖土方，表土剥离，会引起自然地表的破坏，造成土壤疏松，原有的植被和蓄水保土作用遭到破坏，环境失去原有状态，引发水土流失。因此，工程建设过程中应采取必要的防治和预防水土流失措施，对剥离表土堆放区进行抑尘网和苫布覆盖，防止水土流失，施工结束后，及时回填尽快恢复植被等，减少因工程建设引起的水土流失。控制进场道路、牵张场等施工临时占地及施工占地范围，施工结束后恢复原有生态功能。</w:t>
            </w:r>
          </w:p>
          <w:p w14:paraId="274DD73F">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加强施工人员环保教育。工程建设过程中应严格按照《输变电建设项目环境保护技术要求》相关要求降低对生态的影响。</w:t>
            </w:r>
          </w:p>
          <w:p w14:paraId="63CE9759">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1</w:t>
            </w:r>
            <w:r>
              <w:rPr>
                <w:rFonts w:hint="eastAsia" w:ascii="Times New Roman" w:hAnsi="Times New Roman" w:eastAsia="宋体" w:cs="Times New Roman"/>
                <w:bCs/>
                <w:color w:val="auto"/>
                <w:sz w:val="24"/>
                <w:szCs w:val="24"/>
                <w:highlight w:val="none"/>
                <w:lang w:val="en-US" w:eastAsia="zh-CN"/>
              </w:rPr>
              <w:t>）输变电建设项目施工期临时用地应优先利用荒地、劣地。</w:t>
            </w:r>
          </w:p>
          <w:p w14:paraId="647A9486">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2</w:t>
            </w:r>
            <w:r>
              <w:rPr>
                <w:rFonts w:hint="eastAsia" w:ascii="Times New Roman" w:hAnsi="Times New Roman" w:eastAsia="宋体" w:cs="Times New Roman"/>
                <w:bCs/>
                <w:color w:val="auto"/>
                <w:sz w:val="24"/>
                <w:szCs w:val="24"/>
                <w:highlight w:val="none"/>
                <w:lang w:val="en-US" w:eastAsia="zh-CN"/>
              </w:rPr>
              <w:t>）对于容易流失的建筑材料集中堆放、加强管理，在堆料场周边设置临时排水沟。临时堆土场四周设置临时排水沟，并用装土麻袋进行拦挡，临时弃土用于绿化覆土后及时对场地进行绿化整治。</w:t>
            </w:r>
          </w:p>
          <w:p w14:paraId="340CC4B1">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3</w:t>
            </w:r>
            <w:r>
              <w:rPr>
                <w:rFonts w:hint="eastAsia" w:ascii="Times New Roman" w:hAnsi="Times New Roman" w:eastAsia="宋体" w:cs="Times New Roman"/>
                <w:bCs/>
                <w:color w:val="auto"/>
                <w:sz w:val="24"/>
                <w:szCs w:val="24"/>
                <w:highlight w:val="none"/>
                <w:lang w:val="en-US" w:eastAsia="zh-CN"/>
              </w:rPr>
              <w:t>）施工占用土地，应做好表土剥离、分类存放和回填利用。</w:t>
            </w:r>
            <w:r>
              <w:rPr>
                <w:rFonts w:hint="eastAsia" w:ascii="Times New Roman" w:hAnsi="Times New Roman" w:eastAsia="宋体" w:cs="Times New Roman"/>
                <w:bCs/>
                <w:color w:val="auto"/>
                <w:sz w:val="24"/>
                <w:szCs w:val="24"/>
                <w:highlight w:val="none"/>
                <w:lang w:eastAsia="zh-CN"/>
              </w:rPr>
              <w:t>表土剥离厚度3</w:t>
            </w:r>
            <w:r>
              <w:rPr>
                <w:rFonts w:hint="default" w:ascii="Times New Roman" w:hAnsi="Times New Roman" w:eastAsia="宋体" w:cs="Times New Roman"/>
                <w:bCs/>
                <w:color w:val="auto"/>
                <w:sz w:val="24"/>
                <w:szCs w:val="24"/>
                <w:highlight w:val="none"/>
                <w:lang w:eastAsia="zh-CN"/>
              </w:rPr>
              <w:t>0</w:t>
            </w:r>
            <w:r>
              <w:rPr>
                <w:rFonts w:hint="eastAsia" w:ascii="Times New Roman" w:hAnsi="Times New Roman" w:eastAsia="宋体" w:cs="Times New Roman"/>
                <w:bCs/>
                <w:color w:val="auto"/>
                <w:sz w:val="24"/>
                <w:szCs w:val="24"/>
                <w:highlight w:val="none"/>
                <w:lang w:eastAsia="zh-CN"/>
              </w:rPr>
              <w:t>cm</w:t>
            </w:r>
            <w:r>
              <w:rPr>
                <w:rFonts w:hint="eastAsia" w:ascii="Times New Roman" w:hAnsi="Times New Roman" w:eastAsia="宋体" w:cs="Times New Roman"/>
                <w:bCs/>
                <w:color w:val="auto"/>
                <w:sz w:val="24"/>
                <w:szCs w:val="24"/>
                <w:highlight w:val="none"/>
                <w:lang w:val="en-US" w:eastAsia="zh-CN"/>
              </w:rPr>
              <w:t>，减少开挖土石方，土石方尽可能回填，减少建筑垃圾量的产生。</w:t>
            </w:r>
          </w:p>
          <w:p w14:paraId="616F64BE">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4</w:t>
            </w:r>
            <w:r>
              <w:rPr>
                <w:rFonts w:hint="eastAsia" w:ascii="Times New Roman" w:hAnsi="Times New Roman" w:eastAsia="宋体" w:cs="Times New Roman"/>
                <w:bCs/>
                <w:color w:val="auto"/>
                <w:sz w:val="24"/>
                <w:szCs w:val="24"/>
                <w:highlight w:val="none"/>
                <w:lang w:val="en-US" w:eastAsia="zh-CN"/>
              </w:rPr>
              <w:t>）施工时，动土工程避开雨天，工程建设过程中的开挖土方在回填之前，做好临时的防护措施，集中堆放，并注意堆放坡度，做好施工区内的排水工作。</w:t>
            </w:r>
          </w:p>
          <w:p w14:paraId="7CBFAA45">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5</w:t>
            </w:r>
            <w:r>
              <w:rPr>
                <w:rFonts w:hint="eastAsia" w:ascii="Times New Roman" w:hAnsi="Times New Roman" w:eastAsia="宋体" w:cs="Times New Roman"/>
                <w:bCs/>
                <w:color w:val="auto"/>
                <w:sz w:val="24"/>
                <w:szCs w:val="24"/>
                <w:highlight w:val="none"/>
                <w:lang w:val="en-US" w:eastAsia="zh-CN"/>
              </w:rPr>
              <w:t>）施工现场使用带油料的机械器具，应采取措施防止油料跑、冒、滴、漏，防止对土壤和水体造成污染；施工工程用水需经沉淀池沉淀后回用，施工期间禁止向水体排放、倾倒垃圾、弃土、弃渣，禁止排放未经处理的钻浆等废弃物。</w:t>
            </w:r>
          </w:p>
          <w:p w14:paraId="745CF2BA">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6</w:t>
            </w:r>
            <w:r>
              <w:rPr>
                <w:rFonts w:hint="eastAsia" w:ascii="Times New Roman" w:hAnsi="Times New Roman" w:eastAsia="宋体" w:cs="Times New Roman"/>
                <w:bCs/>
                <w:color w:val="auto"/>
                <w:sz w:val="24"/>
                <w:szCs w:val="24"/>
                <w:highlight w:val="none"/>
                <w:lang w:val="en-US" w:eastAsia="zh-CN"/>
              </w:rPr>
              <w:t>）施工临时道路应尽可能利用机耕路、林区小路等现有道路，新建道路应严格控制道路宽度，以减少临时工程对生态环境的影响。</w:t>
            </w:r>
          </w:p>
          <w:p w14:paraId="47383182">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7</w:t>
            </w:r>
            <w:r>
              <w:rPr>
                <w:rFonts w:hint="eastAsia" w:ascii="Times New Roman" w:hAnsi="Times New Roman" w:eastAsia="宋体" w:cs="Times New Roman"/>
                <w:bCs/>
                <w:color w:val="auto"/>
                <w:sz w:val="24"/>
                <w:szCs w:val="24"/>
                <w:highlight w:val="none"/>
                <w:lang w:val="en-US" w:eastAsia="zh-CN"/>
              </w:rPr>
              <w:t>）选择综合素质高、有施工经验的队伍，在施工期间对施工人员加强生态保护的宣传教育，尽量减少对沿线林木的砍伐；严格按照《</w:t>
            </w:r>
            <w:r>
              <w:rPr>
                <w:rFonts w:hint="default" w:ascii="Times New Roman" w:hAnsi="Times New Roman" w:eastAsia="宋体" w:cs="Times New Roman"/>
                <w:bCs/>
                <w:color w:val="auto"/>
                <w:sz w:val="24"/>
                <w:szCs w:val="24"/>
                <w:highlight w:val="none"/>
                <w:lang w:val="en-US" w:eastAsia="zh-CN"/>
              </w:rPr>
              <w:t>110</w:t>
            </w:r>
            <w:r>
              <w:rPr>
                <w:rFonts w:hint="eastAsia" w:ascii="Times New Roman" w:hAnsi="Times New Roman" w:eastAsia="宋体" w:cs="Times New Roman"/>
                <w:bCs/>
                <w:color w:val="auto"/>
                <w:sz w:val="24"/>
                <w:szCs w:val="24"/>
                <w:highlight w:val="none"/>
                <w:lang w:val="en-US" w:eastAsia="zh-CN"/>
              </w:rPr>
              <w:t>kV</w:t>
            </w:r>
            <w:r>
              <w:rPr>
                <w:rFonts w:hint="default" w:ascii="Times New Roman" w:hAnsi="Times New Roman" w:eastAsia="宋体" w:cs="Times New Roman"/>
                <w:bCs/>
                <w:color w:val="auto"/>
                <w:sz w:val="24"/>
                <w:szCs w:val="24"/>
                <w:highlight w:val="none"/>
                <w:lang w:val="en-US" w:eastAsia="zh-CN"/>
              </w:rPr>
              <w:t>-750</w:t>
            </w:r>
            <w:r>
              <w:rPr>
                <w:rFonts w:hint="eastAsia" w:ascii="Times New Roman" w:hAnsi="Times New Roman" w:eastAsia="宋体" w:cs="Times New Roman"/>
                <w:bCs/>
                <w:color w:val="auto"/>
                <w:sz w:val="24"/>
                <w:szCs w:val="24"/>
                <w:highlight w:val="none"/>
                <w:lang w:val="en-US" w:eastAsia="zh-CN"/>
              </w:rPr>
              <w:t>kV架空输电线路设计规范》（</w:t>
            </w:r>
            <w:r>
              <w:rPr>
                <w:rFonts w:hint="default" w:ascii="Times New Roman" w:hAnsi="Times New Roman" w:eastAsia="宋体" w:cs="Times New Roman"/>
                <w:bCs/>
                <w:color w:val="auto"/>
                <w:sz w:val="24"/>
                <w:szCs w:val="24"/>
                <w:highlight w:val="none"/>
                <w:lang w:val="en-US" w:eastAsia="zh-CN"/>
              </w:rPr>
              <w:t>GB50545-2010</w:t>
            </w:r>
            <w:r>
              <w:rPr>
                <w:rFonts w:hint="eastAsia" w:ascii="Times New Roman" w:hAnsi="Times New Roman" w:eastAsia="宋体" w:cs="Times New Roman"/>
                <w:bCs/>
                <w:color w:val="auto"/>
                <w:sz w:val="24"/>
                <w:szCs w:val="24"/>
                <w:highlight w:val="none"/>
                <w:lang w:val="en-US" w:eastAsia="zh-CN"/>
              </w:rPr>
              <w:t>）中规定的架线高度架设输电线路。</w:t>
            </w:r>
          </w:p>
          <w:p w14:paraId="7E3762DD">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8</w:t>
            </w:r>
            <w:r>
              <w:rPr>
                <w:rFonts w:hint="eastAsia" w:ascii="Times New Roman" w:hAnsi="Times New Roman" w:eastAsia="宋体" w:cs="Times New Roman"/>
                <w:bCs/>
                <w:color w:val="auto"/>
                <w:sz w:val="24"/>
                <w:szCs w:val="24"/>
                <w:highlight w:val="none"/>
                <w:lang w:val="en-US" w:eastAsia="zh-CN"/>
              </w:rPr>
              <w:t>）施工结束后，应及时清理施工现场，因地制宜进行土地功能恢复。</w:t>
            </w:r>
          </w:p>
          <w:p w14:paraId="1CCB1608">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通过以上措施，施工过程对区域生态环境产生的影响较小</w:t>
            </w:r>
          </w:p>
          <w:p w14:paraId="018E6009">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靠近</w:t>
            </w:r>
            <w:r>
              <w:rPr>
                <w:rFonts w:hint="default" w:ascii="Times New Roman" w:hAnsi="Times New Roman" w:eastAsia="宋体" w:cs="Times New Roman"/>
                <w:bCs/>
                <w:color w:val="auto"/>
                <w:sz w:val="24"/>
                <w:szCs w:val="24"/>
                <w:highlight w:val="none"/>
                <w:lang w:eastAsia="zh-CN"/>
              </w:rPr>
              <w:t>生态红线区施工生态保护、减缓及恢复措施：</w:t>
            </w:r>
          </w:p>
          <w:p w14:paraId="2F9F61A1">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在</w:t>
            </w:r>
            <w:r>
              <w:rPr>
                <w:rFonts w:hint="eastAsia" w:ascii="Times New Roman" w:hAnsi="Times New Roman" w:eastAsia="宋体" w:cs="Times New Roman"/>
                <w:bCs/>
                <w:color w:val="auto"/>
                <w:sz w:val="24"/>
                <w:szCs w:val="24"/>
                <w:highlight w:val="none"/>
                <w:lang w:val="en-US" w:eastAsia="zh-CN"/>
              </w:rPr>
              <w:t>靠近</w:t>
            </w:r>
            <w:r>
              <w:rPr>
                <w:rFonts w:hint="default" w:ascii="Times New Roman" w:hAnsi="Times New Roman" w:eastAsia="宋体" w:cs="Times New Roman"/>
                <w:bCs/>
                <w:color w:val="auto"/>
                <w:sz w:val="24"/>
                <w:szCs w:val="24"/>
                <w:highlight w:val="none"/>
                <w:lang w:eastAsia="zh-CN"/>
              </w:rPr>
              <w:t>生态红线区域施工除遵循上述生态保护、减缓及恢复措施一般要求外，还应增加、强化如下内容：</w:t>
            </w:r>
          </w:p>
          <w:p w14:paraId="7F4C95BB">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①</w:t>
            </w:r>
            <w:r>
              <w:rPr>
                <w:rFonts w:hint="default" w:ascii="Times New Roman" w:hAnsi="Times New Roman" w:eastAsia="宋体" w:cs="Times New Roman"/>
                <w:bCs/>
                <w:color w:val="auto"/>
                <w:sz w:val="24"/>
                <w:szCs w:val="24"/>
                <w:highlight w:val="none"/>
                <w:lang w:eastAsia="zh-CN"/>
              </w:rPr>
              <w:t>土地占用防护措施</w:t>
            </w:r>
          </w:p>
          <w:p w14:paraId="77E8800C">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A.施工单位在施工过程中，必须按照设计要求，严格控制开挖范围及开挖量，施工时基础开挖多余的土石方不允许就地倾倒，应采取回填方式妥善处置不产生弃土。</w:t>
            </w:r>
          </w:p>
          <w:p w14:paraId="1660778A">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B.优化牵张场地设置，严禁在红线区内及周边植被覆盖较好处设置牵张场地。</w:t>
            </w:r>
          </w:p>
          <w:p w14:paraId="114B856B">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C.本项目不在生态保护红线范围内设置塔基。</w:t>
            </w:r>
          </w:p>
          <w:p w14:paraId="2E52E623">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②</w:t>
            </w:r>
            <w:r>
              <w:rPr>
                <w:rFonts w:hint="default" w:ascii="Times New Roman" w:hAnsi="Times New Roman" w:eastAsia="宋体" w:cs="Times New Roman"/>
                <w:bCs/>
                <w:color w:val="auto"/>
                <w:sz w:val="24"/>
                <w:szCs w:val="24"/>
                <w:highlight w:val="none"/>
                <w:lang w:eastAsia="zh-CN"/>
              </w:rPr>
              <w:t>植被保护措施</w:t>
            </w:r>
          </w:p>
          <w:p w14:paraId="3394CBBE">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A.施工结束后，及时清理施工场地，尽可能恢复原地貌及原有土地利用功能。</w:t>
            </w:r>
          </w:p>
          <w:p w14:paraId="3930A34E">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B.如在施工过程中发现有受保护的植物，应对线路调整避让或移栽受保护的植物，同时上报林业主管部门。移栽时就近移栽，并安排相关专业人员负责养护，保证成活。</w:t>
            </w:r>
          </w:p>
          <w:p w14:paraId="3F38D0A8">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C.对施工人员应加强防火安全和警示教育，林区内禁止使用明火。</w:t>
            </w:r>
          </w:p>
          <w:p w14:paraId="4C6185DD">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③</w:t>
            </w:r>
            <w:r>
              <w:rPr>
                <w:rFonts w:hint="default" w:ascii="Times New Roman" w:hAnsi="Times New Roman" w:eastAsia="宋体" w:cs="Times New Roman"/>
                <w:bCs/>
                <w:color w:val="auto"/>
                <w:sz w:val="24"/>
                <w:szCs w:val="24"/>
                <w:highlight w:val="none"/>
                <w:lang w:eastAsia="zh-CN"/>
              </w:rPr>
              <w:t>野生动物保护措施</w:t>
            </w:r>
          </w:p>
          <w:p w14:paraId="1B2A123D">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A.通过尽量减少施工占地面积、优化施工方案、缩短施工时间和减少植被破坏等方式保护动物的栖息生境。</w:t>
            </w:r>
          </w:p>
          <w:p w14:paraId="3A929915">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B.尽量采用噪声小的施工机械，加强施工人员教育，禁止大声喧哗，减少噪声对区域野生动物的惊扰。</w:t>
            </w:r>
          </w:p>
          <w:p w14:paraId="5A8FE21A">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C.加强施工人员的管理，施工人员应严格遵守生态保护红线区的法规和管理制度，坚决禁止捕猎野生动物、捡拾鸟蛋等行为，爱护红线区内所有野生动物。在施工中遇到的幼兽、幼鸟和鸟蛋须交给林业局的专业人员妥善处置，不得擅自处理。</w:t>
            </w:r>
          </w:p>
          <w:p w14:paraId="03547A6E">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D.工程完工后尽快做好生态环境的恢复工作，以尽量减少生境破坏对动物的不利影响。</w:t>
            </w:r>
          </w:p>
          <w:p w14:paraId="08DA2834">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④</w:t>
            </w:r>
            <w:r>
              <w:rPr>
                <w:rFonts w:hint="default" w:ascii="Times New Roman" w:hAnsi="Times New Roman" w:eastAsia="宋体" w:cs="Times New Roman"/>
                <w:bCs/>
                <w:color w:val="auto"/>
                <w:sz w:val="24"/>
                <w:szCs w:val="24"/>
                <w:highlight w:val="none"/>
                <w:lang w:eastAsia="zh-CN"/>
              </w:rPr>
              <w:t>水土保持措施</w:t>
            </w:r>
          </w:p>
          <w:p w14:paraId="363C9103">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A.施工单位在土石方工程开工前应做到先防护，后开挖。基础施工时，应尽量缩短基坑暴露时间。</w:t>
            </w:r>
          </w:p>
          <w:p w14:paraId="1DB9D909">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B.动土工程避开雨季及雨天，工程建设过程中的开挖土方集中堆放，做好临时防护措施，并注意堆放坡度，做好施工区内的排水工作。</w:t>
            </w:r>
          </w:p>
          <w:p w14:paraId="5F230F64">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C.对于容易流失的建筑材料集中堆放、加强管理，在堆料场周边设置临时排水沟。</w:t>
            </w:r>
          </w:p>
          <w:p w14:paraId="344DF915">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评价区域内现状土地利用是综合生态系统体系，植被覆盖较好，在建设期对当地及生态红线区域的生态系统稍有影响，但基本不改变土地利用结构，不改变周边植被分布与构成，在采取生态恢复及保护措施后，可有效控制当地及生态红线区域内水土流失，使其影响降至最低。在项目生态保护恢复完成后当地及生态红线区域的生态系统的组成与构成变化微乎其微，不会影响生态系统运行方式、机理。</w:t>
            </w:r>
          </w:p>
          <w:p w14:paraId="25107580">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⑤林区的环保措施</w:t>
            </w:r>
          </w:p>
          <w:p w14:paraId="59CD0CFF">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A.</w:t>
            </w:r>
            <w:r>
              <w:rPr>
                <w:rFonts w:hint="eastAsia" w:ascii="Times New Roman" w:hAnsi="Times New Roman" w:eastAsia="宋体" w:cs="Times New Roman"/>
                <w:bCs/>
                <w:color w:val="auto"/>
                <w:sz w:val="24"/>
                <w:szCs w:val="24"/>
                <w:highlight w:val="none"/>
                <w:lang w:eastAsia="zh-CN"/>
              </w:rPr>
              <w:t>道路施工和修建架空电线时应避让林区；合理布置施工运输路线减少工程施工对野生动物影响，避开鸟类栖息地；施工组织设计时，优化塔位布设，尽可能不在林中立塔。</w:t>
            </w:r>
          </w:p>
          <w:p w14:paraId="571EF881">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B.</w:t>
            </w:r>
            <w:r>
              <w:rPr>
                <w:rFonts w:hint="eastAsia" w:ascii="Times New Roman" w:hAnsi="Times New Roman" w:eastAsia="宋体" w:cs="Times New Roman"/>
                <w:bCs/>
                <w:color w:val="auto"/>
                <w:sz w:val="24"/>
                <w:szCs w:val="24"/>
                <w:highlight w:val="none"/>
                <w:lang w:eastAsia="zh-CN"/>
              </w:rPr>
              <w:t xml:space="preserve"> 不在林地中弃土弃渣或设置牵张场等临时施工占地。</w:t>
            </w:r>
          </w:p>
          <w:p w14:paraId="0241C0F8">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⑥跨越生态保护红线的环保措施</w:t>
            </w:r>
          </w:p>
          <w:p w14:paraId="1EF82DFC">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尽量避绕生态保护红线区域，避免对红线区域内生态环境造成影响；优化施工方式和施工时间，控制施工作业带宽度，尽可能减小施工对生态红线范围内的动植物及其生境等产生的影响。</w:t>
            </w:r>
          </w:p>
          <w:p w14:paraId="749CDC39">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综合分析，本项目建设不会影响生态系统的以植物为主的生物生产量产出及总量，并且项目是微小点状占地，空中走线，同时根据全国各地输变电架空线路在多地、多处自然保护区实际案例，不会对当地及生态红线区域的动物产生影响。</w:t>
            </w:r>
          </w:p>
          <w:p w14:paraId="1535B2FF">
            <w:pPr>
              <w:keepNext w:val="0"/>
              <w:keepLines w:val="0"/>
              <w:widowControl/>
              <w:suppressLineNumbers w:val="0"/>
              <w:ind w:firstLine="482" w:firstLineChars="200"/>
              <w:jc w:val="left"/>
            </w:pPr>
            <w:r>
              <w:rPr>
                <w:rFonts w:hint="eastAsia" w:ascii="宋体" w:hAnsi="宋体" w:eastAsia="宋体" w:cs="宋体"/>
                <w:b/>
                <w:bCs/>
                <w:color w:val="000000"/>
                <w:kern w:val="0"/>
                <w:sz w:val="24"/>
                <w:szCs w:val="24"/>
                <w:lang w:val="en-US" w:eastAsia="zh-CN" w:bidi="ar"/>
              </w:rPr>
              <w:t xml:space="preserve">6、施工期生态保护红线保护措施 </w:t>
            </w:r>
          </w:p>
          <w:p w14:paraId="63F20448">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施工期内容主要为线路架设，建设过程中施工现场使用带油料的机械器具，应采取措施防止油料跑、冒、滴、漏施工期不向水体排放、倾倒垃圾、弃土、</w:t>
            </w:r>
          </w:p>
          <w:p w14:paraId="3DD2A3FD">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弃渣等，施工活动严格控制在征地范围内，尽可能减少对植被的破坏；通 </w:t>
            </w:r>
          </w:p>
          <w:p w14:paraId="2BB6DE6A">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过制度化严禁施工人员非法猎捕野生动物，以减轻施工对当地陆生动植物 </w:t>
            </w:r>
          </w:p>
          <w:p w14:paraId="01D9A7E4">
            <w:pPr>
              <w:keepNext w:val="0"/>
              <w:keepLines w:val="0"/>
              <w:widowControl/>
              <w:suppressLineNumbers w:val="0"/>
              <w:spacing w:line="360" w:lineRule="auto"/>
              <w:jc w:val="left"/>
              <w:rPr>
                <w:rFonts w:hint="default" w:ascii="Times New Roman" w:hAnsi="Times New Roman" w:eastAsia="宋体" w:cs="Times New Roman"/>
                <w:bCs/>
                <w:color w:val="auto"/>
                <w:sz w:val="24"/>
                <w:szCs w:val="24"/>
                <w:highlight w:val="none"/>
                <w:lang w:eastAsia="zh-CN"/>
              </w:rPr>
            </w:pPr>
            <w:r>
              <w:rPr>
                <w:rFonts w:hint="eastAsia" w:ascii="宋体" w:hAnsi="宋体" w:eastAsia="宋体" w:cs="宋体"/>
                <w:color w:val="000000"/>
                <w:kern w:val="0"/>
                <w:sz w:val="24"/>
                <w:szCs w:val="24"/>
                <w:lang w:val="en-US" w:eastAsia="zh-CN" w:bidi="ar"/>
              </w:rPr>
              <w:t>的影响；合理组织施工，尽量缩短施工工期；合理选择、设置及开挖施工用地锚坑，减少植被的破坏。各种架线施工的临时用坑，在架线施工结束后及时回填，恢复植被；施工现场要加强对地表植被的保护，进出一条道，利用己有道路，尽量减少人员、车辆对地表作物的碾压；基坑开挖的土壤分类存放，保护表土，用于植被恢复；严格执行水土保持方案生态保护措施；生态保护红线范围内不设置</w:t>
            </w:r>
            <w:r>
              <w:rPr>
                <w:rFonts w:hint="eastAsia" w:ascii="宋体" w:hAnsi="宋体" w:cs="宋体"/>
                <w:color w:val="000000"/>
                <w:kern w:val="0"/>
                <w:sz w:val="24"/>
                <w:szCs w:val="24"/>
                <w:lang w:val="en-US" w:eastAsia="zh-CN" w:bidi="ar"/>
              </w:rPr>
              <w:t>临时道路与</w:t>
            </w:r>
            <w:r>
              <w:rPr>
                <w:rFonts w:hint="eastAsia" w:ascii="宋体" w:hAnsi="宋体" w:eastAsia="宋体" w:cs="宋体"/>
                <w:color w:val="000000"/>
                <w:kern w:val="0"/>
                <w:sz w:val="24"/>
                <w:szCs w:val="24"/>
                <w:lang w:val="en-US" w:eastAsia="zh-CN" w:bidi="ar"/>
              </w:rPr>
              <w:t>牵张场；施工期施工人员生活污水排入临时移动厕所，定期清掏。施工结束后，应及时清理施工现场，因地制宜进行土地功能恢复。</w:t>
            </w:r>
          </w:p>
          <w:p w14:paraId="6EA5C7A0">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both"/>
              <w:textAlignment w:val="auto"/>
              <w:outlineLvl w:val="9"/>
              <w:rPr>
                <w:rFonts w:hint="default" w:ascii="Times New Roman" w:hAnsi="Times New Roman" w:eastAsia="宋体" w:cs="Times New Roman"/>
                <w:b/>
                <w:bCs w:val="0"/>
                <w:color w:val="auto"/>
                <w:sz w:val="24"/>
                <w:szCs w:val="24"/>
                <w:highlight w:val="none"/>
                <w:lang w:eastAsia="zh-CN"/>
              </w:rPr>
            </w:pPr>
            <w:r>
              <w:rPr>
                <w:rFonts w:hint="eastAsia" w:cs="Times New Roman"/>
                <w:b/>
                <w:bCs w:val="0"/>
                <w:color w:val="auto"/>
                <w:sz w:val="24"/>
                <w:szCs w:val="24"/>
                <w:highlight w:val="none"/>
                <w:lang w:val="en-US" w:eastAsia="zh-CN"/>
              </w:rPr>
              <w:t>7、施工期</w:t>
            </w:r>
            <w:r>
              <w:rPr>
                <w:rFonts w:hint="default" w:ascii="Times New Roman" w:hAnsi="Times New Roman" w:eastAsia="宋体" w:cs="Times New Roman"/>
                <w:b/>
                <w:bCs w:val="0"/>
                <w:color w:val="auto"/>
                <w:sz w:val="24"/>
                <w:szCs w:val="24"/>
                <w:highlight w:val="none"/>
                <w:lang w:eastAsia="zh-CN"/>
              </w:rPr>
              <w:t>防沙治沙措施</w:t>
            </w:r>
          </w:p>
          <w:p w14:paraId="63D969A5">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本次评价要求建设单位严格按照《中华人民共和国防沙治沙法》（2018）有关规定， 执行以下防沙治沙措施：</w:t>
            </w:r>
          </w:p>
          <w:p w14:paraId="463A1A4B">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①制定方案的原则与目标</w:t>
            </w:r>
          </w:p>
          <w:p w14:paraId="3A496DEF">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制定方案的原则：科学性、前瞻性与可行性相结合；定性目标与定量指标相结合；注 重生态效益与关注民生、发展产业相结合；节约用水和合理用水相结合；坚持因地制宜的原则。</w:t>
            </w:r>
          </w:p>
          <w:p w14:paraId="6AD73263">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制定方案的目标：通过工程建设，维持现有区域植被覆盖度，沙化土地扩展趋势得到 遏制，区域生态环境显著改善。</w:t>
            </w:r>
          </w:p>
          <w:p w14:paraId="489573EF">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②工程措施</w:t>
            </w:r>
          </w:p>
          <w:p w14:paraId="3B1D088A">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本工程针对项目区地理环境，控制施工范围，施工结束后进行平整且压实不再扰动。</w:t>
            </w:r>
          </w:p>
          <w:p w14:paraId="583A39B5">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③其他措施</w:t>
            </w:r>
          </w:p>
          <w:p w14:paraId="466F593E">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对场地地面施工过程中，应避免在春季大风季节以及夏季暴雨时节进行作业。严格控 制施工活动范围，严禁乱碾乱轧，避免对占地范围外的区域造成扰动；严禁施工人员在荒 漠地段随意踩踏、占用，施工结束后，应对施工场地及时进行清理、平整，减少沙物质来 源。针对施工机械及运输车辆，提出如下措施：施工期间应划定施工活动范严格控制和管 理运输车辆及重型机械的运行线路和范围，不得离开运输道路及随意行驶， 由专人负责。</w:t>
            </w:r>
          </w:p>
          <w:p w14:paraId="5611A9E7">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制订施工期环保规章制度，加强施工人员环保意识。</w:t>
            </w:r>
          </w:p>
          <w:p w14:paraId="60C2108A">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施工过程对区域生态环境产生的影响较小。</w:t>
            </w:r>
          </w:p>
        </w:tc>
      </w:tr>
      <w:tr w14:paraId="42D358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426" w:type="dxa"/>
            <w:noWrap w:val="0"/>
            <w:tcMar>
              <w:left w:w="28" w:type="dxa"/>
              <w:right w:w="28" w:type="dxa"/>
            </w:tcMar>
            <w:vAlign w:val="center"/>
          </w:tcPr>
          <w:p w14:paraId="2D1A5482">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Cs/>
                <w:color w:val="auto"/>
                <w:spacing w:val="10"/>
                <w:szCs w:val="21"/>
                <w:highlight w:val="none"/>
                <w:lang w:val="en-US" w:eastAsia="zh-CN"/>
              </w:rPr>
            </w:pPr>
            <w:r>
              <w:rPr>
                <w:rFonts w:hint="eastAsia" w:cs="Times New Roman"/>
                <w:bCs/>
                <w:color w:val="auto"/>
                <w:spacing w:val="10"/>
                <w:szCs w:val="21"/>
                <w:highlight w:val="none"/>
                <w:lang w:val="en-US" w:eastAsia="zh-CN"/>
              </w:rPr>
              <w:t>运营期生态环境保护措施</w:t>
            </w:r>
          </w:p>
        </w:tc>
        <w:tc>
          <w:tcPr>
            <w:tcW w:w="8127" w:type="dxa"/>
            <w:noWrap w:val="0"/>
            <w:vAlign w:val="center"/>
          </w:tcPr>
          <w:p w14:paraId="75B3DB79">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both"/>
              <w:textAlignment w:val="auto"/>
              <w:outlineLvl w:val="9"/>
              <w:rPr>
                <w:rFonts w:hint="default" w:ascii="Times New Roman" w:hAnsi="Times New Roman" w:eastAsia="宋体" w:cs="Times New Roman"/>
                <w:b/>
                <w:bCs w:val="0"/>
                <w:color w:val="auto"/>
                <w:sz w:val="24"/>
                <w:szCs w:val="24"/>
                <w:highlight w:val="none"/>
                <w:lang w:eastAsia="zh-CN"/>
              </w:rPr>
            </w:pPr>
            <w:r>
              <w:rPr>
                <w:rFonts w:hint="eastAsia" w:ascii="Times New Roman" w:hAnsi="Times New Roman" w:eastAsia="宋体" w:cs="Times New Roman"/>
                <w:b/>
                <w:bCs w:val="0"/>
                <w:color w:val="auto"/>
                <w:sz w:val="24"/>
                <w:szCs w:val="24"/>
                <w:highlight w:val="none"/>
                <w:lang w:val="en-US" w:eastAsia="zh-CN"/>
              </w:rPr>
              <w:t>1、</w:t>
            </w:r>
            <w:r>
              <w:rPr>
                <w:rFonts w:hint="eastAsia" w:cs="Times New Roman"/>
                <w:b/>
                <w:bCs w:val="0"/>
                <w:color w:val="auto"/>
                <w:sz w:val="24"/>
                <w:szCs w:val="24"/>
                <w:highlight w:val="none"/>
                <w:lang w:val="en-US" w:eastAsia="zh-CN"/>
              </w:rPr>
              <w:t>运营期</w:t>
            </w:r>
            <w:r>
              <w:rPr>
                <w:rFonts w:hint="default" w:ascii="Times New Roman" w:hAnsi="Times New Roman" w:eastAsia="宋体" w:cs="Times New Roman"/>
                <w:b/>
                <w:bCs w:val="0"/>
                <w:color w:val="auto"/>
                <w:sz w:val="24"/>
                <w:szCs w:val="24"/>
                <w:highlight w:val="none"/>
                <w:lang w:eastAsia="zh-CN"/>
              </w:rPr>
              <w:t>大气环境</w:t>
            </w:r>
            <w:r>
              <w:rPr>
                <w:rFonts w:hint="eastAsia" w:ascii="Times New Roman" w:hAnsi="Times New Roman" w:eastAsia="宋体" w:cs="Times New Roman"/>
                <w:b/>
                <w:bCs w:val="0"/>
                <w:color w:val="auto"/>
                <w:sz w:val="24"/>
                <w:szCs w:val="24"/>
                <w:highlight w:val="none"/>
                <w:lang w:val="en-US" w:eastAsia="zh-CN"/>
              </w:rPr>
              <w:t>保护措施</w:t>
            </w:r>
          </w:p>
          <w:p w14:paraId="58844D5A">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eastAsia="zh-CN"/>
              </w:rPr>
              <w:t>线路</w:t>
            </w:r>
            <w:r>
              <w:rPr>
                <w:rFonts w:hint="eastAsia" w:cs="Times New Roman"/>
                <w:bCs/>
                <w:color w:val="auto"/>
                <w:sz w:val="24"/>
                <w:szCs w:val="24"/>
                <w:highlight w:val="none"/>
                <w:lang w:eastAsia="zh-CN"/>
              </w:rPr>
              <w:t>运营期</w:t>
            </w:r>
            <w:r>
              <w:rPr>
                <w:rFonts w:hint="default" w:ascii="Times New Roman" w:hAnsi="Times New Roman" w:eastAsia="宋体" w:cs="Times New Roman"/>
                <w:bCs/>
                <w:color w:val="auto"/>
                <w:sz w:val="24"/>
                <w:szCs w:val="24"/>
                <w:highlight w:val="none"/>
                <w:lang w:eastAsia="zh-CN"/>
              </w:rPr>
              <w:t>间不产生废气，不会对周边大气环境产生影响。</w:t>
            </w:r>
          </w:p>
          <w:p w14:paraId="6D08ACB2">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lang w:val="en-US" w:eastAsia="zh-CN"/>
              </w:rPr>
              <w:t>、</w:t>
            </w:r>
            <w:r>
              <w:rPr>
                <w:rFonts w:hint="eastAsia" w:cs="Times New Roman"/>
                <w:b/>
                <w:bCs w:val="0"/>
                <w:color w:val="auto"/>
                <w:sz w:val="24"/>
                <w:szCs w:val="24"/>
                <w:highlight w:val="none"/>
                <w:lang w:val="en-US" w:eastAsia="zh-CN"/>
              </w:rPr>
              <w:t>运营期</w:t>
            </w:r>
            <w:r>
              <w:rPr>
                <w:rFonts w:hint="default" w:ascii="Times New Roman" w:hAnsi="Times New Roman" w:eastAsia="宋体" w:cs="Times New Roman"/>
                <w:b/>
                <w:bCs w:val="0"/>
                <w:color w:val="auto"/>
                <w:sz w:val="24"/>
                <w:szCs w:val="24"/>
                <w:highlight w:val="none"/>
                <w:lang w:val="en-US" w:eastAsia="zh-CN"/>
              </w:rPr>
              <w:t>电磁环境保护措施</w:t>
            </w:r>
          </w:p>
          <w:p w14:paraId="00777BE4">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根据本项目电磁环境影响专题评价，由模式预测可知，当本项目架空线路投入运行后，架空线路周围工频电场强度、工频磁感应强度满足《电磁环境控制限值》（GB8702-2014）中 4kV/m 、100μT 的评价标准，架空输电线路线下的耕地、园地、牧草地、畜禽饲养地、 养殖水面、道路等场所，其频率 50Hz 的电场强度控制限值为10kV/m，且应给出警示和防护指示标志。</w:t>
            </w:r>
          </w:p>
          <w:p w14:paraId="24917028">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both"/>
              <w:textAlignment w:val="auto"/>
              <w:outlineLvl w:val="9"/>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3</w:t>
            </w:r>
            <w:r>
              <w:rPr>
                <w:rFonts w:hint="default" w:ascii="Times New Roman" w:hAnsi="Times New Roman" w:eastAsia="宋体" w:cs="Times New Roman"/>
                <w:b/>
                <w:bCs w:val="0"/>
                <w:color w:val="auto"/>
                <w:sz w:val="24"/>
                <w:szCs w:val="24"/>
                <w:highlight w:val="none"/>
                <w:lang w:val="en-US" w:eastAsia="zh-CN"/>
              </w:rPr>
              <w:t>、</w:t>
            </w:r>
            <w:r>
              <w:rPr>
                <w:rFonts w:hint="eastAsia" w:cs="Times New Roman"/>
                <w:b/>
                <w:bCs w:val="0"/>
                <w:color w:val="auto"/>
                <w:sz w:val="24"/>
                <w:szCs w:val="24"/>
                <w:highlight w:val="none"/>
                <w:lang w:val="en-US" w:eastAsia="zh-CN"/>
              </w:rPr>
              <w:t>运营期</w:t>
            </w:r>
            <w:r>
              <w:rPr>
                <w:rFonts w:hint="default" w:ascii="Times New Roman" w:hAnsi="Times New Roman" w:eastAsia="宋体" w:cs="Times New Roman"/>
                <w:b/>
                <w:bCs w:val="0"/>
                <w:color w:val="auto"/>
                <w:sz w:val="24"/>
                <w:szCs w:val="24"/>
                <w:highlight w:val="none"/>
                <w:lang w:val="en-US" w:eastAsia="zh-CN"/>
              </w:rPr>
              <w:t>水环境保护措施</w:t>
            </w:r>
          </w:p>
          <w:p w14:paraId="60DE5C15">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本项目运营期无废水产生，对周边水环境无影响。</w:t>
            </w:r>
          </w:p>
          <w:p w14:paraId="466195C0">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both"/>
              <w:textAlignment w:val="auto"/>
              <w:outlineLvl w:val="9"/>
              <w:rPr>
                <w:rFonts w:hint="default" w:ascii="Times New Roman" w:hAnsi="Times New Roman" w:eastAsia="宋体" w:cs="Times New Roman"/>
                <w:b/>
                <w:bCs w:val="0"/>
                <w:color w:val="auto"/>
                <w:sz w:val="24"/>
                <w:szCs w:val="24"/>
                <w:highlight w:val="none"/>
                <w:lang w:eastAsia="zh-CN"/>
              </w:rPr>
            </w:pPr>
            <w:r>
              <w:rPr>
                <w:rFonts w:hint="eastAsia" w:ascii="Times New Roman" w:hAnsi="Times New Roman" w:eastAsia="宋体" w:cs="Times New Roman"/>
                <w:b/>
                <w:bCs w:val="0"/>
                <w:color w:val="auto"/>
                <w:sz w:val="24"/>
                <w:szCs w:val="24"/>
                <w:highlight w:val="none"/>
                <w:lang w:val="en-US" w:eastAsia="zh-CN"/>
              </w:rPr>
              <w:t>4</w:t>
            </w:r>
            <w:r>
              <w:rPr>
                <w:rFonts w:hint="default" w:ascii="Times New Roman" w:hAnsi="Times New Roman" w:eastAsia="宋体" w:cs="Times New Roman"/>
                <w:b/>
                <w:bCs w:val="0"/>
                <w:color w:val="auto"/>
                <w:sz w:val="24"/>
                <w:szCs w:val="24"/>
                <w:highlight w:val="none"/>
                <w:lang w:val="en-US" w:eastAsia="zh-CN"/>
              </w:rPr>
              <w:t>、</w:t>
            </w:r>
            <w:r>
              <w:rPr>
                <w:rFonts w:hint="eastAsia" w:cs="Times New Roman"/>
                <w:b/>
                <w:bCs w:val="0"/>
                <w:color w:val="auto"/>
                <w:sz w:val="24"/>
                <w:szCs w:val="24"/>
                <w:highlight w:val="none"/>
                <w:lang w:val="en-US" w:eastAsia="zh-CN"/>
              </w:rPr>
              <w:t>运营期</w:t>
            </w:r>
            <w:r>
              <w:rPr>
                <w:rFonts w:hint="default" w:ascii="Times New Roman" w:hAnsi="Times New Roman" w:eastAsia="宋体" w:cs="Times New Roman"/>
                <w:b/>
                <w:bCs w:val="0"/>
                <w:color w:val="auto"/>
                <w:sz w:val="24"/>
                <w:szCs w:val="24"/>
                <w:highlight w:val="none"/>
                <w:lang w:val="en-US" w:eastAsia="zh-CN"/>
              </w:rPr>
              <w:t>声环境保护措施</w:t>
            </w:r>
          </w:p>
          <w:p w14:paraId="7BB86494">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eastAsia"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运营期</w:t>
            </w:r>
            <w:r>
              <w:rPr>
                <w:rFonts w:hint="eastAsia" w:ascii="Times New Roman" w:hAnsi="Times New Roman" w:eastAsia="宋体" w:cs="Times New Roman"/>
                <w:bCs/>
                <w:color w:val="auto"/>
                <w:sz w:val="24"/>
                <w:szCs w:val="24"/>
                <w:highlight w:val="none"/>
                <w:lang w:val="en-US" w:eastAsia="zh-CN"/>
              </w:rPr>
              <w:t>做好环境保护设施的维护和运行管理，加强巡查和检查，保障发挥环境保护作用，定期开展环境监测，确保噪声达标排放并及时解决公众合理的环境保护诉求。</w:t>
            </w:r>
          </w:p>
          <w:p w14:paraId="407481EE">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通过采取以上措施后，降低噪声对周围环境的影响。</w:t>
            </w:r>
          </w:p>
          <w:p w14:paraId="7DBE3685">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both"/>
              <w:textAlignment w:val="auto"/>
              <w:outlineLvl w:val="9"/>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5</w:t>
            </w:r>
            <w:r>
              <w:rPr>
                <w:rFonts w:hint="default" w:ascii="Times New Roman" w:hAnsi="Times New Roman" w:eastAsia="宋体" w:cs="Times New Roman"/>
                <w:b/>
                <w:bCs w:val="0"/>
                <w:color w:val="auto"/>
                <w:sz w:val="24"/>
                <w:szCs w:val="24"/>
                <w:highlight w:val="none"/>
                <w:lang w:val="en-US" w:eastAsia="zh-CN"/>
              </w:rPr>
              <w:t>、</w:t>
            </w:r>
            <w:r>
              <w:rPr>
                <w:rFonts w:hint="eastAsia" w:cs="Times New Roman"/>
                <w:b/>
                <w:bCs w:val="0"/>
                <w:color w:val="auto"/>
                <w:sz w:val="24"/>
                <w:szCs w:val="24"/>
                <w:highlight w:val="none"/>
                <w:lang w:val="en-US" w:eastAsia="zh-CN"/>
              </w:rPr>
              <w:t>运营期</w:t>
            </w:r>
            <w:r>
              <w:rPr>
                <w:rFonts w:hint="default" w:ascii="Times New Roman" w:hAnsi="Times New Roman" w:eastAsia="宋体" w:cs="Times New Roman"/>
                <w:b/>
                <w:bCs w:val="0"/>
                <w:color w:val="auto"/>
                <w:sz w:val="24"/>
                <w:szCs w:val="24"/>
                <w:highlight w:val="none"/>
                <w:lang w:eastAsia="zh-CN"/>
              </w:rPr>
              <w:t>固体废物</w:t>
            </w:r>
            <w:r>
              <w:rPr>
                <w:rFonts w:hint="default" w:ascii="Times New Roman" w:hAnsi="Times New Roman" w:eastAsia="宋体" w:cs="Times New Roman"/>
                <w:b/>
                <w:bCs w:val="0"/>
                <w:color w:val="auto"/>
                <w:sz w:val="24"/>
                <w:szCs w:val="24"/>
                <w:highlight w:val="none"/>
                <w:lang w:val="en-US" w:eastAsia="zh-CN"/>
              </w:rPr>
              <w:t>保护措施</w:t>
            </w:r>
          </w:p>
          <w:p w14:paraId="7005A59C">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w:t>
            </w:r>
            <w:r>
              <w:rPr>
                <w:rFonts w:hint="eastAsia" w:ascii="Times New Roman" w:hAnsi="Times New Roman" w:eastAsia="宋体" w:cs="Times New Roman"/>
                <w:bCs/>
                <w:color w:val="auto"/>
                <w:sz w:val="24"/>
                <w:szCs w:val="24"/>
                <w:highlight w:val="none"/>
                <w:lang w:val="en-US" w:eastAsia="zh-CN"/>
              </w:rPr>
              <w:t>运营期无</w:t>
            </w:r>
            <w:r>
              <w:rPr>
                <w:rFonts w:hint="default" w:ascii="Times New Roman" w:hAnsi="Times New Roman" w:eastAsia="宋体" w:cs="Times New Roman"/>
                <w:bCs/>
                <w:color w:val="auto"/>
                <w:sz w:val="24"/>
                <w:szCs w:val="24"/>
                <w:highlight w:val="none"/>
                <w:lang w:val="en-US" w:eastAsia="zh-CN"/>
              </w:rPr>
              <w:t>固体废物产生，不会对周围环境产生影响。</w:t>
            </w:r>
          </w:p>
          <w:p w14:paraId="1F84F25D">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both"/>
              <w:textAlignment w:val="auto"/>
              <w:outlineLvl w:val="9"/>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6</w:t>
            </w:r>
            <w:r>
              <w:rPr>
                <w:rFonts w:hint="default" w:ascii="Times New Roman" w:hAnsi="Times New Roman" w:eastAsia="宋体" w:cs="Times New Roman"/>
                <w:b/>
                <w:bCs w:val="0"/>
                <w:color w:val="auto"/>
                <w:sz w:val="24"/>
                <w:szCs w:val="24"/>
                <w:highlight w:val="none"/>
                <w:lang w:val="en-US" w:eastAsia="zh-CN"/>
              </w:rPr>
              <w:t>、</w:t>
            </w:r>
            <w:r>
              <w:rPr>
                <w:rFonts w:hint="eastAsia" w:cs="Times New Roman"/>
                <w:b/>
                <w:bCs w:val="0"/>
                <w:color w:val="auto"/>
                <w:sz w:val="24"/>
                <w:szCs w:val="24"/>
                <w:highlight w:val="none"/>
                <w:lang w:val="en-US" w:eastAsia="zh-CN"/>
              </w:rPr>
              <w:t>运营期</w:t>
            </w:r>
            <w:r>
              <w:rPr>
                <w:rFonts w:hint="default" w:ascii="Times New Roman" w:hAnsi="Times New Roman" w:eastAsia="宋体" w:cs="Times New Roman"/>
                <w:b/>
                <w:bCs w:val="0"/>
                <w:color w:val="auto"/>
                <w:sz w:val="24"/>
                <w:szCs w:val="24"/>
                <w:highlight w:val="none"/>
                <w:lang w:val="en-US" w:eastAsia="zh-CN"/>
              </w:rPr>
              <w:t>环境风险保护措施</w:t>
            </w:r>
          </w:p>
          <w:p w14:paraId="51A5A39A">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本工程运营期不涉及风险物质使用，无</w:t>
            </w:r>
            <w:r>
              <w:rPr>
                <w:rFonts w:hint="default" w:ascii="Times New Roman" w:hAnsi="Times New Roman" w:eastAsia="宋体" w:cs="Times New Roman"/>
                <w:bCs/>
                <w:color w:val="auto"/>
                <w:sz w:val="24"/>
                <w:szCs w:val="24"/>
                <w:highlight w:val="none"/>
                <w:lang w:val="en-US" w:eastAsia="zh-CN"/>
              </w:rPr>
              <w:t>环境风险。</w:t>
            </w:r>
          </w:p>
          <w:p w14:paraId="78F4EE4F">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both"/>
              <w:textAlignment w:val="auto"/>
              <w:outlineLvl w:val="9"/>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7、</w:t>
            </w:r>
            <w:r>
              <w:rPr>
                <w:rFonts w:hint="eastAsia" w:cs="Times New Roman"/>
                <w:b/>
                <w:bCs w:val="0"/>
                <w:color w:val="auto"/>
                <w:sz w:val="24"/>
                <w:szCs w:val="24"/>
                <w:highlight w:val="none"/>
                <w:lang w:val="en-US" w:eastAsia="zh-CN"/>
              </w:rPr>
              <w:t>运营期</w:t>
            </w:r>
            <w:r>
              <w:rPr>
                <w:rFonts w:hint="default" w:ascii="Times New Roman" w:hAnsi="Times New Roman" w:eastAsia="宋体" w:cs="Times New Roman"/>
                <w:b/>
                <w:bCs w:val="0"/>
                <w:color w:val="auto"/>
                <w:sz w:val="24"/>
                <w:szCs w:val="24"/>
                <w:highlight w:val="none"/>
                <w:lang w:eastAsia="zh-CN"/>
              </w:rPr>
              <w:t>地下水、土壤</w:t>
            </w:r>
            <w:r>
              <w:rPr>
                <w:rFonts w:hint="eastAsia" w:cs="Times New Roman"/>
                <w:b/>
                <w:bCs w:val="0"/>
                <w:color w:val="auto"/>
                <w:sz w:val="24"/>
                <w:szCs w:val="24"/>
                <w:highlight w:val="none"/>
                <w:lang w:val="en-US" w:eastAsia="zh-CN"/>
              </w:rPr>
              <w:t>保护措施</w:t>
            </w:r>
          </w:p>
          <w:p w14:paraId="3E3D9258">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本项目运行后不产生废气，废水及固体废物，不会对地下水、土壤环境产生影响。</w:t>
            </w:r>
          </w:p>
          <w:p w14:paraId="77462235">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both"/>
              <w:textAlignment w:val="auto"/>
              <w:outlineLvl w:val="9"/>
              <w:rPr>
                <w:rFonts w:hint="default" w:ascii="Times New Roman" w:hAnsi="Times New Roman" w:eastAsia="宋体" w:cs="Times New Roman"/>
                <w:b/>
                <w:bCs w:val="0"/>
                <w:color w:val="auto"/>
                <w:sz w:val="24"/>
                <w:szCs w:val="24"/>
                <w:highlight w:val="none"/>
                <w:lang w:eastAsia="zh-CN"/>
              </w:rPr>
            </w:pPr>
            <w:r>
              <w:rPr>
                <w:rFonts w:hint="eastAsia" w:ascii="Times New Roman" w:hAnsi="Times New Roman" w:eastAsia="宋体" w:cs="Times New Roman"/>
                <w:b/>
                <w:bCs w:val="0"/>
                <w:color w:val="auto"/>
                <w:sz w:val="24"/>
                <w:szCs w:val="24"/>
                <w:highlight w:val="none"/>
                <w:lang w:val="en-US" w:eastAsia="zh-CN"/>
              </w:rPr>
              <w:t>8</w:t>
            </w:r>
            <w:r>
              <w:rPr>
                <w:rFonts w:hint="default" w:ascii="Times New Roman" w:hAnsi="Times New Roman" w:eastAsia="宋体" w:cs="Times New Roman"/>
                <w:b/>
                <w:bCs w:val="0"/>
                <w:color w:val="auto"/>
                <w:sz w:val="24"/>
                <w:szCs w:val="24"/>
                <w:highlight w:val="none"/>
                <w:lang w:eastAsia="zh-CN"/>
              </w:rPr>
              <w:t>、</w:t>
            </w:r>
            <w:r>
              <w:rPr>
                <w:rFonts w:hint="eastAsia" w:cs="Times New Roman"/>
                <w:b/>
                <w:bCs w:val="0"/>
                <w:color w:val="auto"/>
                <w:sz w:val="24"/>
                <w:szCs w:val="24"/>
                <w:highlight w:val="none"/>
                <w:lang w:val="en-US" w:eastAsia="zh-CN"/>
              </w:rPr>
              <w:t>运营期</w:t>
            </w:r>
            <w:r>
              <w:rPr>
                <w:rFonts w:hint="default" w:ascii="Times New Roman" w:hAnsi="Times New Roman" w:eastAsia="宋体" w:cs="Times New Roman"/>
                <w:b/>
                <w:bCs w:val="0"/>
                <w:color w:val="auto"/>
                <w:sz w:val="24"/>
                <w:szCs w:val="24"/>
                <w:highlight w:val="none"/>
                <w:lang w:eastAsia="zh-CN"/>
              </w:rPr>
              <w:t>生态环境</w:t>
            </w:r>
            <w:r>
              <w:rPr>
                <w:rFonts w:hint="eastAsia" w:cs="Times New Roman"/>
                <w:b/>
                <w:bCs w:val="0"/>
                <w:color w:val="auto"/>
                <w:sz w:val="24"/>
                <w:szCs w:val="24"/>
                <w:highlight w:val="none"/>
                <w:lang w:val="en-US" w:eastAsia="zh-CN"/>
              </w:rPr>
              <w:t>保护措施</w:t>
            </w:r>
          </w:p>
          <w:p w14:paraId="7B523EA9">
            <w:pPr>
              <w:spacing w:line="360" w:lineRule="auto"/>
              <w:ind w:firstLine="480" w:firstLineChars="200"/>
              <w:rPr>
                <w:rFonts w:hint="default" w:ascii="Times New Roman" w:hAnsi="Times New Roman" w:eastAsia="宋体" w:cs="Times New Roman"/>
                <w:bCs/>
                <w:color w:val="auto"/>
                <w:sz w:val="24"/>
                <w:szCs w:val="24"/>
                <w:highlight w:val="none"/>
                <w:lang w:eastAsia="zh-CN"/>
              </w:rPr>
            </w:pPr>
            <w:r>
              <w:rPr>
                <w:rFonts w:hint="eastAsia" w:cs="Times New Roman"/>
                <w:bCs/>
                <w:color w:val="auto"/>
                <w:sz w:val="24"/>
                <w:szCs w:val="24"/>
                <w:highlight w:val="none"/>
                <w:lang w:eastAsia="zh-CN"/>
              </w:rPr>
              <w:t>运营期</w:t>
            </w:r>
            <w:r>
              <w:rPr>
                <w:rFonts w:hint="default" w:ascii="Times New Roman" w:hAnsi="Times New Roman" w:eastAsia="宋体" w:cs="Times New Roman"/>
                <w:bCs/>
                <w:color w:val="auto"/>
                <w:sz w:val="24"/>
                <w:szCs w:val="24"/>
                <w:highlight w:val="none"/>
                <w:lang w:eastAsia="zh-CN"/>
              </w:rPr>
              <w:t>间对沿线的动物基本无影响；线路工程运行后仅会产生工频电场、工频磁场和噪声，对植被的影响主要表现在线路巡视和维护人员在日常巡视和维护过程中，可能对线路沿线植被造成破坏。只要对工作人员加强培训教育，使其树立良好的保护意识，可以避免对线路沿线生态环境造成不良影响，因此不会对区域生态环境产生明显影响。</w:t>
            </w:r>
          </w:p>
          <w:p w14:paraId="6CD6A5CF">
            <w:pPr>
              <w:keepNext w:val="0"/>
              <w:keepLines w:val="0"/>
              <w:widowControl/>
              <w:suppressLineNumbers w:val="0"/>
              <w:ind w:firstLine="482" w:firstLineChars="200"/>
              <w:jc w:val="left"/>
            </w:pPr>
            <w:r>
              <w:rPr>
                <w:rFonts w:hint="eastAsia" w:ascii="宋体" w:hAnsi="宋体" w:eastAsia="宋体" w:cs="宋体"/>
                <w:b/>
                <w:bCs/>
                <w:color w:val="000000"/>
                <w:kern w:val="0"/>
                <w:sz w:val="24"/>
                <w:szCs w:val="24"/>
                <w:lang w:val="en-US" w:eastAsia="zh-CN" w:bidi="ar"/>
              </w:rPr>
              <w:t>9、</w:t>
            </w:r>
            <w:r>
              <w:rPr>
                <w:rFonts w:hint="eastAsia" w:cs="Times New Roman"/>
                <w:b/>
                <w:bCs w:val="0"/>
                <w:color w:val="auto"/>
                <w:sz w:val="24"/>
                <w:szCs w:val="24"/>
                <w:highlight w:val="none"/>
                <w:lang w:val="en-US" w:eastAsia="zh-CN"/>
              </w:rPr>
              <w:t>运营期</w:t>
            </w:r>
            <w:r>
              <w:rPr>
                <w:rFonts w:hint="eastAsia" w:ascii="宋体" w:hAnsi="宋体" w:eastAsia="宋体" w:cs="宋体"/>
                <w:b/>
                <w:bCs/>
                <w:color w:val="000000"/>
                <w:kern w:val="0"/>
                <w:sz w:val="24"/>
                <w:szCs w:val="24"/>
                <w:lang w:val="en-US" w:eastAsia="zh-CN" w:bidi="ar"/>
              </w:rPr>
              <w:t xml:space="preserve">生态保护红线措施 </w:t>
            </w:r>
          </w:p>
          <w:p w14:paraId="666507D6">
            <w:pPr>
              <w:keepNext w:val="0"/>
              <w:keepLines w:val="0"/>
              <w:widowControl/>
              <w:suppressLineNumbers w:val="0"/>
              <w:spacing w:line="360" w:lineRule="auto"/>
              <w:ind w:firstLine="480" w:firstLineChars="200"/>
              <w:jc w:val="left"/>
              <w:rPr>
                <w:rFonts w:hint="default" w:ascii="Times New Roman" w:hAnsi="Times New Roman" w:eastAsia="宋体" w:cs="Times New Roman"/>
                <w:bCs/>
                <w:color w:val="auto"/>
                <w:sz w:val="24"/>
                <w:szCs w:val="24"/>
                <w:highlight w:val="none"/>
                <w:lang w:eastAsia="zh-CN"/>
              </w:rPr>
            </w:pPr>
            <w:r>
              <w:rPr>
                <w:rFonts w:hint="eastAsia" w:ascii="宋体" w:hAnsi="宋体" w:eastAsia="宋体" w:cs="宋体"/>
                <w:color w:val="000000"/>
                <w:kern w:val="0"/>
                <w:sz w:val="24"/>
                <w:szCs w:val="24"/>
                <w:lang w:val="en-US" w:eastAsia="zh-CN" w:bidi="ar"/>
              </w:rPr>
              <w:t>线路运行后，不产生废水、废气，因此线路运行对生态保护红线影响较小。运营期间需加强对线路的维护管理，使线路保持良好的运行状态。</w:t>
            </w:r>
          </w:p>
        </w:tc>
      </w:tr>
      <w:tr w14:paraId="29D41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426" w:type="dxa"/>
            <w:noWrap w:val="0"/>
            <w:tcMar>
              <w:left w:w="28" w:type="dxa"/>
              <w:right w:w="28" w:type="dxa"/>
            </w:tcMar>
            <w:vAlign w:val="center"/>
          </w:tcPr>
          <w:p w14:paraId="4611CED6">
            <w:pPr>
              <w:keepNext w:val="0"/>
              <w:keepLines w:val="0"/>
              <w:pageBreakBefore w:val="0"/>
              <w:kinsoku/>
              <w:wordWrap/>
              <w:overflowPunct/>
              <w:topLinePunct w:val="0"/>
              <w:bidi w:val="0"/>
              <w:adjustRightInd w:val="0"/>
              <w:snapToGrid w:val="0"/>
              <w:jc w:val="center"/>
              <w:textAlignment w:val="auto"/>
              <w:rPr>
                <w:rFonts w:hint="default" w:cs="Times New Roman"/>
                <w:bCs/>
                <w:color w:val="auto"/>
                <w:spacing w:val="10"/>
                <w:szCs w:val="21"/>
                <w:highlight w:val="none"/>
                <w:lang w:val="en-US" w:eastAsia="zh-CN"/>
              </w:rPr>
            </w:pPr>
            <w:r>
              <w:rPr>
                <w:rFonts w:hint="eastAsia" w:cs="Times New Roman"/>
                <w:bCs/>
                <w:color w:val="auto"/>
                <w:spacing w:val="10"/>
                <w:szCs w:val="21"/>
                <w:highlight w:val="none"/>
                <w:lang w:val="en-US" w:eastAsia="zh-CN"/>
              </w:rPr>
              <w:t>其他</w:t>
            </w:r>
          </w:p>
        </w:tc>
        <w:tc>
          <w:tcPr>
            <w:tcW w:w="8127" w:type="dxa"/>
            <w:noWrap w:val="0"/>
            <w:vAlign w:val="center"/>
          </w:tcPr>
          <w:p w14:paraId="210805C5">
            <w:pPr>
              <w:keepNext w:val="0"/>
              <w:keepLines w:val="0"/>
              <w:pageBreakBefore w:val="0"/>
              <w:widowControl w:val="0"/>
              <w:kinsoku/>
              <w:wordWrap/>
              <w:overflowPunct/>
              <w:topLinePunct w:val="0"/>
              <w:autoSpaceDE/>
              <w:autoSpaceDN/>
              <w:bidi w:val="0"/>
              <w:adjustRightInd/>
              <w:snapToGrid/>
              <w:spacing w:line="460" w:lineRule="atLeast"/>
              <w:ind w:firstLine="482" w:firstLineChars="200"/>
              <w:jc w:val="left"/>
              <w:textAlignment w:val="auto"/>
              <w:outlineLvl w:val="9"/>
              <w:rPr>
                <w:rFonts w:hint="default"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en-US" w:eastAsia="zh-CN"/>
              </w:rPr>
              <w:t>1</w:t>
            </w:r>
            <w:r>
              <w:rPr>
                <w:rFonts w:hint="default" w:ascii="Times New Roman" w:hAnsi="Times New Roman" w:eastAsia="宋体" w:cs="Times New Roman"/>
                <w:b/>
                <w:bCs/>
                <w:color w:val="auto"/>
                <w:kern w:val="21"/>
                <w:sz w:val="24"/>
                <w:szCs w:val="24"/>
                <w:highlight w:val="none"/>
                <w:lang w:val="en-US" w:eastAsia="zh-CN"/>
              </w:rPr>
              <w:t>、</w:t>
            </w:r>
            <w:r>
              <w:rPr>
                <w:rFonts w:hint="eastAsia" w:ascii="Times New Roman" w:hAnsi="Times New Roman" w:eastAsia="宋体" w:cs="Times New Roman"/>
                <w:b/>
                <w:bCs/>
                <w:color w:val="auto"/>
                <w:kern w:val="21"/>
                <w:sz w:val="24"/>
                <w:szCs w:val="24"/>
                <w:highlight w:val="none"/>
                <w:lang w:val="en-US" w:eastAsia="zh-CN"/>
              </w:rPr>
              <w:t>环境</w:t>
            </w:r>
            <w:r>
              <w:rPr>
                <w:rFonts w:hint="default" w:ascii="Times New Roman" w:hAnsi="Times New Roman" w:eastAsia="宋体" w:cs="Times New Roman"/>
                <w:b/>
                <w:bCs/>
                <w:color w:val="auto"/>
                <w:kern w:val="21"/>
                <w:sz w:val="24"/>
                <w:szCs w:val="24"/>
                <w:highlight w:val="none"/>
                <w:lang w:val="en-US" w:eastAsia="zh-CN"/>
              </w:rPr>
              <w:t>管理和监测计划</w:t>
            </w:r>
          </w:p>
          <w:p w14:paraId="2859544E">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(1)环境管理</w:t>
            </w:r>
          </w:p>
          <w:p w14:paraId="160EB2E8">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根据国家有关规</w:t>
            </w:r>
            <w:r>
              <w:rPr>
                <w:rFonts w:hint="default" w:ascii="Times New Roman" w:hAnsi="Times New Roman" w:eastAsia="宋体" w:cs="Times New Roman"/>
                <w:bCs/>
                <w:color w:val="auto"/>
                <w:sz w:val="24"/>
                <w:szCs w:val="24"/>
                <w:highlight w:val="none"/>
                <w:lang w:eastAsia="zh-CN"/>
              </w:rPr>
              <w:t>定，建设单位应设立专门环保机构，</w:t>
            </w:r>
            <w:r>
              <w:rPr>
                <w:rFonts w:hint="default" w:ascii="Times New Roman" w:hAnsi="Times New Roman" w:eastAsia="宋体" w:cs="Times New Roman"/>
                <w:bCs/>
                <w:color w:val="auto"/>
                <w:sz w:val="24"/>
                <w:szCs w:val="24"/>
                <w:highlight w:val="none"/>
                <w:lang w:val="en-US" w:eastAsia="zh-CN"/>
              </w:rPr>
              <w:t>由</w:t>
            </w:r>
            <w:r>
              <w:rPr>
                <w:rFonts w:hint="default" w:ascii="Times New Roman" w:hAnsi="Times New Roman" w:eastAsia="宋体" w:cs="Times New Roman"/>
                <w:bCs/>
                <w:color w:val="auto"/>
                <w:sz w:val="24"/>
                <w:szCs w:val="24"/>
                <w:highlight w:val="none"/>
                <w:lang w:eastAsia="zh-CN"/>
              </w:rPr>
              <w:t>建设单位</w:t>
            </w:r>
            <w:r>
              <w:rPr>
                <w:rFonts w:hint="default" w:ascii="Times New Roman" w:hAnsi="Times New Roman" w:eastAsia="宋体" w:cs="Times New Roman"/>
                <w:bCs/>
                <w:color w:val="auto"/>
                <w:sz w:val="24"/>
                <w:szCs w:val="24"/>
                <w:highlight w:val="none"/>
                <w:lang w:val="en-US" w:eastAsia="zh-CN"/>
              </w:rPr>
              <w:t>、监理单位、施工单方共管</w:t>
            </w:r>
            <w:r>
              <w:rPr>
                <w:rFonts w:hint="default" w:ascii="Times New Roman" w:hAnsi="Times New Roman" w:cs="Times New Roman"/>
                <w:bCs/>
                <w:color w:val="auto"/>
                <w:sz w:val="24"/>
                <w:szCs w:val="24"/>
                <w:highlight w:val="none"/>
                <w:lang w:eastAsia="zh-CN"/>
              </w:rPr>
              <w:t>负责施工期的</w:t>
            </w:r>
            <w:r>
              <w:rPr>
                <w:rFonts w:hint="default" w:ascii="Times New Roman" w:hAnsi="Times New Roman" w:cs="Times New Roman"/>
                <w:bCs/>
                <w:color w:val="auto"/>
                <w:sz w:val="24"/>
                <w:szCs w:val="24"/>
                <w:highlight w:val="none"/>
                <w:lang w:val="en-US" w:eastAsia="zh-CN"/>
              </w:rPr>
              <w:t>环保管理</w:t>
            </w:r>
            <w:r>
              <w:rPr>
                <w:rFonts w:hint="default" w:ascii="Times New Roman" w:hAnsi="Times New Roman" w:cs="Times New Roman"/>
                <w:bCs/>
                <w:color w:val="auto"/>
                <w:sz w:val="24"/>
                <w:szCs w:val="24"/>
                <w:highlight w:val="none"/>
                <w:lang w:eastAsia="zh-CN"/>
              </w:rPr>
              <w:t>工作</w:t>
            </w:r>
            <w:r>
              <w:rPr>
                <w:rFonts w:hint="default" w:ascii="Times New Roman" w:hAnsi="Times New Roman" w:cs="Times New Roman"/>
                <w:bCs/>
                <w:color w:val="auto"/>
                <w:sz w:val="24"/>
                <w:szCs w:val="24"/>
                <w:highlight w:val="none"/>
                <w:lang w:val="en-US" w:eastAsia="zh-CN"/>
              </w:rPr>
              <w:t>，由场站负责</w:t>
            </w:r>
            <w:r>
              <w:rPr>
                <w:rFonts w:hint="eastAsia" w:cs="Times New Roman"/>
                <w:bCs/>
                <w:color w:val="auto"/>
                <w:sz w:val="24"/>
                <w:szCs w:val="24"/>
                <w:highlight w:val="none"/>
                <w:lang w:eastAsia="zh-CN"/>
              </w:rPr>
              <w:t>运营期</w:t>
            </w:r>
            <w:r>
              <w:rPr>
                <w:rFonts w:hint="default" w:ascii="Times New Roman" w:hAnsi="Times New Roman" w:cs="Times New Roman"/>
                <w:bCs/>
                <w:color w:val="auto"/>
                <w:sz w:val="24"/>
                <w:szCs w:val="24"/>
                <w:highlight w:val="none"/>
                <w:lang w:eastAsia="zh-CN"/>
              </w:rPr>
              <w:t>的环境管理工作。</w:t>
            </w:r>
          </w:p>
          <w:p w14:paraId="0513314A">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1)施工期环境管理职能及任务</w:t>
            </w:r>
          </w:p>
          <w:p w14:paraId="6538AF99">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本工程的施工均采取招投标制，施工招标中应对投标单位提出施工期间的环保要求，在施工设计文件中详细说明施工期应注意的环保问题，严格要求施工单位按设计文件施工，满足环境保护“三同时”要求，即环保措施及植被恢复措施必须与主体工程同时设计、同时施工、同时投产。建设方在施工期间应有专人负责环境管理工作，对施工中的每一道工序都应严格检查是否满足环保要求，并不定期地对施工点进行监督抽查。</w:t>
            </w:r>
          </w:p>
          <w:p w14:paraId="7AD1CDEC">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施工期环境管理的职责和任务如下：</w:t>
            </w:r>
          </w:p>
          <w:p w14:paraId="6E8F6B42">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①贯彻执行国家的各项环保方针、政策、法律法规和各项规章制度。</w:t>
            </w:r>
          </w:p>
          <w:p w14:paraId="5A076158">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②制定工程施工中的环保计划，负责施工过程中各项环保措施实施的监督和日常管理。</w:t>
            </w:r>
          </w:p>
          <w:p w14:paraId="76FC7D57">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③收集、整理、推广和实施工程建设中各项环境保护的先进经验和技术。</w:t>
            </w:r>
          </w:p>
          <w:p w14:paraId="7C4B2348">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④组织施工人员进行施工活动中应遵循的环保法规、知识的培训，提高全体员工文明施工的认识和能力。</w:t>
            </w:r>
          </w:p>
          <w:p w14:paraId="13082426">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⑤在施工计划中应尽量避免影响当地居民生活环境，保护生态和避免水土流失，合理组织施工以减少临时施工用地。</w:t>
            </w:r>
          </w:p>
          <w:p w14:paraId="3B115866">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⑥做好施工中各种环境问题的收集、记录、建档和处理工作。</w:t>
            </w:r>
          </w:p>
          <w:p w14:paraId="7B7BD9F0">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⑦监督施工单位在施工工作完成后的生态恢复，水保设施、环保设施等各项保护工程的落实。</w:t>
            </w:r>
          </w:p>
          <w:p w14:paraId="7C751806">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eastAsia="zh-CN"/>
              </w:rPr>
              <w:t>⑧</w:t>
            </w:r>
            <w:r>
              <w:rPr>
                <w:rFonts w:hint="default" w:ascii="Times New Roman" w:hAnsi="Times New Roman" w:cs="Times New Roman"/>
                <w:bCs/>
                <w:color w:val="auto"/>
                <w:sz w:val="24"/>
                <w:szCs w:val="24"/>
                <w:highlight w:val="none"/>
                <w:lang w:val="en-US" w:eastAsia="zh-CN"/>
              </w:rPr>
              <w:t>本工程施工期环境管理由建设单位、施工方和监理单位共同实施。</w:t>
            </w:r>
          </w:p>
          <w:p w14:paraId="14BFC28F">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项目竣工后，将各项环保措施落实完成情况上报当地环保主管部门。</w:t>
            </w:r>
          </w:p>
          <w:p w14:paraId="1BF1D3BA">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2)</w:t>
            </w:r>
            <w:r>
              <w:rPr>
                <w:rFonts w:hint="eastAsia" w:cs="Times New Roman"/>
                <w:bCs/>
                <w:color w:val="auto"/>
                <w:sz w:val="24"/>
                <w:szCs w:val="24"/>
                <w:highlight w:val="none"/>
                <w:lang w:eastAsia="zh-CN"/>
              </w:rPr>
              <w:t>运营期</w:t>
            </w:r>
            <w:r>
              <w:rPr>
                <w:rFonts w:hint="default" w:ascii="Times New Roman" w:hAnsi="Times New Roman" w:cs="Times New Roman"/>
                <w:bCs/>
                <w:color w:val="auto"/>
                <w:sz w:val="24"/>
                <w:szCs w:val="24"/>
                <w:highlight w:val="none"/>
                <w:lang w:eastAsia="zh-CN"/>
              </w:rPr>
              <w:t>环境管理与职能</w:t>
            </w:r>
          </w:p>
          <w:p w14:paraId="384A6D4B">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①制定和实施各项环境管理计划。</w:t>
            </w:r>
          </w:p>
          <w:p w14:paraId="310CFEF8">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②组织和落实项目</w:t>
            </w:r>
            <w:r>
              <w:rPr>
                <w:rFonts w:hint="eastAsia" w:cs="Times New Roman"/>
                <w:bCs/>
                <w:color w:val="auto"/>
                <w:sz w:val="24"/>
                <w:szCs w:val="24"/>
                <w:highlight w:val="none"/>
                <w:lang w:eastAsia="zh-CN"/>
              </w:rPr>
              <w:t>运营期</w:t>
            </w:r>
            <w:r>
              <w:rPr>
                <w:rFonts w:hint="default" w:ascii="Times New Roman" w:hAnsi="Times New Roman" w:cs="Times New Roman"/>
                <w:bCs/>
                <w:color w:val="auto"/>
                <w:sz w:val="24"/>
                <w:szCs w:val="24"/>
                <w:highlight w:val="none"/>
                <w:lang w:eastAsia="zh-CN"/>
              </w:rPr>
              <w:t>的环境监测、监督工作，委托有资质的单位承担本工程的环境监测工作。</w:t>
            </w:r>
          </w:p>
          <w:p w14:paraId="7EB2AA7F">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③掌握项目所在地周围的环境特征和重点环境保护目标情况，建立环境管理和环境监测技术文件，做好记录、建档工作。技术文件包括：污染源的监测记录技术文件；污染控制、环境保护设施的设计和运行管理文件；导致严重环境影响事件的分析报告和监测数据资料等。并定期向当地环保主管部门申报。</w:t>
            </w:r>
          </w:p>
          <w:p w14:paraId="0214B40A">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④检查治理设施运行情况，及时处理出现的问题，保证治理设施的正常运行。</w:t>
            </w:r>
          </w:p>
          <w:p w14:paraId="1439FCB2">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⑤不定期地巡查环境保护对象，保护生态环境不被破坏，保证生态保护与工程运行相协调。</w:t>
            </w:r>
          </w:p>
          <w:p w14:paraId="264335F5">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⑥协调配合上级环保主管部门所进行的环境调查、生态调查等活动。</w:t>
            </w:r>
          </w:p>
          <w:p w14:paraId="081DA882">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bCs/>
                <w:color w:val="auto"/>
                <w:sz w:val="24"/>
                <w:szCs w:val="24"/>
                <w:highlight w:val="none"/>
                <w:lang w:eastAsia="zh-CN"/>
              </w:rPr>
            </w:pPr>
            <w:r>
              <w:rPr>
                <w:rFonts w:hint="default" w:ascii="Times New Roman" w:hAnsi="Times New Roman" w:cs="Times New Roman"/>
                <w:bCs/>
                <w:color w:val="auto"/>
                <w:sz w:val="24"/>
                <w:szCs w:val="24"/>
                <w:highlight w:val="none"/>
                <w:lang w:val="en-US" w:eastAsia="zh-CN"/>
              </w:rPr>
              <w:t>(2)</w:t>
            </w:r>
            <w:r>
              <w:rPr>
                <w:rFonts w:hint="default" w:ascii="Times New Roman" w:hAnsi="Times New Roman" w:cs="Times New Roman"/>
                <w:bCs/>
                <w:color w:val="auto"/>
                <w:sz w:val="24"/>
                <w:szCs w:val="24"/>
                <w:highlight w:val="none"/>
                <w:lang w:eastAsia="zh-CN"/>
              </w:rPr>
              <w:t>环境监测计划</w:t>
            </w:r>
          </w:p>
          <w:p w14:paraId="012FC5C6">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cs="Times New Roman"/>
                <w:color w:val="auto"/>
                <w:kern w:val="21"/>
                <w:sz w:val="24"/>
                <w:szCs w:val="24"/>
                <w:highlight w:val="none"/>
                <w:lang w:val="en-US" w:eastAsia="zh-CN"/>
              </w:rPr>
            </w:pPr>
            <w:r>
              <w:rPr>
                <w:rFonts w:hint="default" w:ascii="Times New Roman" w:hAnsi="Times New Roman" w:cs="Times New Roman"/>
                <w:bCs/>
                <w:color w:val="auto"/>
                <w:sz w:val="24"/>
                <w:szCs w:val="24"/>
                <w:highlight w:val="none"/>
                <w:lang w:eastAsia="zh-CN"/>
              </w:rPr>
              <w:t>本工程可不设专职的环境监测机构和人员，其环境监测工作可委托当地有资质的监测部门进行。</w:t>
            </w:r>
            <w:r>
              <w:rPr>
                <w:rFonts w:hint="default" w:ascii="Times New Roman" w:hAnsi="Times New Roman" w:cs="Times New Roman"/>
                <w:color w:val="auto"/>
                <w:kern w:val="21"/>
                <w:sz w:val="24"/>
                <w:szCs w:val="24"/>
                <w:highlight w:val="none"/>
                <w:lang w:val="en-US" w:eastAsia="zh-CN"/>
              </w:rPr>
              <w:t>参照《排污单位自行监测技术指南总则》(HJ819-2017)，本工程的污染源监测计划如下表：</w:t>
            </w:r>
          </w:p>
          <w:p w14:paraId="17C5EF71">
            <w:pPr>
              <w:pStyle w:val="28"/>
              <w:keepNext w:val="0"/>
              <w:keepLines w:val="0"/>
              <w:pageBreakBefore w:val="0"/>
              <w:widowControl w:val="0"/>
              <w:kinsoku/>
              <w:wordWrap/>
              <w:overflowPunct/>
              <w:topLinePunct w:val="0"/>
              <w:autoSpaceDE/>
              <w:autoSpaceDN/>
              <w:bidi w:val="0"/>
              <w:spacing w:line="460" w:lineRule="atLeast"/>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4"/>
                <w:szCs w:val="24"/>
                <w:highlight w:val="none"/>
                <w:lang w:val="en-US" w:eastAsia="zh-CN"/>
              </w:rPr>
              <w:t>表5-2</w:t>
            </w:r>
            <w:r>
              <w:rPr>
                <w:rFonts w:hint="eastAsia" w:ascii="Times New Roman" w:hAnsi="Times New Roman" w:eastAsia="宋体" w:cs="Times New Roman"/>
                <w:b/>
                <w:bCs/>
                <w:color w:val="auto"/>
                <w:sz w:val="24"/>
                <w:szCs w:val="24"/>
                <w:highlight w:val="none"/>
                <w:lang w:val="en-US" w:eastAsia="zh-CN"/>
              </w:rPr>
              <w:t>运营期</w:t>
            </w:r>
            <w:r>
              <w:rPr>
                <w:rFonts w:hint="default" w:ascii="Times New Roman" w:hAnsi="Times New Roman" w:eastAsia="宋体" w:cs="Times New Roman"/>
                <w:b/>
                <w:bCs/>
                <w:color w:val="auto"/>
                <w:sz w:val="24"/>
                <w:szCs w:val="24"/>
                <w:highlight w:val="none"/>
                <w:lang w:val="en-US" w:eastAsia="zh-CN"/>
              </w:rPr>
              <w:t>监测计划一览表</w:t>
            </w:r>
          </w:p>
          <w:tbl>
            <w:tblPr>
              <w:tblStyle w:val="19"/>
              <w:tblW w:w="4997" w:type="pct"/>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598"/>
              <w:gridCol w:w="1703"/>
              <w:gridCol w:w="1273"/>
              <w:gridCol w:w="1690"/>
              <w:gridCol w:w="2642"/>
            </w:tblGrid>
            <w:tr w14:paraId="43D9746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378" w:type="pct"/>
                  <w:tcBorders>
                    <w:tl2br w:val="nil"/>
                    <w:tr2bl w:val="nil"/>
                  </w:tcBorders>
                  <w:noWrap w:val="0"/>
                  <w:vAlign w:val="center"/>
                </w:tcPr>
                <w:p w14:paraId="7363CBD3">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类别</w:t>
                  </w:r>
                </w:p>
              </w:tc>
              <w:tc>
                <w:tcPr>
                  <w:tcW w:w="1077" w:type="pct"/>
                  <w:tcBorders>
                    <w:tl2br w:val="nil"/>
                    <w:tr2bl w:val="nil"/>
                  </w:tcBorders>
                  <w:noWrap w:val="0"/>
                  <w:vAlign w:val="center"/>
                </w:tcPr>
                <w:p w14:paraId="5902663A">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监测位置</w:t>
                  </w:r>
                </w:p>
              </w:tc>
              <w:tc>
                <w:tcPr>
                  <w:tcW w:w="805" w:type="pct"/>
                  <w:tcBorders>
                    <w:tl2br w:val="nil"/>
                    <w:tr2bl w:val="nil"/>
                  </w:tcBorders>
                  <w:noWrap w:val="0"/>
                  <w:vAlign w:val="center"/>
                </w:tcPr>
                <w:p w14:paraId="4C3A1F93">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监测因子</w:t>
                  </w:r>
                </w:p>
              </w:tc>
              <w:tc>
                <w:tcPr>
                  <w:tcW w:w="1069" w:type="pct"/>
                  <w:tcBorders>
                    <w:tl2br w:val="nil"/>
                    <w:tr2bl w:val="nil"/>
                  </w:tcBorders>
                  <w:noWrap w:val="0"/>
                  <w:vAlign w:val="center"/>
                </w:tcPr>
                <w:p w14:paraId="49D6E4B5">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监测频率</w:t>
                  </w:r>
                </w:p>
              </w:tc>
              <w:tc>
                <w:tcPr>
                  <w:tcW w:w="1667" w:type="pct"/>
                  <w:tcBorders>
                    <w:tl2br w:val="nil"/>
                    <w:tr2bl w:val="nil"/>
                  </w:tcBorders>
                  <w:noWrap w:val="0"/>
                  <w:vAlign w:val="center"/>
                </w:tcPr>
                <w:p w14:paraId="0E6EBD59">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控制指标</w:t>
                  </w:r>
                </w:p>
              </w:tc>
            </w:tr>
            <w:tr w14:paraId="66990C3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39" w:hRule="atLeast"/>
              </w:trPr>
              <w:tc>
                <w:tcPr>
                  <w:tcW w:w="378" w:type="pct"/>
                  <w:vMerge w:val="restart"/>
                  <w:tcBorders>
                    <w:tl2br w:val="nil"/>
                    <w:tr2bl w:val="nil"/>
                  </w:tcBorders>
                  <w:noWrap w:val="0"/>
                  <w:vAlign w:val="center"/>
                </w:tcPr>
                <w:p w14:paraId="3838FD10">
                  <w:pPr>
                    <w:pStyle w:val="2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atLeast"/>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sz w:val="21"/>
                      <w:szCs w:val="21"/>
                      <w:highlight w:val="none"/>
                    </w:rPr>
                    <w:t>电磁环境</w:t>
                  </w:r>
                </w:p>
              </w:tc>
              <w:tc>
                <w:tcPr>
                  <w:tcW w:w="1077" w:type="pct"/>
                  <w:tcBorders>
                    <w:tl2br w:val="nil"/>
                    <w:tr2bl w:val="nil"/>
                  </w:tcBorders>
                  <w:noWrap w:val="0"/>
                  <w:vAlign w:val="center"/>
                </w:tcPr>
                <w:p w14:paraId="79601E2F">
                  <w:pPr>
                    <w:pStyle w:val="2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atLeast"/>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升压站四周5m处</w:t>
                  </w:r>
                </w:p>
              </w:tc>
              <w:tc>
                <w:tcPr>
                  <w:tcW w:w="805" w:type="pct"/>
                  <w:vMerge w:val="restart"/>
                  <w:tcBorders>
                    <w:tl2br w:val="nil"/>
                    <w:tr2bl w:val="nil"/>
                  </w:tcBorders>
                  <w:noWrap w:val="0"/>
                  <w:vAlign w:val="center"/>
                </w:tcPr>
                <w:p w14:paraId="1190D13F">
                  <w:pPr>
                    <w:pStyle w:val="26"/>
                    <w:keepNext w:val="0"/>
                    <w:keepLines w:val="0"/>
                    <w:pageBreakBefore w:val="0"/>
                    <w:widowControl w:val="0"/>
                    <w:kinsoku/>
                    <w:wordWrap/>
                    <w:overflowPunct/>
                    <w:topLinePunct w:val="0"/>
                    <w:autoSpaceDE/>
                    <w:autoSpaceDN/>
                    <w:bidi w:val="0"/>
                    <w:adjustRightInd w:val="0"/>
                    <w:snapToGrid w:val="0"/>
                    <w:spacing w:line="300" w:lineRule="atLeas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default" w:ascii="Times New Roman" w:hAnsi="Times New Roman" w:eastAsia="宋体" w:cs="Times New Roman"/>
                      <w:color w:val="auto"/>
                      <w:kern w:val="2"/>
                      <w:sz w:val="21"/>
                      <w:szCs w:val="21"/>
                      <w:highlight w:val="none"/>
                      <w:lang w:val="en-US" w:eastAsia="zh-CN" w:bidi="zh-CN"/>
                    </w:rPr>
                    <w:t>工频电场、工频磁场</w:t>
                  </w:r>
                </w:p>
                <w:p w14:paraId="485B1AAE">
                  <w:pPr>
                    <w:pStyle w:val="26"/>
                    <w:keepNext w:val="0"/>
                    <w:keepLines w:val="0"/>
                    <w:pageBreakBefore w:val="0"/>
                    <w:widowControl w:val="0"/>
                    <w:kinsoku/>
                    <w:wordWrap/>
                    <w:overflowPunct/>
                    <w:topLinePunct w:val="0"/>
                    <w:autoSpaceDE/>
                    <w:autoSpaceDN/>
                    <w:bidi w:val="0"/>
                    <w:adjustRightInd w:val="0"/>
                    <w:snapToGrid w:val="0"/>
                    <w:spacing w:line="300" w:lineRule="atLeas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zh-CN"/>
                    </w:rPr>
                  </w:pPr>
                </w:p>
              </w:tc>
              <w:tc>
                <w:tcPr>
                  <w:tcW w:w="1069" w:type="pct"/>
                  <w:vMerge w:val="restart"/>
                  <w:tcBorders>
                    <w:tl2br w:val="nil"/>
                    <w:tr2bl w:val="nil"/>
                  </w:tcBorders>
                  <w:noWrap w:val="0"/>
                  <w:vAlign w:val="center"/>
                </w:tcPr>
                <w:p w14:paraId="0B6997F0">
                  <w:pPr>
                    <w:pStyle w:val="26"/>
                    <w:keepNext w:val="0"/>
                    <w:keepLines w:val="0"/>
                    <w:pageBreakBefore w:val="0"/>
                    <w:widowControl w:val="0"/>
                    <w:kinsoku/>
                    <w:wordWrap/>
                    <w:overflowPunct/>
                    <w:topLinePunct w:val="0"/>
                    <w:autoSpaceDE/>
                    <w:autoSpaceDN/>
                    <w:bidi w:val="0"/>
                    <w:adjustRightInd w:val="0"/>
                    <w:snapToGrid w:val="0"/>
                    <w:spacing w:line="300" w:lineRule="atLeas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default" w:ascii="Times New Roman" w:hAnsi="Times New Roman" w:eastAsia="宋体" w:cs="Times New Roman"/>
                      <w:color w:val="auto"/>
                      <w:kern w:val="2"/>
                      <w:sz w:val="21"/>
                      <w:szCs w:val="21"/>
                      <w:highlight w:val="none"/>
                      <w:lang w:val="en-US" w:eastAsia="zh-CN" w:bidi="zh-CN"/>
                    </w:rPr>
                    <w:t>验收监测一次；后期按照上级管理部门要求定期进行监测</w:t>
                  </w:r>
                </w:p>
                <w:p w14:paraId="7A196DEA">
                  <w:pPr>
                    <w:pStyle w:val="26"/>
                    <w:keepNext w:val="0"/>
                    <w:keepLines w:val="0"/>
                    <w:pageBreakBefore w:val="0"/>
                    <w:widowControl w:val="0"/>
                    <w:kinsoku/>
                    <w:wordWrap/>
                    <w:overflowPunct/>
                    <w:topLinePunct w:val="0"/>
                    <w:autoSpaceDE/>
                    <w:autoSpaceDN/>
                    <w:bidi w:val="0"/>
                    <w:adjustRightInd w:val="0"/>
                    <w:snapToGrid w:val="0"/>
                    <w:spacing w:line="300" w:lineRule="atLeas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zh-CN"/>
                    </w:rPr>
                  </w:pPr>
                </w:p>
              </w:tc>
              <w:tc>
                <w:tcPr>
                  <w:tcW w:w="1667" w:type="pct"/>
                  <w:vMerge w:val="restart"/>
                  <w:tcBorders>
                    <w:tl2br w:val="nil"/>
                    <w:tr2bl w:val="nil"/>
                  </w:tcBorders>
                  <w:noWrap w:val="0"/>
                  <w:vAlign w:val="center"/>
                </w:tcPr>
                <w:p w14:paraId="1442C760">
                  <w:pPr>
                    <w:pStyle w:val="26"/>
                    <w:keepNext w:val="0"/>
                    <w:keepLines w:val="0"/>
                    <w:pageBreakBefore w:val="0"/>
                    <w:widowControl w:val="0"/>
                    <w:kinsoku/>
                    <w:wordWrap/>
                    <w:overflowPunct/>
                    <w:topLinePunct w:val="0"/>
                    <w:autoSpaceDE/>
                    <w:autoSpaceDN/>
                    <w:bidi w:val="0"/>
                    <w:adjustRightInd w:val="0"/>
                    <w:snapToGrid w:val="0"/>
                    <w:spacing w:line="300" w:lineRule="atLeas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default" w:ascii="Times New Roman" w:hAnsi="Times New Roman" w:eastAsia="宋体" w:cs="Times New Roman"/>
                      <w:color w:val="auto"/>
                      <w:kern w:val="2"/>
                      <w:sz w:val="21"/>
                      <w:szCs w:val="21"/>
                      <w:highlight w:val="none"/>
                      <w:lang w:val="en-US" w:eastAsia="zh-CN" w:bidi="zh-CN"/>
                    </w:rPr>
                    <w:t>《电磁环境控制限值》(GB8702-2014)4kV/m和100μT公众曝露控制限值的要求</w:t>
                  </w:r>
                </w:p>
              </w:tc>
            </w:tr>
            <w:tr w14:paraId="24841F8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378" w:type="pct"/>
                  <w:vMerge w:val="continue"/>
                  <w:tcBorders>
                    <w:tl2br w:val="nil"/>
                    <w:tr2bl w:val="nil"/>
                  </w:tcBorders>
                  <w:noWrap w:val="0"/>
                  <w:vAlign w:val="center"/>
                </w:tcPr>
                <w:p w14:paraId="5C3D09BD">
                  <w:pPr>
                    <w:pStyle w:val="2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atLeast"/>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1077" w:type="pct"/>
                  <w:tcBorders>
                    <w:tl2br w:val="nil"/>
                    <w:tr2bl w:val="nil"/>
                  </w:tcBorders>
                  <w:noWrap w:val="0"/>
                  <w:vAlign w:val="center"/>
                </w:tcPr>
                <w:p w14:paraId="792E56FF">
                  <w:pPr>
                    <w:pStyle w:val="2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atLeast"/>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升压站</w:t>
                  </w:r>
                  <w:r>
                    <w:rPr>
                      <w:rFonts w:hint="default" w:ascii="Times New Roman" w:hAnsi="Times New Roman" w:eastAsia="宋体" w:cs="Times New Roman"/>
                      <w:b w:val="0"/>
                      <w:bCs/>
                      <w:color w:val="auto"/>
                      <w:sz w:val="21"/>
                      <w:szCs w:val="21"/>
                      <w:highlight w:val="none"/>
                      <w:lang w:val="en-US" w:eastAsia="zh-CN"/>
                    </w:rPr>
                    <w:t>典型断面处</w:t>
                  </w:r>
                </w:p>
              </w:tc>
              <w:tc>
                <w:tcPr>
                  <w:tcW w:w="805" w:type="pct"/>
                  <w:vMerge w:val="continue"/>
                  <w:tcBorders>
                    <w:tl2br w:val="nil"/>
                    <w:tr2bl w:val="nil"/>
                  </w:tcBorders>
                  <w:noWrap w:val="0"/>
                  <w:vAlign w:val="center"/>
                </w:tcPr>
                <w:p w14:paraId="493A2704">
                  <w:pPr>
                    <w:pStyle w:val="2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atLeast"/>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1069" w:type="pct"/>
                  <w:vMerge w:val="continue"/>
                  <w:tcBorders>
                    <w:tl2br w:val="nil"/>
                    <w:tr2bl w:val="nil"/>
                  </w:tcBorders>
                  <w:noWrap w:val="0"/>
                  <w:vAlign w:val="center"/>
                </w:tcPr>
                <w:p w14:paraId="4D49881A">
                  <w:pPr>
                    <w:pStyle w:val="26"/>
                    <w:keepNext w:val="0"/>
                    <w:keepLines w:val="0"/>
                    <w:pageBreakBefore w:val="0"/>
                    <w:widowControl w:val="0"/>
                    <w:kinsoku/>
                    <w:wordWrap/>
                    <w:overflowPunct/>
                    <w:topLinePunct w:val="0"/>
                    <w:autoSpaceDE/>
                    <w:autoSpaceDN/>
                    <w:bidi w:val="0"/>
                    <w:adjustRightInd w:val="0"/>
                    <w:snapToGrid w:val="0"/>
                    <w:spacing w:line="300" w:lineRule="atLeas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zh-CN"/>
                    </w:rPr>
                  </w:pPr>
                </w:p>
              </w:tc>
              <w:tc>
                <w:tcPr>
                  <w:tcW w:w="1667" w:type="pct"/>
                  <w:vMerge w:val="continue"/>
                  <w:tcBorders>
                    <w:tl2br w:val="nil"/>
                    <w:tr2bl w:val="nil"/>
                  </w:tcBorders>
                  <w:noWrap w:val="0"/>
                  <w:vAlign w:val="center"/>
                </w:tcPr>
                <w:p w14:paraId="36E8F32C">
                  <w:pPr>
                    <w:pStyle w:val="2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atLeast"/>
                    <w:ind w:left="0" w:leftChars="0" w:right="0" w:rightChars="0"/>
                    <w:jc w:val="center"/>
                    <w:textAlignment w:val="auto"/>
                    <w:rPr>
                      <w:rFonts w:hint="default" w:ascii="Times New Roman" w:hAnsi="Times New Roman" w:eastAsia="宋体" w:cs="Times New Roman"/>
                      <w:b w:val="0"/>
                      <w:bCs/>
                      <w:color w:val="auto"/>
                      <w:sz w:val="21"/>
                      <w:szCs w:val="21"/>
                      <w:highlight w:val="none"/>
                    </w:rPr>
                  </w:pPr>
                </w:p>
              </w:tc>
            </w:tr>
            <w:tr w14:paraId="45786B6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378" w:type="pct"/>
                  <w:tcBorders>
                    <w:tl2br w:val="nil"/>
                    <w:tr2bl w:val="nil"/>
                  </w:tcBorders>
                  <w:noWrap w:val="0"/>
                  <w:vAlign w:val="center"/>
                </w:tcPr>
                <w:p w14:paraId="766DEC62">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w:t>
                  </w:r>
                </w:p>
              </w:tc>
              <w:tc>
                <w:tcPr>
                  <w:tcW w:w="1077" w:type="pct"/>
                  <w:tcBorders>
                    <w:tl2br w:val="nil"/>
                    <w:tr2bl w:val="nil"/>
                  </w:tcBorders>
                  <w:noWrap w:val="0"/>
                  <w:vAlign w:val="center"/>
                </w:tcPr>
                <w:p w14:paraId="6622A13A">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升压站四边界1米处</w:t>
                  </w:r>
                </w:p>
              </w:tc>
              <w:tc>
                <w:tcPr>
                  <w:tcW w:w="805" w:type="pct"/>
                  <w:tcBorders>
                    <w:tl2br w:val="nil"/>
                    <w:tr2bl w:val="nil"/>
                  </w:tcBorders>
                  <w:noWrap w:val="0"/>
                  <w:vAlign w:val="center"/>
                </w:tcPr>
                <w:p w14:paraId="312C8BD9">
                  <w:pPr>
                    <w:pStyle w:val="2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atLeas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昼间等效连续A声级、</w:t>
                  </w:r>
                  <w:r>
                    <w:rPr>
                      <w:rFonts w:hint="default" w:ascii="Times New Roman" w:hAnsi="Times New Roman" w:eastAsia="宋体" w:cs="Times New Roman"/>
                      <w:color w:val="auto"/>
                      <w:sz w:val="21"/>
                      <w:szCs w:val="21"/>
                      <w:highlight w:val="none"/>
                      <w:lang w:val="en-US" w:eastAsia="zh-CN"/>
                    </w:rPr>
                    <w:t>夜间等效连续A声级</w:t>
                  </w:r>
                </w:p>
              </w:tc>
              <w:tc>
                <w:tcPr>
                  <w:tcW w:w="1069" w:type="pct"/>
                  <w:tcBorders>
                    <w:tl2br w:val="nil"/>
                    <w:tr2bl w:val="nil"/>
                  </w:tcBorders>
                  <w:noWrap w:val="0"/>
                  <w:vAlign w:val="center"/>
                </w:tcPr>
                <w:p w14:paraId="4003F853">
                  <w:pPr>
                    <w:pStyle w:val="26"/>
                    <w:keepNext w:val="0"/>
                    <w:keepLines w:val="0"/>
                    <w:pageBreakBefore w:val="0"/>
                    <w:widowControl w:val="0"/>
                    <w:kinsoku/>
                    <w:wordWrap/>
                    <w:overflowPunct/>
                    <w:topLinePunct w:val="0"/>
                    <w:autoSpaceDE/>
                    <w:autoSpaceDN/>
                    <w:bidi w:val="0"/>
                    <w:adjustRightInd w:val="0"/>
                    <w:snapToGrid w:val="0"/>
                    <w:spacing w:line="300" w:lineRule="atLeas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zh-CN"/>
                    </w:rPr>
                    <w:t>验收监测一次；后期按照上级管理部门要求定期进行监测</w:t>
                  </w:r>
                </w:p>
              </w:tc>
              <w:tc>
                <w:tcPr>
                  <w:tcW w:w="1667" w:type="pct"/>
                  <w:tcBorders>
                    <w:tl2br w:val="nil"/>
                    <w:tr2bl w:val="nil"/>
                  </w:tcBorders>
                  <w:noWrap w:val="0"/>
                  <w:vAlign w:val="center"/>
                </w:tcPr>
                <w:p w14:paraId="69BE82D4">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《工业企业厂界环境噪声排放标准》(GB12348-2008)中的1类标准</w:t>
                  </w:r>
                </w:p>
              </w:tc>
            </w:tr>
            <w:tr w14:paraId="4F3AC8B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5000" w:type="pct"/>
                  <w:gridSpan w:val="5"/>
                  <w:tcBorders>
                    <w:tl2br w:val="nil"/>
                    <w:tr2bl w:val="nil"/>
                  </w:tcBorders>
                  <w:noWrap w:val="0"/>
                  <w:vAlign w:val="center"/>
                </w:tcPr>
                <w:p w14:paraId="24D9B29B">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注：本工程建成试运行投产后，结合竣工环境保护验收监测。正常运行后</w:t>
                  </w:r>
                  <w:r>
                    <w:rPr>
                      <w:rFonts w:hint="default" w:ascii="Times New Roman" w:hAnsi="Times New Roman" w:eastAsia="宋体" w:cs="Times New Roman"/>
                      <w:color w:val="auto"/>
                      <w:kern w:val="2"/>
                      <w:sz w:val="21"/>
                      <w:szCs w:val="21"/>
                      <w:highlight w:val="none"/>
                      <w:lang w:val="en-US" w:eastAsia="zh-CN" w:bidi="zh-CN"/>
                    </w:rPr>
                    <w:t>按照上级管理部门要求定期进行监测。</w:t>
                  </w:r>
                </w:p>
              </w:tc>
            </w:tr>
          </w:tbl>
          <w:p w14:paraId="3021273C">
            <w:pPr>
              <w:keepNext w:val="0"/>
              <w:keepLines w:val="0"/>
              <w:pageBreakBefore w:val="0"/>
              <w:widowControl w:val="0"/>
              <w:kinsoku/>
              <w:wordWrap/>
              <w:overflowPunct/>
              <w:topLinePunct w:val="0"/>
              <w:autoSpaceDE/>
              <w:autoSpaceDN/>
              <w:bidi w:val="0"/>
              <w:adjustRightInd w:val="0"/>
              <w:snapToGrid w:val="0"/>
              <w:spacing w:line="460" w:lineRule="atLeast"/>
              <w:jc w:val="left"/>
              <w:textAlignment w:val="auto"/>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z w:val="24"/>
                <w:szCs w:val="24"/>
                <w:highlight w:val="none"/>
                <w:lang w:eastAsia="zh-CN"/>
              </w:rPr>
              <w:t>注：表中所列出的监测站点、监测时间和监测频次，可根据当地具体进行适当调整，根据监测结果采取相应的环保措施。</w:t>
            </w:r>
          </w:p>
          <w:p w14:paraId="059A0A6F">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val="en-US" w:eastAsia="zh-CN"/>
              </w:rPr>
              <w:t>(3)环境保护培训</w:t>
            </w:r>
          </w:p>
          <w:p w14:paraId="03E8DB35">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Cs/>
                <w:color w:val="auto"/>
                <w:sz w:val="24"/>
                <w:szCs w:val="24"/>
                <w:highlight w:val="none"/>
                <w:lang w:val="en-US" w:eastAsia="zh-CN"/>
              </w:rPr>
              <w:t>应对与工程项目有关的主要人员，包括施工单位、运行单位、受影响区域的公众，进行环境保护技术和政策方面的培训与宣传，进一步增强施工、运行单位的环保管理的能力，减少施工和运行产生的不利环境影响，并且能够更好地参与和监督环保管理；提高人们的环保意识，加强公众的环境保护和自我保护意识。具体的环保管理培训计划见表5-</w:t>
            </w:r>
            <w:r>
              <w:rPr>
                <w:rFonts w:hint="eastAsia"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lang w:val="en-US" w:eastAsia="zh-CN"/>
              </w:rPr>
              <w:t>。</w:t>
            </w:r>
          </w:p>
          <w:p w14:paraId="5A2B2DD1">
            <w:pPr>
              <w:keepNext w:val="0"/>
              <w:keepLines w:val="0"/>
              <w:pageBreakBefore w:val="0"/>
              <w:widowControl w:val="0"/>
              <w:kinsoku/>
              <w:wordWrap/>
              <w:overflowPunct/>
              <w:topLinePunct w:val="0"/>
              <w:autoSpaceDE/>
              <w:autoSpaceDN/>
              <w:bidi w:val="0"/>
              <w:adjustRightInd w:val="0"/>
              <w:snapToGrid w:val="0"/>
              <w:spacing w:line="460" w:lineRule="atLeast"/>
              <w:ind w:firstLine="482" w:firstLineChars="200"/>
              <w:jc w:val="center"/>
              <w:textAlignment w:val="auto"/>
              <w:outlineLvl w:val="9"/>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val="en-US" w:eastAsia="zh-CN"/>
              </w:rPr>
              <w:t>表5-</w:t>
            </w:r>
            <w:r>
              <w:rPr>
                <w:rFonts w:hint="eastAsia" w:ascii="Times New Roman" w:hAnsi="Times New Roman" w:eastAsia="宋体" w:cs="Times New Roman"/>
                <w:b/>
                <w:bCs w:val="0"/>
                <w:color w:val="auto"/>
                <w:sz w:val="24"/>
                <w:szCs w:val="24"/>
                <w:highlight w:val="none"/>
                <w:lang w:val="en-US" w:eastAsia="zh-CN"/>
              </w:rPr>
              <w:t>3</w:t>
            </w:r>
            <w:r>
              <w:rPr>
                <w:rFonts w:hint="default" w:ascii="Times New Roman" w:hAnsi="Times New Roman" w:eastAsia="宋体" w:cs="Times New Roman"/>
                <w:b/>
                <w:bCs w:val="0"/>
                <w:color w:val="auto"/>
                <w:sz w:val="24"/>
                <w:szCs w:val="24"/>
                <w:highlight w:val="none"/>
                <w:lang w:val="en-US" w:eastAsia="zh-CN"/>
              </w:rPr>
              <w:t>环保管理培训计划</w:t>
            </w:r>
          </w:p>
          <w:tbl>
            <w:tblPr>
              <w:tblStyle w:val="20"/>
              <w:tblW w:w="7929"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302"/>
              <w:gridCol w:w="3381"/>
              <w:gridCol w:w="2316"/>
            </w:tblGrid>
            <w:tr w14:paraId="21F5EEE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 w:type="dxa"/>
                  <w:tcBorders>
                    <w:tl2br w:val="nil"/>
                    <w:tr2bl w:val="nil"/>
                  </w:tcBorders>
                  <w:noWrap w:val="0"/>
                  <w:vAlign w:val="center"/>
                </w:tcPr>
                <w:p w14:paraId="4BA00620">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cs="Times New Roman"/>
                      <w:bCs/>
                      <w:color w:val="auto"/>
                      <w:spacing w:val="-10"/>
                      <w:sz w:val="21"/>
                      <w:szCs w:val="21"/>
                      <w:highlight w:val="none"/>
                      <w:vertAlign w:val="baseline"/>
                      <w:lang w:val="en-US" w:eastAsia="zh-CN"/>
                    </w:rPr>
                    <w:t>阶段</w:t>
                  </w:r>
                </w:p>
              </w:tc>
              <w:tc>
                <w:tcPr>
                  <w:tcW w:w="1302" w:type="dxa"/>
                  <w:tcBorders>
                    <w:tl2br w:val="nil"/>
                    <w:tr2bl w:val="nil"/>
                  </w:tcBorders>
                  <w:noWrap w:val="0"/>
                  <w:vAlign w:val="center"/>
                </w:tcPr>
                <w:p w14:paraId="19209CA5">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cs="Times New Roman"/>
                      <w:bCs/>
                      <w:color w:val="auto"/>
                      <w:spacing w:val="-10"/>
                      <w:sz w:val="21"/>
                      <w:szCs w:val="21"/>
                      <w:highlight w:val="none"/>
                      <w:vertAlign w:val="baseline"/>
                      <w:lang w:val="en-US" w:eastAsia="zh-CN"/>
                    </w:rPr>
                    <w:t>项目</w:t>
                  </w:r>
                </w:p>
              </w:tc>
              <w:tc>
                <w:tcPr>
                  <w:tcW w:w="3381" w:type="dxa"/>
                  <w:tcBorders>
                    <w:tl2br w:val="nil"/>
                    <w:tr2bl w:val="nil"/>
                  </w:tcBorders>
                  <w:noWrap w:val="0"/>
                  <w:vAlign w:val="center"/>
                </w:tcPr>
                <w:p w14:paraId="2460FC77">
                  <w:pPr>
                    <w:keepNext w:val="0"/>
                    <w:keepLines w:val="0"/>
                    <w:pageBreakBefore w:val="0"/>
                    <w:widowControl w:val="0"/>
                    <w:suppressLineNumbers w:val="0"/>
                    <w:kinsoku/>
                    <w:wordWrap/>
                    <w:overflowPunct/>
                    <w:topLinePunct w:val="0"/>
                    <w:autoSpaceDE/>
                    <w:autoSpaceDN/>
                    <w:bidi w:val="0"/>
                    <w:spacing w:line="300" w:lineRule="atLeast"/>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参加培训对象</w:t>
                  </w:r>
                </w:p>
              </w:tc>
              <w:tc>
                <w:tcPr>
                  <w:tcW w:w="2316" w:type="dxa"/>
                  <w:tcBorders>
                    <w:tl2br w:val="nil"/>
                    <w:tr2bl w:val="nil"/>
                  </w:tcBorders>
                  <w:noWrap w:val="0"/>
                  <w:vAlign w:val="center"/>
                </w:tcPr>
                <w:p w14:paraId="33380E29">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cs="Times New Roman"/>
                      <w:bCs/>
                      <w:color w:val="auto"/>
                      <w:spacing w:val="-10"/>
                      <w:sz w:val="21"/>
                      <w:szCs w:val="21"/>
                      <w:highlight w:val="none"/>
                      <w:vertAlign w:val="baseline"/>
                      <w:lang w:val="en-US" w:eastAsia="zh-CN"/>
                    </w:rPr>
                    <w:t>培训内容</w:t>
                  </w:r>
                </w:p>
              </w:tc>
            </w:tr>
            <w:tr w14:paraId="532A75E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 w:type="dxa"/>
                  <w:tcBorders>
                    <w:tl2br w:val="nil"/>
                    <w:tr2bl w:val="nil"/>
                  </w:tcBorders>
                  <w:noWrap w:val="0"/>
                  <w:vAlign w:val="center"/>
                </w:tcPr>
                <w:p w14:paraId="672E3875">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cs="Times New Roman"/>
                      <w:bCs/>
                      <w:color w:val="auto"/>
                      <w:spacing w:val="-10"/>
                      <w:sz w:val="21"/>
                      <w:szCs w:val="21"/>
                      <w:highlight w:val="none"/>
                      <w:vertAlign w:val="baseline"/>
                      <w:lang w:val="en-US" w:eastAsia="zh-CN"/>
                    </w:rPr>
                    <w:t>施工期</w:t>
                  </w:r>
                </w:p>
              </w:tc>
              <w:tc>
                <w:tcPr>
                  <w:tcW w:w="1302" w:type="dxa"/>
                  <w:vMerge w:val="restart"/>
                  <w:tcBorders>
                    <w:tl2br w:val="nil"/>
                    <w:tr2bl w:val="nil"/>
                  </w:tcBorders>
                  <w:noWrap w:val="0"/>
                  <w:vAlign w:val="center"/>
                </w:tcPr>
                <w:p w14:paraId="06CA4D4A">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cs="Times New Roman"/>
                      <w:bCs/>
                      <w:color w:val="auto"/>
                      <w:spacing w:val="-10"/>
                      <w:sz w:val="21"/>
                      <w:szCs w:val="21"/>
                      <w:highlight w:val="none"/>
                      <w:vertAlign w:val="baseline"/>
                      <w:lang w:val="en-US" w:eastAsia="zh-CN"/>
                    </w:rPr>
                    <w:t>环境保护管理培训</w:t>
                  </w:r>
                </w:p>
              </w:tc>
              <w:tc>
                <w:tcPr>
                  <w:tcW w:w="3381" w:type="dxa"/>
                  <w:tcBorders>
                    <w:tl2br w:val="nil"/>
                    <w:tr2bl w:val="nil"/>
                  </w:tcBorders>
                  <w:noWrap w:val="0"/>
                  <w:vAlign w:val="center"/>
                </w:tcPr>
                <w:p w14:paraId="3E281A90">
                  <w:pPr>
                    <w:keepNext w:val="0"/>
                    <w:keepLines w:val="0"/>
                    <w:pageBreakBefore w:val="0"/>
                    <w:widowControl w:val="0"/>
                    <w:suppressLineNumbers w:val="0"/>
                    <w:kinsoku/>
                    <w:wordWrap/>
                    <w:overflowPunct/>
                    <w:topLinePunct w:val="0"/>
                    <w:autoSpaceDE/>
                    <w:autoSpaceDN/>
                    <w:bidi w:val="0"/>
                    <w:spacing w:line="300" w:lineRule="atLeast"/>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建设单位、监理单位、施工单位及其他相关人员</w:t>
                  </w:r>
                </w:p>
              </w:tc>
              <w:tc>
                <w:tcPr>
                  <w:tcW w:w="2316" w:type="dxa"/>
                  <w:vMerge w:val="restart"/>
                  <w:tcBorders>
                    <w:tl2br w:val="nil"/>
                    <w:tr2bl w:val="nil"/>
                  </w:tcBorders>
                  <w:noWrap w:val="0"/>
                  <w:vAlign w:val="center"/>
                </w:tcPr>
                <w:p w14:paraId="3367F191">
                  <w:pPr>
                    <w:keepNext w:val="0"/>
                    <w:keepLines w:val="0"/>
                    <w:pageBreakBefore w:val="0"/>
                    <w:widowControl w:val="0"/>
                    <w:suppressLineNumbers w:val="0"/>
                    <w:kinsoku/>
                    <w:wordWrap/>
                    <w:overflowPunct/>
                    <w:topLinePunct w:val="0"/>
                    <w:autoSpaceDE/>
                    <w:autoSpaceDN/>
                    <w:bidi w:val="0"/>
                    <w:spacing w:line="300" w:lineRule="atLeas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国家及地方相关法律法规及技术规范</w:t>
                  </w:r>
                  <w:r>
                    <w:rPr>
                      <w:rFonts w:hint="eastAsia" w:ascii="Times New Roman" w:hAnsi="Times New Roman" w:eastAsia="宋体" w:cs="Times New Roman"/>
                      <w:color w:val="auto"/>
                      <w:kern w:val="0"/>
                      <w:sz w:val="21"/>
                      <w:szCs w:val="21"/>
                      <w:highlight w:val="none"/>
                      <w:lang w:val="en-US" w:eastAsia="zh-CN" w:bidi="ar"/>
                    </w:rPr>
                    <w:t>、环境影响评价报告鸡批复意见</w:t>
                  </w:r>
                  <w:r>
                    <w:rPr>
                      <w:rFonts w:hint="default" w:ascii="Times New Roman" w:hAnsi="Times New Roman" w:eastAsia="宋体" w:cs="Times New Roman"/>
                      <w:color w:val="auto"/>
                      <w:kern w:val="0"/>
                      <w:sz w:val="21"/>
                      <w:szCs w:val="21"/>
                      <w:highlight w:val="none"/>
                      <w:lang w:val="en-US" w:eastAsia="zh-CN" w:bidi="ar"/>
                    </w:rPr>
                    <w:t>等。</w:t>
                  </w:r>
                </w:p>
                <w:p w14:paraId="054BA658">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p>
              </w:tc>
            </w:tr>
            <w:tr w14:paraId="2EA04FE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0" w:type="dxa"/>
                  <w:tcBorders>
                    <w:tl2br w:val="nil"/>
                    <w:tr2bl w:val="nil"/>
                  </w:tcBorders>
                  <w:noWrap w:val="0"/>
                  <w:vAlign w:val="center"/>
                </w:tcPr>
                <w:p w14:paraId="02473E00">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eastAsia" w:cs="Times New Roman"/>
                      <w:bCs/>
                      <w:color w:val="auto"/>
                      <w:spacing w:val="-10"/>
                      <w:sz w:val="21"/>
                      <w:szCs w:val="21"/>
                      <w:highlight w:val="none"/>
                      <w:vertAlign w:val="baseline"/>
                      <w:lang w:val="en-US" w:eastAsia="zh-CN"/>
                    </w:rPr>
                    <w:t>运营期</w:t>
                  </w:r>
                </w:p>
              </w:tc>
              <w:tc>
                <w:tcPr>
                  <w:tcW w:w="1302" w:type="dxa"/>
                  <w:vMerge w:val="continue"/>
                  <w:tcBorders>
                    <w:tl2br w:val="nil"/>
                    <w:tr2bl w:val="nil"/>
                  </w:tcBorders>
                  <w:noWrap w:val="0"/>
                  <w:vAlign w:val="center"/>
                </w:tcPr>
                <w:p w14:paraId="2D89FD58">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p>
              </w:tc>
              <w:tc>
                <w:tcPr>
                  <w:tcW w:w="3381" w:type="dxa"/>
                  <w:tcBorders>
                    <w:tl2br w:val="nil"/>
                    <w:tr2bl w:val="nil"/>
                  </w:tcBorders>
                  <w:noWrap w:val="0"/>
                  <w:vAlign w:val="center"/>
                </w:tcPr>
                <w:p w14:paraId="11FEFAEF">
                  <w:pPr>
                    <w:keepNext w:val="0"/>
                    <w:keepLines w:val="0"/>
                    <w:pageBreakBefore w:val="0"/>
                    <w:widowControl w:val="0"/>
                    <w:suppressLineNumbers w:val="0"/>
                    <w:kinsoku/>
                    <w:wordWrap/>
                    <w:overflowPunct/>
                    <w:topLinePunct w:val="0"/>
                    <w:autoSpaceDE/>
                    <w:autoSpaceDN/>
                    <w:bidi w:val="0"/>
                    <w:spacing w:line="300" w:lineRule="atLeast"/>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建设单位或负责运行的单位及其他相关人员</w:t>
                  </w:r>
                </w:p>
              </w:tc>
              <w:tc>
                <w:tcPr>
                  <w:tcW w:w="2316" w:type="dxa"/>
                  <w:vMerge w:val="continue"/>
                  <w:tcBorders>
                    <w:tl2br w:val="nil"/>
                    <w:tr2bl w:val="nil"/>
                  </w:tcBorders>
                  <w:noWrap w:val="0"/>
                  <w:vAlign w:val="center"/>
                </w:tcPr>
                <w:p w14:paraId="71B00762">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p>
              </w:tc>
            </w:tr>
          </w:tbl>
          <w:p w14:paraId="7CF56A10">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(4)档案管理</w:t>
            </w:r>
          </w:p>
          <w:p w14:paraId="3F49BE48">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eastAsia"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按照管理部门要求定期进行监测</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建设单位应做好环境</w:t>
            </w:r>
            <w:r>
              <w:rPr>
                <w:rFonts w:hint="eastAsia" w:ascii="Times New Roman" w:hAnsi="Times New Roman" w:eastAsia="宋体" w:cs="Times New Roman"/>
                <w:bCs/>
                <w:color w:val="auto"/>
                <w:sz w:val="24"/>
                <w:szCs w:val="24"/>
                <w:highlight w:val="none"/>
                <w:lang w:val="en-US" w:eastAsia="zh-CN"/>
              </w:rPr>
              <w:t>保护档案</w:t>
            </w:r>
            <w:r>
              <w:rPr>
                <w:rFonts w:hint="default" w:ascii="Times New Roman" w:hAnsi="Times New Roman" w:eastAsia="宋体" w:cs="Times New Roman"/>
                <w:bCs/>
                <w:color w:val="auto"/>
                <w:sz w:val="24"/>
                <w:szCs w:val="24"/>
                <w:highlight w:val="none"/>
                <w:lang w:val="en-US" w:eastAsia="zh-CN"/>
              </w:rPr>
              <w:t>管理记录，包括</w:t>
            </w:r>
            <w:r>
              <w:rPr>
                <w:rFonts w:hint="eastAsia" w:ascii="Times New Roman" w:hAnsi="Times New Roman" w:eastAsia="宋体" w:cs="Times New Roman"/>
                <w:bCs/>
                <w:color w:val="auto"/>
                <w:sz w:val="24"/>
                <w:szCs w:val="24"/>
                <w:highlight w:val="none"/>
                <w:lang w:val="en-US" w:eastAsia="zh-CN"/>
              </w:rPr>
              <w:t>建设项目环境选址、环保初步审查等文件材料、</w:t>
            </w:r>
            <w:r>
              <w:rPr>
                <w:rFonts w:hint="default" w:ascii="Times New Roman" w:hAnsi="Times New Roman" w:eastAsia="宋体" w:cs="Times New Roman"/>
                <w:bCs/>
                <w:color w:val="auto"/>
                <w:sz w:val="24"/>
                <w:szCs w:val="24"/>
                <w:highlight w:val="none"/>
                <w:lang w:val="en-US" w:eastAsia="zh-CN"/>
              </w:rPr>
              <w:t>可</w:t>
            </w:r>
            <w:r>
              <w:rPr>
                <w:rFonts w:hint="eastAsia" w:ascii="Times New Roman" w:hAnsi="Times New Roman" w:eastAsia="宋体" w:cs="Times New Roman"/>
                <w:bCs/>
                <w:color w:val="auto"/>
                <w:sz w:val="24"/>
                <w:szCs w:val="24"/>
                <w:highlight w:val="none"/>
                <w:lang w:val="en-US" w:eastAsia="zh-CN"/>
              </w:rPr>
              <w:t>行性</w:t>
            </w:r>
            <w:r>
              <w:rPr>
                <w:rFonts w:hint="default" w:ascii="Times New Roman" w:hAnsi="Times New Roman" w:eastAsia="宋体" w:cs="Times New Roman"/>
                <w:bCs/>
                <w:color w:val="auto"/>
                <w:sz w:val="24"/>
                <w:szCs w:val="24"/>
                <w:highlight w:val="none"/>
                <w:lang w:val="en-US" w:eastAsia="zh-CN"/>
              </w:rPr>
              <w:t>研</w:t>
            </w:r>
            <w:r>
              <w:rPr>
                <w:rFonts w:hint="eastAsia" w:ascii="Times New Roman" w:hAnsi="Times New Roman" w:eastAsia="宋体" w:cs="Times New Roman"/>
                <w:bCs/>
                <w:color w:val="auto"/>
                <w:sz w:val="24"/>
                <w:szCs w:val="24"/>
                <w:highlight w:val="none"/>
                <w:lang w:val="en-US" w:eastAsia="zh-CN"/>
              </w:rPr>
              <w:t>究</w:t>
            </w:r>
            <w:r>
              <w:rPr>
                <w:rFonts w:hint="default" w:ascii="Times New Roman" w:hAnsi="Times New Roman" w:eastAsia="宋体" w:cs="Times New Roman"/>
                <w:bCs/>
                <w:color w:val="auto"/>
                <w:sz w:val="24"/>
                <w:szCs w:val="24"/>
                <w:highlight w:val="none"/>
                <w:lang w:val="en-US" w:eastAsia="zh-CN"/>
              </w:rPr>
              <w:t>文件、初步设计文件、</w:t>
            </w:r>
            <w:r>
              <w:rPr>
                <w:rFonts w:hint="eastAsia" w:ascii="Times New Roman" w:hAnsi="Times New Roman" w:eastAsia="宋体" w:cs="Times New Roman"/>
                <w:bCs/>
                <w:color w:val="auto"/>
                <w:sz w:val="24"/>
                <w:szCs w:val="24"/>
                <w:highlight w:val="none"/>
                <w:lang w:val="en-US" w:eastAsia="zh-CN"/>
              </w:rPr>
              <w:t>环境影响报告书（表）及审批文件、专家评审材料、</w:t>
            </w:r>
            <w:r>
              <w:rPr>
                <w:rFonts w:hint="default" w:ascii="Times New Roman" w:hAnsi="Times New Roman" w:eastAsia="宋体" w:cs="Times New Roman"/>
                <w:bCs/>
                <w:color w:val="auto"/>
                <w:sz w:val="24"/>
                <w:szCs w:val="24"/>
                <w:highlight w:val="none"/>
                <w:lang w:val="en-US" w:eastAsia="zh-CN"/>
              </w:rPr>
              <w:t>施工图纸资料、项目基本信息、生产设施运行管理信息、污染防治设施运行管理信息、监测记录信息等</w:t>
            </w:r>
            <w:r>
              <w:rPr>
                <w:rFonts w:hint="eastAsia" w:ascii="Times New Roman" w:hAnsi="Times New Roman" w:eastAsia="宋体" w:cs="Times New Roman"/>
                <w:bCs/>
                <w:color w:val="auto"/>
                <w:sz w:val="24"/>
                <w:szCs w:val="24"/>
                <w:highlight w:val="none"/>
                <w:lang w:val="en-US" w:eastAsia="zh-CN"/>
              </w:rPr>
              <w:t>。</w:t>
            </w:r>
          </w:p>
          <w:p w14:paraId="14867AB5">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环境影响评价阶段所有材料均永久保存；设计阶段所有材料均永久保存。其他文件保存时间参考《建设项目环境保护管理文件材料归档保管期限表》（见附录A）。</w:t>
            </w:r>
          </w:p>
          <w:p w14:paraId="2349D1DC">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(5)竣工环境保护验收</w:t>
            </w:r>
          </w:p>
          <w:p w14:paraId="0F8FBEB7">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根据《建设项目环境保护管理条例》，本项目的建设应执行污染治理</w:t>
            </w:r>
          </w:p>
          <w:p w14:paraId="40F0F009">
            <w:pPr>
              <w:keepNext w:val="0"/>
              <w:keepLines w:val="0"/>
              <w:pageBreakBefore w:val="0"/>
              <w:widowControl w:val="0"/>
              <w:kinsoku/>
              <w:wordWrap/>
              <w:overflowPunct/>
              <w:topLinePunct w:val="0"/>
              <w:autoSpaceDE/>
              <w:autoSpaceDN/>
              <w:bidi w:val="0"/>
              <w:adjustRightInd w:val="0"/>
              <w:snapToGrid w:val="0"/>
              <w:spacing w:line="460" w:lineRule="atLeast"/>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设施与主体工程同时设计、同时施工、同时投产使用的“三同时”制度。</w:t>
            </w:r>
          </w:p>
          <w:p w14:paraId="04F587D8">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本建设项目正式投产运行前，应进行竣工环境保护验收，主要内容应包括：</w:t>
            </w:r>
          </w:p>
          <w:p w14:paraId="5E8C7A8A">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(1)施工期环境保护措施实施情况调查。</w:t>
            </w:r>
          </w:p>
          <w:p w14:paraId="47A841DC">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(2)环保验收中的噪声水平、工频磁感应强度和工频电场强度水平调查。</w:t>
            </w:r>
          </w:p>
          <w:p w14:paraId="31633DEB">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(3)工程</w:t>
            </w:r>
            <w:r>
              <w:rPr>
                <w:rFonts w:hint="eastAsia" w:cs="Times New Roman"/>
                <w:bCs/>
                <w:color w:val="auto"/>
                <w:sz w:val="24"/>
                <w:szCs w:val="24"/>
                <w:highlight w:val="none"/>
                <w:lang w:val="en-US" w:eastAsia="zh-CN"/>
              </w:rPr>
              <w:t>运营期</w:t>
            </w:r>
            <w:r>
              <w:rPr>
                <w:rFonts w:hint="default" w:ascii="Times New Roman" w:hAnsi="Times New Roman" w:eastAsia="宋体" w:cs="Times New Roman"/>
                <w:bCs/>
                <w:color w:val="auto"/>
                <w:sz w:val="24"/>
                <w:szCs w:val="24"/>
                <w:highlight w:val="none"/>
                <w:lang w:val="en-US" w:eastAsia="zh-CN"/>
              </w:rPr>
              <w:t>间环境管理情况调查。</w:t>
            </w:r>
          </w:p>
          <w:p w14:paraId="37832C2C">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(4)验收调查结论。</w:t>
            </w:r>
          </w:p>
          <w:p w14:paraId="3F623FC5">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本项目环境保护“三同时”验收一览表，见</w:t>
            </w:r>
            <w:r>
              <w:rPr>
                <w:rFonts w:hint="eastAsia" w:ascii="Times New Roman" w:hAnsi="Times New Roman" w:eastAsia="宋体" w:cs="Times New Roman"/>
                <w:bCs/>
                <w:color w:val="auto"/>
                <w:sz w:val="24"/>
                <w:szCs w:val="24"/>
                <w:highlight w:val="none"/>
                <w:lang w:val="en-US" w:eastAsia="zh-CN"/>
              </w:rPr>
              <w:t>下表</w:t>
            </w:r>
          </w:p>
          <w:p w14:paraId="1E36B545">
            <w:pPr>
              <w:keepNext w:val="0"/>
              <w:keepLines w:val="0"/>
              <w:pageBreakBefore w:val="0"/>
              <w:widowControl w:val="0"/>
              <w:suppressLineNumbers w:val="0"/>
              <w:kinsoku/>
              <w:wordWrap/>
              <w:overflowPunct/>
              <w:topLinePunct w:val="0"/>
              <w:autoSpaceDE/>
              <w:autoSpaceDN/>
              <w:bidi w:val="0"/>
              <w:spacing w:line="460" w:lineRule="atLeas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表5-</w:t>
            </w:r>
            <w:r>
              <w:rPr>
                <w:rFonts w:hint="eastAsia" w:ascii="Times New Roman" w:hAnsi="Times New Roman" w:eastAsia="宋体" w:cs="Times New Roman"/>
                <w:b/>
                <w:bCs/>
                <w:color w:val="auto"/>
                <w:kern w:val="0"/>
                <w:sz w:val="24"/>
                <w:szCs w:val="24"/>
                <w:highlight w:val="none"/>
                <w:lang w:val="en-US" w:eastAsia="zh-CN" w:bidi="ar"/>
              </w:rPr>
              <w:t>4</w:t>
            </w:r>
            <w:r>
              <w:rPr>
                <w:rFonts w:hint="default" w:ascii="Times New Roman" w:hAnsi="Times New Roman" w:eastAsia="宋体" w:cs="Times New Roman"/>
                <w:b/>
                <w:bCs/>
                <w:color w:val="auto"/>
                <w:kern w:val="0"/>
                <w:sz w:val="24"/>
                <w:szCs w:val="24"/>
                <w:highlight w:val="none"/>
                <w:lang w:val="en-US" w:eastAsia="zh-CN" w:bidi="ar"/>
              </w:rPr>
              <w:t>本项目竣工环保验收一览表</w:t>
            </w:r>
          </w:p>
          <w:tbl>
            <w:tblPr>
              <w:tblStyle w:val="20"/>
              <w:tblW w:w="7910"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16"/>
              <w:gridCol w:w="5994"/>
            </w:tblGrid>
            <w:tr w14:paraId="014F2B6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16" w:type="dxa"/>
                  <w:tcBorders>
                    <w:tl2br w:val="nil"/>
                    <w:tr2bl w:val="nil"/>
                  </w:tcBorders>
                  <w:noWrap w:val="0"/>
                  <w:vAlign w:val="center"/>
                </w:tcPr>
                <w:p w14:paraId="14A4ACE1">
                  <w:pPr>
                    <w:keepNext w:val="0"/>
                    <w:keepLines w:val="0"/>
                    <w:pageBreakBefore w:val="0"/>
                    <w:widowControl w:val="0"/>
                    <w:suppressLineNumbers w:val="0"/>
                    <w:kinsoku/>
                    <w:wordWrap/>
                    <w:overflowPunct/>
                    <w:topLinePunct w:val="0"/>
                    <w:autoSpaceDE/>
                    <w:autoSpaceDN/>
                    <w:bidi w:val="0"/>
                    <w:adjustRightInd w:val="0"/>
                    <w:snapToGrid w:val="0"/>
                    <w:spacing w:line="300" w:lineRule="atLeast"/>
                    <w:ind w:firstLine="420" w:firstLineChars="20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验收项目</w:t>
                  </w:r>
                </w:p>
              </w:tc>
              <w:tc>
                <w:tcPr>
                  <w:tcW w:w="5994" w:type="dxa"/>
                  <w:tcBorders>
                    <w:tl2br w:val="nil"/>
                    <w:tr2bl w:val="nil"/>
                  </w:tcBorders>
                  <w:noWrap w:val="0"/>
                  <w:vAlign w:val="center"/>
                </w:tcPr>
                <w:p w14:paraId="56697238">
                  <w:pPr>
                    <w:keepNext w:val="0"/>
                    <w:keepLines w:val="0"/>
                    <w:pageBreakBefore w:val="0"/>
                    <w:widowControl w:val="0"/>
                    <w:kinsoku/>
                    <w:wordWrap/>
                    <w:overflowPunct/>
                    <w:topLinePunct w:val="0"/>
                    <w:autoSpaceDE/>
                    <w:autoSpaceDN/>
                    <w:bidi w:val="0"/>
                    <w:adjustRightInd w:val="0"/>
                    <w:snapToGrid w:val="0"/>
                    <w:spacing w:line="300" w:lineRule="atLeast"/>
                    <w:ind w:firstLine="420" w:firstLineChars="200"/>
                    <w:jc w:val="center"/>
                    <w:textAlignment w:val="auto"/>
                    <w:outlineLvl w:val="9"/>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内容和要求</w:t>
                  </w:r>
                </w:p>
              </w:tc>
            </w:tr>
            <w:tr w14:paraId="4DAA58E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16" w:type="dxa"/>
                  <w:tcBorders>
                    <w:tl2br w:val="nil"/>
                    <w:tr2bl w:val="nil"/>
                  </w:tcBorders>
                  <w:noWrap w:val="0"/>
                  <w:vAlign w:val="center"/>
                </w:tcPr>
                <w:p w14:paraId="67B31EC4">
                  <w:pPr>
                    <w:keepNext w:val="0"/>
                    <w:keepLines w:val="0"/>
                    <w:pageBreakBefore w:val="0"/>
                    <w:widowControl w:val="0"/>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工频电场、工频磁场</w:t>
                  </w:r>
                </w:p>
              </w:tc>
              <w:tc>
                <w:tcPr>
                  <w:tcW w:w="5994" w:type="dxa"/>
                  <w:tcBorders>
                    <w:tl2br w:val="nil"/>
                    <w:tr2bl w:val="nil"/>
                  </w:tcBorders>
                  <w:noWrap w:val="0"/>
                  <w:vAlign w:val="center"/>
                </w:tcPr>
                <w:p w14:paraId="41DE68C7">
                  <w:pPr>
                    <w:keepNext w:val="0"/>
                    <w:keepLines w:val="0"/>
                    <w:pageBreakBefore w:val="0"/>
                    <w:widowControl w:val="0"/>
                    <w:suppressLineNumbers w:val="0"/>
                    <w:kinsoku/>
                    <w:wordWrap/>
                    <w:overflowPunct/>
                    <w:topLinePunct w:val="0"/>
                    <w:autoSpaceDE/>
                    <w:autoSpaceDN/>
                    <w:bidi w:val="0"/>
                    <w:adjustRightInd w:val="0"/>
                    <w:snapToGrid w:val="0"/>
                    <w:spacing w:line="300" w:lineRule="atLeast"/>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落实工程设计及环评文件提出的各项环保措施，工程运行产生的工频电场强度、工频磁感应强度符合《电磁环境控制限值》(GB8702-2014)中4kV/m、100μT的公众曝露控制限值要求。</w:t>
                  </w:r>
                </w:p>
              </w:tc>
            </w:tr>
            <w:tr w14:paraId="757E7A9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16" w:type="dxa"/>
                  <w:tcBorders>
                    <w:tl2br w:val="nil"/>
                    <w:tr2bl w:val="nil"/>
                  </w:tcBorders>
                  <w:noWrap w:val="0"/>
                  <w:vAlign w:val="center"/>
                </w:tcPr>
                <w:p w14:paraId="48AD878C">
                  <w:pPr>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outlineLvl w:val="9"/>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噪声</w:t>
                  </w:r>
                </w:p>
              </w:tc>
              <w:tc>
                <w:tcPr>
                  <w:tcW w:w="5994" w:type="dxa"/>
                  <w:tcBorders>
                    <w:tl2br w:val="nil"/>
                    <w:tr2bl w:val="nil"/>
                  </w:tcBorders>
                  <w:noWrap w:val="0"/>
                  <w:vAlign w:val="center"/>
                </w:tcPr>
                <w:p w14:paraId="241BB9C5">
                  <w:pPr>
                    <w:keepNext w:val="0"/>
                    <w:keepLines w:val="0"/>
                    <w:pageBreakBefore w:val="0"/>
                    <w:widowControl w:val="0"/>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运行产生的厂界环境噪声排放昼间、夜间均满足《工业企业厂界环境噪声排放标准》(GB12348-2008)1类标准。</w:t>
                  </w:r>
                </w:p>
              </w:tc>
            </w:tr>
            <w:tr w14:paraId="596E4BC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16" w:type="dxa"/>
                  <w:tcBorders>
                    <w:tl2br w:val="nil"/>
                    <w:tr2bl w:val="nil"/>
                  </w:tcBorders>
                  <w:noWrap w:val="0"/>
                  <w:vAlign w:val="center"/>
                </w:tcPr>
                <w:p w14:paraId="7D216F68">
                  <w:pPr>
                    <w:keepNext w:val="0"/>
                    <w:keepLines w:val="0"/>
                    <w:pageBreakBefore w:val="0"/>
                    <w:widowControl w:val="0"/>
                    <w:suppressLineNumbers w:val="0"/>
                    <w:kinsoku/>
                    <w:wordWrap/>
                    <w:overflowPunct/>
                    <w:topLinePunct w:val="0"/>
                    <w:autoSpaceDE/>
                    <w:autoSpaceDN/>
                    <w:bidi w:val="0"/>
                    <w:adjustRightInd w:val="0"/>
                    <w:snapToGrid w:val="0"/>
                    <w:spacing w:line="300" w:lineRule="atLeas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临时占地场地恢复</w:t>
                  </w:r>
                </w:p>
              </w:tc>
              <w:tc>
                <w:tcPr>
                  <w:tcW w:w="5994" w:type="dxa"/>
                  <w:tcBorders>
                    <w:tl2br w:val="nil"/>
                    <w:tr2bl w:val="nil"/>
                  </w:tcBorders>
                  <w:noWrap w:val="0"/>
                  <w:vAlign w:val="center"/>
                </w:tcPr>
                <w:p w14:paraId="3D262A44">
                  <w:pPr>
                    <w:keepNext w:val="0"/>
                    <w:keepLines w:val="0"/>
                    <w:pageBreakBefore w:val="0"/>
                    <w:widowControl w:val="0"/>
                    <w:suppressLineNumbers w:val="0"/>
                    <w:kinsoku/>
                    <w:wordWrap/>
                    <w:overflowPunct/>
                    <w:topLinePunct w:val="0"/>
                    <w:autoSpaceDE/>
                    <w:autoSpaceDN/>
                    <w:bidi w:val="0"/>
                    <w:spacing w:line="300" w:lineRule="atLeast"/>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恢复原有生态功能</w:t>
                  </w:r>
                </w:p>
              </w:tc>
            </w:tr>
          </w:tbl>
          <w:p w14:paraId="139465AE">
            <w:pPr>
              <w:numPr>
                <w:ilvl w:val="0"/>
                <w:numId w:val="0"/>
              </w:numPr>
              <w:spacing w:line="360" w:lineRule="auto"/>
              <w:rPr>
                <w:rFonts w:hint="default"/>
                <w:b/>
                <w:bCs/>
                <w:sz w:val="24"/>
                <w:szCs w:val="24"/>
                <w:lang w:val="en-US" w:eastAsia="zh-CN"/>
              </w:rPr>
            </w:pPr>
          </w:p>
        </w:tc>
      </w:tr>
      <w:tr w14:paraId="75C4F2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426" w:type="dxa"/>
            <w:noWrap w:val="0"/>
            <w:tcMar>
              <w:left w:w="28" w:type="dxa"/>
              <w:right w:w="28" w:type="dxa"/>
            </w:tcMar>
            <w:vAlign w:val="center"/>
          </w:tcPr>
          <w:p w14:paraId="251AC11E">
            <w:pPr>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bCs/>
                <w:color w:val="auto"/>
                <w:spacing w:val="10"/>
                <w:kern w:val="2"/>
                <w:sz w:val="21"/>
                <w:szCs w:val="21"/>
                <w:highlight w:val="yellow"/>
                <w:lang w:val="en-US" w:eastAsia="zh-CN" w:bidi="ar-SA"/>
              </w:rPr>
            </w:pPr>
            <w:r>
              <w:rPr>
                <w:rFonts w:hint="default" w:ascii="Times New Roman" w:hAnsi="Times New Roman" w:cs="Times New Roman"/>
                <w:bCs/>
                <w:color w:val="auto"/>
                <w:szCs w:val="21"/>
                <w:highlight w:val="none"/>
              </w:rPr>
              <w:t>环保投资</w:t>
            </w:r>
          </w:p>
        </w:tc>
        <w:tc>
          <w:tcPr>
            <w:tcW w:w="8127" w:type="dxa"/>
            <w:noWrap w:val="0"/>
            <w:vAlign w:val="center"/>
          </w:tcPr>
          <w:p w14:paraId="67053CD9">
            <w:pPr>
              <w:spacing w:before="177" w:line="360" w:lineRule="auto"/>
              <w:ind w:firstLine="500" w:firstLineChars="200"/>
              <w:rPr>
                <w:rFonts w:hint="default" w:ascii="Times New Roman" w:hAnsi="Times New Roman" w:eastAsia="宋体" w:cs="Times New Roman"/>
                <w:color w:val="auto"/>
                <w:spacing w:val="5"/>
                <w:sz w:val="24"/>
                <w:szCs w:val="24"/>
                <w:highlight w:val="none"/>
                <w:lang w:eastAsia="zh-CN"/>
              </w:rPr>
            </w:pPr>
            <w:r>
              <w:rPr>
                <w:rFonts w:hint="default" w:ascii="Times New Roman" w:hAnsi="Times New Roman" w:eastAsia="宋体" w:cs="Times New Roman"/>
                <w:color w:val="auto"/>
                <w:spacing w:val="5"/>
                <w:sz w:val="24"/>
                <w:szCs w:val="24"/>
                <w:highlight w:val="none"/>
                <w:lang w:eastAsia="zh-CN"/>
              </w:rPr>
              <w:t>本项目总投资</w:t>
            </w:r>
            <w:r>
              <w:rPr>
                <w:rFonts w:hint="eastAsia" w:cs="Times New Roman"/>
                <w:color w:val="auto"/>
                <w:spacing w:val="5"/>
                <w:sz w:val="24"/>
                <w:szCs w:val="24"/>
                <w:highlight w:val="none"/>
                <w:lang w:val="en-US" w:eastAsia="zh-CN"/>
              </w:rPr>
              <w:t>7075</w:t>
            </w:r>
            <w:r>
              <w:rPr>
                <w:rFonts w:hint="default" w:ascii="Times New Roman" w:hAnsi="Times New Roman" w:eastAsia="宋体" w:cs="Times New Roman"/>
                <w:color w:val="auto"/>
                <w:spacing w:val="5"/>
                <w:sz w:val="24"/>
                <w:szCs w:val="24"/>
                <w:highlight w:val="none"/>
                <w:lang w:eastAsia="zh-CN"/>
              </w:rPr>
              <w:t>万元，其中环保投资</w:t>
            </w:r>
            <w:r>
              <w:rPr>
                <w:rFonts w:hint="eastAsia" w:ascii="Times New Roman" w:hAnsi="Times New Roman" w:eastAsia="宋体" w:cs="Times New Roman"/>
                <w:color w:val="auto"/>
                <w:spacing w:val="5"/>
                <w:sz w:val="24"/>
                <w:szCs w:val="24"/>
                <w:highlight w:val="none"/>
                <w:lang w:val="en-US" w:eastAsia="zh-CN"/>
              </w:rPr>
              <w:t>70</w:t>
            </w:r>
            <w:r>
              <w:rPr>
                <w:rFonts w:hint="default" w:ascii="Times New Roman" w:hAnsi="Times New Roman" w:eastAsia="宋体" w:cs="Times New Roman"/>
                <w:color w:val="auto"/>
                <w:spacing w:val="5"/>
                <w:sz w:val="24"/>
                <w:szCs w:val="24"/>
                <w:highlight w:val="none"/>
                <w:lang w:eastAsia="zh-CN"/>
              </w:rPr>
              <w:t>万元，占</w:t>
            </w:r>
            <w:r>
              <w:rPr>
                <w:rFonts w:hint="eastAsia" w:ascii="Times New Roman" w:hAnsi="Times New Roman" w:eastAsia="宋体" w:cs="Times New Roman"/>
                <w:color w:val="auto"/>
                <w:spacing w:val="5"/>
                <w:sz w:val="24"/>
                <w:szCs w:val="24"/>
                <w:highlight w:val="none"/>
                <w:lang w:val="en-US" w:eastAsia="zh-CN"/>
              </w:rPr>
              <w:t>0.</w:t>
            </w:r>
            <w:r>
              <w:rPr>
                <w:rFonts w:hint="eastAsia" w:cs="Times New Roman"/>
                <w:color w:val="auto"/>
                <w:spacing w:val="5"/>
                <w:sz w:val="24"/>
                <w:szCs w:val="24"/>
                <w:highlight w:val="none"/>
                <w:lang w:val="en-US" w:eastAsia="zh-CN"/>
              </w:rPr>
              <w:t>99</w:t>
            </w:r>
            <w:r>
              <w:rPr>
                <w:rFonts w:hint="default" w:ascii="Times New Roman" w:hAnsi="Times New Roman" w:eastAsia="宋体" w:cs="Times New Roman"/>
                <w:color w:val="auto"/>
                <w:spacing w:val="5"/>
                <w:sz w:val="24"/>
                <w:szCs w:val="24"/>
                <w:highlight w:val="none"/>
                <w:lang w:eastAsia="zh-CN"/>
              </w:rPr>
              <w:t>%，项目环保措施及环保投资见下表。</w:t>
            </w:r>
          </w:p>
          <w:p w14:paraId="29DCAB13">
            <w:pPr>
              <w:spacing w:before="177" w:line="360" w:lineRule="auto"/>
              <w:ind w:left="587"/>
              <w:jc w:val="center"/>
              <w:rPr>
                <w:rFonts w:hint="eastAsia" w:ascii="Times New Roman" w:hAnsi="Times New Roman" w:eastAsia="宋体" w:cs="Times New Roman"/>
                <w:b/>
                <w:bCs/>
                <w:color w:val="auto"/>
                <w:spacing w:val="5"/>
                <w:sz w:val="24"/>
                <w:szCs w:val="24"/>
                <w:highlight w:val="none"/>
                <w:lang w:val="en-US" w:eastAsia="zh-CN"/>
              </w:rPr>
            </w:pPr>
            <w:r>
              <w:rPr>
                <w:rFonts w:hint="eastAsia" w:ascii="Times New Roman" w:hAnsi="Times New Roman" w:eastAsia="宋体" w:cs="Times New Roman"/>
                <w:b/>
                <w:bCs/>
                <w:color w:val="auto"/>
                <w:spacing w:val="5"/>
                <w:sz w:val="24"/>
                <w:szCs w:val="24"/>
                <w:highlight w:val="none"/>
                <w:lang w:val="en-US" w:eastAsia="zh-CN"/>
              </w:rPr>
              <w:t>表5-5本项目环保投资估算一览表</w:t>
            </w:r>
          </w:p>
          <w:p w14:paraId="592007E9">
            <w:pPr>
              <w:spacing w:line="25" w:lineRule="exact"/>
            </w:pPr>
          </w:p>
          <w:tbl>
            <w:tblPr>
              <w:tblStyle w:val="25"/>
              <w:tblW w:w="802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87"/>
              <w:gridCol w:w="3686"/>
              <w:gridCol w:w="2052"/>
            </w:tblGrid>
            <w:tr w14:paraId="52455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2287" w:type="dxa"/>
                  <w:tcBorders>
                    <w:top w:val="single" w:color="000000" w:sz="10" w:space="0"/>
                    <w:left w:val="nil"/>
                  </w:tcBorders>
                  <w:noWrap w:val="0"/>
                  <w:vAlign w:val="top"/>
                </w:tcPr>
                <w:p w14:paraId="3CAB74D2">
                  <w:pPr>
                    <w:pStyle w:val="24"/>
                    <w:spacing w:before="69" w:line="221" w:lineRule="auto"/>
                    <w:ind w:left="949"/>
                    <w:rPr>
                      <w:sz w:val="21"/>
                      <w:szCs w:val="21"/>
                    </w:rPr>
                  </w:pPr>
                  <w:r>
                    <w:rPr>
                      <w:spacing w:val="-2"/>
                      <w:sz w:val="21"/>
                      <w:szCs w:val="21"/>
                    </w:rPr>
                    <w:t>类别</w:t>
                  </w:r>
                </w:p>
              </w:tc>
              <w:tc>
                <w:tcPr>
                  <w:tcW w:w="3686" w:type="dxa"/>
                  <w:tcBorders>
                    <w:top w:val="single" w:color="000000" w:sz="10" w:space="0"/>
                  </w:tcBorders>
                  <w:noWrap w:val="0"/>
                  <w:vAlign w:val="top"/>
                </w:tcPr>
                <w:p w14:paraId="7C682335">
                  <w:pPr>
                    <w:pStyle w:val="24"/>
                    <w:spacing w:before="69" w:line="221" w:lineRule="auto"/>
                    <w:ind w:left="1220"/>
                    <w:rPr>
                      <w:sz w:val="21"/>
                      <w:szCs w:val="21"/>
                    </w:rPr>
                  </w:pPr>
                  <w:r>
                    <w:rPr>
                      <w:spacing w:val="-1"/>
                      <w:sz w:val="21"/>
                      <w:szCs w:val="21"/>
                    </w:rPr>
                    <w:t>环保设施项目</w:t>
                  </w:r>
                </w:p>
              </w:tc>
              <w:tc>
                <w:tcPr>
                  <w:tcW w:w="2052" w:type="dxa"/>
                  <w:tcBorders>
                    <w:top w:val="single" w:color="000000" w:sz="10" w:space="0"/>
                    <w:right w:val="nil"/>
                  </w:tcBorders>
                  <w:noWrap w:val="0"/>
                  <w:vAlign w:val="top"/>
                </w:tcPr>
                <w:p w14:paraId="50343B8B">
                  <w:pPr>
                    <w:pStyle w:val="24"/>
                    <w:spacing w:before="69" w:line="221" w:lineRule="auto"/>
                    <w:ind w:left="193"/>
                    <w:rPr>
                      <w:sz w:val="21"/>
                      <w:szCs w:val="21"/>
                    </w:rPr>
                  </w:pPr>
                  <w:r>
                    <w:rPr>
                      <w:spacing w:val="-1"/>
                      <w:sz w:val="21"/>
                      <w:szCs w:val="21"/>
                    </w:rPr>
                    <w:t>工程投资（万元）</w:t>
                  </w:r>
                </w:p>
              </w:tc>
            </w:tr>
            <w:tr w14:paraId="5DAAC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287" w:type="dxa"/>
                  <w:tcBorders>
                    <w:left w:val="nil"/>
                  </w:tcBorders>
                  <w:noWrap w:val="0"/>
                  <w:vAlign w:val="top"/>
                </w:tcPr>
                <w:p w14:paraId="423C6851">
                  <w:pPr>
                    <w:pStyle w:val="24"/>
                    <w:spacing w:before="66" w:line="221" w:lineRule="auto"/>
                    <w:ind w:left="214"/>
                    <w:rPr>
                      <w:sz w:val="21"/>
                      <w:szCs w:val="21"/>
                    </w:rPr>
                  </w:pPr>
                  <w:r>
                    <w:rPr>
                      <w:spacing w:val="-1"/>
                      <w:sz w:val="21"/>
                      <w:szCs w:val="21"/>
                    </w:rPr>
                    <w:t>大气污染物治理措施</w:t>
                  </w:r>
                </w:p>
              </w:tc>
              <w:tc>
                <w:tcPr>
                  <w:tcW w:w="3686" w:type="dxa"/>
                  <w:noWrap w:val="0"/>
                  <w:vAlign w:val="top"/>
                </w:tcPr>
                <w:p w14:paraId="756DE1C3">
                  <w:pPr>
                    <w:pStyle w:val="24"/>
                    <w:spacing w:before="65" w:line="221" w:lineRule="auto"/>
                    <w:ind w:left="482"/>
                    <w:rPr>
                      <w:sz w:val="21"/>
                      <w:szCs w:val="21"/>
                    </w:rPr>
                  </w:pPr>
                  <w:r>
                    <w:rPr>
                      <w:spacing w:val="-1"/>
                      <w:sz w:val="21"/>
                      <w:szCs w:val="21"/>
                    </w:rPr>
                    <w:t>施工期洒水、车辆冲洗设备等</w:t>
                  </w:r>
                </w:p>
              </w:tc>
              <w:tc>
                <w:tcPr>
                  <w:tcW w:w="2052" w:type="dxa"/>
                  <w:tcBorders>
                    <w:right w:val="nil"/>
                  </w:tcBorders>
                  <w:noWrap w:val="0"/>
                  <w:vAlign w:val="top"/>
                </w:tcPr>
                <w:p w14:paraId="1B670D13">
                  <w:pPr>
                    <w:spacing w:before="107" w:line="184" w:lineRule="auto"/>
                    <w:ind w:left="980"/>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r>
            <w:tr w14:paraId="6E878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2287" w:type="dxa"/>
                  <w:tcBorders>
                    <w:left w:val="nil"/>
                  </w:tcBorders>
                  <w:noWrap w:val="0"/>
                  <w:vAlign w:val="top"/>
                </w:tcPr>
                <w:p w14:paraId="164C3AC7">
                  <w:pPr>
                    <w:pStyle w:val="24"/>
                    <w:spacing w:before="71" w:line="221" w:lineRule="auto"/>
                    <w:ind w:left="538"/>
                    <w:rPr>
                      <w:sz w:val="21"/>
                      <w:szCs w:val="21"/>
                    </w:rPr>
                  </w:pPr>
                  <w:r>
                    <w:rPr>
                      <w:spacing w:val="-3"/>
                      <w:sz w:val="21"/>
                      <w:szCs w:val="21"/>
                    </w:rPr>
                    <w:t>噪声防治措施</w:t>
                  </w:r>
                </w:p>
              </w:tc>
              <w:tc>
                <w:tcPr>
                  <w:tcW w:w="3686" w:type="dxa"/>
                  <w:noWrap w:val="0"/>
                  <w:vAlign w:val="top"/>
                </w:tcPr>
                <w:p w14:paraId="3D34C8A0">
                  <w:pPr>
                    <w:pStyle w:val="24"/>
                    <w:spacing w:before="70" w:line="221" w:lineRule="auto"/>
                    <w:ind w:left="1114"/>
                    <w:rPr>
                      <w:sz w:val="21"/>
                      <w:szCs w:val="21"/>
                    </w:rPr>
                  </w:pPr>
                  <w:r>
                    <w:rPr>
                      <w:spacing w:val="-1"/>
                      <w:sz w:val="21"/>
                      <w:szCs w:val="21"/>
                    </w:rPr>
                    <w:t>施工隔声围档等</w:t>
                  </w:r>
                </w:p>
              </w:tc>
              <w:tc>
                <w:tcPr>
                  <w:tcW w:w="2052" w:type="dxa"/>
                  <w:tcBorders>
                    <w:right w:val="nil"/>
                  </w:tcBorders>
                  <w:noWrap w:val="0"/>
                  <w:vAlign w:val="top"/>
                </w:tcPr>
                <w:p w14:paraId="2DF4D7A5">
                  <w:pPr>
                    <w:spacing w:before="112" w:line="184" w:lineRule="auto"/>
                    <w:ind w:left="980"/>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r>
            <w:tr w14:paraId="7DE0D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2287" w:type="dxa"/>
                  <w:tcBorders>
                    <w:left w:val="nil"/>
                  </w:tcBorders>
                  <w:noWrap w:val="0"/>
                  <w:vAlign w:val="top"/>
                </w:tcPr>
                <w:p w14:paraId="43125E69">
                  <w:pPr>
                    <w:pStyle w:val="24"/>
                    <w:spacing w:before="71" w:line="221" w:lineRule="auto"/>
                    <w:ind w:left="528"/>
                    <w:rPr>
                      <w:sz w:val="21"/>
                      <w:szCs w:val="21"/>
                    </w:rPr>
                  </w:pPr>
                  <w:r>
                    <w:rPr>
                      <w:spacing w:val="-1"/>
                      <w:sz w:val="21"/>
                      <w:szCs w:val="21"/>
                    </w:rPr>
                    <w:t>废水治理措施</w:t>
                  </w:r>
                </w:p>
              </w:tc>
              <w:tc>
                <w:tcPr>
                  <w:tcW w:w="3686" w:type="dxa"/>
                  <w:noWrap w:val="0"/>
                  <w:vAlign w:val="top"/>
                </w:tcPr>
                <w:p w14:paraId="6DF73DBD">
                  <w:pPr>
                    <w:pStyle w:val="24"/>
                    <w:spacing w:before="71" w:line="221" w:lineRule="auto"/>
                    <w:ind w:left="588"/>
                    <w:rPr>
                      <w:sz w:val="21"/>
                      <w:szCs w:val="21"/>
                    </w:rPr>
                  </w:pPr>
                  <w:r>
                    <w:rPr>
                      <w:spacing w:val="-1"/>
                      <w:sz w:val="21"/>
                      <w:szCs w:val="21"/>
                    </w:rPr>
                    <w:t>施工沉淀池等污水治理措施</w:t>
                  </w:r>
                </w:p>
              </w:tc>
              <w:tc>
                <w:tcPr>
                  <w:tcW w:w="2052" w:type="dxa"/>
                  <w:tcBorders>
                    <w:right w:val="nil"/>
                  </w:tcBorders>
                  <w:noWrap w:val="0"/>
                  <w:vAlign w:val="top"/>
                </w:tcPr>
                <w:p w14:paraId="3324B7A3">
                  <w:pPr>
                    <w:spacing w:before="110" w:line="187" w:lineRule="auto"/>
                    <w:ind w:left="978"/>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5</w:t>
                  </w:r>
                </w:p>
              </w:tc>
            </w:tr>
            <w:tr w14:paraId="3BA9E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2287" w:type="dxa"/>
                  <w:tcBorders>
                    <w:left w:val="nil"/>
                  </w:tcBorders>
                  <w:noWrap w:val="0"/>
                  <w:vAlign w:val="top"/>
                </w:tcPr>
                <w:p w14:paraId="55EAA139">
                  <w:pPr>
                    <w:pStyle w:val="24"/>
                    <w:spacing w:before="76" w:line="221" w:lineRule="auto"/>
                    <w:ind w:left="336"/>
                    <w:rPr>
                      <w:sz w:val="21"/>
                      <w:szCs w:val="21"/>
                    </w:rPr>
                  </w:pPr>
                  <w:r>
                    <w:rPr>
                      <w:spacing w:val="-3"/>
                      <w:sz w:val="21"/>
                      <w:szCs w:val="21"/>
                    </w:rPr>
                    <w:t>固体废物处理设施</w:t>
                  </w:r>
                </w:p>
              </w:tc>
              <w:tc>
                <w:tcPr>
                  <w:tcW w:w="3686" w:type="dxa"/>
                  <w:noWrap w:val="0"/>
                  <w:vAlign w:val="top"/>
                </w:tcPr>
                <w:p w14:paraId="4D3E4209">
                  <w:pPr>
                    <w:pStyle w:val="24"/>
                    <w:spacing w:before="75" w:line="221" w:lineRule="auto"/>
                    <w:ind w:left="274"/>
                    <w:rPr>
                      <w:sz w:val="21"/>
                      <w:szCs w:val="21"/>
                    </w:rPr>
                  </w:pPr>
                  <w:r>
                    <w:rPr>
                      <w:spacing w:val="-1"/>
                      <w:sz w:val="21"/>
                      <w:szCs w:val="21"/>
                    </w:rPr>
                    <w:t>施工渣土处置、临时垃圾收集系统</w:t>
                  </w:r>
                </w:p>
              </w:tc>
              <w:tc>
                <w:tcPr>
                  <w:tcW w:w="2052" w:type="dxa"/>
                  <w:tcBorders>
                    <w:right w:val="nil"/>
                  </w:tcBorders>
                  <w:noWrap w:val="0"/>
                  <w:vAlign w:val="top"/>
                </w:tcPr>
                <w:p w14:paraId="3759CEAA">
                  <w:pPr>
                    <w:spacing w:before="114" w:line="187"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14:paraId="3997B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2287" w:type="dxa"/>
                  <w:tcBorders>
                    <w:left w:val="nil"/>
                  </w:tcBorders>
                  <w:noWrap w:val="0"/>
                  <w:vAlign w:val="top"/>
                </w:tcPr>
                <w:p w14:paraId="33D37B98">
                  <w:pPr>
                    <w:pStyle w:val="24"/>
                    <w:spacing w:before="77" w:line="221" w:lineRule="auto"/>
                    <w:ind w:left="529"/>
                    <w:rPr>
                      <w:sz w:val="21"/>
                      <w:szCs w:val="21"/>
                    </w:rPr>
                  </w:pPr>
                  <w:r>
                    <w:rPr>
                      <w:spacing w:val="-1"/>
                      <w:sz w:val="21"/>
                      <w:szCs w:val="21"/>
                    </w:rPr>
                    <w:t>地表植被恢复</w:t>
                  </w:r>
                </w:p>
              </w:tc>
              <w:tc>
                <w:tcPr>
                  <w:tcW w:w="3686" w:type="dxa"/>
                  <w:noWrap w:val="0"/>
                  <w:vAlign w:val="top"/>
                </w:tcPr>
                <w:p w14:paraId="17143276">
                  <w:pPr>
                    <w:pStyle w:val="24"/>
                    <w:spacing w:before="77" w:line="221" w:lineRule="auto"/>
                    <w:ind w:left="811"/>
                    <w:rPr>
                      <w:sz w:val="21"/>
                      <w:szCs w:val="21"/>
                    </w:rPr>
                  </w:pPr>
                  <w:r>
                    <w:rPr>
                      <w:spacing w:val="-2"/>
                      <w:sz w:val="21"/>
                      <w:szCs w:val="21"/>
                    </w:rPr>
                    <w:t>临时占地地表植被恢复</w:t>
                  </w:r>
                </w:p>
              </w:tc>
              <w:tc>
                <w:tcPr>
                  <w:tcW w:w="2052" w:type="dxa"/>
                  <w:tcBorders>
                    <w:right w:val="nil"/>
                  </w:tcBorders>
                  <w:noWrap w:val="0"/>
                  <w:vAlign w:val="top"/>
                </w:tcPr>
                <w:p w14:paraId="5BCC477B">
                  <w:pPr>
                    <w:spacing w:before="116" w:line="187" w:lineRule="auto"/>
                    <w:ind w:left="921"/>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1"/>
                      <w:sz w:val="21"/>
                      <w:szCs w:val="21"/>
                      <w:lang w:val="en-US" w:eastAsia="zh-CN"/>
                    </w:rPr>
                    <w:t>45</w:t>
                  </w:r>
                </w:p>
              </w:tc>
            </w:tr>
            <w:tr w14:paraId="472C4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jc w:val="center"/>
              </w:trPr>
              <w:tc>
                <w:tcPr>
                  <w:tcW w:w="5973" w:type="dxa"/>
                  <w:gridSpan w:val="2"/>
                  <w:tcBorders>
                    <w:left w:val="nil"/>
                    <w:bottom w:val="single" w:color="000000" w:sz="10" w:space="0"/>
                  </w:tcBorders>
                  <w:noWrap w:val="0"/>
                  <w:vAlign w:val="top"/>
                </w:tcPr>
                <w:p w14:paraId="22F0400C">
                  <w:pPr>
                    <w:pStyle w:val="24"/>
                    <w:spacing w:before="85" w:line="222" w:lineRule="auto"/>
                    <w:ind w:left="2793"/>
                    <w:rPr>
                      <w:sz w:val="21"/>
                      <w:szCs w:val="21"/>
                    </w:rPr>
                  </w:pPr>
                  <w:r>
                    <w:rPr>
                      <w:spacing w:val="-2"/>
                      <w:sz w:val="21"/>
                      <w:szCs w:val="21"/>
                    </w:rPr>
                    <w:t>合计</w:t>
                  </w:r>
                </w:p>
              </w:tc>
              <w:tc>
                <w:tcPr>
                  <w:tcW w:w="2052" w:type="dxa"/>
                  <w:tcBorders>
                    <w:bottom w:val="single" w:color="000000" w:sz="10" w:space="0"/>
                    <w:right w:val="nil"/>
                  </w:tcBorders>
                  <w:noWrap w:val="0"/>
                  <w:vAlign w:val="top"/>
                </w:tcPr>
                <w:p w14:paraId="0B4F008B">
                  <w:pPr>
                    <w:spacing w:before="123" w:line="187" w:lineRule="auto"/>
                    <w:ind w:left="927"/>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5"/>
                      <w:sz w:val="21"/>
                      <w:szCs w:val="21"/>
                      <w:lang w:val="en-US" w:eastAsia="zh-CN"/>
                    </w:rPr>
                    <w:t>70</w:t>
                  </w:r>
                </w:p>
              </w:tc>
            </w:tr>
          </w:tbl>
          <w:p w14:paraId="0343E0EF">
            <w:pPr>
              <w:numPr>
                <w:ilvl w:val="0"/>
                <w:numId w:val="0"/>
              </w:numPr>
              <w:spacing w:line="360" w:lineRule="auto"/>
              <w:rPr>
                <w:rFonts w:hint="eastAsia"/>
                <w:b/>
                <w:bCs/>
                <w:sz w:val="24"/>
                <w:szCs w:val="24"/>
                <w:lang w:val="en-US" w:eastAsia="zh-CN"/>
              </w:rPr>
            </w:pPr>
          </w:p>
        </w:tc>
      </w:tr>
    </w:tbl>
    <w:p w14:paraId="043269F4"/>
    <w:p w14:paraId="5C21C406"/>
    <w:p w14:paraId="0C625E32"/>
    <w:p w14:paraId="79DB77BE"/>
    <w:p w14:paraId="6810A7E7"/>
    <w:p w14:paraId="234224F6"/>
    <w:p w14:paraId="47CCACDA"/>
    <w:p w14:paraId="68F4FA60"/>
    <w:p w14:paraId="02983932">
      <w:pPr>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br w:type="page"/>
      </w:r>
    </w:p>
    <w:p w14:paraId="529264FB">
      <w:pPr>
        <w:pStyle w:val="17"/>
        <w:keepNext w:val="0"/>
        <w:keepLines w:val="0"/>
        <w:pageBreakBefore w:val="0"/>
        <w:kinsoku/>
        <w:wordWrap/>
        <w:overflowPunct/>
        <w:topLinePunct w:val="0"/>
        <w:bidi w:val="0"/>
        <w:adjustRightInd w:val="0"/>
        <w:snapToGrid w:val="0"/>
        <w:jc w:val="center"/>
        <w:textAlignment w:val="auto"/>
        <w:outlineLvl w:val="0"/>
        <w:rPr>
          <w:rFonts w:hint="default" w:ascii="Times New Roman" w:hAnsi="Times New Roman" w:eastAsia="黑体" w:cs="Times New Roman"/>
          <w:snapToGrid w:val="0"/>
          <w:color w:val="auto"/>
          <w:sz w:val="30"/>
          <w:szCs w:val="30"/>
          <w:highlight w:val="none"/>
        </w:rPr>
      </w:pPr>
      <w:bookmarkStart w:id="38" w:name="_Toc6916"/>
      <w:bookmarkStart w:id="39" w:name="_Toc13629"/>
      <w:r>
        <w:rPr>
          <w:rFonts w:hint="default" w:ascii="Times New Roman" w:hAnsi="Times New Roman" w:eastAsia="黑体" w:cs="Times New Roman"/>
          <w:snapToGrid w:val="0"/>
          <w:color w:val="auto"/>
          <w:sz w:val="30"/>
          <w:szCs w:val="30"/>
          <w:highlight w:val="none"/>
        </w:rPr>
        <w:t>六、生态环境保护措施监督检查清单</w:t>
      </w:r>
      <w:bookmarkEnd w:id="38"/>
      <w:bookmarkEnd w:id="39"/>
    </w:p>
    <w:tbl>
      <w:tblPr>
        <w:tblStyle w:val="19"/>
        <w:tblW w:w="92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2460"/>
        <w:gridCol w:w="1800"/>
        <w:gridCol w:w="1806"/>
        <w:gridCol w:w="1948"/>
      </w:tblGrid>
      <w:tr w14:paraId="1DF7C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restart"/>
            <w:tcBorders>
              <w:tl2br w:val="single" w:color="auto" w:sz="4" w:space="0"/>
            </w:tcBorders>
            <w:noWrap w:val="0"/>
            <w:vAlign w:val="top"/>
          </w:tcPr>
          <w:p w14:paraId="0A037017">
            <w:pPr>
              <w:pStyle w:val="17"/>
              <w:keepNext w:val="0"/>
              <w:keepLines w:val="0"/>
              <w:pageBreakBefore w:val="0"/>
              <w:kinsoku/>
              <w:wordWrap/>
              <w:overflowPunct/>
              <w:topLinePunct w:val="0"/>
              <w:bidi w:val="0"/>
              <w:adjustRightInd w:val="0"/>
              <w:snapToGrid w:val="0"/>
              <w:spacing w:before="72" w:beforeLines="30" w:beforeAutospacing="0" w:after="0" w:afterAutospacing="0"/>
              <w:jc w:val="right"/>
              <w:textAlignment w:val="auto"/>
              <w:outlineLvl w:val="0"/>
              <w:rPr>
                <w:rFonts w:hint="default" w:ascii="Times New Roman" w:hAnsi="Times New Roman" w:eastAsia="黑体" w:cs="Times New Roman"/>
                <w:color w:val="auto"/>
                <w:kern w:val="2"/>
                <w:sz w:val="21"/>
                <w:szCs w:val="21"/>
                <w:highlight w:val="none"/>
              </w:rPr>
            </w:pPr>
            <w:bookmarkStart w:id="40" w:name="_Toc22700"/>
            <w:bookmarkStart w:id="41" w:name="_Toc20235"/>
            <w:bookmarkStart w:id="42" w:name="_Toc24352"/>
            <w:r>
              <w:rPr>
                <w:rFonts w:hint="default" w:ascii="Times New Roman" w:hAnsi="Times New Roman" w:eastAsia="黑体" w:cs="Times New Roman"/>
                <w:color w:val="auto"/>
                <w:kern w:val="2"/>
                <w:sz w:val="21"/>
                <w:szCs w:val="21"/>
                <w:highlight w:val="none"/>
              </w:rPr>
              <w:t>内容</w:t>
            </w:r>
            <w:bookmarkEnd w:id="40"/>
            <w:bookmarkEnd w:id="41"/>
            <w:bookmarkEnd w:id="42"/>
          </w:p>
          <w:p w14:paraId="3640EC2D">
            <w:pPr>
              <w:pStyle w:val="17"/>
              <w:keepNext w:val="0"/>
              <w:keepLines w:val="0"/>
              <w:pageBreakBefore w:val="0"/>
              <w:kinsoku/>
              <w:wordWrap/>
              <w:overflowPunct/>
              <w:topLinePunct w:val="0"/>
              <w:bidi w:val="0"/>
              <w:adjustRightInd w:val="0"/>
              <w:snapToGrid w:val="0"/>
              <w:spacing w:before="0" w:beforeAutospacing="0" w:after="0" w:afterAutospacing="0" w:line="14" w:lineRule="auto"/>
              <w:textAlignment w:val="auto"/>
              <w:outlineLvl w:val="0"/>
              <w:rPr>
                <w:rFonts w:hint="eastAsia" w:ascii="Times New Roman" w:hAnsi="Times New Roman" w:eastAsia="黑体" w:cs="Times New Roman"/>
                <w:color w:val="auto"/>
                <w:kern w:val="2"/>
                <w:sz w:val="135"/>
                <w:szCs w:val="21"/>
                <w:highlight w:val="none"/>
                <w:lang w:eastAsia="zh-CN"/>
              </w:rPr>
            </w:pPr>
          </w:p>
          <w:p w14:paraId="29EE2A06">
            <w:pPr>
              <w:pStyle w:val="17"/>
              <w:keepNext w:val="0"/>
              <w:keepLines w:val="0"/>
              <w:pageBreakBefore w:val="0"/>
              <w:kinsoku/>
              <w:wordWrap/>
              <w:overflowPunct/>
              <w:topLinePunct w:val="0"/>
              <w:bidi w:val="0"/>
              <w:adjustRightInd w:val="0"/>
              <w:snapToGrid w:val="0"/>
              <w:spacing w:before="0" w:beforeAutospacing="0" w:after="0" w:afterAutospacing="0"/>
              <w:jc w:val="both"/>
              <w:textAlignment w:val="auto"/>
              <w:outlineLvl w:val="0"/>
              <w:rPr>
                <w:rFonts w:hint="default" w:ascii="Times New Roman" w:hAnsi="Times New Roman" w:eastAsia="黑体" w:cs="Times New Roman"/>
                <w:color w:val="auto"/>
                <w:kern w:val="2"/>
                <w:sz w:val="21"/>
                <w:szCs w:val="21"/>
                <w:highlight w:val="none"/>
              </w:rPr>
            </w:pPr>
            <w:bookmarkStart w:id="43" w:name="_Toc15455"/>
            <w:bookmarkStart w:id="44" w:name="_Toc2545"/>
            <w:bookmarkStart w:id="45" w:name="_Toc11852"/>
            <w:r>
              <w:rPr>
                <w:rFonts w:hint="default" w:ascii="Times New Roman" w:hAnsi="Times New Roman" w:eastAsia="黑体" w:cs="Times New Roman"/>
                <w:color w:val="auto"/>
                <w:kern w:val="2"/>
                <w:sz w:val="21"/>
                <w:szCs w:val="21"/>
                <w:highlight w:val="none"/>
              </w:rPr>
              <w:t>要素</w:t>
            </w:r>
            <w:bookmarkEnd w:id="43"/>
            <w:bookmarkEnd w:id="44"/>
            <w:bookmarkEnd w:id="45"/>
          </w:p>
        </w:tc>
        <w:tc>
          <w:tcPr>
            <w:tcW w:w="4260" w:type="dxa"/>
            <w:gridSpan w:val="2"/>
            <w:noWrap w:val="0"/>
            <w:vAlign w:val="center"/>
          </w:tcPr>
          <w:p w14:paraId="6D9E0DF8">
            <w:pPr>
              <w:pStyle w:val="17"/>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0"/>
              <w:rPr>
                <w:rFonts w:hint="default" w:ascii="Times New Roman" w:hAnsi="Times New Roman" w:eastAsia="黑体" w:cs="Times New Roman"/>
                <w:color w:val="auto"/>
                <w:kern w:val="2"/>
                <w:sz w:val="21"/>
                <w:szCs w:val="21"/>
                <w:highlight w:val="none"/>
              </w:rPr>
            </w:pPr>
            <w:bookmarkStart w:id="46" w:name="_Toc22843"/>
            <w:bookmarkStart w:id="47" w:name="_Toc21010"/>
            <w:bookmarkStart w:id="48" w:name="_Toc4891"/>
            <w:r>
              <w:rPr>
                <w:rFonts w:hint="default" w:ascii="Times New Roman" w:hAnsi="Times New Roman" w:eastAsia="黑体" w:cs="Times New Roman"/>
                <w:color w:val="auto"/>
                <w:kern w:val="2"/>
                <w:sz w:val="21"/>
                <w:szCs w:val="21"/>
                <w:highlight w:val="none"/>
              </w:rPr>
              <w:t>施工期</w:t>
            </w:r>
            <w:bookmarkEnd w:id="46"/>
            <w:bookmarkEnd w:id="47"/>
            <w:bookmarkEnd w:id="48"/>
          </w:p>
        </w:tc>
        <w:tc>
          <w:tcPr>
            <w:tcW w:w="3754" w:type="dxa"/>
            <w:gridSpan w:val="2"/>
            <w:noWrap w:val="0"/>
            <w:vAlign w:val="center"/>
          </w:tcPr>
          <w:p w14:paraId="3698FAF3">
            <w:pPr>
              <w:pStyle w:val="17"/>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0"/>
              <w:rPr>
                <w:rFonts w:hint="eastAsia" w:ascii="Times New Roman" w:hAnsi="Times New Roman" w:eastAsia="黑体" w:cs="Times New Roman"/>
                <w:color w:val="auto"/>
                <w:kern w:val="2"/>
                <w:sz w:val="21"/>
                <w:szCs w:val="21"/>
                <w:highlight w:val="none"/>
                <w:lang w:eastAsia="zh-CN"/>
              </w:rPr>
            </w:pPr>
            <w:bookmarkStart w:id="49" w:name="_Toc18307"/>
            <w:bookmarkStart w:id="50" w:name="_Toc5100"/>
            <w:bookmarkStart w:id="51" w:name="_Toc24730"/>
            <w:r>
              <w:rPr>
                <w:rFonts w:hint="eastAsia" w:ascii="Times New Roman" w:hAnsi="Times New Roman" w:eastAsia="黑体" w:cs="Times New Roman"/>
                <w:color w:val="auto"/>
                <w:kern w:val="2"/>
                <w:sz w:val="21"/>
                <w:szCs w:val="21"/>
                <w:highlight w:val="none"/>
                <w:lang w:eastAsia="zh-CN"/>
              </w:rPr>
              <w:t>运营期</w:t>
            </w:r>
            <w:bookmarkEnd w:id="49"/>
            <w:bookmarkEnd w:id="50"/>
            <w:bookmarkEnd w:id="51"/>
          </w:p>
        </w:tc>
      </w:tr>
      <w:tr w14:paraId="5D937F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continue"/>
            <w:noWrap w:val="0"/>
            <w:vAlign w:val="top"/>
          </w:tcPr>
          <w:p w14:paraId="6EB35A28">
            <w:pPr>
              <w:pStyle w:val="17"/>
              <w:keepNext w:val="0"/>
              <w:keepLines w:val="0"/>
              <w:pageBreakBefore w:val="0"/>
              <w:kinsoku/>
              <w:wordWrap/>
              <w:overflowPunct/>
              <w:topLinePunct w:val="0"/>
              <w:bidi w:val="0"/>
              <w:adjustRightInd w:val="0"/>
              <w:snapToGrid w:val="0"/>
              <w:spacing w:before="0" w:beforeAutospacing="0" w:after="0" w:afterAutospacing="0"/>
              <w:ind w:firstLine="840"/>
              <w:jc w:val="center"/>
              <w:textAlignment w:val="auto"/>
              <w:outlineLvl w:val="0"/>
              <w:rPr>
                <w:rFonts w:hint="default" w:ascii="Times New Roman" w:hAnsi="Times New Roman" w:eastAsia="黑体" w:cs="Times New Roman"/>
                <w:color w:val="auto"/>
                <w:kern w:val="2"/>
                <w:sz w:val="21"/>
                <w:szCs w:val="21"/>
                <w:highlight w:val="none"/>
              </w:rPr>
            </w:pPr>
          </w:p>
        </w:tc>
        <w:tc>
          <w:tcPr>
            <w:tcW w:w="2460" w:type="dxa"/>
            <w:noWrap w:val="0"/>
            <w:vAlign w:val="center"/>
          </w:tcPr>
          <w:p w14:paraId="4DBF3DDE">
            <w:pPr>
              <w:pStyle w:val="17"/>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0"/>
              <w:rPr>
                <w:rFonts w:hint="default" w:ascii="Times New Roman" w:hAnsi="Times New Roman" w:eastAsia="黑体" w:cs="Times New Roman"/>
                <w:color w:val="auto"/>
                <w:kern w:val="2"/>
                <w:sz w:val="21"/>
                <w:szCs w:val="21"/>
                <w:highlight w:val="none"/>
              </w:rPr>
            </w:pPr>
            <w:bookmarkStart w:id="52" w:name="_Toc6356"/>
            <w:bookmarkStart w:id="53" w:name="_Toc20766"/>
            <w:bookmarkStart w:id="54" w:name="_Toc19253"/>
            <w:r>
              <w:rPr>
                <w:rFonts w:hint="default" w:ascii="Times New Roman" w:hAnsi="Times New Roman" w:eastAsia="黑体" w:cs="Times New Roman"/>
                <w:color w:val="auto"/>
                <w:kern w:val="2"/>
                <w:sz w:val="21"/>
                <w:szCs w:val="21"/>
                <w:highlight w:val="none"/>
              </w:rPr>
              <w:t>环境保护措施</w:t>
            </w:r>
            <w:bookmarkEnd w:id="52"/>
            <w:bookmarkEnd w:id="53"/>
            <w:bookmarkEnd w:id="54"/>
          </w:p>
        </w:tc>
        <w:tc>
          <w:tcPr>
            <w:tcW w:w="1800" w:type="dxa"/>
            <w:noWrap w:val="0"/>
            <w:vAlign w:val="center"/>
          </w:tcPr>
          <w:p w14:paraId="1A48E802">
            <w:pPr>
              <w:pStyle w:val="17"/>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0"/>
              <w:rPr>
                <w:rFonts w:hint="default" w:ascii="Times New Roman" w:hAnsi="Times New Roman" w:eastAsia="黑体" w:cs="Times New Roman"/>
                <w:color w:val="auto"/>
                <w:kern w:val="2"/>
                <w:sz w:val="21"/>
                <w:szCs w:val="21"/>
                <w:highlight w:val="none"/>
              </w:rPr>
            </w:pPr>
            <w:bookmarkStart w:id="55" w:name="_Toc21542"/>
            <w:bookmarkStart w:id="56" w:name="_Toc10221"/>
            <w:bookmarkStart w:id="57" w:name="_Toc11915"/>
            <w:r>
              <w:rPr>
                <w:rFonts w:hint="default" w:ascii="Times New Roman" w:hAnsi="Times New Roman" w:eastAsia="黑体" w:cs="Times New Roman"/>
                <w:color w:val="auto"/>
                <w:kern w:val="2"/>
                <w:sz w:val="21"/>
                <w:szCs w:val="21"/>
                <w:highlight w:val="none"/>
              </w:rPr>
              <w:t>验收要求</w:t>
            </w:r>
            <w:bookmarkEnd w:id="55"/>
            <w:bookmarkEnd w:id="56"/>
            <w:bookmarkEnd w:id="57"/>
          </w:p>
        </w:tc>
        <w:tc>
          <w:tcPr>
            <w:tcW w:w="1806" w:type="dxa"/>
            <w:noWrap w:val="0"/>
            <w:vAlign w:val="center"/>
          </w:tcPr>
          <w:p w14:paraId="4F06E144">
            <w:pPr>
              <w:pStyle w:val="17"/>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0"/>
              <w:rPr>
                <w:rFonts w:hint="default" w:ascii="Times New Roman" w:hAnsi="Times New Roman" w:eastAsia="黑体" w:cs="Times New Roman"/>
                <w:color w:val="auto"/>
                <w:kern w:val="2"/>
                <w:sz w:val="21"/>
                <w:szCs w:val="21"/>
                <w:highlight w:val="none"/>
              </w:rPr>
            </w:pPr>
            <w:bookmarkStart w:id="58" w:name="_Toc1999"/>
            <w:bookmarkStart w:id="59" w:name="_Toc8220"/>
            <w:bookmarkStart w:id="60" w:name="_Toc7017"/>
            <w:r>
              <w:rPr>
                <w:rFonts w:hint="default" w:ascii="Times New Roman" w:hAnsi="Times New Roman" w:eastAsia="黑体" w:cs="Times New Roman"/>
                <w:color w:val="auto"/>
                <w:kern w:val="2"/>
                <w:sz w:val="21"/>
                <w:szCs w:val="21"/>
                <w:highlight w:val="none"/>
              </w:rPr>
              <w:t>环境保护措施</w:t>
            </w:r>
            <w:bookmarkEnd w:id="58"/>
            <w:bookmarkEnd w:id="59"/>
            <w:bookmarkEnd w:id="60"/>
          </w:p>
        </w:tc>
        <w:tc>
          <w:tcPr>
            <w:tcW w:w="1948" w:type="dxa"/>
            <w:noWrap w:val="0"/>
            <w:vAlign w:val="center"/>
          </w:tcPr>
          <w:p w14:paraId="423305E3">
            <w:pPr>
              <w:pStyle w:val="17"/>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0"/>
              <w:rPr>
                <w:rFonts w:hint="default" w:ascii="Times New Roman" w:hAnsi="Times New Roman" w:eastAsia="黑体" w:cs="Times New Roman"/>
                <w:color w:val="auto"/>
                <w:kern w:val="2"/>
                <w:sz w:val="21"/>
                <w:szCs w:val="21"/>
                <w:highlight w:val="none"/>
              </w:rPr>
            </w:pPr>
            <w:bookmarkStart w:id="61" w:name="_Toc8619"/>
            <w:bookmarkStart w:id="62" w:name="_Toc8378"/>
            <w:bookmarkStart w:id="63" w:name="_Toc14542"/>
            <w:r>
              <w:rPr>
                <w:rFonts w:hint="default" w:ascii="Times New Roman" w:hAnsi="Times New Roman" w:eastAsia="黑体" w:cs="Times New Roman"/>
                <w:color w:val="auto"/>
                <w:kern w:val="2"/>
                <w:sz w:val="21"/>
                <w:szCs w:val="21"/>
                <w:highlight w:val="none"/>
              </w:rPr>
              <w:t>验收要求</w:t>
            </w:r>
            <w:bookmarkEnd w:id="61"/>
            <w:bookmarkEnd w:id="62"/>
            <w:bookmarkEnd w:id="63"/>
          </w:p>
        </w:tc>
      </w:tr>
      <w:tr w14:paraId="28EACB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noWrap w:val="0"/>
            <w:vAlign w:val="center"/>
          </w:tcPr>
          <w:p w14:paraId="3F0710C7">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陆生生态</w:t>
            </w:r>
          </w:p>
        </w:tc>
        <w:tc>
          <w:tcPr>
            <w:tcW w:w="2460" w:type="dxa"/>
            <w:noWrap w:val="0"/>
            <w:vAlign w:val="top"/>
          </w:tcPr>
          <w:p w14:paraId="10C81026">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严格控制施工范围；动土工程 避开雨天；建筑材料、表土、开挖土方等做好临时防护，减少流失；施工结束后及时对临 时占地进行生态恢复</w:t>
            </w:r>
          </w:p>
        </w:tc>
        <w:tc>
          <w:tcPr>
            <w:tcW w:w="1800" w:type="dxa"/>
            <w:noWrap w:val="0"/>
            <w:vAlign w:val="top"/>
          </w:tcPr>
          <w:p w14:paraId="14F80561">
            <w:pPr>
              <w:keepNext w:val="0"/>
              <w:keepLines w:val="0"/>
              <w:pageBreakBefore w:val="0"/>
              <w:kinsoku/>
              <w:wordWrap/>
              <w:overflowPunct/>
              <w:topLinePunct w:val="0"/>
              <w:bidi w:val="0"/>
              <w:adjustRightInd w:val="0"/>
              <w:snapToGrid w:val="0"/>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施工临时占地恢复原有使用功能</w:t>
            </w:r>
            <w:r>
              <w:rPr>
                <w:rFonts w:hint="eastAsia" w:ascii="Times New Roman" w:hAnsi="Times New Roman" w:eastAsia="宋体" w:cs="Times New Roman"/>
                <w:color w:val="auto"/>
                <w:sz w:val="21"/>
                <w:szCs w:val="21"/>
                <w:highlight w:val="none"/>
                <w:lang w:eastAsia="zh-CN"/>
              </w:rPr>
              <w:t>。</w:t>
            </w:r>
          </w:p>
        </w:tc>
        <w:tc>
          <w:tcPr>
            <w:tcW w:w="1806" w:type="dxa"/>
            <w:noWrap w:val="0"/>
            <w:vAlign w:val="center"/>
          </w:tcPr>
          <w:p w14:paraId="1F1D9B01">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948" w:type="dxa"/>
            <w:noWrap w:val="0"/>
            <w:vAlign w:val="center"/>
          </w:tcPr>
          <w:p w14:paraId="2E15F093">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379B74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noWrap w:val="0"/>
            <w:vAlign w:val="center"/>
          </w:tcPr>
          <w:p w14:paraId="13C848A2">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水生生态</w:t>
            </w:r>
          </w:p>
        </w:tc>
        <w:tc>
          <w:tcPr>
            <w:tcW w:w="2460" w:type="dxa"/>
            <w:noWrap w:val="0"/>
            <w:vAlign w:val="center"/>
          </w:tcPr>
          <w:p w14:paraId="711AC0EF">
            <w:pPr>
              <w:keepNext w:val="0"/>
              <w:keepLines w:val="0"/>
              <w:pageBreakBefore w:val="0"/>
              <w:kinsoku/>
              <w:wordWrap/>
              <w:overflowPunct/>
              <w:topLinePunct w:val="0"/>
              <w:bidi w:val="0"/>
              <w:adjustRightInd w:val="0"/>
              <w:snapToGrid w:val="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800" w:type="dxa"/>
            <w:noWrap w:val="0"/>
            <w:vAlign w:val="center"/>
          </w:tcPr>
          <w:p w14:paraId="3F6A17C3">
            <w:pPr>
              <w:keepNext w:val="0"/>
              <w:keepLines w:val="0"/>
              <w:pageBreakBefore w:val="0"/>
              <w:kinsoku/>
              <w:wordWrap/>
              <w:overflowPunct/>
              <w:topLinePunct w:val="0"/>
              <w:bidi w:val="0"/>
              <w:adjustRightInd w:val="0"/>
              <w:snapToGrid w:val="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806" w:type="dxa"/>
            <w:noWrap w:val="0"/>
            <w:vAlign w:val="center"/>
          </w:tcPr>
          <w:p w14:paraId="6DD02F9B">
            <w:pPr>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948" w:type="dxa"/>
            <w:noWrap w:val="0"/>
            <w:vAlign w:val="center"/>
          </w:tcPr>
          <w:p w14:paraId="74EB6EC8">
            <w:pPr>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0ADA5A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noWrap w:val="0"/>
            <w:vAlign w:val="center"/>
          </w:tcPr>
          <w:p w14:paraId="4138B192">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w:t>
            </w:r>
          </w:p>
        </w:tc>
        <w:tc>
          <w:tcPr>
            <w:tcW w:w="2460" w:type="dxa"/>
            <w:noWrap w:val="0"/>
            <w:vAlign w:val="top"/>
          </w:tcPr>
          <w:p w14:paraId="3AC9E061">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施工废水</w:t>
            </w:r>
            <w:r>
              <w:rPr>
                <w:rFonts w:hint="eastAsia" w:ascii="Times New Roman" w:hAnsi="Times New Roman" w:eastAsia="宋体" w:cs="Times New Roman"/>
                <w:color w:val="auto"/>
                <w:sz w:val="21"/>
                <w:szCs w:val="21"/>
                <w:highlight w:val="none"/>
                <w:lang w:val="en-US" w:eastAsia="zh-CN"/>
              </w:rPr>
              <w:t>洒水</w:t>
            </w:r>
            <w:r>
              <w:rPr>
                <w:rFonts w:hint="default" w:ascii="Times New Roman" w:hAnsi="Times New Roman" w:eastAsia="宋体" w:cs="Times New Roman"/>
                <w:color w:val="auto"/>
                <w:sz w:val="21"/>
                <w:szCs w:val="21"/>
                <w:highlight w:val="none"/>
              </w:rPr>
              <w:t>抑尘，生活废水利用沿线</w:t>
            </w:r>
            <w:r>
              <w:rPr>
                <w:rFonts w:hint="eastAsia" w:ascii="Times New Roman" w:hAnsi="Times New Roman" w:eastAsia="宋体" w:cs="Times New Roman"/>
                <w:color w:val="auto"/>
                <w:sz w:val="21"/>
                <w:szCs w:val="21"/>
                <w:highlight w:val="none"/>
                <w:lang w:val="en-US" w:eastAsia="zh-CN"/>
              </w:rPr>
              <w:t>租用现有民房现有污水处理</w:t>
            </w:r>
            <w:r>
              <w:rPr>
                <w:rFonts w:hint="default" w:ascii="Times New Roman" w:hAnsi="Times New Roman" w:eastAsia="宋体" w:cs="Times New Roman"/>
                <w:color w:val="auto"/>
                <w:sz w:val="21"/>
                <w:szCs w:val="21"/>
                <w:highlight w:val="none"/>
              </w:rPr>
              <w:t>设施</w:t>
            </w:r>
            <w:r>
              <w:rPr>
                <w:rFonts w:hint="eastAsia" w:ascii="Times New Roman" w:hAnsi="Times New Roman" w:eastAsia="宋体" w:cs="Times New Roman"/>
                <w:color w:val="auto"/>
                <w:sz w:val="21"/>
                <w:szCs w:val="21"/>
                <w:highlight w:val="none"/>
                <w:lang w:val="en-US" w:eastAsia="zh-CN"/>
              </w:rPr>
              <w:t>进行处理</w:t>
            </w:r>
            <w:r>
              <w:rPr>
                <w:rFonts w:hint="default" w:ascii="Times New Roman" w:hAnsi="Times New Roman" w:eastAsia="宋体" w:cs="Times New Roman"/>
                <w:color w:val="auto"/>
                <w:sz w:val="21"/>
                <w:szCs w:val="21"/>
                <w:highlight w:val="none"/>
              </w:rPr>
              <w:t>。</w:t>
            </w:r>
          </w:p>
        </w:tc>
        <w:tc>
          <w:tcPr>
            <w:tcW w:w="1800" w:type="dxa"/>
            <w:noWrap w:val="0"/>
            <w:vAlign w:val="top"/>
          </w:tcPr>
          <w:p w14:paraId="28D19DAF">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不外排</w:t>
            </w:r>
          </w:p>
        </w:tc>
        <w:tc>
          <w:tcPr>
            <w:tcW w:w="1806" w:type="dxa"/>
            <w:noWrap w:val="0"/>
            <w:vAlign w:val="center"/>
          </w:tcPr>
          <w:p w14:paraId="75CDEFEB">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w:t>
            </w:r>
          </w:p>
        </w:tc>
        <w:tc>
          <w:tcPr>
            <w:tcW w:w="1948" w:type="dxa"/>
            <w:noWrap w:val="0"/>
            <w:vAlign w:val="center"/>
          </w:tcPr>
          <w:p w14:paraId="48D1F8C7">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w:t>
            </w:r>
          </w:p>
        </w:tc>
      </w:tr>
      <w:tr w14:paraId="399DE3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noWrap w:val="0"/>
            <w:vAlign w:val="center"/>
          </w:tcPr>
          <w:p w14:paraId="0A96C355">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地下水及土壤环境</w:t>
            </w:r>
          </w:p>
        </w:tc>
        <w:tc>
          <w:tcPr>
            <w:tcW w:w="2460" w:type="dxa"/>
            <w:noWrap w:val="0"/>
            <w:vAlign w:val="center"/>
          </w:tcPr>
          <w:p w14:paraId="49C58A1D">
            <w:pPr>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800" w:type="dxa"/>
            <w:noWrap w:val="0"/>
            <w:vAlign w:val="center"/>
          </w:tcPr>
          <w:p w14:paraId="3E6400AA">
            <w:pPr>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806" w:type="dxa"/>
            <w:noWrap w:val="0"/>
            <w:vAlign w:val="center"/>
          </w:tcPr>
          <w:p w14:paraId="49BA3172">
            <w:pPr>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948" w:type="dxa"/>
            <w:noWrap w:val="0"/>
            <w:vAlign w:val="center"/>
          </w:tcPr>
          <w:p w14:paraId="03EA50AE">
            <w:pPr>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16C7CD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noWrap w:val="0"/>
            <w:vAlign w:val="center"/>
          </w:tcPr>
          <w:p w14:paraId="38DCB3B9">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2460" w:type="dxa"/>
            <w:noWrap w:val="0"/>
            <w:vAlign w:val="top"/>
          </w:tcPr>
          <w:p w14:paraId="233EB11E">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072D9408">
            <w:pPr>
              <w:keepNext w:val="0"/>
              <w:keepLines w:val="0"/>
              <w:pageBreakBefore w:val="0"/>
              <w:kinsoku/>
              <w:wordWrap/>
              <w:overflowPunct/>
              <w:topLinePunct w:val="0"/>
              <w:bidi w:val="0"/>
              <w:adjustRightInd w:val="0"/>
              <w:snapToGrid w:val="0"/>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合理安排施工时间、</w:t>
            </w:r>
            <w:r>
              <w:rPr>
                <w:rFonts w:hint="eastAsia" w:ascii="Times New Roman" w:hAnsi="Times New Roman" w:eastAsia="宋体" w:cs="Times New Roman"/>
                <w:color w:val="auto"/>
                <w:sz w:val="21"/>
                <w:szCs w:val="21"/>
                <w:highlight w:val="none"/>
                <w:lang w:val="en-US" w:eastAsia="zh-CN"/>
              </w:rPr>
              <w:t>禁止在夜间施工，</w:t>
            </w:r>
            <w:r>
              <w:rPr>
                <w:rFonts w:hint="default" w:ascii="Times New Roman" w:hAnsi="Times New Roman" w:eastAsia="宋体" w:cs="Times New Roman"/>
                <w:color w:val="auto"/>
                <w:sz w:val="21"/>
                <w:szCs w:val="21"/>
                <w:highlight w:val="none"/>
              </w:rPr>
              <w:t>合理规划施工场地，施工场地周围设置围挡隔声，采取低噪声设备， 设置文明施工公示</w:t>
            </w:r>
            <w:r>
              <w:rPr>
                <w:rFonts w:hint="eastAsia" w:ascii="Times New Roman" w:hAnsi="Times New Roman" w:eastAsia="宋体" w:cs="Times New Roman"/>
                <w:color w:val="auto"/>
                <w:sz w:val="21"/>
                <w:szCs w:val="21"/>
                <w:highlight w:val="none"/>
                <w:lang w:eastAsia="zh-CN"/>
              </w:rPr>
              <w:t>。</w:t>
            </w:r>
          </w:p>
        </w:tc>
        <w:tc>
          <w:tcPr>
            <w:tcW w:w="1800" w:type="dxa"/>
            <w:noWrap w:val="0"/>
            <w:vAlign w:val="top"/>
          </w:tcPr>
          <w:p w14:paraId="4F2215D3">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5B4D452F">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41BC5802">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达到《建筑施工场界环境噪 声排放标准》 （ GB12523-2 011）排放限值</w:t>
            </w:r>
          </w:p>
        </w:tc>
        <w:tc>
          <w:tcPr>
            <w:tcW w:w="1806" w:type="dxa"/>
            <w:noWrap w:val="0"/>
            <w:vAlign w:val="top"/>
          </w:tcPr>
          <w:p w14:paraId="389D6299">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做好环境保护的维护和运行管理，加强巡查和检查，保障发挥环境保护作用，定期开展环境监测，确保噪声达标排放。</w:t>
            </w:r>
          </w:p>
        </w:tc>
        <w:tc>
          <w:tcPr>
            <w:tcW w:w="1948" w:type="dxa"/>
            <w:noWrap w:val="0"/>
            <w:vAlign w:val="top"/>
          </w:tcPr>
          <w:p w14:paraId="3057FE76">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线路周围 声环境执行《声环境 质量标准》 （GB3096- 2008）中 1 类声功能区标准，声环境敏感目标满足  《声环境质量标准》（GB3096- 2008）1 类区标准</w:t>
            </w:r>
          </w:p>
        </w:tc>
      </w:tr>
      <w:tr w14:paraId="7DC3D9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noWrap w:val="0"/>
            <w:vAlign w:val="center"/>
          </w:tcPr>
          <w:p w14:paraId="2612942C">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振动</w:t>
            </w:r>
          </w:p>
        </w:tc>
        <w:tc>
          <w:tcPr>
            <w:tcW w:w="2460" w:type="dxa"/>
            <w:noWrap w:val="0"/>
            <w:vAlign w:val="center"/>
          </w:tcPr>
          <w:p w14:paraId="49190339">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w:t>
            </w:r>
          </w:p>
        </w:tc>
        <w:tc>
          <w:tcPr>
            <w:tcW w:w="1800" w:type="dxa"/>
            <w:noWrap w:val="0"/>
            <w:vAlign w:val="center"/>
          </w:tcPr>
          <w:p w14:paraId="3B201752">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w:t>
            </w:r>
          </w:p>
        </w:tc>
        <w:tc>
          <w:tcPr>
            <w:tcW w:w="1806" w:type="dxa"/>
            <w:noWrap w:val="0"/>
            <w:vAlign w:val="center"/>
          </w:tcPr>
          <w:p w14:paraId="3B627502">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w:t>
            </w:r>
          </w:p>
        </w:tc>
        <w:tc>
          <w:tcPr>
            <w:tcW w:w="1948" w:type="dxa"/>
            <w:noWrap w:val="0"/>
            <w:vAlign w:val="center"/>
          </w:tcPr>
          <w:p w14:paraId="55714249">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w:t>
            </w:r>
          </w:p>
        </w:tc>
      </w:tr>
      <w:tr w14:paraId="7BCFC6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noWrap w:val="0"/>
            <w:vAlign w:val="top"/>
          </w:tcPr>
          <w:p w14:paraId="78C809BB">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41FB8EB5">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396D5008">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7D79A158">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0D0DEA60">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1E3F2F84">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78AE6224">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2460" w:type="dxa"/>
            <w:noWrap w:val="0"/>
            <w:vAlign w:val="top"/>
          </w:tcPr>
          <w:p w14:paraId="33151F9E">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1、施工过程中，加强对施工现场和物料运输的管理，在施工工地设置硬质围挡，保持道路清洁，管控料堆和渣土堆放，防止扬尘污染。</w:t>
            </w:r>
          </w:p>
          <w:p w14:paraId="511CFB9F">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2、施工过程中，对易起尘的临时堆土、运输过程中的土石方等应采用密闭式防尘布 （网）进行苫盖，施工面集中且有条件的地方宜采取洒水降尘等有效措施，减少易造成大气污染的施工作业。</w:t>
            </w:r>
          </w:p>
          <w:p w14:paraId="2AEF2DF7">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 、施工过程中，建设单位应当对裸露地面进行覆盖；暂时不能开工的建设用地超过三个月的，进行绿化、铺装或者 遮盖。</w:t>
            </w:r>
          </w:p>
          <w:p w14:paraId="200069D8">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4、施工现场禁止将包装物、可燃垃圾等固体废弃物就地焚烧等。</w:t>
            </w:r>
          </w:p>
          <w:p w14:paraId="2038D016">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5、本项目施工机械和运输车 辆排放的大气污染物相对较少，通过采取限制超载、限制 超速、采取加强检修和维护、严禁使用超期服役和尾气超标的设备和车辆等措施。</w:t>
            </w:r>
          </w:p>
        </w:tc>
        <w:tc>
          <w:tcPr>
            <w:tcW w:w="1800" w:type="dxa"/>
            <w:noWrap w:val="0"/>
            <w:vAlign w:val="top"/>
          </w:tcPr>
          <w:p w14:paraId="33EFB0FA">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29CBD31C">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38139033">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7B2B447A">
            <w:pPr>
              <w:keepNext w:val="0"/>
              <w:keepLines w:val="0"/>
              <w:pageBreakBefore w:val="0"/>
              <w:kinsoku/>
              <w:wordWrap/>
              <w:overflowPunct/>
              <w:topLinePunct w:val="0"/>
              <w:bidi w:val="0"/>
              <w:adjustRightInd w:val="0"/>
              <w:snapToGrid w:val="0"/>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施工期扬尘执行《施工场地扬尘排放标 准》（DB13/2934- 2019）中 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 xml:space="preserve"> 浓度限值</w:t>
            </w:r>
          </w:p>
        </w:tc>
        <w:tc>
          <w:tcPr>
            <w:tcW w:w="1806" w:type="dxa"/>
            <w:noWrap w:val="0"/>
            <w:vAlign w:val="top"/>
          </w:tcPr>
          <w:p w14:paraId="3A939031">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1BEC6D2F">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2E6AAD75">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03BCFFBD">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68DFFD7A">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6107C9FD">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1EC9F468">
            <w:pPr>
              <w:keepNext w:val="0"/>
              <w:keepLines w:val="0"/>
              <w:pageBreakBefore w:val="0"/>
              <w:kinsoku/>
              <w:wordWrap/>
              <w:overflowPunct/>
              <w:topLinePunct w:val="0"/>
              <w:bidi w:val="0"/>
              <w:adjustRightInd w:val="0"/>
              <w:snapToGrid w:val="0"/>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948" w:type="dxa"/>
            <w:noWrap w:val="0"/>
            <w:vAlign w:val="top"/>
          </w:tcPr>
          <w:p w14:paraId="058DF286">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1B775D23">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797DA26A">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2FBC2217">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2104212B">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29347390">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0D5CFDA9">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4AC5DD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noWrap w:val="0"/>
            <w:vAlign w:val="top"/>
          </w:tcPr>
          <w:p w14:paraId="1856D5D9">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6D003A4B">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2DF265E6">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07B5F938">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2460" w:type="dxa"/>
            <w:noWrap w:val="0"/>
            <w:vAlign w:val="top"/>
          </w:tcPr>
          <w:p w14:paraId="46E16157">
            <w:pPr>
              <w:keepNext w:val="0"/>
              <w:keepLines w:val="0"/>
              <w:pageBreakBefore w:val="0"/>
              <w:kinsoku/>
              <w:wordWrap/>
              <w:overflowPunct/>
              <w:topLinePunct w:val="0"/>
              <w:bidi w:val="0"/>
              <w:adjustRightInd w:val="0"/>
              <w:snapToGrid w:val="0"/>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生活垃圾集中收集后，清运至 当地的垃圾收集点后，由环卫部门统一处理，对当地环境影响较小。建筑垃圾运至指定的 场所处理，不随意丢弃，对环境的影响较小。线路施工尽量做到“填挖平衡 ”，减少弃方和借方。</w:t>
            </w:r>
          </w:p>
        </w:tc>
        <w:tc>
          <w:tcPr>
            <w:tcW w:w="1800" w:type="dxa"/>
            <w:noWrap w:val="0"/>
            <w:vAlign w:val="top"/>
          </w:tcPr>
          <w:p w14:paraId="76F4DB0A">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63F2B293">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7489B4F7">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1DC05CF9">
            <w:pPr>
              <w:keepNext w:val="0"/>
              <w:keepLines w:val="0"/>
              <w:pageBreakBefore w:val="0"/>
              <w:kinsoku/>
              <w:wordWrap/>
              <w:overflowPunct/>
              <w:topLinePunct w:val="0"/>
              <w:bidi w:val="0"/>
              <w:adjustRightInd w:val="0"/>
              <w:snapToGrid w:val="0"/>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固体废物得到合理处置。</w:t>
            </w:r>
          </w:p>
        </w:tc>
        <w:tc>
          <w:tcPr>
            <w:tcW w:w="1806" w:type="dxa"/>
            <w:noWrap w:val="0"/>
            <w:vAlign w:val="top"/>
          </w:tcPr>
          <w:p w14:paraId="6F6BD8A6">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0ABFB470">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7785EE8D">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2F038BB0">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948" w:type="dxa"/>
            <w:noWrap w:val="0"/>
            <w:vAlign w:val="top"/>
          </w:tcPr>
          <w:p w14:paraId="341DC04B">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2D191EC3">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25269F71">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671FBCB2">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482DE8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noWrap w:val="0"/>
            <w:vAlign w:val="top"/>
          </w:tcPr>
          <w:p w14:paraId="199E9BAB">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4FE96FF7">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4CFBC002">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6ED3FE5C">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02C2809A">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101E1DE6">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电磁环境</w:t>
            </w:r>
          </w:p>
        </w:tc>
        <w:tc>
          <w:tcPr>
            <w:tcW w:w="2460" w:type="dxa"/>
            <w:noWrap w:val="0"/>
            <w:vAlign w:val="top"/>
          </w:tcPr>
          <w:p w14:paraId="3DC96B7A">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3E36EDD5">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31E9FE25">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71AB87EF">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685C051F">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676A3201">
            <w:pPr>
              <w:keepNext w:val="0"/>
              <w:keepLines w:val="0"/>
              <w:pageBreakBefore w:val="0"/>
              <w:kinsoku/>
              <w:wordWrap/>
              <w:overflowPunct/>
              <w:topLinePunct w:val="0"/>
              <w:bidi w:val="0"/>
              <w:adjustRightInd w:val="0"/>
              <w:snapToGrid w:val="0"/>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800" w:type="dxa"/>
            <w:noWrap w:val="0"/>
            <w:vAlign w:val="top"/>
          </w:tcPr>
          <w:p w14:paraId="7990DC4A">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0B836A45">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0AE8CA34">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41BEF322">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289A307E">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22C10595">
            <w:pPr>
              <w:keepNext w:val="0"/>
              <w:keepLines w:val="0"/>
              <w:pageBreakBefore w:val="0"/>
              <w:kinsoku/>
              <w:wordWrap/>
              <w:overflowPunct/>
              <w:topLinePunct w:val="0"/>
              <w:bidi w:val="0"/>
              <w:adjustRightInd w:val="0"/>
              <w:snapToGrid w:val="0"/>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806" w:type="dxa"/>
            <w:noWrap w:val="0"/>
            <w:vAlign w:val="top"/>
          </w:tcPr>
          <w:p w14:paraId="5FC41852">
            <w:pPr>
              <w:keepNext w:val="0"/>
              <w:keepLines w:val="0"/>
              <w:pageBreakBefore w:val="0"/>
              <w:kinsoku/>
              <w:wordWrap/>
              <w:overflowPunct/>
              <w:topLinePunct w:val="0"/>
              <w:bidi w:val="0"/>
              <w:adjustRightInd w:val="0"/>
              <w:snapToGrid w:val="0"/>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科学设置导线排列方式、选购国标的导线等措施，并加强线路日常管理和维护，使线路保持良好的运行 状态。</w:t>
            </w:r>
          </w:p>
        </w:tc>
        <w:tc>
          <w:tcPr>
            <w:tcW w:w="1948" w:type="dxa"/>
            <w:noWrap w:val="0"/>
            <w:vAlign w:val="top"/>
          </w:tcPr>
          <w:p w14:paraId="62E9B87A">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4235D675">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3EA11B44">
            <w:pPr>
              <w:keepNext w:val="0"/>
              <w:keepLines w:val="0"/>
              <w:pageBreakBefore w:val="0"/>
              <w:kinsoku/>
              <w:wordWrap/>
              <w:overflowPunct/>
              <w:topLinePunct w:val="0"/>
              <w:bidi w:val="0"/>
              <w:adjustRightInd w:val="0"/>
              <w:snapToGrid w:val="0"/>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《电磁环境控制限值》（ GB8702- 2014）</w:t>
            </w:r>
          </w:p>
        </w:tc>
      </w:tr>
      <w:tr w14:paraId="03164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noWrap w:val="0"/>
            <w:vAlign w:val="top"/>
          </w:tcPr>
          <w:p w14:paraId="64FA406A">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w:t>
            </w:r>
          </w:p>
        </w:tc>
        <w:tc>
          <w:tcPr>
            <w:tcW w:w="2460" w:type="dxa"/>
            <w:noWrap w:val="0"/>
            <w:vAlign w:val="top"/>
          </w:tcPr>
          <w:p w14:paraId="0D305F2E">
            <w:pPr>
              <w:keepNext w:val="0"/>
              <w:keepLines w:val="0"/>
              <w:pageBreakBefore w:val="0"/>
              <w:kinsoku/>
              <w:wordWrap/>
              <w:overflowPunct/>
              <w:topLinePunct w:val="0"/>
              <w:bidi w:val="0"/>
              <w:adjustRightInd w:val="0"/>
              <w:snapToGrid w:val="0"/>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800" w:type="dxa"/>
            <w:noWrap w:val="0"/>
            <w:vAlign w:val="top"/>
          </w:tcPr>
          <w:p w14:paraId="3DD3936D">
            <w:pPr>
              <w:keepNext w:val="0"/>
              <w:keepLines w:val="0"/>
              <w:pageBreakBefore w:val="0"/>
              <w:kinsoku/>
              <w:wordWrap/>
              <w:overflowPunct/>
              <w:topLinePunct w:val="0"/>
              <w:bidi w:val="0"/>
              <w:adjustRightInd w:val="0"/>
              <w:snapToGrid w:val="0"/>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806" w:type="dxa"/>
            <w:noWrap w:val="0"/>
            <w:vAlign w:val="top"/>
          </w:tcPr>
          <w:p w14:paraId="559CEED1">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948" w:type="dxa"/>
            <w:noWrap w:val="0"/>
            <w:vAlign w:val="top"/>
          </w:tcPr>
          <w:p w14:paraId="012BF599">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15574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noWrap w:val="0"/>
            <w:vAlign w:val="top"/>
          </w:tcPr>
          <w:p w14:paraId="2F6E4D03">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0E3F52DD">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环境监测</w:t>
            </w:r>
          </w:p>
        </w:tc>
        <w:tc>
          <w:tcPr>
            <w:tcW w:w="2460" w:type="dxa"/>
            <w:noWrap w:val="0"/>
            <w:vAlign w:val="top"/>
          </w:tcPr>
          <w:p w14:paraId="61CAE544">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2D9380D2">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800" w:type="dxa"/>
            <w:noWrap w:val="0"/>
            <w:vAlign w:val="top"/>
          </w:tcPr>
          <w:p w14:paraId="4A40E559">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rPr>
            </w:pPr>
          </w:p>
          <w:p w14:paraId="31088BF8">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806" w:type="dxa"/>
            <w:noWrap w:val="0"/>
            <w:vAlign w:val="top"/>
          </w:tcPr>
          <w:p w14:paraId="687E70BD">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对输电线路对周围环境的影响进行监测</w:t>
            </w:r>
          </w:p>
        </w:tc>
        <w:tc>
          <w:tcPr>
            <w:tcW w:w="1948" w:type="dxa"/>
            <w:noWrap w:val="0"/>
            <w:vAlign w:val="top"/>
          </w:tcPr>
          <w:p w14:paraId="39B14FD8">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验收</w:t>
            </w:r>
            <w:r>
              <w:rPr>
                <w:rFonts w:hint="eastAsia" w:ascii="Times New Roman" w:hAnsi="Times New Roman" w:eastAsia="宋体" w:cs="Times New Roman"/>
                <w:color w:val="auto"/>
                <w:sz w:val="21"/>
                <w:szCs w:val="21"/>
                <w:highlight w:val="none"/>
                <w:lang w:val="en-US" w:eastAsia="zh-CN"/>
              </w:rPr>
              <w:t>时进行</w:t>
            </w:r>
            <w:r>
              <w:rPr>
                <w:rFonts w:hint="default" w:ascii="Times New Roman" w:hAnsi="Times New Roman" w:eastAsia="宋体" w:cs="Times New Roman"/>
                <w:color w:val="auto"/>
                <w:sz w:val="21"/>
                <w:szCs w:val="21"/>
                <w:highlight w:val="none"/>
                <w:lang w:val="en-US" w:eastAsia="zh-CN"/>
              </w:rPr>
              <w:t>监测</w:t>
            </w:r>
            <w:r>
              <w:rPr>
                <w:rFonts w:hint="eastAsia" w:ascii="Times New Roman" w:hAnsi="Times New Roman" w:eastAsia="宋体" w:cs="Times New Roman"/>
                <w:color w:val="auto"/>
                <w:sz w:val="21"/>
                <w:szCs w:val="21"/>
                <w:highlight w:val="none"/>
                <w:lang w:val="en-US" w:eastAsia="zh-CN"/>
              </w:rPr>
              <w:t>以及</w:t>
            </w:r>
            <w:r>
              <w:rPr>
                <w:rFonts w:hint="default" w:ascii="Times New Roman" w:hAnsi="Times New Roman" w:eastAsia="宋体" w:cs="Times New Roman"/>
                <w:color w:val="auto"/>
                <w:sz w:val="21"/>
                <w:szCs w:val="21"/>
                <w:highlight w:val="none"/>
                <w:lang w:val="en-US" w:eastAsia="zh-CN"/>
              </w:rPr>
              <w:t>后期按照上级管理部门要求定期进行监测</w:t>
            </w:r>
          </w:p>
        </w:tc>
      </w:tr>
      <w:tr w14:paraId="6E3FB4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noWrap w:val="0"/>
            <w:vAlign w:val="top"/>
          </w:tcPr>
          <w:p w14:paraId="3E73F981">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其他</w:t>
            </w:r>
          </w:p>
        </w:tc>
        <w:tc>
          <w:tcPr>
            <w:tcW w:w="2460" w:type="dxa"/>
            <w:noWrap w:val="0"/>
            <w:vAlign w:val="top"/>
          </w:tcPr>
          <w:p w14:paraId="0CBB8126">
            <w:pPr>
              <w:keepNext w:val="0"/>
              <w:keepLines w:val="0"/>
              <w:pageBreakBefore w:val="0"/>
              <w:kinsoku/>
              <w:wordWrap/>
              <w:overflowPunct/>
              <w:topLinePunct w:val="0"/>
              <w:bidi w:val="0"/>
              <w:adjustRightInd w:val="0"/>
              <w:snapToGrid w:val="0"/>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800" w:type="dxa"/>
            <w:noWrap w:val="0"/>
            <w:vAlign w:val="top"/>
          </w:tcPr>
          <w:p w14:paraId="6BD107AE">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806" w:type="dxa"/>
            <w:noWrap w:val="0"/>
            <w:vAlign w:val="top"/>
          </w:tcPr>
          <w:p w14:paraId="465459DE">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948" w:type="dxa"/>
            <w:noWrap w:val="0"/>
            <w:vAlign w:val="top"/>
          </w:tcPr>
          <w:p w14:paraId="337528A7">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r>
    </w:tbl>
    <w:p w14:paraId="65B9ACC0">
      <w:pPr>
        <w:jc w:val="center"/>
        <w:rPr>
          <w:rFonts w:hint="default" w:ascii="Times New Roman" w:hAnsi="Times New Roman" w:eastAsia="黑体" w:cs="Times New Roman"/>
          <w:snapToGrid w:val="0"/>
          <w:color w:val="auto"/>
          <w:sz w:val="30"/>
          <w:szCs w:val="30"/>
          <w:highlight w:val="none"/>
        </w:rPr>
      </w:pPr>
    </w:p>
    <w:p w14:paraId="59C562BB">
      <w:pPr>
        <w:jc w:val="center"/>
        <w:rPr>
          <w:rFonts w:hint="default" w:ascii="Times New Roman" w:hAnsi="Times New Roman" w:eastAsia="黑体" w:cs="Times New Roman"/>
          <w:snapToGrid w:val="0"/>
          <w:color w:val="auto"/>
          <w:sz w:val="30"/>
          <w:szCs w:val="30"/>
          <w:highlight w:val="yellow"/>
        </w:rPr>
      </w:pPr>
    </w:p>
    <w:p w14:paraId="32343B4D">
      <w:pPr>
        <w:jc w:val="center"/>
        <w:rPr>
          <w:rFonts w:hint="default" w:ascii="Times New Roman" w:hAnsi="Times New Roman" w:eastAsia="黑体" w:cs="Times New Roman"/>
          <w:snapToGrid w:val="0"/>
          <w:color w:val="auto"/>
          <w:sz w:val="30"/>
          <w:szCs w:val="30"/>
          <w:highlight w:val="yellow"/>
        </w:rPr>
      </w:pPr>
    </w:p>
    <w:p w14:paraId="78B9FCD0">
      <w:pPr>
        <w:pStyle w:val="6"/>
        <w:jc w:val="center"/>
        <w:rPr>
          <w:rFonts w:hint="default"/>
          <w:highlight w:val="yellow"/>
        </w:rPr>
      </w:pPr>
    </w:p>
    <w:p w14:paraId="49314B77">
      <w:pPr>
        <w:pStyle w:val="7"/>
        <w:rPr>
          <w:rFonts w:hint="default"/>
          <w:highlight w:val="yellow"/>
        </w:rPr>
      </w:pPr>
    </w:p>
    <w:p w14:paraId="2E048028">
      <w:pPr>
        <w:pStyle w:val="7"/>
        <w:rPr>
          <w:rFonts w:hint="default"/>
          <w:highlight w:val="yellow"/>
        </w:rPr>
      </w:pPr>
    </w:p>
    <w:p w14:paraId="7A76EC72">
      <w:pPr>
        <w:jc w:val="center"/>
        <w:outlineLvl w:val="0"/>
        <w:rPr>
          <w:rFonts w:hint="default" w:ascii="Times New Roman" w:hAnsi="Times New Roman" w:eastAsia="黑体" w:cs="Times New Roman"/>
          <w:snapToGrid w:val="0"/>
          <w:color w:val="auto"/>
          <w:sz w:val="30"/>
          <w:szCs w:val="30"/>
          <w:highlight w:val="none"/>
        </w:rPr>
      </w:pPr>
      <w:bookmarkStart w:id="64" w:name="_Toc17537"/>
      <w:bookmarkStart w:id="65" w:name="_Toc26321"/>
      <w:r>
        <w:rPr>
          <w:rFonts w:hint="default" w:ascii="Times New Roman" w:hAnsi="Times New Roman" w:eastAsia="黑体" w:cs="Times New Roman"/>
          <w:snapToGrid w:val="0"/>
          <w:color w:val="auto"/>
          <w:sz w:val="30"/>
          <w:szCs w:val="30"/>
          <w:highlight w:val="none"/>
        </w:rPr>
        <w:t>七、结论</w:t>
      </w:r>
      <w:bookmarkEnd w:id="64"/>
      <w:bookmarkEnd w:id="65"/>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00"/>
      </w:tblGrid>
      <w:tr w14:paraId="05F930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75" w:hRule="atLeast"/>
          <w:jc w:val="center"/>
        </w:trPr>
        <w:tc>
          <w:tcPr>
            <w:tcW w:w="8740" w:type="dxa"/>
            <w:noWrap w:val="0"/>
            <w:vAlign w:val="center"/>
          </w:tcPr>
          <w:p w14:paraId="50592E23">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outlineLvl w:val="9"/>
              <w:rPr>
                <w:rFonts w:hint="default"/>
                <w:color w:val="auto"/>
                <w:sz w:val="24"/>
                <w:szCs w:val="24"/>
                <w:highlight w:val="none"/>
                <w:lang w:eastAsia="zh-CN"/>
              </w:rPr>
            </w:pPr>
            <w:r>
              <w:rPr>
                <w:rFonts w:hint="eastAsia"/>
                <w:color w:val="auto"/>
                <w:sz w:val="24"/>
                <w:szCs w:val="24"/>
                <w:highlight w:val="none"/>
                <w:lang w:eastAsia="zh-CN"/>
              </w:rPr>
              <w:t>华能围场“风光储氢热一体化”项目（风电200MW）项目220kV送出线路工程</w:t>
            </w:r>
            <w:r>
              <w:rPr>
                <w:rFonts w:hint="default"/>
                <w:color w:val="auto"/>
                <w:sz w:val="24"/>
                <w:szCs w:val="24"/>
                <w:highlight w:val="none"/>
                <w:lang w:eastAsia="zh-CN"/>
              </w:rPr>
              <w:t>符合产业政策与规划，其产生的各项污染物治理措施合理可行，后期加强</w:t>
            </w:r>
            <w:r>
              <w:rPr>
                <w:rFonts w:hint="eastAsia"/>
                <w:color w:val="auto"/>
                <w:sz w:val="24"/>
                <w:szCs w:val="24"/>
                <w:highlight w:val="none"/>
                <w:lang w:val="en-US" w:eastAsia="zh-CN"/>
              </w:rPr>
              <w:t>线路</w:t>
            </w:r>
            <w:r>
              <w:rPr>
                <w:rFonts w:hint="default"/>
                <w:color w:val="auto"/>
                <w:sz w:val="24"/>
                <w:szCs w:val="24"/>
                <w:highlight w:val="none"/>
                <w:lang w:eastAsia="zh-CN"/>
              </w:rPr>
              <w:t>的运行管理，本项目对周围环境影响较小，从环境保护角度分析，本项目的建设是可行的。</w:t>
            </w:r>
          </w:p>
          <w:p w14:paraId="4EC89492">
            <w:pPr>
              <w:keepNext w:val="0"/>
              <w:keepLines w:val="0"/>
              <w:pageBreakBefore w:val="0"/>
              <w:widowControl w:val="0"/>
              <w:kinsoku/>
              <w:wordWrap/>
              <w:overflowPunct/>
              <w:topLinePunct w:val="0"/>
              <w:autoSpaceDE/>
              <w:autoSpaceDN/>
              <w:bidi w:val="0"/>
              <w:adjustRightInd w:val="0"/>
              <w:snapToGrid w:val="0"/>
              <w:spacing w:line="460" w:lineRule="exact"/>
              <w:ind w:firstLine="317"/>
              <w:jc w:val="both"/>
              <w:textAlignment w:val="auto"/>
              <w:outlineLvl w:val="9"/>
              <w:rPr>
                <w:rFonts w:hint="default"/>
                <w:color w:val="auto"/>
                <w:highlight w:val="none"/>
                <w:lang w:eastAsia="zh-CN"/>
              </w:rPr>
            </w:pPr>
          </w:p>
          <w:p w14:paraId="64BA4763">
            <w:pPr>
              <w:keepNext w:val="0"/>
              <w:keepLines w:val="0"/>
              <w:pageBreakBefore w:val="0"/>
              <w:widowControl w:val="0"/>
              <w:kinsoku/>
              <w:wordWrap/>
              <w:overflowPunct/>
              <w:topLinePunct w:val="0"/>
              <w:autoSpaceDE/>
              <w:autoSpaceDN/>
              <w:bidi w:val="0"/>
              <w:adjustRightInd w:val="0"/>
              <w:snapToGrid w:val="0"/>
              <w:spacing w:line="460" w:lineRule="exact"/>
              <w:ind w:firstLine="317"/>
              <w:jc w:val="both"/>
              <w:textAlignment w:val="auto"/>
              <w:outlineLvl w:val="9"/>
              <w:rPr>
                <w:rFonts w:hint="default"/>
                <w:color w:val="auto"/>
                <w:highlight w:val="none"/>
                <w:lang w:eastAsia="zh-CN"/>
              </w:rPr>
            </w:pPr>
          </w:p>
          <w:p w14:paraId="1CBB208C">
            <w:pPr>
              <w:keepNext w:val="0"/>
              <w:keepLines w:val="0"/>
              <w:pageBreakBefore w:val="0"/>
              <w:widowControl w:val="0"/>
              <w:kinsoku/>
              <w:wordWrap/>
              <w:overflowPunct/>
              <w:topLinePunct w:val="0"/>
              <w:autoSpaceDE/>
              <w:autoSpaceDN/>
              <w:bidi w:val="0"/>
              <w:adjustRightInd w:val="0"/>
              <w:snapToGrid w:val="0"/>
              <w:spacing w:line="460" w:lineRule="exact"/>
              <w:ind w:firstLine="317"/>
              <w:jc w:val="both"/>
              <w:textAlignment w:val="auto"/>
              <w:outlineLvl w:val="9"/>
              <w:rPr>
                <w:rFonts w:hint="default"/>
                <w:color w:val="auto"/>
                <w:highlight w:val="none"/>
                <w:lang w:eastAsia="zh-CN"/>
              </w:rPr>
            </w:pPr>
          </w:p>
          <w:p w14:paraId="665E5FF6">
            <w:pPr>
              <w:keepNext w:val="0"/>
              <w:keepLines w:val="0"/>
              <w:pageBreakBefore w:val="0"/>
              <w:widowControl w:val="0"/>
              <w:kinsoku/>
              <w:wordWrap/>
              <w:overflowPunct/>
              <w:topLinePunct w:val="0"/>
              <w:autoSpaceDE/>
              <w:autoSpaceDN/>
              <w:bidi w:val="0"/>
              <w:adjustRightInd w:val="0"/>
              <w:snapToGrid w:val="0"/>
              <w:spacing w:line="460" w:lineRule="exact"/>
              <w:ind w:firstLine="317"/>
              <w:jc w:val="both"/>
              <w:textAlignment w:val="auto"/>
              <w:outlineLvl w:val="9"/>
              <w:rPr>
                <w:rFonts w:hint="default"/>
                <w:color w:val="auto"/>
                <w:highlight w:val="none"/>
                <w:lang w:eastAsia="zh-CN"/>
              </w:rPr>
            </w:pPr>
          </w:p>
          <w:p w14:paraId="7E1A4D51">
            <w:pPr>
              <w:keepNext w:val="0"/>
              <w:keepLines w:val="0"/>
              <w:pageBreakBefore w:val="0"/>
              <w:widowControl w:val="0"/>
              <w:kinsoku/>
              <w:wordWrap/>
              <w:overflowPunct/>
              <w:topLinePunct w:val="0"/>
              <w:autoSpaceDE/>
              <w:autoSpaceDN/>
              <w:bidi w:val="0"/>
              <w:adjustRightInd w:val="0"/>
              <w:snapToGrid w:val="0"/>
              <w:spacing w:line="460" w:lineRule="exact"/>
              <w:ind w:firstLine="317"/>
              <w:jc w:val="both"/>
              <w:textAlignment w:val="auto"/>
              <w:outlineLvl w:val="9"/>
              <w:rPr>
                <w:rFonts w:hint="default"/>
                <w:color w:val="auto"/>
                <w:highlight w:val="none"/>
                <w:lang w:eastAsia="zh-CN"/>
              </w:rPr>
            </w:pPr>
          </w:p>
          <w:p w14:paraId="18CD7C86">
            <w:pPr>
              <w:keepNext w:val="0"/>
              <w:keepLines w:val="0"/>
              <w:pageBreakBefore w:val="0"/>
              <w:widowControl w:val="0"/>
              <w:kinsoku/>
              <w:wordWrap/>
              <w:overflowPunct/>
              <w:topLinePunct w:val="0"/>
              <w:autoSpaceDE/>
              <w:autoSpaceDN/>
              <w:bidi w:val="0"/>
              <w:adjustRightInd w:val="0"/>
              <w:snapToGrid w:val="0"/>
              <w:spacing w:line="460" w:lineRule="exact"/>
              <w:ind w:firstLine="317"/>
              <w:jc w:val="both"/>
              <w:textAlignment w:val="auto"/>
              <w:outlineLvl w:val="9"/>
              <w:rPr>
                <w:rFonts w:hint="default"/>
                <w:color w:val="auto"/>
                <w:highlight w:val="none"/>
                <w:lang w:eastAsia="zh-CN"/>
              </w:rPr>
            </w:pPr>
          </w:p>
          <w:p w14:paraId="28C89BC4">
            <w:pPr>
              <w:keepNext w:val="0"/>
              <w:keepLines w:val="0"/>
              <w:pageBreakBefore w:val="0"/>
              <w:widowControl w:val="0"/>
              <w:kinsoku/>
              <w:wordWrap/>
              <w:overflowPunct/>
              <w:topLinePunct w:val="0"/>
              <w:autoSpaceDE/>
              <w:autoSpaceDN/>
              <w:bidi w:val="0"/>
              <w:adjustRightInd w:val="0"/>
              <w:snapToGrid w:val="0"/>
              <w:spacing w:line="460" w:lineRule="exact"/>
              <w:ind w:firstLine="317"/>
              <w:jc w:val="both"/>
              <w:textAlignment w:val="auto"/>
              <w:outlineLvl w:val="9"/>
              <w:rPr>
                <w:rFonts w:hint="default"/>
                <w:color w:val="auto"/>
                <w:highlight w:val="none"/>
                <w:lang w:eastAsia="zh-CN"/>
              </w:rPr>
            </w:pPr>
          </w:p>
          <w:p w14:paraId="6DC92CC8">
            <w:pPr>
              <w:keepNext w:val="0"/>
              <w:keepLines w:val="0"/>
              <w:pageBreakBefore w:val="0"/>
              <w:widowControl w:val="0"/>
              <w:kinsoku/>
              <w:wordWrap/>
              <w:overflowPunct/>
              <w:topLinePunct w:val="0"/>
              <w:autoSpaceDE/>
              <w:autoSpaceDN/>
              <w:bidi w:val="0"/>
              <w:adjustRightInd w:val="0"/>
              <w:snapToGrid w:val="0"/>
              <w:spacing w:line="460" w:lineRule="exact"/>
              <w:ind w:firstLine="317"/>
              <w:jc w:val="both"/>
              <w:textAlignment w:val="auto"/>
              <w:outlineLvl w:val="9"/>
              <w:rPr>
                <w:rFonts w:hint="default"/>
                <w:color w:val="auto"/>
                <w:highlight w:val="none"/>
                <w:lang w:eastAsia="zh-CN"/>
              </w:rPr>
            </w:pPr>
          </w:p>
          <w:p w14:paraId="4542E23F">
            <w:pPr>
              <w:keepNext w:val="0"/>
              <w:keepLines w:val="0"/>
              <w:pageBreakBefore w:val="0"/>
              <w:widowControl w:val="0"/>
              <w:kinsoku/>
              <w:wordWrap/>
              <w:overflowPunct/>
              <w:topLinePunct w:val="0"/>
              <w:autoSpaceDE/>
              <w:autoSpaceDN/>
              <w:bidi w:val="0"/>
              <w:adjustRightInd w:val="0"/>
              <w:snapToGrid w:val="0"/>
              <w:spacing w:line="460" w:lineRule="exact"/>
              <w:ind w:firstLine="317"/>
              <w:jc w:val="both"/>
              <w:textAlignment w:val="auto"/>
              <w:outlineLvl w:val="9"/>
              <w:rPr>
                <w:rFonts w:hint="default"/>
                <w:color w:val="auto"/>
                <w:highlight w:val="none"/>
                <w:lang w:eastAsia="zh-CN"/>
              </w:rPr>
            </w:pPr>
          </w:p>
          <w:p w14:paraId="63AEFBD7">
            <w:pPr>
              <w:keepNext w:val="0"/>
              <w:keepLines w:val="0"/>
              <w:pageBreakBefore w:val="0"/>
              <w:widowControl w:val="0"/>
              <w:kinsoku/>
              <w:wordWrap/>
              <w:overflowPunct/>
              <w:topLinePunct w:val="0"/>
              <w:autoSpaceDE/>
              <w:autoSpaceDN/>
              <w:bidi w:val="0"/>
              <w:adjustRightInd w:val="0"/>
              <w:snapToGrid w:val="0"/>
              <w:spacing w:line="460" w:lineRule="exact"/>
              <w:ind w:firstLine="317"/>
              <w:jc w:val="both"/>
              <w:textAlignment w:val="auto"/>
              <w:outlineLvl w:val="9"/>
              <w:rPr>
                <w:rFonts w:hint="default"/>
                <w:color w:val="auto"/>
                <w:highlight w:val="none"/>
                <w:lang w:eastAsia="zh-CN"/>
              </w:rPr>
            </w:pPr>
          </w:p>
          <w:p w14:paraId="4F66177E">
            <w:pPr>
              <w:keepNext w:val="0"/>
              <w:keepLines w:val="0"/>
              <w:pageBreakBefore w:val="0"/>
              <w:widowControl w:val="0"/>
              <w:kinsoku/>
              <w:wordWrap/>
              <w:overflowPunct/>
              <w:topLinePunct w:val="0"/>
              <w:autoSpaceDE/>
              <w:autoSpaceDN/>
              <w:bidi w:val="0"/>
              <w:adjustRightInd w:val="0"/>
              <w:snapToGrid w:val="0"/>
              <w:spacing w:line="460" w:lineRule="exact"/>
              <w:ind w:firstLine="317"/>
              <w:jc w:val="both"/>
              <w:textAlignment w:val="auto"/>
              <w:outlineLvl w:val="9"/>
              <w:rPr>
                <w:rFonts w:hint="default"/>
                <w:color w:val="auto"/>
                <w:highlight w:val="none"/>
                <w:lang w:eastAsia="zh-CN"/>
              </w:rPr>
            </w:pPr>
          </w:p>
          <w:p w14:paraId="3DCE7B6F">
            <w:pPr>
              <w:keepNext w:val="0"/>
              <w:keepLines w:val="0"/>
              <w:pageBreakBefore w:val="0"/>
              <w:widowControl w:val="0"/>
              <w:kinsoku/>
              <w:wordWrap/>
              <w:overflowPunct/>
              <w:topLinePunct w:val="0"/>
              <w:autoSpaceDE/>
              <w:autoSpaceDN/>
              <w:bidi w:val="0"/>
              <w:adjustRightInd w:val="0"/>
              <w:snapToGrid w:val="0"/>
              <w:spacing w:line="460" w:lineRule="exact"/>
              <w:ind w:firstLine="317"/>
              <w:jc w:val="both"/>
              <w:textAlignment w:val="auto"/>
              <w:outlineLvl w:val="9"/>
              <w:rPr>
                <w:rFonts w:hint="default"/>
                <w:color w:val="auto"/>
                <w:highlight w:val="none"/>
                <w:lang w:eastAsia="zh-CN"/>
              </w:rPr>
            </w:pPr>
          </w:p>
          <w:p w14:paraId="55DBE51A">
            <w:pPr>
              <w:keepNext w:val="0"/>
              <w:keepLines w:val="0"/>
              <w:pageBreakBefore w:val="0"/>
              <w:widowControl w:val="0"/>
              <w:kinsoku/>
              <w:wordWrap/>
              <w:overflowPunct/>
              <w:topLinePunct w:val="0"/>
              <w:autoSpaceDE/>
              <w:autoSpaceDN/>
              <w:bidi w:val="0"/>
              <w:adjustRightInd w:val="0"/>
              <w:snapToGrid w:val="0"/>
              <w:spacing w:line="460" w:lineRule="exact"/>
              <w:ind w:firstLine="317"/>
              <w:jc w:val="both"/>
              <w:textAlignment w:val="auto"/>
              <w:outlineLvl w:val="9"/>
              <w:rPr>
                <w:rFonts w:hint="default"/>
                <w:color w:val="auto"/>
                <w:highlight w:val="none"/>
                <w:lang w:eastAsia="zh-CN"/>
              </w:rPr>
            </w:pPr>
          </w:p>
          <w:p w14:paraId="1D5E718C">
            <w:pPr>
              <w:keepNext w:val="0"/>
              <w:keepLines w:val="0"/>
              <w:pageBreakBefore w:val="0"/>
              <w:widowControl w:val="0"/>
              <w:kinsoku/>
              <w:wordWrap/>
              <w:overflowPunct/>
              <w:topLinePunct w:val="0"/>
              <w:autoSpaceDE/>
              <w:autoSpaceDN/>
              <w:bidi w:val="0"/>
              <w:adjustRightInd w:val="0"/>
              <w:snapToGrid w:val="0"/>
              <w:spacing w:line="460" w:lineRule="exact"/>
              <w:ind w:firstLine="317"/>
              <w:jc w:val="both"/>
              <w:textAlignment w:val="auto"/>
              <w:outlineLvl w:val="9"/>
              <w:rPr>
                <w:rFonts w:hint="default"/>
                <w:color w:val="auto"/>
                <w:highlight w:val="none"/>
                <w:lang w:eastAsia="zh-CN"/>
              </w:rPr>
            </w:pPr>
          </w:p>
          <w:p w14:paraId="48C520FE">
            <w:pPr>
              <w:keepNext w:val="0"/>
              <w:keepLines w:val="0"/>
              <w:pageBreakBefore w:val="0"/>
              <w:widowControl w:val="0"/>
              <w:kinsoku/>
              <w:wordWrap/>
              <w:overflowPunct/>
              <w:topLinePunct w:val="0"/>
              <w:autoSpaceDE/>
              <w:autoSpaceDN/>
              <w:bidi w:val="0"/>
              <w:adjustRightInd w:val="0"/>
              <w:snapToGrid w:val="0"/>
              <w:spacing w:line="460" w:lineRule="exact"/>
              <w:ind w:firstLine="317"/>
              <w:jc w:val="both"/>
              <w:textAlignment w:val="auto"/>
              <w:outlineLvl w:val="9"/>
              <w:rPr>
                <w:rFonts w:hint="default"/>
                <w:color w:val="auto"/>
                <w:highlight w:val="none"/>
                <w:lang w:eastAsia="zh-CN"/>
              </w:rPr>
            </w:pPr>
          </w:p>
          <w:p w14:paraId="1DBCF493">
            <w:pPr>
              <w:keepNext w:val="0"/>
              <w:keepLines w:val="0"/>
              <w:pageBreakBefore w:val="0"/>
              <w:widowControl w:val="0"/>
              <w:kinsoku/>
              <w:wordWrap/>
              <w:overflowPunct/>
              <w:topLinePunct w:val="0"/>
              <w:autoSpaceDE/>
              <w:autoSpaceDN/>
              <w:bidi w:val="0"/>
              <w:adjustRightInd w:val="0"/>
              <w:snapToGrid w:val="0"/>
              <w:spacing w:line="460" w:lineRule="exact"/>
              <w:ind w:firstLine="317"/>
              <w:jc w:val="both"/>
              <w:textAlignment w:val="auto"/>
              <w:outlineLvl w:val="9"/>
              <w:rPr>
                <w:rFonts w:hint="default"/>
                <w:color w:val="auto"/>
                <w:highlight w:val="none"/>
                <w:lang w:eastAsia="zh-CN"/>
              </w:rPr>
            </w:pPr>
          </w:p>
          <w:p w14:paraId="67A15CA4">
            <w:pPr>
              <w:keepNext w:val="0"/>
              <w:keepLines w:val="0"/>
              <w:pageBreakBefore w:val="0"/>
              <w:widowControl w:val="0"/>
              <w:kinsoku/>
              <w:wordWrap/>
              <w:overflowPunct/>
              <w:topLinePunct w:val="0"/>
              <w:autoSpaceDE/>
              <w:autoSpaceDN/>
              <w:bidi w:val="0"/>
              <w:adjustRightInd w:val="0"/>
              <w:snapToGrid w:val="0"/>
              <w:spacing w:line="460" w:lineRule="exact"/>
              <w:ind w:firstLine="317"/>
              <w:jc w:val="both"/>
              <w:textAlignment w:val="auto"/>
              <w:outlineLvl w:val="9"/>
              <w:rPr>
                <w:rFonts w:hint="default"/>
                <w:color w:val="auto"/>
                <w:highlight w:val="none"/>
                <w:lang w:eastAsia="zh-CN"/>
              </w:rPr>
            </w:pPr>
          </w:p>
          <w:p w14:paraId="292AF515">
            <w:pPr>
              <w:pStyle w:val="18"/>
              <w:rPr>
                <w:rFonts w:hint="default"/>
                <w:color w:val="auto"/>
                <w:highlight w:val="none"/>
                <w:lang w:eastAsia="zh-CN"/>
              </w:rPr>
            </w:pPr>
          </w:p>
          <w:p w14:paraId="6C0E1C8E">
            <w:pPr>
              <w:rPr>
                <w:rFonts w:hint="default"/>
                <w:color w:val="auto"/>
                <w:highlight w:val="none"/>
                <w:lang w:eastAsia="zh-CN"/>
              </w:rPr>
            </w:pPr>
          </w:p>
          <w:p w14:paraId="4BEA8B6E">
            <w:pPr>
              <w:keepNext w:val="0"/>
              <w:keepLines w:val="0"/>
              <w:pageBreakBefore w:val="0"/>
              <w:widowControl w:val="0"/>
              <w:kinsoku/>
              <w:wordWrap/>
              <w:overflowPunct/>
              <w:topLinePunct w:val="0"/>
              <w:autoSpaceDE/>
              <w:autoSpaceDN/>
              <w:bidi w:val="0"/>
              <w:adjustRightInd w:val="0"/>
              <w:snapToGrid w:val="0"/>
              <w:spacing w:line="460" w:lineRule="exact"/>
              <w:ind w:firstLine="317"/>
              <w:jc w:val="both"/>
              <w:textAlignment w:val="auto"/>
              <w:outlineLvl w:val="9"/>
              <w:rPr>
                <w:rFonts w:hint="default"/>
                <w:color w:val="auto"/>
                <w:highlight w:val="none"/>
                <w:lang w:eastAsia="zh-CN"/>
              </w:rPr>
            </w:pPr>
          </w:p>
          <w:p w14:paraId="11E8A463">
            <w:pPr>
              <w:pStyle w:val="28"/>
              <w:rPr>
                <w:rFonts w:hint="default"/>
                <w:color w:val="auto"/>
                <w:highlight w:val="none"/>
              </w:rPr>
            </w:pPr>
          </w:p>
          <w:p w14:paraId="3F5FBFEE">
            <w:pPr>
              <w:rPr>
                <w:rFonts w:hint="default"/>
                <w:color w:val="auto"/>
                <w:highlight w:val="none"/>
              </w:rPr>
            </w:pPr>
          </w:p>
          <w:p w14:paraId="1CED7D10">
            <w:pPr>
              <w:pStyle w:val="16"/>
              <w:rPr>
                <w:rFonts w:hint="default"/>
                <w:color w:val="auto"/>
                <w:highlight w:val="none"/>
              </w:rPr>
            </w:pPr>
          </w:p>
          <w:p w14:paraId="5C6626E1">
            <w:pPr>
              <w:rPr>
                <w:rFonts w:hint="default"/>
                <w:color w:val="auto"/>
                <w:highlight w:val="none"/>
              </w:rPr>
            </w:pPr>
          </w:p>
          <w:p w14:paraId="16A21ED8">
            <w:pPr>
              <w:rPr>
                <w:rFonts w:hint="default"/>
              </w:rPr>
            </w:pPr>
          </w:p>
        </w:tc>
      </w:tr>
    </w:tbl>
    <w:p w14:paraId="31CA67E7">
      <w:pPr>
        <w:pStyle w:val="5"/>
        <w:bidi w:val="0"/>
        <w:spacing w:before="0" w:after="0" w:line="240" w:lineRule="auto"/>
        <w:jc w:val="distribute"/>
        <w:sectPr>
          <w:footerReference r:id="rId5" w:type="default"/>
          <w:pgSz w:w="11906" w:h="16838"/>
          <w:pgMar w:top="1701" w:right="1531" w:bottom="1701" w:left="153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7C0CBCA"/>
    <w:p w14:paraId="09BA0390">
      <w:pPr>
        <w:keepNext w:val="0"/>
        <w:keepLines w:val="0"/>
        <w:widowControl/>
        <w:suppressLineNumbers w:val="0"/>
        <w:spacing w:line="360" w:lineRule="auto"/>
        <w:jc w:val="center"/>
        <w:rPr>
          <w:rFonts w:hint="default" w:ascii="方正小标宋_GBK" w:eastAsia="方正小标宋_GBK"/>
          <w:bCs/>
          <w:color w:val="auto"/>
          <w:sz w:val="24"/>
          <w:szCs w:val="24"/>
          <w:highlight w:val="none"/>
          <w:lang w:val="en-US" w:eastAsia="zh-CN"/>
        </w:rPr>
      </w:pPr>
    </w:p>
    <w:p w14:paraId="4FE66136">
      <w:pPr>
        <w:keepNext w:val="0"/>
        <w:keepLines w:val="0"/>
        <w:widowControl/>
        <w:suppressLineNumbers w:val="0"/>
        <w:spacing w:line="360" w:lineRule="auto"/>
        <w:jc w:val="center"/>
        <w:rPr>
          <w:rFonts w:hint="default" w:ascii="方正小标宋_GBK" w:hAnsi="Times New Roman" w:eastAsia="方正小标宋_GBK" w:cs="Times New Roman"/>
          <w:bCs/>
          <w:color w:val="auto"/>
          <w:sz w:val="44"/>
          <w:szCs w:val="44"/>
          <w:highlight w:val="none"/>
          <w:lang w:val="en-US" w:eastAsia="zh-CN"/>
        </w:rPr>
      </w:pPr>
    </w:p>
    <w:p w14:paraId="5864775D">
      <w:pPr>
        <w:adjustRightInd w:val="0"/>
        <w:snapToGrid w:val="0"/>
        <w:spacing w:line="240" w:lineRule="auto"/>
        <w:ind w:firstLine="0" w:firstLineChars="0"/>
        <w:jc w:val="center"/>
        <w:outlineLvl w:val="9"/>
        <w:rPr>
          <w:color w:val="auto"/>
          <w:sz w:val="44"/>
          <w:szCs w:val="44"/>
          <w:highlight w:val="none"/>
        </w:rPr>
      </w:pPr>
      <w:r>
        <w:rPr>
          <w:rFonts w:hint="eastAsia" w:ascii="方正小标宋_GBK" w:eastAsia="方正小标宋_GBK" w:cs="Times New Roman"/>
          <w:bCs/>
          <w:color w:val="auto"/>
          <w:sz w:val="44"/>
          <w:szCs w:val="44"/>
          <w:highlight w:val="none"/>
          <w:lang w:val="en-US" w:eastAsia="zh-CN"/>
        </w:rPr>
        <w:t>华能围场“风光储氢热一体化”项目（风电200MW）项目220kV送出线路工程</w:t>
      </w:r>
      <w:r>
        <w:rPr>
          <w:rFonts w:hint="eastAsia" w:ascii="方正小标宋_GBK" w:hAnsi="Times New Roman" w:eastAsia="方正小标宋_GBK" w:cs="Times New Roman"/>
          <w:bCs/>
          <w:color w:val="auto"/>
          <w:sz w:val="44"/>
          <w:szCs w:val="44"/>
          <w:highlight w:val="none"/>
          <w:lang w:val="en-US" w:eastAsia="zh-CN"/>
        </w:rPr>
        <w:t>电磁环境影响评</w:t>
      </w:r>
      <w:r>
        <w:rPr>
          <w:rFonts w:hint="eastAsia" w:ascii="方正小标宋_GBK" w:eastAsia="方正小标宋_GBK"/>
          <w:bCs/>
          <w:color w:val="auto"/>
          <w:sz w:val="44"/>
          <w:szCs w:val="44"/>
          <w:highlight w:val="none"/>
          <w:lang w:val="en-US" w:eastAsia="zh-CN"/>
        </w:rPr>
        <w:t>价专题报告</w:t>
      </w:r>
    </w:p>
    <w:p w14:paraId="3D1708EB">
      <w:pPr>
        <w:adjustRightInd w:val="0"/>
        <w:snapToGrid w:val="0"/>
        <w:spacing w:line="360" w:lineRule="auto"/>
        <w:jc w:val="center"/>
        <w:outlineLvl w:val="9"/>
        <w:rPr>
          <w:rFonts w:hint="default" w:ascii="Times New Roman" w:hAnsi="Times New Roman" w:eastAsia="仿宋_GB2312" w:cs="Times New Roman"/>
          <w:color w:val="auto"/>
          <w:spacing w:val="0"/>
          <w:kern w:val="21"/>
          <w:sz w:val="36"/>
          <w:szCs w:val="36"/>
          <w:highlight w:val="none"/>
          <w:u w:val="single"/>
          <w:lang w:val="en-US" w:eastAsia="zh-CN"/>
        </w:rPr>
      </w:pPr>
    </w:p>
    <w:p w14:paraId="020849EC">
      <w:pPr>
        <w:adjustRightInd w:val="0"/>
        <w:snapToGrid w:val="0"/>
        <w:spacing w:line="360" w:lineRule="auto"/>
        <w:jc w:val="center"/>
        <w:outlineLvl w:val="9"/>
        <w:rPr>
          <w:rFonts w:hint="default" w:ascii="Times New Roman" w:hAnsi="Times New Roman" w:eastAsia="仿宋_GB2312" w:cs="Times New Roman"/>
          <w:color w:val="auto"/>
          <w:spacing w:val="0"/>
          <w:kern w:val="21"/>
          <w:sz w:val="36"/>
          <w:szCs w:val="36"/>
          <w:highlight w:val="none"/>
          <w:u w:val="single"/>
          <w:lang w:val="en-US" w:eastAsia="zh-CN"/>
        </w:rPr>
      </w:pPr>
    </w:p>
    <w:p w14:paraId="429F57F3">
      <w:pPr>
        <w:adjustRightInd w:val="0"/>
        <w:snapToGrid w:val="0"/>
        <w:spacing w:line="360" w:lineRule="auto"/>
        <w:jc w:val="center"/>
        <w:outlineLvl w:val="9"/>
        <w:rPr>
          <w:rFonts w:hint="default" w:ascii="Times New Roman" w:hAnsi="Times New Roman" w:eastAsia="仿宋_GB2312" w:cs="Times New Roman"/>
          <w:color w:val="auto"/>
          <w:spacing w:val="0"/>
          <w:kern w:val="21"/>
          <w:sz w:val="36"/>
          <w:szCs w:val="36"/>
          <w:highlight w:val="none"/>
          <w:u w:val="single"/>
          <w:lang w:val="en-US" w:eastAsia="zh-CN"/>
        </w:rPr>
      </w:pPr>
    </w:p>
    <w:p w14:paraId="3904EE1E">
      <w:pPr>
        <w:adjustRightInd w:val="0"/>
        <w:snapToGrid w:val="0"/>
        <w:spacing w:line="360" w:lineRule="auto"/>
        <w:jc w:val="center"/>
        <w:outlineLvl w:val="9"/>
        <w:rPr>
          <w:rFonts w:hint="default" w:ascii="Times New Roman" w:hAnsi="Times New Roman" w:eastAsia="仿宋_GB2312" w:cs="Times New Roman"/>
          <w:color w:val="auto"/>
          <w:spacing w:val="0"/>
          <w:kern w:val="21"/>
          <w:sz w:val="36"/>
          <w:szCs w:val="36"/>
          <w:highlight w:val="none"/>
          <w:u w:val="single"/>
          <w:lang w:val="en-US" w:eastAsia="zh-CN"/>
        </w:rPr>
      </w:pPr>
    </w:p>
    <w:p w14:paraId="4EE29BCC">
      <w:pPr>
        <w:adjustRightInd w:val="0"/>
        <w:snapToGrid w:val="0"/>
        <w:spacing w:line="360" w:lineRule="auto"/>
        <w:jc w:val="center"/>
        <w:outlineLvl w:val="9"/>
        <w:rPr>
          <w:rFonts w:hint="default" w:ascii="Times New Roman" w:hAnsi="Times New Roman" w:eastAsia="仿宋_GB2312" w:cs="Times New Roman"/>
          <w:color w:val="auto"/>
          <w:spacing w:val="0"/>
          <w:kern w:val="21"/>
          <w:sz w:val="36"/>
          <w:szCs w:val="36"/>
          <w:highlight w:val="none"/>
          <w:u w:val="single"/>
          <w:lang w:val="en-US" w:eastAsia="zh-CN"/>
        </w:rPr>
      </w:pPr>
    </w:p>
    <w:p w14:paraId="3BBE9705">
      <w:pPr>
        <w:adjustRightInd w:val="0"/>
        <w:snapToGrid w:val="0"/>
        <w:spacing w:line="360" w:lineRule="auto"/>
        <w:jc w:val="center"/>
        <w:outlineLvl w:val="9"/>
        <w:rPr>
          <w:rFonts w:hint="default" w:ascii="Times New Roman" w:hAnsi="Times New Roman" w:eastAsia="仿宋_GB2312" w:cs="Times New Roman"/>
          <w:color w:val="auto"/>
          <w:spacing w:val="0"/>
          <w:kern w:val="21"/>
          <w:sz w:val="36"/>
          <w:szCs w:val="36"/>
          <w:highlight w:val="none"/>
          <w:u w:val="single"/>
          <w:lang w:val="en-US" w:eastAsia="zh-CN"/>
        </w:rPr>
      </w:pPr>
    </w:p>
    <w:p w14:paraId="6859E3BA">
      <w:pPr>
        <w:keepNext w:val="0"/>
        <w:keepLines w:val="0"/>
        <w:pageBreakBefore w:val="0"/>
        <w:widowControl w:val="0"/>
        <w:kinsoku/>
        <w:wordWrap/>
        <w:overflowPunct/>
        <w:topLinePunct w:val="0"/>
        <w:autoSpaceDE/>
        <w:autoSpaceDN/>
        <w:bidi w:val="0"/>
        <w:adjustRightInd w:val="0"/>
        <w:snapToGrid w:val="0"/>
        <w:spacing w:line="360" w:lineRule="auto"/>
        <w:ind w:left="2518" w:leftChars="342" w:hanging="1800" w:hangingChars="500"/>
        <w:textAlignment w:val="auto"/>
        <w:rPr>
          <w:rFonts w:hint="eastAsia" w:eastAsia="仿宋_GB2312" w:cs="Times New Roman"/>
          <w:color w:val="auto"/>
          <w:spacing w:val="0"/>
          <w:kern w:val="21"/>
          <w:sz w:val="36"/>
          <w:szCs w:val="36"/>
          <w:highlight w:val="none"/>
          <w:u w:val="single"/>
          <w:lang w:val="en-US" w:eastAsia="zh-CN"/>
        </w:rPr>
      </w:pPr>
      <w:r>
        <w:rPr>
          <w:rFonts w:hint="default" w:ascii="Times New Roman" w:hAnsi="Times New Roman" w:eastAsia="仿宋_GB2312" w:cs="Times New Roman"/>
          <w:color w:val="auto"/>
          <w:spacing w:val="0"/>
          <w:kern w:val="21"/>
          <w:sz w:val="36"/>
          <w:szCs w:val="36"/>
          <w:highlight w:val="none"/>
        </w:rPr>
        <w:t>建设单位：</w:t>
      </w:r>
      <w:r>
        <w:rPr>
          <w:rFonts w:hint="default" w:ascii="Times New Roman" w:hAnsi="Times New Roman" w:eastAsia="仿宋_GB2312" w:cs="Times New Roman"/>
          <w:color w:val="auto"/>
          <w:spacing w:val="0"/>
          <w:kern w:val="21"/>
          <w:sz w:val="36"/>
          <w:szCs w:val="36"/>
          <w:highlight w:val="none"/>
          <w:u w:val="single"/>
          <w:lang w:val="en-US" w:eastAsia="zh-CN"/>
        </w:rPr>
        <w:t>围场</w:t>
      </w:r>
      <w:r>
        <w:rPr>
          <w:rFonts w:hint="eastAsia" w:eastAsia="仿宋_GB2312" w:cs="Times New Roman"/>
          <w:color w:val="auto"/>
          <w:spacing w:val="0"/>
          <w:kern w:val="21"/>
          <w:sz w:val="36"/>
          <w:szCs w:val="36"/>
          <w:highlight w:val="none"/>
          <w:u w:val="single"/>
          <w:lang w:val="en-US" w:eastAsia="zh-CN"/>
        </w:rPr>
        <w:t>围场满族蒙古族自治县阳洁光伏发电有限责任公司</w:t>
      </w:r>
    </w:p>
    <w:p w14:paraId="763B16B0">
      <w:pPr>
        <w:keepNext w:val="0"/>
        <w:keepLines w:val="0"/>
        <w:pageBreakBefore w:val="0"/>
        <w:widowControl w:val="0"/>
        <w:kinsoku/>
        <w:wordWrap/>
        <w:overflowPunct/>
        <w:topLinePunct w:val="0"/>
        <w:autoSpaceDE/>
        <w:autoSpaceDN/>
        <w:bidi w:val="0"/>
        <w:adjustRightInd w:val="0"/>
        <w:snapToGrid w:val="0"/>
        <w:spacing w:line="360" w:lineRule="auto"/>
        <w:ind w:left="2518" w:leftChars="342" w:hanging="1800" w:hangingChars="500"/>
        <w:textAlignment w:val="auto"/>
        <w:rPr>
          <w:rFonts w:hint="default" w:eastAsia="仿宋_GB2312" w:cs="Times New Roman"/>
          <w:color w:val="auto"/>
          <w:spacing w:val="0"/>
          <w:kern w:val="21"/>
          <w:sz w:val="36"/>
          <w:szCs w:val="36"/>
          <w:highlight w:val="none"/>
          <w:u w:val="single"/>
          <w:lang w:val="en-US" w:eastAsia="zh-CN"/>
        </w:rPr>
      </w:pPr>
    </w:p>
    <w:p w14:paraId="068A9FC4">
      <w:pPr>
        <w:keepNext w:val="0"/>
        <w:keepLines w:val="0"/>
        <w:pageBreakBefore w:val="0"/>
        <w:kinsoku/>
        <w:wordWrap/>
        <w:overflowPunct/>
        <w:topLinePunct w:val="0"/>
        <w:bidi w:val="0"/>
        <w:adjustRightInd w:val="0"/>
        <w:snapToGrid w:val="0"/>
        <w:spacing w:line="360" w:lineRule="auto"/>
        <w:ind w:firstLine="720" w:firstLineChars="200"/>
        <w:textAlignment w:val="auto"/>
        <w:rPr>
          <w:rFonts w:hint="default" w:ascii="Times New Roman" w:hAnsi="Times New Roman" w:eastAsia="仿宋_GB2312" w:cs="Times New Roman"/>
          <w:color w:val="auto"/>
          <w:spacing w:val="0"/>
          <w:kern w:val="21"/>
          <w:sz w:val="36"/>
          <w:szCs w:val="36"/>
          <w:highlight w:val="none"/>
        </w:rPr>
      </w:pPr>
      <w:r>
        <w:rPr>
          <w:rFonts w:hint="eastAsia" w:ascii="Times New Roman" w:hAnsi="Times New Roman" w:eastAsia="仿宋_GB2312" w:cs="Times New Roman"/>
          <w:color w:val="auto"/>
          <w:spacing w:val="0"/>
          <w:kern w:val="21"/>
          <w:sz w:val="36"/>
          <w:szCs w:val="36"/>
          <w:highlight w:val="none"/>
          <w:lang w:val="en-US" w:eastAsia="zh-CN"/>
        </w:rPr>
        <w:t>编制单位：</w:t>
      </w:r>
      <w:r>
        <w:rPr>
          <w:rFonts w:hint="eastAsia" w:ascii="Times New Roman" w:hAnsi="Times New Roman" w:eastAsia="仿宋_GB2312" w:cs="Times New Roman"/>
          <w:color w:val="auto"/>
          <w:spacing w:val="0"/>
          <w:kern w:val="21"/>
          <w:sz w:val="36"/>
          <w:szCs w:val="36"/>
          <w:highlight w:val="none"/>
          <w:u w:val="single"/>
          <w:lang w:val="en-US" w:eastAsia="zh-CN"/>
        </w:rPr>
        <w:t>河北海润工程勘察设计有限公司</w:t>
      </w:r>
    </w:p>
    <w:p w14:paraId="5C797421">
      <w:pPr>
        <w:keepNext w:val="0"/>
        <w:keepLines w:val="0"/>
        <w:pageBreakBefore w:val="0"/>
        <w:kinsoku/>
        <w:wordWrap/>
        <w:overflowPunct/>
        <w:topLinePunct w:val="0"/>
        <w:bidi w:val="0"/>
        <w:adjustRightInd w:val="0"/>
        <w:snapToGrid w:val="0"/>
        <w:spacing w:line="360" w:lineRule="auto"/>
        <w:ind w:firstLine="720" w:firstLineChars="200"/>
        <w:textAlignment w:val="auto"/>
        <w:rPr>
          <w:rFonts w:hint="default" w:ascii="Times New Roman" w:hAnsi="Times New Roman" w:eastAsia="仿宋_GB2312" w:cs="Times New Roman"/>
          <w:color w:val="auto"/>
          <w:spacing w:val="0"/>
          <w:kern w:val="21"/>
          <w:sz w:val="36"/>
          <w:szCs w:val="36"/>
          <w:highlight w:val="none"/>
          <w:u w:val="single"/>
          <w:lang w:val="en-US" w:eastAsia="zh-CN"/>
        </w:rPr>
      </w:pPr>
      <w:r>
        <w:rPr>
          <w:rFonts w:hint="default" w:ascii="Times New Roman" w:hAnsi="Times New Roman" w:eastAsia="仿宋_GB2312" w:cs="Times New Roman"/>
          <w:color w:val="auto"/>
          <w:spacing w:val="0"/>
          <w:kern w:val="21"/>
          <w:sz w:val="36"/>
          <w:szCs w:val="36"/>
          <w:highlight w:val="none"/>
        </w:rPr>
        <w:t>编制日期：</w:t>
      </w:r>
      <w:r>
        <w:rPr>
          <w:rFonts w:hint="default" w:ascii="Times New Roman" w:hAnsi="Times New Roman" w:eastAsia="仿宋_GB2312" w:cs="Times New Roman"/>
          <w:color w:val="auto"/>
          <w:spacing w:val="0"/>
          <w:kern w:val="21"/>
          <w:sz w:val="36"/>
          <w:szCs w:val="36"/>
          <w:highlight w:val="none"/>
          <w:u w:val="single"/>
          <w:lang w:val="en-US" w:eastAsia="zh-CN"/>
        </w:rPr>
        <w:t>二零二</w:t>
      </w:r>
      <w:r>
        <w:rPr>
          <w:rFonts w:hint="eastAsia" w:eastAsia="仿宋_GB2312" w:cs="Times New Roman"/>
          <w:color w:val="auto"/>
          <w:spacing w:val="0"/>
          <w:kern w:val="21"/>
          <w:sz w:val="36"/>
          <w:szCs w:val="36"/>
          <w:highlight w:val="none"/>
          <w:u w:val="single"/>
          <w:lang w:val="en-US" w:eastAsia="zh-CN"/>
        </w:rPr>
        <w:t>四</w:t>
      </w:r>
      <w:r>
        <w:rPr>
          <w:rFonts w:hint="default" w:ascii="Times New Roman" w:hAnsi="Times New Roman" w:eastAsia="仿宋_GB2312" w:cs="Times New Roman"/>
          <w:color w:val="auto"/>
          <w:spacing w:val="0"/>
          <w:kern w:val="21"/>
          <w:sz w:val="36"/>
          <w:szCs w:val="36"/>
          <w:highlight w:val="none"/>
          <w:u w:val="single"/>
          <w:lang w:val="en-US" w:eastAsia="zh-CN"/>
        </w:rPr>
        <w:t>年</w:t>
      </w:r>
      <w:r>
        <w:rPr>
          <w:rFonts w:hint="eastAsia" w:eastAsia="仿宋_GB2312" w:cs="Times New Roman"/>
          <w:color w:val="auto"/>
          <w:spacing w:val="0"/>
          <w:kern w:val="21"/>
          <w:sz w:val="36"/>
          <w:szCs w:val="36"/>
          <w:highlight w:val="none"/>
          <w:u w:val="single"/>
          <w:lang w:val="en-US" w:eastAsia="zh-CN"/>
        </w:rPr>
        <w:t>十</w:t>
      </w:r>
      <w:r>
        <w:rPr>
          <w:rFonts w:hint="default" w:ascii="Times New Roman" w:hAnsi="Times New Roman" w:eastAsia="仿宋_GB2312" w:cs="Times New Roman"/>
          <w:color w:val="auto"/>
          <w:spacing w:val="0"/>
          <w:kern w:val="21"/>
          <w:sz w:val="36"/>
          <w:szCs w:val="36"/>
          <w:highlight w:val="none"/>
          <w:u w:val="single"/>
          <w:lang w:val="en-US" w:eastAsia="zh-CN"/>
        </w:rPr>
        <w:t>月</w:t>
      </w:r>
    </w:p>
    <w:p w14:paraId="726F2F8B">
      <w:pPr>
        <w:pStyle w:val="28"/>
        <w:spacing w:line="360" w:lineRule="auto"/>
        <w:jc w:val="both"/>
        <w:rPr>
          <w:rFonts w:hint="default"/>
          <w:color w:val="auto"/>
          <w:sz w:val="24"/>
          <w:szCs w:val="24"/>
          <w:highlight w:val="none"/>
          <w:lang w:val="en-US" w:eastAsia="zh-CN"/>
        </w:rPr>
      </w:pPr>
    </w:p>
    <w:p w14:paraId="7A3CA610">
      <w:pPr>
        <w:spacing w:line="360" w:lineRule="auto"/>
        <w:rPr>
          <w:rFonts w:hint="default"/>
          <w:color w:val="auto"/>
          <w:sz w:val="24"/>
          <w:szCs w:val="24"/>
          <w:highlight w:val="none"/>
          <w:lang w:val="en-US" w:eastAsia="zh-CN"/>
        </w:rPr>
        <w:sectPr>
          <w:footerReference r:id="rId6" w:type="default"/>
          <w:pgSz w:w="11905" w:h="16838"/>
          <w:pgMar w:top="1440" w:right="1083" w:bottom="1440" w:left="1083" w:header="850" w:footer="992" w:gutter="0"/>
          <w:pgBorders>
            <w:top w:val="none" w:sz="0" w:space="0"/>
            <w:left w:val="none" w:sz="0" w:space="0"/>
            <w:bottom w:val="none" w:sz="0" w:space="0"/>
            <w:right w:val="none" w:sz="0" w:space="0"/>
          </w:pgBorders>
          <w:pgNumType w:fmt="decimal"/>
          <w:cols w:space="0" w:num="1"/>
          <w:rtlGutter w:val="0"/>
          <w:docGrid w:type="lines" w:linePitch="317" w:charSpace="0"/>
        </w:sectPr>
      </w:pPr>
    </w:p>
    <w:p w14:paraId="79DF2F68">
      <w:pPr>
        <w:spacing w:before="0" w:beforeLines="0" w:after="0" w:afterLines="0" w:line="360" w:lineRule="auto"/>
        <w:ind w:left="0" w:leftChars="0" w:right="0" w:rightChars="0" w:firstLine="0" w:firstLineChars="0"/>
        <w:jc w:val="center"/>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目录</w:t>
      </w:r>
    </w:p>
    <w:p w14:paraId="7E15248F">
      <w:pPr>
        <w:pStyle w:val="15"/>
        <w:tabs>
          <w:tab w:val="right" w:leader="dot" w:pos="9739"/>
        </w:tabs>
        <w:rPr>
          <w:rFonts w:hint="eastAsia" w:ascii="黑体" w:hAnsi="黑体" w:eastAsia="黑体" w:cs="黑体"/>
          <w:b/>
          <w:bCs/>
          <w:sz w:val="32"/>
          <w:szCs w:val="32"/>
        </w:rPr>
      </w:pPr>
      <w:r>
        <w:rPr>
          <w:rFonts w:hint="eastAsia" w:ascii="黑体" w:hAnsi="黑体" w:eastAsia="黑体" w:cs="黑体"/>
          <w:b/>
          <w:bCs/>
          <w:color w:val="auto"/>
          <w:spacing w:val="0"/>
          <w:kern w:val="21"/>
          <w:sz w:val="32"/>
          <w:szCs w:val="32"/>
          <w:highlight w:val="none"/>
          <w:u w:val="single"/>
          <w:lang w:val="en-US" w:eastAsia="zh-CN"/>
        </w:rPr>
        <w:fldChar w:fldCharType="begin"/>
      </w:r>
      <w:r>
        <w:rPr>
          <w:rFonts w:hint="eastAsia" w:ascii="黑体" w:hAnsi="黑体" w:eastAsia="黑体" w:cs="黑体"/>
          <w:b/>
          <w:bCs/>
          <w:color w:val="auto"/>
          <w:spacing w:val="0"/>
          <w:kern w:val="21"/>
          <w:sz w:val="32"/>
          <w:szCs w:val="32"/>
          <w:highlight w:val="none"/>
          <w:u w:val="single"/>
          <w:lang w:val="en-US" w:eastAsia="zh-CN"/>
        </w:rPr>
        <w:instrText xml:space="preserve">TOC \o "1-2" \h \u </w:instrText>
      </w:r>
      <w:r>
        <w:rPr>
          <w:rFonts w:hint="eastAsia" w:ascii="黑体" w:hAnsi="黑体" w:eastAsia="黑体" w:cs="黑体"/>
          <w:b/>
          <w:bCs/>
          <w:color w:val="auto"/>
          <w:spacing w:val="0"/>
          <w:kern w:val="21"/>
          <w:sz w:val="32"/>
          <w:szCs w:val="32"/>
          <w:highlight w:val="none"/>
          <w:u w:val="single"/>
          <w:lang w:val="en-US" w:eastAsia="zh-CN"/>
        </w:rPr>
        <w:fldChar w:fldCharType="separate"/>
      </w:r>
    </w:p>
    <w:p w14:paraId="65171A2C">
      <w:pPr>
        <w:pStyle w:val="15"/>
        <w:tabs>
          <w:tab w:val="right" w:leader="dot" w:pos="9739"/>
        </w:tabs>
        <w:rPr>
          <w:rFonts w:hint="eastAsia" w:ascii="黑体" w:hAnsi="黑体" w:eastAsia="黑体" w:cs="黑体"/>
          <w:b/>
          <w:bCs/>
          <w:sz w:val="32"/>
          <w:szCs w:val="32"/>
        </w:rPr>
      </w:pPr>
      <w:r>
        <w:rPr>
          <w:rFonts w:hint="eastAsia" w:ascii="黑体" w:hAnsi="黑体" w:eastAsia="黑体" w:cs="黑体"/>
          <w:b/>
          <w:bCs/>
          <w:color w:val="auto"/>
          <w:spacing w:val="0"/>
          <w:kern w:val="21"/>
          <w:sz w:val="32"/>
          <w:szCs w:val="32"/>
          <w:highlight w:val="none"/>
          <w:u w:val="single"/>
          <w:lang w:val="en-US" w:eastAsia="zh-CN"/>
        </w:rPr>
        <w:fldChar w:fldCharType="begin"/>
      </w:r>
      <w:r>
        <w:rPr>
          <w:rFonts w:hint="eastAsia" w:ascii="黑体" w:hAnsi="黑体" w:eastAsia="黑体" w:cs="黑体"/>
          <w:b/>
          <w:bCs/>
          <w:spacing w:val="0"/>
          <w:kern w:val="21"/>
          <w:sz w:val="32"/>
          <w:szCs w:val="32"/>
          <w:highlight w:val="none"/>
          <w:lang w:val="en-US" w:eastAsia="zh-CN"/>
        </w:rPr>
        <w:instrText xml:space="preserve"> HYPERLINK \l _Toc29286 </w:instrText>
      </w:r>
      <w:r>
        <w:rPr>
          <w:rFonts w:hint="eastAsia" w:ascii="黑体" w:hAnsi="黑体" w:eastAsia="黑体" w:cs="黑体"/>
          <w:b/>
          <w:bCs/>
          <w:spacing w:val="0"/>
          <w:kern w:val="21"/>
          <w:sz w:val="32"/>
          <w:szCs w:val="32"/>
          <w:highlight w:val="none"/>
          <w:lang w:val="en-US" w:eastAsia="zh-CN"/>
        </w:rPr>
        <w:fldChar w:fldCharType="separate"/>
      </w:r>
      <w:r>
        <w:rPr>
          <w:rFonts w:hint="eastAsia" w:ascii="黑体" w:hAnsi="黑体" w:eastAsia="黑体" w:cs="黑体"/>
          <w:b/>
          <w:bCs/>
          <w:sz w:val="32"/>
          <w:szCs w:val="32"/>
          <w:lang w:val="en-US" w:eastAsia="zh-CN"/>
        </w:rPr>
        <w:t xml:space="preserve">1、 </w:t>
      </w:r>
      <w:r>
        <w:rPr>
          <w:rFonts w:hint="eastAsia" w:ascii="黑体" w:hAnsi="黑体" w:eastAsia="黑体" w:cs="黑体"/>
          <w:b/>
          <w:bCs/>
          <w:sz w:val="32"/>
          <w:szCs w:val="32"/>
          <w:highlight w:val="none"/>
          <w:lang w:val="en-US" w:eastAsia="zh-CN"/>
        </w:rPr>
        <w:t>前言</w:t>
      </w:r>
      <w:r>
        <w:rPr>
          <w:rFonts w:hint="eastAsia" w:ascii="黑体" w:hAnsi="黑体" w:eastAsia="黑体" w:cs="黑体"/>
          <w:b/>
          <w:bCs/>
          <w:sz w:val="32"/>
          <w:szCs w:val="32"/>
        </w:rPr>
        <w:tab/>
      </w:r>
      <w:r>
        <w:rPr>
          <w:rFonts w:hint="eastAsia" w:ascii="黑体" w:hAnsi="黑体" w:eastAsia="黑体" w:cs="黑体"/>
          <w:b/>
          <w:bCs/>
          <w:sz w:val="32"/>
          <w:szCs w:val="32"/>
        </w:rPr>
        <w:fldChar w:fldCharType="begin"/>
      </w:r>
      <w:r>
        <w:rPr>
          <w:rFonts w:hint="eastAsia" w:ascii="黑体" w:hAnsi="黑体" w:eastAsia="黑体" w:cs="黑体"/>
          <w:b/>
          <w:bCs/>
          <w:sz w:val="32"/>
          <w:szCs w:val="32"/>
        </w:rPr>
        <w:instrText xml:space="preserve"> PAGEREF _Toc29286 \h </w:instrText>
      </w:r>
      <w:r>
        <w:rPr>
          <w:rFonts w:hint="eastAsia" w:ascii="黑体" w:hAnsi="黑体" w:eastAsia="黑体" w:cs="黑体"/>
          <w:b/>
          <w:bCs/>
          <w:sz w:val="32"/>
          <w:szCs w:val="32"/>
        </w:rPr>
        <w:fldChar w:fldCharType="separate"/>
      </w:r>
      <w:r>
        <w:rPr>
          <w:rFonts w:hint="eastAsia" w:ascii="黑体" w:hAnsi="黑体" w:eastAsia="黑体" w:cs="黑体"/>
          <w:b/>
          <w:bCs/>
          <w:sz w:val="32"/>
          <w:szCs w:val="32"/>
        </w:rPr>
        <w:t>1</w:t>
      </w:r>
      <w:r>
        <w:rPr>
          <w:rFonts w:hint="eastAsia" w:ascii="黑体" w:hAnsi="黑体" w:eastAsia="黑体" w:cs="黑体"/>
          <w:b/>
          <w:bCs/>
          <w:sz w:val="32"/>
          <w:szCs w:val="32"/>
        </w:rPr>
        <w:fldChar w:fldCharType="end"/>
      </w:r>
      <w:r>
        <w:rPr>
          <w:rFonts w:hint="eastAsia" w:ascii="黑体" w:hAnsi="黑体" w:eastAsia="黑体" w:cs="黑体"/>
          <w:b/>
          <w:bCs/>
          <w:color w:val="auto"/>
          <w:spacing w:val="0"/>
          <w:kern w:val="21"/>
          <w:sz w:val="32"/>
          <w:szCs w:val="32"/>
          <w:highlight w:val="none"/>
          <w:u w:val="single"/>
          <w:lang w:val="en-US" w:eastAsia="zh-CN"/>
        </w:rPr>
        <w:fldChar w:fldCharType="end"/>
      </w:r>
    </w:p>
    <w:p w14:paraId="0E7C6FFE">
      <w:pPr>
        <w:pStyle w:val="15"/>
        <w:tabs>
          <w:tab w:val="right" w:leader="dot" w:pos="9739"/>
        </w:tabs>
        <w:rPr>
          <w:rFonts w:hint="eastAsia" w:ascii="黑体" w:hAnsi="黑体" w:eastAsia="黑体" w:cs="黑体"/>
          <w:b/>
          <w:bCs/>
          <w:sz w:val="32"/>
          <w:szCs w:val="32"/>
        </w:rPr>
      </w:pPr>
      <w:r>
        <w:rPr>
          <w:rFonts w:hint="eastAsia" w:ascii="黑体" w:hAnsi="黑体" w:eastAsia="黑体" w:cs="黑体"/>
          <w:b/>
          <w:bCs/>
          <w:color w:val="auto"/>
          <w:spacing w:val="0"/>
          <w:kern w:val="21"/>
          <w:sz w:val="32"/>
          <w:szCs w:val="32"/>
          <w:highlight w:val="none"/>
          <w:u w:val="single"/>
          <w:lang w:val="en-US" w:eastAsia="zh-CN"/>
        </w:rPr>
        <w:fldChar w:fldCharType="begin"/>
      </w:r>
      <w:r>
        <w:rPr>
          <w:rFonts w:hint="eastAsia" w:ascii="黑体" w:hAnsi="黑体" w:eastAsia="黑体" w:cs="黑体"/>
          <w:b/>
          <w:bCs/>
          <w:spacing w:val="0"/>
          <w:kern w:val="21"/>
          <w:sz w:val="32"/>
          <w:szCs w:val="32"/>
          <w:highlight w:val="none"/>
          <w:lang w:val="en-US" w:eastAsia="zh-CN"/>
        </w:rPr>
        <w:instrText xml:space="preserve"> HYPERLINK \l _Toc28154 </w:instrText>
      </w:r>
      <w:r>
        <w:rPr>
          <w:rFonts w:hint="eastAsia" w:ascii="黑体" w:hAnsi="黑体" w:eastAsia="黑体" w:cs="黑体"/>
          <w:b/>
          <w:bCs/>
          <w:spacing w:val="0"/>
          <w:kern w:val="21"/>
          <w:sz w:val="32"/>
          <w:szCs w:val="32"/>
          <w:highlight w:val="none"/>
          <w:lang w:val="en-US" w:eastAsia="zh-CN"/>
        </w:rPr>
        <w:fldChar w:fldCharType="separate"/>
      </w:r>
      <w:r>
        <w:rPr>
          <w:rFonts w:hint="eastAsia" w:ascii="黑体" w:hAnsi="黑体" w:eastAsia="黑体" w:cs="黑体"/>
          <w:b/>
          <w:bCs/>
          <w:sz w:val="32"/>
          <w:szCs w:val="32"/>
          <w:highlight w:val="none"/>
          <w:lang w:val="en-US" w:eastAsia="zh-CN"/>
        </w:rPr>
        <w:t>2、编制依据</w:t>
      </w:r>
      <w:r>
        <w:rPr>
          <w:rFonts w:hint="eastAsia" w:ascii="黑体" w:hAnsi="黑体" w:eastAsia="黑体" w:cs="黑体"/>
          <w:b/>
          <w:bCs/>
          <w:sz w:val="32"/>
          <w:szCs w:val="32"/>
        </w:rPr>
        <w:tab/>
      </w:r>
      <w:r>
        <w:rPr>
          <w:rFonts w:hint="eastAsia" w:ascii="黑体" w:hAnsi="黑体" w:eastAsia="黑体" w:cs="黑体"/>
          <w:b/>
          <w:bCs/>
          <w:sz w:val="32"/>
          <w:szCs w:val="32"/>
        </w:rPr>
        <w:fldChar w:fldCharType="begin"/>
      </w:r>
      <w:r>
        <w:rPr>
          <w:rFonts w:hint="eastAsia" w:ascii="黑体" w:hAnsi="黑体" w:eastAsia="黑体" w:cs="黑体"/>
          <w:b/>
          <w:bCs/>
          <w:sz w:val="32"/>
          <w:szCs w:val="32"/>
        </w:rPr>
        <w:instrText xml:space="preserve"> PAGEREF _Toc28154 \h </w:instrText>
      </w:r>
      <w:r>
        <w:rPr>
          <w:rFonts w:hint="eastAsia" w:ascii="黑体" w:hAnsi="黑体" w:eastAsia="黑体" w:cs="黑体"/>
          <w:b/>
          <w:bCs/>
          <w:sz w:val="32"/>
          <w:szCs w:val="32"/>
        </w:rPr>
        <w:fldChar w:fldCharType="separate"/>
      </w:r>
      <w:r>
        <w:rPr>
          <w:rFonts w:hint="eastAsia" w:ascii="黑体" w:hAnsi="黑体" w:eastAsia="黑体" w:cs="黑体"/>
          <w:b/>
          <w:bCs/>
          <w:sz w:val="32"/>
          <w:szCs w:val="32"/>
        </w:rPr>
        <w:t>3</w:t>
      </w:r>
      <w:r>
        <w:rPr>
          <w:rFonts w:hint="eastAsia" w:ascii="黑体" w:hAnsi="黑体" w:eastAsia="黑体" w:cs="黑体"/>
          <w:b/>
          <w:bCs/>
          <w:sz w:val="32"/>
          <w:szCs w:val="32"/>
        </w:rPr>
        <w:fldChar w:fldCharType="end"/>
      </w:r>
      <w:r>
        <w:rPr>
          <w:rFonts w:hint="eastAsia" w:ascii="黑体" w:hAnsi="黑体" w:eastAsia="黑体" w:cs="黑体"/>
          <w:b/>
          <w:bCs/>
          <w:color w:val="auto"/>
          <w:spacing w:val="0"/>
          <w:kern w:val="21"/>
          <w:sz w:val="32"/>
          <w:szCs w:val="32"/>
          <w:highlight w:val="none"/>
          <w:u w:val="single"/>
          <w:lang w:val="en-US" w:eastAsia="zh-CN"/>
        </w:rPr>
        <w:fldChar w:fldCharType="end"/>
      </w:r>
    </w:p>
    <w:p w14:paraId="68BC379C">
      <w:pPr>
        <w:pStyle w:val="15"/>
        <w:tabs>
          <w:tab w:val="right" w:leader="dot" w:pos="9739"/>
        </w:tabs>
        <w:rPr>
          <w:rFonts w:hint="eastAsia" w:ascii="黑体" w:hAnsi="黑体" w:eastAsia="黑体" w:cs="黑体"/>
          <w:b/>
          <w:bCs/>
          <w:sz w:val="32"/>
          <w:szCs w:val="32"/>
        </w:rPr>
      </w:pPr>
      <w:r>
        <w:rPr>
          <w:rFonts w:hint="eastAsia" w:ascii="黑体" w:hAnsi="黑体" w:eastAsia="黑体" w:cs="黑体"/>
          <w:b/>
          <w:bCs/>
          <w:color w:val="auto"/>
          <w:spacing w:val="0"/>
          <w:kern w:val="21"/>
          <w:sz w:val="32"/>
          <w:szCs w:val="32"/>
          <w:highlight w:val="none"/>
          <w:u w:val="single"/>
          <w:lang w:val="en-US" w:eastAsia="zh-CN"/>
        </w:rPr>
        <w:fldChar w:fldCharType="begin"/>
      </w:r>
      <w:r>
        <w:rPr>
          <w:rFonts w:hint="eastAsia" w:ascii="黑体" w:hAnsi="黑体" w:eastAsia="黑体" w:cs="黑体"/>
          <w:b/>
          <w:bCs/>
          <w:spacing w:val="0"/>
          <w:kern w:val="21"/>
          <w:sz w:val="32"/>
          <w:szCs w:val="32"/>
          <w:highlight w:val="none"/>
          <w:lang w:val="en-US" w:eastAsia="zh-CN"/>
        </w:rPr>
        <w:instrText xml:space="preserve"> HYPERLINK \l _Toc24312 </w:instrText>
      </w:r>
      <w:r>
        <w:rPr>
          <w:rFonts w:hint="eastAsia" w:ascii="黑体" w:hAnsi="黑体" w:eastAsia="黑体" w:cs="黑体"/>
          <w:b/>
          <w:bCs/>
          <w:spacing w:val="0"/>
          <w:kern w:val="21"/>
          <w:sz w:val="32"/>
          <w:szCs w:val="32"/>
          <w:highlight w:val="none"/>
          <w:lang w:val="en-US" w:eastAsia="zh-CN"/>
        </w:rPr>
        <w:fldChar w:fldCharType="separate"/>
      </w:r>
      <w:r>
        <w:rPr>
          <w:rFonts w:hint="eastAsia" w:ascii="黑体" w:hAnsi="黑体" w:eastAsia="黑体" w:cs="黑体"/>
          <w:b/>
          <w:bCs/>
          <w:sz w:val="32"/>
          <w:szCs w:val="32"/>
          <w:highlight w:val="none"/>
          <w:lang w:val="en-US" w:eastAsia="zh-CN"/>
        </w:rPr>
        <w:t>3、项目概况与分析</w:t>
      </w:r>
      <w:r>
        <w:rPr>
          <w:rFonts w:hint="eastAsia" w:ascii="黑体" w:hAnsi="黑体" w:eastAsia="黑体" w:cs="黑体"/>
          <w:b/>
          <w:bCs/>
          <w:sz w:val="32"/>
          <w:szCs w:val="32"/>
        </w:rPr>
        <w:tab/>
      </w:r>
      <w:r>
        <w:rPr>
          <w:rFonts w:hint="eastAsia" w:ascii="黑体" w:hAnsi="黑体" w:eastAsia="黑体" w:cs="黑体"/>
          <w:b/>
          <w:bCs/>
          <w:sz w:val="32"/>
          <w:szCs w:val="32"/>
        </w:rPr>
        <w:fldChar w:fldCharType="begin"/>
      </w:r>
      <w:r>
        <w:rPr>
          <w:rFonts w:hint="eastAsia" w:ascii="黑体" w:hAnsi="黑体" w:eastAsia="黑体" w:cs="黑体"/>
          <w:b/>
          <w:bCs/>
          <w:sz w:val="32"/>
          <w:szCs w:val="32"/>
        </w:rPr>
        <w:instrText xml:space="preserve"> PAGEREF _Toc24312 \h </w:instrText>
      </w:r>
      <w:r>
        <w:rPr>
          <w:rFonts w:hint="eastAsia" w:ascii="黑体" w:hAnsi="黑体" w:eastAsia="黑体" w:cs="黑体"/>
          <w:b/>
          <w:bCs/>
          <w:sz w:val="32"/>
          <w:szCs w:val="32"/>
        </w:rPr>
        <w:fldChar w:fldCharType="separate"/>
      </w:r>
      <w:r>
        <w:rPr>
          <w:rFonts w:hint="eastAsia" w:ascii="黑体" w:hAnsi="黑体" w:eastAsia="黑体" w:cs="黑体"/>
          <w:b/>
          <w:bCs/>
          <w:sz w:val="32"/>
          <w:szCs w:val="32"/>
        </w:rPr>
        <w:t>7</w:t>
      </w:r>
      <w:r>
        <w:rPr>
          <w:rFonts w:hint="eastAsia" w:ascii="黑体" w:hAnsi="黑体" w:eastAsia="黑体" w:cs="黑体"/>
          <w:b/>
          <w:bCs/>
          <w:sz w:val="32"/>
          <w:szCs w:val="32"/>
        </w:rPr>
        <w:fldChar w:fldCharType="end"/>
      </w:r>
      <w:r>
        <w:rPr>
          <w:rFonts w:hint="eastAsia" w:ascii="黑体" w:hAnsi="黑体" w:eastAsia="黑体" w:cs="黑体"/>
          <w:b/>
          <w:bCs/>
          <w:color w:val="auto"/>
          <w:spacing w:val="0"/>
          <w:kern w:val="21"/>
          <w:sz w:val="32"/>
          <w:szCs w:val="32"/>
          <w:highlight w:val="none"/>
          <w:u w:val="single"/>
          <w:lang w:val="en-US" w:eastAsia="zh-CN"/>
        </w:rPr>
        <w:fldChar w:fldCharType="end"/>
      </w:r>
    </w:p>
    <w:p w14:paraId="6075027F">
      <w:pPr>
        <w:pStyle w:val="15"/>
        <w:tabs>
          <w:tab w:val="right" w:leader="dot" w:pos="9739"/>
        </w:tabs>
        <w:rPr>
          <w:rFonts w:hint="eastAsia" w:ascii="黑体" w:hAnsi="黑体" w:eastAsia="黑体" w:cs="黑体"/>
          <w:b/>
          <w:bCs/>
          <w:sz w:val="32"/>
          <w:szCs w:val="32"/>
        </w:rPr>
      </w:pPr>
      <w:r>
        <w:rPr>
          <w:rFonts w:hint="eastAsia" w:ascii="黑体" w:hAnsi="黑体" w:eastAsia="黑体" w:cs="黑体"/>
          <w:b/>
          <w:bCs/>
          <w:color w:val="auto"/>
          <w:spacing w:val="0"/>
          <w:kern w:val="21"/>
          <w:sz w:val="32"/>
          <w:szCs w:val="32"/>
          <w:highlight w:val="none"/>
          <w:u w:val="single"/>
          <w:lang w:val="en-US" w:eastAsia="zh-CN"/>
        </w:rPr>
        <w:fldChar w:fldCharType="begin"/>
      </w:r>
      <w:r>
        <w:rPr>
          <w:rFonts w:hint="eastAsia" w:ascii="黑体" w:hAnsi="黑体" w:eastAsia="黑体" w:cs="黑体"/>
          <w:b/>
          <w:bCs/>
          <w:spacing w:val="0"/>
          <w:kern w:val="21"/>
          <w:sz w:val="32"/>
          <w:szCs w:val="32"/>
          <w:highlight w:val="none"/>
          <w:lang w:val="en-US" w:eastAsia="zh-CN"/>
        </w:rPr>
        <w:instrText xml:space="preserve"> HYPERLINK \l _Toc13741 </w:instrText>
      </w:r>
      <w:r>
        <w:rPr>
          <w:rFonts w:hint="eastAsia" w:ascii="黑体" w:hAnsi="黑体" w:eastAsia="黑体" w:cs="黑体"/>
          <w:b/>
          <w:bCs/>
          <w:spacing w:val="0"/>
          <w:kern w:val="21"/>
          <w:sz w:val="32"/>
          <w:szCs w:val="32"/>
          <w:highlight w:val="none"/>
          <w:lang w:val="en-US" w:eastAsia="zh-CN"/>
        </w:rPr>
        <w:fldChar w:fldCharType="separate"/>
      </w:r>
      <w:r>
        <w:rPr>
          <w:rFonts w:hint="eastAsia" w:ascii="黑体" w:hAnsi="黑体" w:eastAsia="黑体" w:cs="黑体"/>
          <w:b/>
          <w:bCs/>
          <w:sz w:val="32"/>
          <w:szCs w:val="32"/>
          <w:highlight w:val="none"/>
          <w:lang w:val="en-US" w:eastAsia="zh-CN"/>
        </w:rPr>
        <w:t>4、电磁环境现状监测与评价</w:t>
      </w:r>
      <w:r>
        <w:rPr>
          <w:rFonts w:hint="eastAsia" w:ascii="黑体" w:hAnsi="黑体" w:eastAsia="黑体" w:cs="黑体"/>
          <w:b/>
          <w:bCs/>
          <w:sz w:val="32"/>
          <w:szCs w:val="32"/>
        </w:rPr>
        <w:tab/>
      </w:r>
      <w:r>
        <w:rPr>
          <w:rFonts w:hint="eastAsia" w:ascii="黑体" w:hAnsi="黑体" w:eastAsia="黑体" w:cs="黑体"/>
          <w:b/>
          <w:bCs/>
          <w:sz w:val="32"/>
          <w:szCs w:val="32"/>
        </w:rPr>
        <w:fldChar w:fldCharType="begin"/>
      </w:r>
      <w:r>
        <w:rPr>
          <w:rFonts w:hint="eastAsia" w:ascii="黑体" w:hAnsi="黑体" w:eastAsia="黑体" w:cs="黑体"/>
          <w:b/>
          <w:bCs/>
          <w:sz w:val="32"/>
          <w:szCs w:val="32"/>
        </w:rPr>
        <w:instrText xml:space="preserve"> PAGEREF _Toc13741 \h </w:instrText>
      </w:r>
      <w:r>
        <w:rPr>
          <w:rFonts w:hint="eastAsia" w:ascii="黑体" w:hAnsi="黑体" w:eastAsia="黑体" w:cs="黑体"/>
          <w:b/>
          <w:bCs/>
          <w:sz w:val="32"/>
          <w:szCs w:val="32"/>
        </w:rPr>
        <w:fldChar w:fldCharType="separate"/>
      </w:r>
      <w:r>
        <w:rPr>
          <w:rFonts w:hint="eastAsia" w:ascii="黑体" w:hAnsi="黑体" w:eastAsia="黑体" w:cs="黑体"/>
          <w:b/>
          <w:bCs/>
          <w:sz w:val="32"/>
          <w:szCs w:val="32"/>
        </w:rPr>
        <w:t>11</w:t>
      </w:r>
      <w:r>
        <w:rPr>
          <w:rFonts w:hint="eastAsia" w:ascii="黑体" w:hAnsi="黑体" w:eastAsia="黑体" w:cs="黑体"/>
          <w:b/>
          <w:bCs/>
          <w:sz w:val="32"/>
          <w:szCs w:val="32"/>
        </w:rPr>
        <w:fldChar w:fldCharType="end"/>
      </w:r>
      <w:r>
        <w:rPr>
          <w:rFonts w:hint="eastAsia" w:ascii="黑体" w:hAnsi="黑体" w:eastAsia="黑体" w:cs="黑体"/>
          <w:b/>
          <w:bCs/>
          <w:color w:val="auto"/>
          <w:spacing w:val="0"/>
          <w:kern w:val="21"/>
          <w:sz w:val="32"/>
          <w:szCs w:val="32"/>
          <w:highlight w:val="none"/>
          <w:u w:val="single"/>
          <w:lang w:val="en-US" w:eastAsia="zh-CN"/>
        </w:rPr>
        <w:fldChar w:fldCharType="end"/>
      </w:r>
    </w:p>
    <w:p w14:paraId="34BB4ADF">
      <w:pPr>
        <w:pStyle w:val="15"/>
        <w:tabs>
          <w:tab w:val="right" w:leader="dot" w:pos="9739"/>
        </w:tabs>
        <w:rPr>
          <w:rFonts w:hint="eastAsia" w:ascii="黑体" w:hAnsi="黑体" w:eastAsia="黑体" w:cs="黑体"/>
          <w:b/>
          <w:bCs/>
          <w:sz w:val="32"/>
          <w:szCs w:val="32"/>
        </w:rPr>
      </w:pPr>
      <w:r>
        <w:rPr>
          <w:rFonts w:hint="eastAsia" w:ascii="黑体" w:hAnsi="黑体" w:eastAsia="黑体" w:cs="黑体"/>
          <w:b/>
          <w:bCs/>
          <w:color w:val="auto"/>
          <w:spacing w:val="0"/>
          <w:kern w:val="21"/>
          <w:sz w:val="32"/>
          <w:szCs w:val="32"/>
          <w:highlight w:val="none"/>
          <w:u w:val="single"/>
          <w:lang w:val="en-US" w:eastAsia="zh-CN"/>
        </w:rPr>
        <w:fldChar w:fldCharType="begin"/>
      </w:r>
      <w:r>
        <w:rPr>
          <w:rFonts w:hint="eastAsia" w:ascii="黑体" w:hAnsi="黑体" w:eastAsia="黑体" w:cs="黑体"/>
          <w:b/>
          <w:bCs/>
          <w:spacing w:val="0"/>
          <w:kern w:val="21"/>
          <w:sz w:val="32"/>
          <w:szCs w:val="32"/>
          <w:highlight w:val="none"/>
          <w:lang w:val="en-US" w:eastAsia="zh-CN"/>
        </w:rPr>
        <w:instrText xml:space="preserve"> HYPERLINK \l _Toc9310 </w:instrText>
      </w:r>
      <w:r>
        <w:rPr>
          <w:rFonts w:hint="eastAsia" w:ascii="黑体" w:hAnsi="黑体" w:eastAsia="黑体" w:cs="黑体"/>
          <w:b/>
          <w:bCs/>
          <w:spacing w:val="0"/>
          <w:kern w:val="21"/>
          <w:sz w:val="32"/>
          <w:szCs w:val="32"/>
          <w:highlight w:val="none"/>
          <w:lang w:val="en-US" w:eastAsia="zh-CN"/>
        </w:rPr>
        <w:fldChar w:fldCharType="separate"/>
      </w:r>
      <w:r>
        <w:rPr>
          <w:rFonts w:hint="eastAsia" w:ascii="黑体" w:hAnsi="黑体" w:eastAsia="黑体" w:cs="黑体"/>
          <w:b/>
          <w:bCs/>
          <w:sz w:val="32"/>
          <w:szCs w:val="32"/>
          <w:highlight w:val="none"/>
          <w:lang w:val="en-US" w:eastAsia="zh-CN"/>
        </w:rPr>
        <w:t>5、电磁环境预测与评价</w:t>
      </w:r>
      <w:r>
        <w:rPr>
          <w:rFonts w:hint="eastAsia" w:ascii="黑体" w:hAnsi="黑体" w:eastAsia="黑体" w:cs="黑体"/>
          <w:b/>
          <w:bCs/>
          <w:sz w:val="32"/>
          <w:szCs w:val="32"/>
        </w:rPr>
        <w:tab/>
      </w:r>
      <w:r>
        <w:rPr>
          <w:rFonts w:hint="eastAsia" w:ascii="黑体" w:hAnsi="黑体" w:eastAsia="黑体" w:cs="黑体"/>
          <w:b/>
          <w:bCs/>
          <w:sz w:val="32"/>
          <w:szCs w:val="32"/>
        </w:rPr>
        <w:fldChar w:fldCharType="begin"/>
      </w:r>
      <w:r>
        <w:rPr>
          <w:rFonts w:hint="eastAsia" w:ascii="黑体" w:hAnsi="黑体" w:eastAsia="黑体" w:cs="黑体"/>
          <w:b/>
          <w:bCs/>
          <w:sz w:val="32"/>
          <w:szCs w:val="32"/>
        </w:rPr>
        <w:instrText xml:space="preserve"> PAGEREF _Toc9310 \h </w:instrText>
      </w:r>
      <w:r>
        <w:rPr>
          <w:rFonts w:hint="eastAsia" w:ascii="黑体" w:hAnsi="黑体" w:eastAsia="黑体" w:cs="黑体"/>
          <w:b/>
          <w:bCs/>
          <w:sz w:val="32"/>
          <w:szCs w:val="32"/>
        </w:rPr>
        <w:fldChar w:fldCharType="separate"/>
      </w:r>
      <w:r>
        <w:rPr>
          <w:rFonts w:hint="eastAsia" w:ascii="黑体" w:hAnsi="黑体" w:eastAsia="黑体" w:cs="黑体"/>
          <w:b/>
          <w:bCs/>
          <w:sz w:val="32"/>
          <w:szCs w:val="32"/>
        </w:rPr>
        <w:t>14</w:t>
      </w:r>
      <w:r>
        <w:rPr>
          <w:rFonts w:hint="eastAsia" w:ascii="黑体" w:hAnsi="黑体" w:eastAsia="黑体" w:cs="黑体"/>
          <w:b/>
          <w:bCs/>
          <w:sz w:val="32"/>
          <w:szCs w:val="32"/>
        </w:rPr>
        <w:fldChar w:fldCharType="end"/>
      </w:r>
      <w:r>
        <w:rPr>
          <w:rFonts w:hint="eastAsia" w:ascii="黑体" w:hAnsi="黑体" w:eastAsia="黑体" w:cs="黑体"/>
          <w:b/>
          <w:bCs/>
          <w:color w:val="auto"/>
          <w:spacing w:val="0"/>
          <w:kern w:val="21"/>
          <w:sz w:val="32"/>
          <w:szCs w:val="32"/>
          <w:highlight w:val="none"/>
          <w:u w:val="single"/>
          <w:lang w:val="en-US" w:eastAsia="zh-CN"/>
        </w:rPr>
        <w:fldChar w:fldCharType="end"/>
      </w:r>
    </w:p>
    <w:p w14:paraId="6BBBCB6A">
      <w:pPr>
        <w:pStyle w:val="15"/>
        <w:tabs>
          <w:tab w:val="right" w:leader="dot" w:pos="9739"/>
        </w:tabs>
        <w:rPr>
          <w:rFonts w:hint="eastAsia" w:ascii="黑体" w:hAnsi="黑体" w:eastAsia="黑体" w:cs="黑体"/>
          <w:b/>
          <w:bCs/>
          <w:sz w:val="32"/>
          <w:szCs w:val="32"/>
        </w:rPr>
      </w:pPr>
      <w:r>
        <w:rPr>
          <w:rFonts w:hint="eastAsia" w:ascii="黑体" w:hAnsi="黑体" w:eastAsia="黑体" w:cs="黑体"/>
          <w:b/>
          <w:bCs/>
          <w:color w:val="auto"/>
          <w:spacing w:val="0"/>
          <w:kern w:val="21"/>
          <w:sz w:val="32"/>
          <w:szCs w:val="32"/>
          <w:highlight w:val="none"/>
          <w:u w:val="single"/>
          <w:lang w:val="en-US" w:eastAsia="zh-CN"/>
        </w:rPr>
        <w:fldChar w:fldCharType="begin"/>
      </w:r>
      <w:r>
        <w:rPr>
          <w:rFonts w:hint="eastAsia" w:ascii="黑体" w:hAnsi="黑体" w:eastAsia="黑体" w:cs="黑体"/>
          <w:b/>
          <w:bCs/>
          <w:spacing w:val="0"/>
          <w:kern w:val="21"/>
          <w:sz w:val="32"/>
          <w:szCs w:val="32"/>
          <w:highlight w:val="none"/>
          <w:lang w:val="en-US" w:eastAsia="zh-CN"/>
        </w:rPr>
        <w:instrText xml:space="preserve"> HYPERLINK \l _Toc9136 </w:instrText>
      </w:r>
      <w:r>
        <w:rPr>
          <w:rFonts w:hint="eastAsia" w:ascii="黑体" w:hAnsi="黑体" w:eastAsia="黑体" w:cs="黑体"/>
          <w:b/>
          <w:bCs/>
          <w:spacing w:val="0"/>
          <w:kern w:val="21"/>
          <w:sz w:val="32"/>
          <w:szCs w:val="32"/>
          <w:highlight w:val="none"/>
          <w:lang w:val="en-US" w:eastAsia="zh-CN"/>
        </w:rPr>
        <w:fldChar w:fldCharType="separate"/>
      </w:r>
      <w:r>
        <w:rPr>
          <w:rFonts w:hint="eastAsia" w:ascii="黑体" w:hAnsi="黑体" w:eastAsia="黑体" w:cs="黑体"/>
          <w:b/>
          <w:bCs/>
          <w:sz w:val="32"/>
          <w:szCs w:val="32"/>
          <w:highlight w:val="none"/>
          <w:lang w:val="en-US" w:eastAsia="zh-CN"/>
        </w:rPr>
        <w:t>6、电磁环境保护措施</w:t>
      </w:r>
      <w:r>
        <w:rPr>
          <w:rFonts w:hint="eastAsia" w:ascii="黑体" w:hAnsi="黑体" w:eastAsia="黑体" w:cs="黑体"/>
          <w:b/>
          <w:bCs/>
          <w:sz w:val="32"/>
          <w:szCs w:val="32"/>
        </w:rPr>
        <w:tab/>
      </w:r>
      <w:r>
        <w:rPr>
          <w:rFonts w:hint="eastAsia" w:ascii="黑体" w:hAnsi="黑体" w:eastAsia="黑体" w:cs="黑体"/>
          <w:b/>
          <w:bCs/>
          <w:sz w:val="32"/>
          <w:szCs w:val="32"/>
        </w:rPr>
        <w:fldChar w:fldCharType="begin"/>
      </w:r>
      <w:r>
        <w:rPr>
          <w:rFonts w:hint="eastAsia" w:ascii="黑体" w:hAnsi="黑体" w:eastAsia="黑体" w:cs="黑体"/>
          <w:b/>
          <w:bCs/>
          <w:sz w:val="32"/>
          <w:szCs w:val="32"/>
        </w:rPr>
        <w:instrText xml:space="preserve"> PAGEREF _Toc9136 \h </w:instrText>
      </w:r>
      <w:r>
        <w:rPr>
          <w:rFonts w:hint="eastAsia" w:ascii="黑体" w:hAnsi="黑体" w:eastAsia="黑体" w:cs="黑体"/>
          <w:b/>
          <w:bCs/>
          <w:sz w:val="32"/>
          <w:szCs w:val="32"/>
        </w:rPr>
        <w:fldChar w:fldCharType="separate"/>
      </w:r>
      <w:r>
        <w:rPr>
          <w:rFonts w:hint="eastAsia" w:ascii="黑体" w:hAnsi="黑体" w:eastAsia="黑体" w:cs="黑体"/>
          <w:b/>
          <w:bCs/>
          <w:sz w:val="32"/>
          <w:szCs w:val="32"/>
        </w:rPr>
        <w:t>27</w:t>
      </w:r>
      <w:r>
        <w:rPr>
          <w:rFonts w:hint="eastAsia" w:ascii="黑体" w:hAnsi="黑体" w:eastAsia="黑体" w:cs="黑体"/>
          <w:b/>
          <w:bCs/>
          <w:sz w:val="32"/>
          <w:szCs w:val="32"/>
        </w:rPr>
        <w:fldChar w:fldCharType="end"/>
      </w:r>
      <w:r>
        <w:rPr>
          <w:rFonts w:hint="eastAsia" w:ascii="黑体" w:hAnsi="黑体" w:eastAsia="黑体" w:cs="黑体"/>
          <w:b/>
          <w:bCs/>
          <w:color w:val="auto"/>
          <w:spacing w:val="0"/>
          <w:kern w:val="21"/>
          <w:sz w:val="32"/>
          <w:szCs w:val="32"/>
          <w:highlight w:val="none"/>
          <w:u w:val="single"/>
          <w:lang w:val="en-US" w:eastAsia="zh-CN"/>
        </w:rPr>
        <w:fldChar w:fldCharType="end"/>
      </w:r>
    </w:p>
    <w:p w14:paraId="5C2CD73A">
      <w:pPr>
        <w:pStyle w:val="15"/>
        <w:tabs>
          <w:tab w:val="right" w:leader="dot" w:pos="9739"/>
        </w:tabs>
        <w:rPr>
          <w:rFonts w:hint="eastAsia" w:ascii="黑体" w:hAnsi="黑体" w:eastAsia="黑体" w:cs="黑体"/>
          <w:b/>
          <w:bCs/>
          <w:sz w:val="32"/>
          <w:szCs w:val="32"/>
        </w:rPr>
      </w:pPr>
      <w:r>
        <w:rPr>
          <w:rFonts w:hint="eastAsia" w:ascii="黑体" w:hAnsi="黑体" w:eastAsia="黑体" w:cs="黑体"/>
          <w:b/>
          <w:bCs/>
          <w:color w:val="auto"/>
          <w:spacing w:val="0"/>
          <w:kern w:val="21"/>
          <w:sz w:val="32"/>
          <w:szCs w:val="32"/>
          <w:highlight w:val="none"/>
          <w:u w:val="single"/>
          <w:lang w:val="en-US" w:eastAsia="zh-CN"/>
        </w:rPr>
        <w:fldChar w:fldCharType="begin"/>
      </w:r>
      <w:r>
        <w:rPr>
          <w:rFonts w:hint="eastAsia" w:ascii="黑体" w:hAnsi="黑体" w:eastAsia="黑体" w:cs="黑体"/>
          <w:b/>
          <w:bCs/>
          <w:spacing w:val="0"/>
          <w:kern w:val="21"/>
          <w:sz w:val="32"/>
          <w:szCs w:val="32"/>
          <w:highlight w:val="none"/>
          <w:lang w:val="en-US" w:eastAsia="zh-CN"/>
        </w:rPr>
        <w:instrText xml:space="preserve"> HYPERLINK \l _Toc4640 </w:instrText>
      </w:r>
      <w:r>
        <w:rPr>
          <w:rFonts w:hint="eastAsia" w:ascii="黑体" w:hAnsi="黑体" w:eastAsia="黑体" w:cs="黑体"/>
          <w:b/>
          <w:bCs/>
          <w:spacing w:val="0"/>
          <w:kern w:val="21"/>
          <w:sz w:val="32"/>
          <w:szCs w:val="32"/>
          <w:highlight w:val="none"/>
          <w:lang w:val="en-US" w:eastAsia="zh-CN"/>
        </w:rPr>
        <w:fldChar w:fldCharType="separate"/>
      </w:r>
      <w:r>
        <w:rPr>
          <w:rFonts w:hint="eastAsia" w:ascii="黑体" w:hAnsi="黑体" w:eastAsia="黑体" w:cs="黑体"/>
          <w:b/>
          <w:bCs/>
          <w:kern w:val="0"/>
          <w:sz w:val="32"/>
          <w:szCs w:val="32"/>
          <w:highlight w:val="none"/>
          <w:lang w:val="en-US" w:eastAsia="zh-CN" w:bidi="ar-SA"/>
        </w:rPr>
        <w:t>7、电磁环境管理与监测计划</w:t>
      </w:r>
      <w:r>
        <w:rPr>
          <w:rFonts w:hint="eastAsia" w:ascii="黑体" w:hAnsi="黑体" w:eastAsia="黑体" w:cs="黑体"/>
          <w:b/>
          <w:bCs/>
          <w:sz w:val="32"/>
          <w:szCs w:val="32"/>
        </w:rPr>
        <w:tab/>
      </w:r>
      <w:r>
        <w:rPr>
          <w:rFonts w:hint="eastAsia" w:ascii="黑体" w:hAnsi="黑体" w:eastAsia="黑体" w:cs="黑体"/>
          <w:b/>
          <w:bCs/>
          <w:sz w:val="32"/>
          <w:szCs w:val="32"/>
        </w:rPr>
        <w:fldChar w:fldCharType="begin"/>
      </w:r>
      <w:r>
        <w:rPr>
          <w:rFonts w:hint="eastAsia" w:ascii="黑体" w:hAnsi="黑体" w:eastAsia="黑体" w:cs="黑体"/>
          <w:b/>
          <w:bCs/>
          <w:sz w:val="32"/>
          <w:szCs w:val="32"/>
        </w:rPr>
        <w:instrText xml:space="preserve"> PAGEREF _Toc4640 \h </w:instrText>
      </w:r>
      <w:r>
        <w:rPr>
          <w:rFonts w:hint="eastAsia" w:ascii="黑体" w:hAnsi="黑体" w:eastAsia="黑体" w:cs="黑体"/>
          <w:b/>
          <w:bCs/>
          <w:sz w:val="32"/>
          <w:szCs w:val="32"/>
        </w:rPr>
        <w:fldChar w:fldCharType="separate"/>
      </w:r>
      <w:r>
        <w:rPr>
          <w:rFonts w:hint="eastAsia" w:ascii="黑体" w:hAnsi="黑体" w:eastAsia="黑体" w:cs="黑体"/>
          <w:b/>
          <w:bCs/>
          <w:sz w:val="32"/>
          <w:szCs w:val="32"/>
        </w:rPr>
        <w:t>28</w:t>
      </w:r>
      <w:r>
        <w:rPr>
          <w:rFonts w:hint="eastAsia" w:ascii="黑体" w:hAnsi="黑体" w:eastAsia="黑体" w:cs="黑体"/>
          <w:b/>
          <w:bCs/>
          <w:sz w:val="32"/>
          <w:szCs w:val="32"/>
        </w:rPr>
        <w:fldChar w:fldCharType="end"/>
      </w:r>
      <w:r>
        <w:rPr>
          <w:rFonts w:hint="eastAsia" w:ascii="黑体" w:hAnsi="黑体" w:eastAsia="黑体" w:cs="黑体"/>
          <w:b/>
          <w:bCs/>
          <w:color w:val="auto"/>
          <w:spacing w:val="0"/>
          <w:kern w:val="21"/>
          <w:sz w:val="32"/>
          <w:szCs w:val="32"/>
          <w:highlight w:val="none"/>
          <w:u w:val="single"/>
          <w:lang w:val="en-US" w:eastAsia="zh-CN"/>
        </w:rPr>
        <w:fldChar w:fldCharType="end"/>
      </w:r>
    </w:p>
    <w:p w14:paraId="4E50FEC1">
      <w:pPr>
        <w:spacing w:line="360" w:lineRule="auto"/>
        <w:rPr>
          <w:rFonts w:hint="eastAsia" w:ascii="Times New Roman" w:hAnsi="Times New Roman" w:eastAsia="宋体" w:cs="Times New Roman"/>
          <w:bCs/>
          <w:kern w:val="2"/>
          <w:sz w:val="21"/>
          <w:szCs w:val="24"/>
          <w:highlight w:val="none"/>
          <w:lang w:val="en-US" w:eastAsia="zh-CN" w:bidi="ar-SA"/>
        </w:rPr>
      </w:pPr>
      <w:r>
        <w:rPr>
          <w:rFonts w:hint="eastAsia" w:ascii="黑体" w:hAnsi="黑体" w:eastAsia="黑体" w:cs="黑体"/>
          <w:b/>
          <w:bCs/>
          <w:color w:val="auto"/>
          <w:spacing w:val="0"/>
          <w:kern w:val="21"/>
          <w:sz w:val="32"/>
          <w:szCs w:val="32"/>
          <w:highlight w:val="none"/>
          <w:u w:val="single"/>
          <w:lang w:val="en-US" w:eastAsia="zh-CN"/>
        </w:rPr>
        <w:fldChar w:fldCharType="end"/>
      </w:r>
    </w:p>
    <w:p w14:paraId="5F9CAD02">
      <w:pPr>
        <w:spacing w:line="360" w:lineRule="auto"/>
        <w:rPr>
          <w:rFonts w:hint="default" w:ascii="Times New Roman" w:hAnsi="Times New Roman" w:eastAsia="仿宋_GB2312" w:cs="Times New Roman"/>
          <w:b/>
          <w:color w:val="auto"/>
          <w:spacing w:val="0"/>
          <w:kern w:val="21"/>
          <w:sz w:val="24"/>
          <w:szCs w:val="24"/>
          <w:highlight w:val="none"/>
          <w:u w:val="single"/>
          <w:lang w:val="en-US" w:eastAsia="zh-CN" w:bidi="ar-SA"/>
        </w:rPr>
        <w:sectPr>
          <w:footerReference r:id="rId7" w:type="default"/>
          <w:pgSz w:w="11905" w:h="16838"/>
          <w:pgMar w:top="1440" w:right="1083" w:bottom="1440" w:left="1083" w:header="850" w:footer="992" w:gutter="0"/>
          <w:pgBorders>
            <w:top w:val="none" w:sz="0" w:space="0"/>
            <w:left w:val="none" w:sz="0" w:space="0"/>
            <w:bottom w:val="none" w:sz="0" w:space="0"/>
            <w:right w:val="none" w:sz="0" w:space="0"/>
          </w:pgBorders>
          <w:pgNumType w:fmt="decimal"/>
          <w:cols w:space="0" w:num="1"/>
          <w:rtlGutter w:val="0"/>
          <w:docGrid w:type="lines" w:linePitch="317" w:charSpace="0"/>
        </w:sectPr>
      </w:pPr>
    </w:p>
    <w:p w14:paraId="6BB2CA6D">
      <w:pPr>
        <w:pStyle w:val="9"/>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Chars="0" w:right="0" w:rightChars="0" w:firstLine="480" w:firstLineChars="200"/>
        <w:textAlignment w:val="auto"/>
        <w:outlineLvl w:val="0"/>
        <w:rPr>
          <w:rFonts w:hint="eastAsia" w:ascii="Times New Roman" w:hAnsi="Times New Roman"/>
          <w:b/>
          <w:bCs/>
          <w:color w:val="auto"/>
          <w:sz w:val="24"/>
          <w:szCs w:val="24"/>
          <w:highlight w:val="none"/>
          <w:lang w:val="en-US" w:eastAsia="zh-CN"/>
        </w:rPr>
      </w:pPr>
      <w:bookmarkStart w:id="66" w:name="_Toc29286"/>
      <w:bookmarkStart w:id="67" w:name="_Toc7661"/>
      <w:bookmarkStart w:id="68" w:name="_Toc6743"/>
      <w:r>
        <w:rPr>
          <w:rFonts w:hint="eastAsia" w:ascii="Times New Roman" w:hAnsi="Times New Roman"/>
          <w:b/>
          <w:bCs/>
          <w:color w:val="auto"/>
          <w:sz w:val="24"/>
          <w:szCs w:val="24"/>
          <w:highlight w:val="none"/>
          <w:lang w:val="en-US" w:eastAsia="zh-CN"/>
        </w:rPr>
        <w:t>前言</w:t>
      </w:r>
      <w:bookmarkEnd w:id="66"/>
      <w:bookmarkEnd w:id="67"/>
      <w:bookmarkEnd w:id="68"/>
    </w:p>
    <w:p w14:paraId="52526D96">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outlineLvl w:val="1"/>
        <w:rPr>
          <w:rFonts w:hint="eastAsia" w:ascii="Times New Roman" w:hAnsi="Times New Roman"/>
          <w:b/>
          <w:bCs/>
          <w:color w:val="auto"/>
          <w:sz w:val="24"/>
          <w:szCs w:val="24"/>
          <w:highlight w:val="none"/>
          <w:lang w:val="en-US" w:eastAsia="zh-CN"/>
        </w:rPr>
      </w:pPr>
      <w:bookmarkStart w:id="69" w:name="_Toc16029"/>
      <w:bookmarkStart w:id="70" w:name="_Toc21767"/>
      <w:r>
        <w:rPr>
          <w:rFonts w:hint="eastAsia" w:ascii="Times New Roman" w:hAnsi="Times New Roman"/>
          <w:b/>
          <w:bCs/>
          <w:color w:val="auto"/>
          <w:sz w:val="24"/>
          <w:szCs w:val="24"/>
          <w:highlight w:val="none"/>
          <w:lang w:val="en-US" w:eastAsia="zh-CN"/>
        </w:rPr>
        <w:t>1.1项目由来</w:t>
      </w:r>
      <w:bookmarkEnd w:id="69"/>
      <w:bookmarkEnd w:id="70"/>
    </w:p>
    <w:p w14:paraId="46C43F7C">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72" w:firstLineChars="200"/>
        <w:textAlignment w:val="auto"/>
        <w:outlineLvl w:val="1"/>
        <w:rPr>
          <w:rFonts w:hint="default" w:ascii="Times New Roman" w:hAnsi="Times New Roman" w:eastAsia="宋体" w:cs="Times New Roman"/>
          <w:sz w:val="24"/>
          <w:szCs w:val="24"/>
        </w:rPr>
      </w:pPr>
      <w:bookmarkStart w:id="71" w:name="_Toc56"/>
      <w:r>
        <w:rPr>
          <w:rFonts w:hint="default" w:ascii="Times New Roman" w:hAnsi="Times New Roman" w:eastAsia="宋体" w:cs="Times New Roman"/>
          <w:spacing w:val="-2"/>
          <w:sz w:val="24"/>
          <w:szCs w:val="24"/>
        </w:rPr>
        <w:t>承德地区风能、太</w:t>
      </w:r>
      <w:r>
        <w:rPr>
          <w:rFonts w:hint="default" w:ascii="Times New Roman" w:hAnsi="Times New Roman" w:eastAsia="宋体" w:cs="Times New Roman"/>
          <w:spacing w:val="-2"/>
          <w:sz w:val="24"/>
          <w:szCs w:val="24"/>
          <w:highlight w:val="none"/>
        </w:rPr>
        <w:t>阳能资源丰富，适宜建设大中型风电场和</w:t>
      </w:r>
      <w:r>
        <w:rPr>
          <w:rFonts w:hint="eastAsia" w:ascii="Times New Roman" w:hAnsi="Times New Roman" w:cs="Times New Roman"/>
          <w:spacing w:val="-2"/>
          <w:sz w:val="24"/>
          <w:szCs w:val="24"/>
          <w:highlight w:val="none"/>
          <w:lang w:eastAsia="zh-CN"/>
        </w:rPr>
        <w:t>光伏</w:t>
      </w:r>
      <w:r>
        <w:rPr>
          <w:rFonts w:hint="default" w:ascii="Times New Roman" w:hAnsi="Times New Roman" w:eastAsia="宋体" w:cs="Times New Roman"/>
          <w:spacing w:val="-3"/>
          <w:sz w:val="24"/>
          <w:szCs w:val="24"/>
          <w:highlight w:val="none"/>
        </w:rPr>
        <w:t>发电场，开发利用太阳能</w:t>
      </w:r>
      <w:r>
        <w:rPr>
          <w:rFonts w:hint="default" w:ascii="Times New Roman" w:hAnsi="Times New Roman" w:eastAsia="宋体" w:cs="Times New Roman"/>
          <w:spacing w:val="-2"/>
          <w:sz w:val="24"/>
          <w:szCs w:val="24"/>
          <w:highlight w:val="none"/>
        </w:rPr>
        <w:t>资源，减少化石能源消耗。</w:t>
      </w:r>
      <w:r>
        <w:rPr>
          <w:rFonts w:hint="eastAsia" w:ascii="Times New Roman" w:hAnsi="Times New Roman" w:cs="Times New Roman"/>
          <w:spacing w:val="-2"/>
          <w:sz w:val="24"/>
          <w:szCs w:val="24"/>
          <w:highlight w:val="none"/>
          <w:lang w:eastAsia="zh-CN"/>
        </w:rPr>
        <w:t>光伏</w:t>
      </w:r>
      <w:r>
        <w:rPr>
          <w:rFonts w:hint="default" w:ascii="Times New Roman" w:hAnsi="Times New Roman" w:eastAsia="宋体" w:cs="Times New Roman"/>
          <w:spacing w:val="-2"/>
          <w:sz w:val="24"/>
          <w:szCs w:val="24"/>
          <w:highlight w:val="none"/>
        </w:rPr>
        <w:t>电站的开发</w:t>
      </w:r>
      <w:r>
        <w:rPr>
          <w:rFonts w:hint="default" w:ascii="Times New Roman" w:hAnsi="Times New Roman" w:eastAsia="宋体" w:cs="Times New Roman"/>
          <w:spacing w:val="-2"/>
          <w:sz w:val="24"/>
          <w:szCs w:val="24"/>
        </w:rPr>
        <w:t>将有力拉动当地经济的发展，减少常</w:t>
      </w:r>
      <w:r>
        <w:rPr>
          <w:rFonts w:hint="default" w:ascii="Times New Roman" w:hAnsi="Times New Roman" w:eastAsia="宋体" w:cs="Times New Roman"/>
          <w:spacing w:val="-3"/>
          <w:sz w:val="24"/>
          <w:szCs w:val="24"/>
        </w:rPr>
        <w:t>规能源消耗造</w:t>
      </w:r>
      <w:r>
        <w:rPr>
          <w:rFonts w:hint="default" w:ascii="Times New Roman" w:hAnsi="Times New Roman" w:eastAsia="宋体" w:cs="Times New Roman"/>
          <w:spacing w:val="-2"/>
          <w:sz w:val="24"/>
          <w:szCs w:val="24"/>
        </w:rPr>
        <w:t>成的环境压力。同时有助于当地产业结构的调整和经济建设，满足区域经济发展的需</w:t>
      </w:r>
      <w:r>
        <w:rPr>
          <w:rFonts w:hint="default" w:ascii="Times New Roman" w:hAnsi="Times New Roman" w:eastAsia="宋体" w:cs="Times New Roman"/>
          <w:spacing w:val="-3"/>
          <w:sz w:val="24"/>
          <w:szCs w:val="24"/>
        </w:rPr>
        <w:t>要，具有</w:t>
      </w:r>
      <w:r>
        <w:rPr>
          <w:rFonts w:hint="default" w:ascii="Times New Roman" w:hAnsi="Times New Roman" w:eastAsia="宋体" w:cs="Times New Roman"/>
          <w:spacing w:val="-1"/>
          <w:sz w:val="24"/>
          <w:szCs w:val="24"/>
        </w:rPr>
        <w:t>良好</w:t>
      </w:r>
      <w:r>
        <w:rPr>
          <w:rFonts w:hint="default" w:ascii="Times New Roman" w:hAnsi="Times New Roman" w:eastAsia="宋体" w:cs="Times New Roman"/>
          <w:spacing w:val="-1"/>
          <w:sz w:val="24"/>
          <w:szCs w:val="24"/>
          <w:highlight w:val="none"/>
        </w:rPr>
        <w:t>的社会效益和综合经济效益。为贯彻国家能源发展战略，落实对</w:t>
      </w:r>
      <w:r>
        <w:rPr>
          <w:rFonts w:hint="default" w:ascii="Times New Roman" w:hAnsi="Times New Roman" w:eastAsia="宋体" w:cs="Times New Roman"/>
          <w:spacing w:val="-2"/>
          <w:sz w:val="24"/>
          <w:szCs w:val="24"/>
          <w:highlight w:val="none"/>
        </w:rPr>
        <w:t>可再生资源的开发利用，</w:t>
      </w:r>
      <w:r>
        <w:rPr>
          <w:rFonts w:hint="default" w:ascii="Times New Roman" w:hAnsi="Times New Roman" w:eastAsia="宋体" w:cs="Times New Roman"/>
          <w:color w:val="auto"/>
          <w:spacing w:val="-1"/>
          <w:sz w:val="24"/>
          <w:szCs w:val="24"/>
          <w:highlight w:val="none"/>
        </w:rPr>
        <w:t>围场满族蒙古族自治县阳洁光伏发电有限责任公司在</w:t>
      </w:r>
      <w:r>
        <w:rPr>
          <w:rFonts w:hint="default" w:ascii="Times New Roman" w:hAnsi="Times New Roman" w:eastAsia="宋体" w:cs="Times New Roman"/>
          <w:spacing w:val="-5"/>
          <w:sz w:val="24"/>
          <w:szCs w:val="24"/>
          <w:highlight w:val="none"/>
        </w:rPr>
        <w:t>河</w:t>
      </w:r>
      <w:r>
        <w:rPr>
          <w:rFonts w:hint="default" w:ascii="Times New Roman" w:hAnsi="Times New Roman" w:eastAsia="宋体" w:cs="Times New Roman"/>
          <w:spacing w:val="-6"/>
          <w:sz w:val="24"/>
          <w:szCs w:val="24"/>
          <w:highlight w:val="none"/>
        </w:rPr>
        <w:t>北省承德市围场满族蒙古族自治县</w:t>
      </w:r>
      <w:r>
        <w:rPr>
          <w:rFonts w:hint="default" w:ascii="Times New Roman" w:hAnsi="Times New Roman" w:eastAsia="宋体" w:cs="Times New Roman"/>
          <w:sz w:val="24"/>
          <w:szCs w:val="24"/>
          <w:highlight w:val="none"/>
        </w:rPr>
        <w:t>城子</w:t>
      </w:r>
      <w:r>
        <w:rPr>
          <w:rFonts w:hint="eastAsia" w:ascii="Times New Roman" w:hAnsi="Times New Roman" w:cs="Times New Roman"/>
          <w:sz w:val="24"/>
          <w:szCs w:val="24"/>
          <w:highlight w:val="none"/>
          <w:lang w:val="en-US" w:eastAsia="zh-CN"/>
        </w:rPr>
        <w:t>镇</w:t>
      </w:r>
      <w:r>
        <w:rPr>
          <w:rFonts w:hint="default" w:ascii="Times New Roman" w:hAnsi="Times New Roman" w:eastAsia="宋体" w:cs="Times New Roman"/>
          <w:color w:val="auto"/>
          <w:spacing w:val="-1"/>
          <w:sz w:val="24"/>
          <w:szCs w:val="24"/>
          <w:highlight w:val="none"/>
        </w:rPr>
        <w:t>建</w:t>
      </w:r>
      <w:r>
        <w:rPr>
          <w:rFonts w:hint="default" w:ascii="Times New Roman" w:hAnsi="Times New Roman" w:eastAsia="宋体" w:cs="Times New Roman"/>
          <w:color w:val="auto"/>
          <w:spacing w:val="-2"/>
          <w:sz w:val="24"/>
          <w:szCs w:val="24"/>
          <w:highlight w:val="none"/>
        </w:rPr>
        <w:t>设</w:t>
      </w:r>
      <w:r>
        <w:rPr>
          <w:rFonts w:hint="default" w:ascii="Times New Roman" w:hAnsi="Times New Roman" w:eastAsia="宋体" w:cs="Times New Roman"/>
          <w:sz w:val="24"/>
          <w:szCs w:val="24"/>
          <w:highlight w:val="none"/>
        </w:rPr>
        <w:t>华能围场“风光储氢热一体化”项目（风电200MW）项目</w:t>
      </w:r>
      <w:r>
        <w:rPr>
          <w:rFonts w:hint="default" w:ascii="Times New Roman" w:hAnsi="Times New Roman" w:eastAsia="宋体" w:cs="Times New Roman"/>
          <w:color w:val="auto"/>
          <w:spacing w:val="-1"/>
          <w:sz w:val="24"/>
          <w:szCs w:val="24"/>
          <w:highlight w:val="none"/>
        </w:rPr>
        <w:t>，该项目已于2023年1月5日取得了由承德市行政审批局出具的关于华能围场“风光储氢热一体化”项目（风电200MW）项目核准变更建设内容的批复，承审批核字〔2023〕3号</w:t>
      </w:r>
      <w:r>
        <w:rPr>
          <w:rFonts w:hint="default" w:ascii="Times New Roman" w:hAnsi="Times New Roman" w:eastAsia="宋体" w:cs="Times New Roman"/>
          <w:sz w:val="24"/>
          <w:szCs w:val="24"/>
        </w:rPr>
        <w:t>。该项目已取得《</w:t>
      </w:r>
      <w:r>
        <w:rPr>
          <w:rFonts w:hint="default" w:ascii="Times New Roman" w:hAnsi="Times New Roman" w:eastAsia="宋体" w:cs="Times New Roman"/>
          <w:sz w:val="24"/>
          <w:szCs w:val="24"/>
          <w:highlight w:val="none"/>
        </w:rPr>
        <w:t>华能围场“风光储氢热一体化”项目（风电200MW）项目</w:t>
      </w:r>
      <w:r>
        <w:rPr>
          <w:rFonts w:hint="default" w:ascii="Times New Roman" w:hAnsi="Times New Roman" w:eastAsia="宋体" w:cs="Times New Roman"/>
          <w:spacing w:val="-1"/>
          <w:sz w:val="24"/>
          <w:szCs w:val="24"/>
        </w:rPr>
        <w:t>环境影响报告表》的批复</w:t>
      </w:r>
      <w:r>
        <w:rPr>
          <w:rFonts w:hint="default" w:ascii="Times New Roman" w:hAnsi="Times New Roman" w:eastAsia="宋体" w:cs="Times New Roman"/>
          <w:spacing w:val="7"/>
          <w:sz w:val="24"/>
          <w:szCs w:val="24"/>
        </w:rPr>
        <w:t>，</w:t>
      </w:r>
      <w:r>
        <w:rPr>
          <w:rFonts w:hint="default" w:ascii="Times New Roman" w:hAnsi="Times New Roman" w:eastAsia="宋体" w:cs="Times New Roman"/>
          <w:spacing w:val="-1"/>
          <w:sz w:val="24"/>
          <w:szCs w:val="24"/>
        </w:rPr>
        <w:t>为满足华能围场“风光储氢热一体化”项目（风电200MW）项目</w:t>
      </w:r>
      <w:r>
        <w:rPr>
          <w:rFonts w:hint="default" w:ascii="Times New Roman" w:hAnsi="Times New Roman" w:eastAsia="宋体" w:cs="Times New Roman"/>
          <w:sz w:val="24"/>
          <w:szCs w:val="24"/>
        </w:rPr>
        <w:t>电力送出需求同期建设220k</w:t>
      </w:r>
      <w:r>
        <w:rPr>
          <w:rFonts w:hint="default" w:ascii="Times New Roman" w:hAnsi="Times New Roman" w:eastAsia="宋体" w:cs="Times New Roman"/>
          <w:spacing w:val="-1"/>
          <w:sz w:val="24"/>
          <w:szCs w:val="24"/>
        </w:rPr>
        <w:t>V送出线路，因此华能围场“风光储氢热一体化”项目（风电200MW）项目220kV送出线路工程建设是十分必要的。</w:t>
      </w:r>
      <w:bookmarkEnd w:id="71"/>
    </w:p>
    <w:p w14:paraId="7528B32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72" w:firstLineChars="200"/>
        <w:jc w:val="both"/>
        <w:textAlignment w:val="auto"/>
        <w:rPr>
          <w:rFonts w:hint="default" w:ascii="Times New Roman" w:hAnsi="Times New Roman" w:eastAsia="Times New Roman" w:cs="宋体"/>
          <w:color w:val="auto"/>
          <w:sz w:val="24"/>
          <w:szCs w:val="24"/>
          <w:highlight w:val="none"/>
          <w:lang w:val="en-US" w:eastAsia="zh-CN"/>
        </w:rPr>
      </w:pPr>
      <w:r>
        <w:rPr>
          <w:rFonts w:hint="default" w:ascii="Times New Roman" w:hAnsi="Times New Roman" w:eastAsia="宋体" w:cs="Times New Roman"/>
          <w:spacing w:val="-2"/>
          <w:sz w:val="24"/>
          <w:szCs w:val="24"/>
        </w:rPr>
        <w:t>根据《中华人民共和国环境保护法》、《中华人民共和国环境影响</w:t>
      </w:r>
      <w:r>
        <w:rPr>
          <w:rFonts w:hint="default" w:ascii="Times New Roman" w:hAnsi="Times New Roman" w:eastAsia="宋体" w:cs="Times New Roman"/>
          <w:spacing w:val="-3"/>
          <w:sz w:val="24"/>
          <w:szCs w:val="24"/>
        </w:rPr>
        <w:t>评价法》与《建设项目</w:t>
      </w:r>
      <w:r>
        <w:rPr>
          <w:rFonts w:hint="default" w:ascii="Times New Roman" w:hAnsi="Times New Roman" w:eastAsia="宋体" w:cs="Times New Roman"/>
          <w:sz w:val="24"/>
          <w:szCs w:val="24"/>
        </w:rPr>
        <w:t>环境保护管理条例》的规定，按照《建设项目环境影响评价分类管理名录》（2021年版）的</w:t>
      </w:r>
      <w:r>
        <w:rPr>
          <w:rFonts w:hint="default" w:ascii="Times New Roman" w:hAnsi="Times New Roman" w:eastAsia="宋体" w:cs="Times New Roman"/>
          <w:spacing w:val="-2"/>
          <w:sz w:val="24"/>
          <w:szCs w:val="24"/>
        </w:rPr>
        <w:t>有关规定，本项目类别属于“五十五、核与辐射”中“161输变电工程”中“其他（100千伏以下除外）”，因此本项目“</w:t>
      </w:r>
      <w:r>
        <w:rPr>
          <w:rFonts w:hint="default" w:ascii="Times New Roman" w:hAnsi="Times New Roman" w:eastAsia="宋体" w:cs="Times New Roman"/>
          <w:sz w:val="24"/>
          <w:szCs w:val="24"/>
          <w:highlight w:val="none"/>
        </w:rPr>
        <w:t>华能围场“风光储氢热一体化”项目（风电200MW）项目</w:t>
      </w:r>
      <w:r>
        <w:rPr>
          <w:rFonts w:hint="default" w:ascii="Times New Roman" w:hAnsi="Times New Roman" w:eastAsia="宋体" w:cs="Times New Roman"/>
          <w:spacing w:val="-3"/>
          <w:sz w:val="24"/>
          <w:szCs w:val="24"/>
        </w:rPr>
        <w:t>”须编制环</w:t>
      </w:r>
      <w:r>
        <w:rPr>
          <w:rFonts w:hint="default" w:ascii="Times New Roman" w:hAnsi="Times New Roman" w:eastAsia="宋体" w:cs="Times New Roman"/>
          <w:spacing w:val="-1"/>
          <w:sz w:val="24"/>
          <w:szCs w:val="24"/>
        </w:rPr>
        <w:t>境影响报告表。为此我公司受</w:t>
      </w:r>
      <w:r>
        <w:rPr>
          <w:rFonts w:hint="eastAsia" w:ascii="Times New Roman" w:hAnsi="Times New Roman" w:cs="Times New Roman"/>
          <w:spacing w:val="-1"/>
          <w:sz w:val="24"/>
          <w:szCs w:val="24"/>
          <w:lang w:eastAsia="zh-CN"/>
        </w:rPr>
        <w:t>围场满族蒙古族自治县阳洁光伏发电有限责任公司</w:t>
      </w:r>
      <w:r>
        <w:rPr>
          <w:rFonts w:hint="default" w:ascii="Times New Roman" w:hAnsi="Times New Roman" w:eastAsia="宋体" w:cs="Times New Roman"/>
          <w:spacing w:val="-1"/>
          <w:sz w:val="24"/>
          <w:szCs w:val="24"/>
        </w:rPr>
        <w:t>的委</w:t>
      </w:r>
      <w:r>
        <w:rPr>
          <w:rFonts w:hint="default" w:ascii="Times New Roman" w:hAnsi="Times New Roman" w:eastAsia="宋体" w:cs="Times New Roman"/>
          <w:spacing w:val="-2"/>
          <w:sz w:val="24"/>
          <w:szCs w:val="24"/>
        </w:rPr>
        <w:t>托（见附件</w:t>
      </w:r>
      <w:r>
        <w:rPr>
          <w:rFonts w:hint="default" w:ascii="Times New Roman" w:hAnsi="Times New Roman" w:eastAsia="宋体" w:cs="Times New Roman"/>
          <w:spacing w:val="-17"/>
          <w:sz w:val="24"/>
          <w:szCs w:val="24"/>
        </w:rPr>
        <w:t>），</w:t>
      </w:r>
      <w:r>
        <w:rPr>
          <w:rFonts w:hint="default" w:ascii="Times New Roman" w:hAnsi="Times New Roman" w:eastAsia="宋体" w:cs="Times New Roman"/>
          <w:spacing w:val="-2"/>
          <w:sz w:val="24"/>
          <w:szCs w:val="24"/>
        </w:rPr>
        <w:t>承担本项目的环境影响评价工作，对本工程进行了实地踏勘和调查，收集了有关工程资料</w:t>
      </w:r>
      <w:r>
        <w:rPr>
          <w:rFonts w:hint="default" w:ascii="Times New Roman" w:hAnsi="Times New Roman" w:eastAsia="宋体" w:cs="Times New Roman"/>
          <w:b w:val="0"/>
          <w:bCs w:val="0"/>
          <w:color w:val="auto"/>
          <w:spacing w:val="0"/>
          <w:w w:val="100"/>
          <w:sz w:val="24"/>
          <w:szCs w:val="24"/>
          <w:highlight w:val="none"/>
          <w:lang w:val="en-US" w:eastAsia="zh-CN"/>
        </w:rPr>
        <w:t>，为了了解</w:t>
      </w:r>
      <w:r>
        <w:rPr>
          <w:rFonts w:hint="eastAsia" w:ascii="Times New Roman" w:hAnsi="Times New Roman" w:eastAsia="宋体" w:cs="Times New Roman"/>
          <w:b w:val="0"/>
          <w:bCs w:val="0"/>
          <w:color w:val="auto"/>
          <w:spacing w:val="0"/>
          <w:w w:val="100"/>
          <w:sz w:val="24"/>
          <w:szCs w:val="24"/>
          <w:highlight w:val="none"/>
          <w:lang w:val="en-US" w:eastAsia="zh-CN"/>
        </w:rPr>
        <w:t>输电线路</w:t>
      </w:r>
      <w:r>
        <w:rPr>
          <w:rFonts w:hint="default" w:ascii="Times New Roman" w:hAnsi="Times New Roman" w:eastAsia="宋体" w:cs="Times New Roman"/>
          <w:b w:val="0"/>
          <w:bCs w:val="0"/>
          <w:color w:val="auto"/>
          <w:spacing w:val="0"/>
          <w:w w:val="100"/>
          <w:sz w:val="24"/>
          <w:szCs w:val="24"/>
          <w:highlight w:val="none"/>
          <w:lang w:val="en-US" w:eastAsia="zh-CN"/>
        </w:rPr>
        <w:t>周边声环境和电磁环境质量现状，委托承德市东岭环境监测有限公司于202</w:t>
      </w:r>
      <w:r>
        <w:rPr>
          <w:rFonts w:hint="eastAsia" w:ascii="Times New Roman" w:hAnsi="Times New Roman" w:eastAsia="宋体" w:cs="Times New Roman"/>
          <w:b w:val="0"/>
          <w:bCs w:val="0"/>
          <w:color w:val="auto"/>
          <w:spacing w:val="0"/>
          <w:w w:val="100"/>
          <w:sz w:val="24"/>
          <w:szCs w:val="24"/>
          <w:highlight w:val="none"/>
          <w:lang w:val="en-US" w:eastAsia="zh-CN"/>
        </w:rPr>
        <w:t>4</w:t>
      </w:r>
      <w:r>
        <w:rPr>
          <w:rFonts w:hint="default" w:ascii="Times New Roman" w:hAnsi="Times New Roman" w:eastAsia="宋体" w:cs="Times New Roman"/>
          <w:b w:val="0"/>
          <w:bCs w:val="0"/>
          <w:color w:val="auto"/>
          <w:spacing w:val="0"/>
          <w:w w:val="100"/>
          <w:sz w:val="24"/>
          <w:szCs w:val="24"/>
          <w:highlight w:val="none"/>
          <w:lang w:val="en-US" w:eastAsia="zh-CN"/>
        </w:rPr>
        <w:t>年</w:t>
      </w:r>
      <w:r>
        <w:rPr>
          <w:rFonts w:hint="eastAsia" w:ascii="Times New Roman" w:hAnsi="Times New Roman" w:eastAsia="宋体" w:cs="Times New Roman"/>
          <w:b w:val="0"/>
          <w:bCs w:val="0"/>
          <w:color w:val="auto"/>
          <w:spacing w:val="0"/>
          <w:w w:val="100"/>
          <w:sz w:val="24"/>
          <w:szCs w:val="24"/>
          <w:highlight w:val="none"/>
          <w:lang w:val="en-US" w:eastAsia="zh-CN"/>
        </w:rPr>
        <w:t>6</w:t>
      </w:r>
      <w:r>
        <w:rPr>
          <w:rFonts w:hint="default" w:ascii="Times New Roman" w:hAnsi="Times New Roman" w:eastAsia="宋体" w:cs="Times New Roman"/>
          <w:b w:val="0"/>
          <w:bCs w:val="0"/>
          <w:color w:val="auto"/>
          <w:spacing w:val="0"/>
          <w:w w:val="100"/>
          <w:sz w:val="24"/>
          <w:szCs w:val="24"/>
          <w:highlight w:val="none"/>
          <w:lang w:val="en-US" w:eastAsia="zh-CN"/>
        </w:rPr>
        <w:t>月</w:t>
      </w:r>
      <w:r>
        <w:rPr>
          <w:rFonts w:hint="eastAsia" w:cs="Times New Roman"/>
          <w:b w:val="0"/>
          <w:bCs w:val="0"/>
          <w:color w:val="auto"/>
          <w:spacing w:val="0"/>
          <w:w w:val="100"/>
          <w:sz w:val="24"/>
          <w:szCs w:val="24"/>
          <w:highlight w:val="none"/>
          <w:lang w:val="en-US" w:eastAsia="zh-CN"/>
        </w:rPr>
        <w:t>24</w:t>
      </w:r>
      <w:r>
        <w:rPr>
          <w:rFonts w:hint="default" w:ascii="Times New Roman" w:hAnsi="Times New Roman" w:eastAsia="宋体" w:cs="Times New Roman"/>
          <w:b w:val="0"/>
          <w:bCs w:val="0"/>
          <w:color w:val="auto"/>
          <w:spacing w:val="0"/>
          <w:w w:val="100"/>
          <w:sz w:val="24"/>
          <w:szCs w:val="24"/>
          <w:highlight w:val="none"/>
          <w:lang w:val="en-US" w:eastAsia="zh-CN"/>
        </w:rPr>
        <w:t>日</w:t>
      </w:r>
      <w:r>
        <w:rPr>
          <w:rFonts w:hint="eastAsia" w:ascii="Times New Roman" w:hAnsi="Times New Roman" w:eastAsia="宋体" w:cs="Times New Roman"/>
          <w:b w:val="0"/>
          <w:bCs w:val="0"/>
          <w:color w:val="auto"/>
          <w:spacing w:val="0"/>
          <w:w w:val="100"/>
          <w:sz w:val="24"/>
          <w:szCs w:val="24"/>
          <w:highlight w:val="none"/>
          <w:lang w:val="en-US" w:eastAsia="zh-CN"/>
        </w:rPr>
        <w:t>-2</w:t>
      </w:r>
      <w:r>
        <w:rPr>
          <w:rFonts w:hint="eastAsia" w:cs="Times New Roman"/>
          <w:b w:val="0"/>
          <w:bCs w:val="0"/>
          <w:color w:val="auto"/>
          <w:spacing w:val="0"/>
          <w:w w:val="100"/>
          <w:sz w:val="24"/>
          <w:szCs w:val="24"/>
          <w:highlight w:val="none"/>
          <w:lang w:val="en-US" w:eastAsia="zh-CN"/>
        </w:rPr>
        <w:t>5</w:t>
      </w:r>
      <w:r>
        <w:rPr>
          <w:rFonts w:hint="eastAsia" w:ascii="Times New Roman" w:hAnsi="Times New Roman" w:eastAsia="宋体" w:cs="Times New Roman"/>
          <w:b w:val="0"/>
          <w:bCs w:val="0"/>
          <w:color w:val="auto"/>
          <w:spacing w:val="0"/>
          <w:w w:val="100"/>
          <w:sz w:val="24"/>
          <w:szCs w:val="24"/>
          <w:highlight w:val="none"/>
          <w:lang w:val="en-US" w:eastAsia="zh-CN"/>
        </w:rPr>
        <w:t>日</w:t>
      </w:r>
      <w:r>
        <w:rPr>
          <w:rFonts w:hint="default" w:ascii="Times New Roman" w:hAnsi="Times New Roman" w:eastAsia="宋体" w:cs="Times New Roman"/>
          <w:b w:val="0"/>
          <w:bCs w:val="0"/>
          <w:color w:val="auto"/>
          <w:spacing w:val="0"/>
          <w:w w:val="100"/>
          <w:sz w:val="24"/>
          <w:szCs w:val="24"/>
          <w:highlight w:val="none"/>
          <w:lang w:val="en-US" w:eastAsia="zh-CN"/>
        </w:rPr>
        <w:t>对</w:t>
      </w:r>
      <w:r>
        <w:rPr>
          <w:rFonts w:hint="eastAsia" w:ascii="Times New Roman" w:hAnsi="Times New Roman" w:eastAsia="宋体" w:cs="Times New Roman"/>
          <w:b w:val="0"/>
          <w:bCs w:val="0"/>
          <w:color w:val="auto"/>
          <w:spacing w:val="0"/>
          <w:w w:val="100"/>
          <w:sz w:val="24"/>
          <w:szCs w:val="24"/>
          <w:highlight w:val="none"/>
          <w:lang w:val="en-US" w:eastAsia="zh-CN"/>
        </w:rPr>
        <w:t>线路</w:t>
      </w:r>
      <w:r>
        <w:rPr>
          <w:rFonts w:hint="default" w:ascii="Times New Roman" w:hAnsi="Times New Roman" w:eastAsia="宋体" w:cs="Times New Roman"/>
          <w:b w:val="0"/>
          <w:bCs w:val="0"/>
          <w:color w:val="auto"/>
          <w:spacing w:val="0"/>
          <w:w w:val="100"/>
          <w:sz w:val="24"/>
          <w:szCs w:val="24"/>
          <w:highlight w:val="none"/>
          <w:lang w:val="en-US" w:eastAsia="zh-CN"/>
        </w:rPr>
        <w:t>周边的电磁环境和声环境进行了现状监测，在此基础上编制了</w:t>
      </w:r>
      <w:r>
        <w:rPr>
          <w:rFonts w:hint="eastAsia" w:ascii="Times New Roman" w:hAnsi="Times New Roman" w:eastAsia="宋体" w:cs="Times New Roman"/>
          <w:b w:val="0"/>
          <w:bCs w:val="0"/>
          <w:color w:val="auto"/>
          <w:spacing w:val="0"/>
          <w:w w:val="100"/>
          <w:sz w:val="24"/>
          <w:szCs w:val="24"/>
          <w:highlight w:val="none"/>
          <w:lang w:val="en-US" w:eastAsia="zh-CN"/>
        </w:rPr>
        <w:t>编制了本工程电磁环境影响专题评价。</w:t>
      </w:r>
    </w:p>
    <w:p w14:paraId="1B1293AC">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outlineLvl w:val="1"/>
        <w:rPr>
          <w:rFonts w:hint="eastAsia" w:ascii="Times New Roman" w:hAnsi="Times New Roman"/>
          <w:b/>
          <w:bCs/>
          <w:color w:val="auto"/>
          <w:sz w:val="24"/>
          <w:szCs w:val="24"/>
          <w:highlight w:val="none"/>
          <w:lang w:val="en-US" w:eastAsia="zh-CN"/>
        </w:rPr>
      </w:pPr>
      <w:bookmarkStart w:id="72" w:name="_Toc7132"/>
      <w:bookmarkStart w:id="73" w:name="_Toc21707"/>
      <w:r>
        <w:rPr>
          <w:rFonts w:hint="eastAsia" w:ascii="Times New Roman" w:hAnsi="Times New Roman"/>
          <w:b/>
          <w:bCs/>
          <w:color w:val="auto"/>
          <w:sz w:val="24"/>
          <w:szCs w:val="24"/>
          <w:highlight w:val="none"/>
          <w:lang w:val="en-US" w:eastAsia="zh-CN"/>
        </w:rPr>
        <w:t>1.2评价工作过程</w:t>
      </w:r>
      <w:bookmarkEnd w:id="72"/>
      <w:bookmarkEnd w:id="73"/>
    </w:p>
    <w:p w14:paraId="4BB947F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jc w:val="both"/>
        <w:textAlignment w:val="auto"/>
        <w:rPr>
          <w:rFonts w:hint="default" w:ascii="Times New Roman" w:hAnsi="Times New Roman" w:eastAsia="宋体" w:cs="Times New Roman"/>
          <w:b w:val="0"/>
          <w:bCs w:val="0"/>
          <w:color w:val="auto"/>
          <w:spacing w:val="0"/>
          <w:w w:val="100"/>
          <w:sz w:val="24"/>
          <w:szCs w:val="24"/>
          <w:highlight w:val="none"/>
          <w:lang w:val="en-US" w:eastAsia="zh-CN"/>
        </w:rPr>
        <w:sectPr>
          <w:footerReference r:id="rId8" w:type="default"/>
          <w:pgSz w:w="11905" w:h="16838"/>
          <w:pgMar w:top="1440" w:right="1083" w:bottom="1440" w:left="1083" w:header="850" w:footer="992" w:gutter="0"/>
          <w:pgBorders>
            <w:top w:val="none" w:sz="0" w:space="0"/>
            <w:left w:val="none" w:sz="0" w:space="0"/>
            <w:bottom w:val="none" w:sz="0" w:space="0"/>
            <w:right w:val="none" w:sz="0" w:space="0"/>
          </w:pgBorders>
          <w:pgNumType w:fmt="decimal" w:start="1"/>
          <w:cols w:space="0" w:num="1"/>
          <w:rtlGutter w:val="0"/>
          <w:docGrid w:type="lines" w:linePitch="317" w:charSpace="0"/>
        </w:sectPr>
      </w:pPr>
      <w:r>
        <w:rPr>
          <w:rFonts w:hint="eastAsia" w:ascii="Times New Roman" w:hAnsi="Times New Roman" w:eastAsia="宋体" w:cs="Times New Roman"/>
          <w:b w:val="0"/>
          <w:bCs w:val="0"/>
          <w:color w:val="auto"/>
          <w:spacing w:val="0"/>
          <w:w w:val="100"/>
          <w:sz w:val="24"/>
          <w:szCs w:val="24"/>
          <w:highlight w:val="none"/>
          <w:lang w:val="en-US" w:eastAsia="zh-CN"/>
        </w:rPr>
        <w:t>202</w:t>
      </w:r>
      <w:r>
        <w:rPr>
          <w:rFonts w:hint="eastAsia" w:cs="Times New Roman"/>
          <w:b w:val="0"/>
          <w:bCs w:val="0"/>
          <w:color w:val="auto"/>
          <w:spacing w:val="0"/>
          <w:w w:val="100"/>
          <w:sz w:val="24"/>
          <w:szCs w:val="24"/>
          <w:highlight w:val="none"/>
          <w:lang w:val="en-US" w:eastAsia="zh-CN"/>
        </w:rPr>
        <w:t>4</w:t>
      </w:r>
      <w:r>
        <w:rPr>
          <w:rFonts w:hint="eastAsia" w:ascii="Times New Roman" w:hAnsi="Times New Roman" w:eastAsia="宋体" w:cs="Times New Roman"/>
          <w:b w:val="0"/>
          <w:bCs w:val="0"/>
          <w:color w:val="auto"/>
          <w:spacing w:val="0"/>
          <w:w w:val="100"/>
          <w:sz w:val="24"/>
          <w:szCs w:val="24"/>
          <w:highlight w:val="none"/>
          <w:lang w:val="en-US" w:eastAsia="zh-CN"/>
        </w:rPr>
        <w:t>年0</w:t>
      </w:r>
      <w:r>
        <w:rPr>
          <w:rFonts w:hint="eastAsia" w:cs="Times New Roman"/>
          <w:b w:val="0"/>
          <w:bCs w:val="0"/>
          <w:color w:val="auto"/>
          <w:spacing w:val="0"/>
          <w:w w:val="100"/>
          <w:sz w:val="24"/>
          <w:szCs w:val="24"/>
          <w:highlight w:val="none"/>
          <w:lang w:val="en-US" w:eastAsia="zh-CN"/>
        </w:rPr>
        <w:t>6</w:t>
      </w:r>
      <w:r>
        <w:rPr>
          <w:rFonts w:hint="eastAsia" w:ascii="Times New Roman" w:hAnsi="Times New Roman" w:eastAsia="宋体" w:cs="Times New Roman"/>
          <w:b w:val="0"/>
          <w:bCs w:val="0"/>
          <w:color w:val="auto"/>
          <w:spacing w:val="0"/>
          <w:w w:val="100"/>
          <w:sz w:val="24"/>
          <w:szCs w:val="24"/>
          <w:highlight w:val="none"/>
          <w:lang w:val="en-US" w:eastAsia="zh-CN"/>
        </w:rPr>
        <w:t>月，我公司受围场</w:t>
      </w:r>
      <w:r>
        <w:rPr>
          <w:rFonts w:hint="eastAsia" w:cs="Times New Roman"/>
          <w:b w:val="0"/>
          <w:bCs w:val="0"/>
          <w:color w:val="auto"/>
          <w:spacing w:val="0"/>
          <w:w w:val="100"/>
          <w:sz w:val="24"/>
          <w:szCs w:val="24"/>
          <w:highlight w:val="none"/>
          <w:lang w:val="en-US" w:eastAsia="zh-CN"/>
        </w:rPr>
        <w:t>围场满族蒙古族自治县阳洁光伏发电有限责任公司</w:t>
      </w:r>
      <w:r>
        <w:rPr>
          <w:rFonts w:hint="eastAsia" w:ascii="Times New Roman" w:hAnsi="Times New Roman" w:eastAsia="宋体" w:cs="Times New Roman"/>
          <w:b w:val="0"/>
          <w:bCs w:val="0"/>
          <w:color w:val="auto"/>
          <w:spacing w:val="0"/>
          <w:w w:val="100"/>
          <w:sz w:val="24"/>
          <w:szCs w:val="24"/>
          <w:highlight w:val="none"/>
          <w:lang w:val="en-US" w:eastAsia="zh-CN"/>
        </w:rPr>
        <w:t>的委托，承担本项目的环境影响评价工作。我公司接受委托后，评价人员首先对设计资料(包括工程建设地点、建设内容及规模、工程设计参数等)进行了分析，初步掌握了工程特点，然后对本工程项目选址进行了实地踏勘和调查，了解了项目所在地的环境状况，并于</w:t>
      </w:r>
      <w:r>
        <w:rPr>
          <w:rFonts w:hint="default" w:ascii="Times New Roman" w:hAnsi="Times New Roman" w:eastAsia="宋体" w:cs="Times New Roman"/>
          <w:b w:val="0"/>
          <w:bCs w:val="0"/>
          <w:color w:val="auto"/>
          <w:spacing w:val="0"/>
          <w:w w:val="100"/>
          <w:sz w:val="24"/>
          <w:szCs w:val="24"/>
          <w:highlight w:val="none"/>
          <w:lang w:val="en-US" w:eastAsia="zh-CN"/>
        </w:rPr>
        <w:t>202</w:t>
      </w:r>
      <w:r>
        <w:rPr>
          <w:rFonts w:hint="eastAsia" w:cs="Times New Roman"/>
          <w:b w:val="0"/>
          <w:bCs w:val="0"/>
          <w:color w:val="auto"/>
          <w:spacing w:val="0"/>
          <w:w w:val="100"/>
          <w:sz w:val="24"/>
          <w:szCs w:val="24"/>
          <w:highlight w:val="none"/>
          <w:lang w:val="en-US" w:eastAsia="zh-CN"/>
        </w:rPr>
        <w:t>4</w:t>
      </w:r>
      <w:r>
        <w:rPr>
          <w:rFonts w:hint="default" w:ascii="Times New Roman" w:hAnsi="Times New Roman" w:eastAsia="宋体" w:cs="Times New Roman"/>
          <w:b w:val="0"/>
          <w:bCs w:val="0"/>
          <w:color w:val="auto"/>
          <w:spacing w:val="0"/>
          <w:w w:val="100"/>
          <w:sz w:val="24"/>
          <w:szCs w:val="24"/>
          <w:highlight w:val="none"/>
          <w:lang w:val="en-US" w:eastAsia="zh-CN"/>
        </w:rPr>
        <w:t>年</w:t>
      </w:r>
      <w:r>
        <w:rPr>
          <w:rFonts w:hint="eastAsia" w:cs="Times New Roman"/>
          <w:b w:val="0"/>
          <w:bCs w:val="0"/>
          <w:color w:val="auto"/>
          <w:spacing w:val="0"/>
          <w:w w:val="100"/>
          <w:sz w:val="24"/>
          <w:szCs w:val="24"/>
          <w:highlight w:val="none"/>
          <w:lang w:val="en-US" w:eastAsia="zh-CN"/>
        </w:rPr>
        <w:t>06</w:t>
      </w:r>
      <w:r>
        <w:rPr>
          <w:rFonts w:hint="default" w:ascii="Times New Roman" w:hAnsi="Times New Roman" w:eastAsia="宋体" w:cs="Times New Roman"/>
          <w:b w:val="0"/>
          <w:bCs w:val="0"/>
          <w:color w:val="auto"/>
          <w:spacing w:val="0"/>
          <w:w w:val="100"/>
          <w:sz w:val="24"/>
          <w:szCs w:val="24"/>
          <w:highlight w:val="none"/>
          <w:lang w:val="en-US" w:eastAsia="zh-CN"/>
        </w:rPr>
        <w:t>月</w:t>
      </w:r>
      <w:r>
        <w:rPr>
          <w:rFonts w:hint="eastAsia" w:ascii="Times New Roman" w:hAnsi="Times New Roman" w:eastAsia="宋体" w:cs="Times New Roman"/>
          <w:b w:val="0"/>
          <w:bCs w:val="0"/>
          <w:color w:val="auto"/>
          <w:spacing w:val="0"/>
          <w:w w:val="100"/>
          <w:sz w:val="24"/>
          <w:szCs w:val="24"/>
          <w:highlight w:val="none"/>
          <w:lang w:val="en-US" w:eastAsia="zh-CN"/>
        </w:rPr>
        <w:t>委托</w:t>
      </w:r>
      <w:r>
        <w:rPr>
          <w:rFonts w:hint="default" w:ascii="Times New Roman" w:hAnsi="Times New Roman" w:eastAsia="宋体" w:cs="Times New Roman"/>
          <w:b w:val="0"/>
          <w:bCs w:val="0"/>
          <w:color w:val="auto"/>
          <w:spacing w:val="0"/>
          <w:w w:val="100"/>
          <w:sz w:val="24"/>
          <w:szCs w:val="24"/>
          <w:highlight w:val="none"/>
          <w:lang w:val="en-US" w:eastAsia="zh-CN"/>
        </w:rPr>
        <w:t>承德市东岭环境监测有限公司</w:t>
      </w:r>
      <w:r>
        <w:rPr>
          <w:rFonts w:hint="eastAsia" w:ascii="Times New Roman" w:hAnsi="Times New Roman" w:eastAsia="宋体" w:cs="Times New Roman"/>
          <w:b w:val="0"/>
          <w:bCs w:val="0"/>
          <w:color w:val="auto"/>
          <w:spacing w:val="0"/>
          <w:w w:val="100"/>
          <w:sz w:val="24"/>
          <w:szCs w:val="24"/>
          <w:highlight w:val="none"/>
          <w:lang w:val="en-US" w:eastAsia="zh-CN"/>
        </w:rPr>
        <w:t>对</w:t>
      </w:r>
      <w:r>
        <w:rPr>
          <w:rFonts w:hint="eastAsia" w:cs="Times New Roman"/>
          <w:b w:val="0"/>
          <w:bCs w:val="0"/>
          <w:color w:val="auto"/>
          <w:spacing w:val="0"/>
          <w:w w:val="100"/>
          <w:sz w:val="24"/>
          <w:szCs w:val="24"/>
          <w:highlight w:val="none"/>
          <w:lang w:val="en-US" w:eastAsia="zh-CN"/>
        </w:rPr>
        <w:t>线路区域</w:t>
      </w:r>
      <w:r>
        <w:rPr>
          <w:rFonts w:hint="eastAsia" w:ascii="Times New Roman" w:hAnsi="Times New Roman" w:eastAsia="宋体" w:cs="Times New Roman"/>
          <w:b w:val="0"/>
          <w:bCs w:val="0"/>
          <w:color w:val="auto"/>
          <w:spacing w:val="0"/>
          <w:w w:val="100"/>
          <w:sz w:val="24"/>
          <w:szCs w:val="24"/>
          <w:highlight w:val="none"/>
          <w:lang w:val="en-US" w:eastAsia="zh-CN"/>
        </w:rPr>
        <w:t>的工频电场和工频磁感应强度环境现状进行了实测，对</w:t>
      </w:r>
      <w:r>
        <w:rPr>
          <w:rFonts w:hint="eastAsia" w:cs="Times New Roman"/>
          <w:b w:val="0"/>
          <w:bCs w:val="0"/>
          <w:color w:val="auto"/>
          <w:spacing w:val="0"/>
          <w:w w:val="100"/>
          <w:sz w:val="24"/>
          <w:szCs w:val="24"/>
          <w:highlight w:val="none"/>
          <w:lang w:val="en-US" w:eastAsia="zh-CN"/>
        </w:rPr>
        <w:t>工程</w:t>
      </w:r>
      <w:r>
        <w:rPr>
          <w:rFonts w:hint="eastAsia" w:ascii="Times New Roman" w:hAnsi="Times New Roman" w:eastAsia="宋体" w:cs="Times New Roman"/>
          <w:b w:val="0"/>
          <w:bCs w:val="0"/>
          <w:color w:val="auto"/>
          <w:spacing w:val="0"/>
          <w:w w:val="100"/>
          <w:sz w:val="24"/>
          <w:szCs w:val="24"/>
          <w:highlight w:val="none"/>
          <w:lang w:val="en-US" w:eastAsia="zh-CN"/>
        </w:rPr>
        <w:t>所在区域的工频电场、工频磁场环境现状进行了评价，开展了工程建设的工频电场、工频磁场影响预测，针对工程建设中可能存在的环保问题提出了相应的环保措施，并从环境保护的角度论证了工程建设的可行性。在此基础上，我公司编制完成了《</w:t>
      </w:r>
      <w:r>
        <w:rPr>
          <w:rFonts w:hint="eastAsia" w:cs="Times New Roman"/>
          <w:b w:val="0"/>
          <w:bCs w:val="0"/>
          <w:color w:val="auto"/>
          <w:spacing w:val="0"/>
          <w:w w:val="100"/>
          <w:sz w:val="24"/>
          <w:szCs w:val="24"/>
          <w:highlight w:val="none"/>
          <w:lang w:val="en-US" w:eastAsia="zh-CN"/>
        </w:rPr>
        <w:t>华能围场“风光储氢热一体化”项目（风电200MW）项目220kV送出线路工程</w:t>
      </w:r>
      <w:r>
        <w:rPr>
          <w:rFonts w:hint="eastAsia" w:ascii="Times New Roman" w:hAnsi="Times New Roman" w:eastAsia="宋体" w:cs="Times New Roman"/>
          <w:b w:val="0"/>
          <w:bCs w:val="0"/>
          <w:color w:val="auto"/>
          <w:spacing w:val="0"/>
          <w:w w:val="100"/>
          <w:sz w:val="24"/>
          <w:szCs w:val="24"/>
          <w:highlight w:val="none"/>
          <w:lang w:val="en-US" w:eastAsia="zh-CN"/>
        </w:rPr>
        <w:t>项目电磁环境影响专项评价》。</w:t>
      </w:r>
    </w:p>
    <w:p w14:paraId="0E6A64D5">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outlineLvl w:val="0"/>
        <w:rPr>
          <w:rFonts w:hint="default" w:ascii="Times New Roman" w:hAnsi="Times New Roman"/>
          <w:b/>
          <w:bCs/>
          <w:color w:val="auto"/>
          <w:sz w:val="24"/>
          <w:szCs w:val="24"/>
          <w:highlight w:val="none"/>
          <w:lang w:val="en-US" w:eastAsia="zh-CN"/>
        </w:rPr>
      </w:pPr>
    </w:p>
    <w:p w14:paraId="0817A4A8">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outlineLvl w:val="0"/>
        <w:rPr>
          <w:rFonts w:hint="eastAsia" w:ascii="Times New Roman" w:hAnsi="Times New Roman"/>
          <w:b/>
          <w:bCs/>
          <w:color w:val="auto"/>
          <w:sz w:val="24"/>
          <w:szCs w:val="24"/>
          <w:highlight w:val="none"/>
          <w:lang w:val="en-US" w:eastAsia="zh-CN"/>
        </w:rPr>
      </w:pPr>
      <w:bookmarkStart w:id="74" w:name="_Toc28154"/>
      <w:bookmarkStart w:id="75" w:name="_Toc30891"/>
      <w:r>
        <w:rPr>
          <w:rFonts w:hint="eastAsia" w:ascii="Times New Roman" w:hAnsi="Times New Roman"/>
          <w:b/>
          <w:bCs/>
          <w:color w:val="auto"/>
          <w:sz w:val="24"/>
          <w:szCs w:val="24"/>
          <w:highlight w:val="none"/>
          <w:lang w:val="en-US" w:eastAsia="zh-CN"/>
        </w:rPr>
        <w:t>2.1编制依据</w:t>
      </w:r>
      <w:bookmarkEnd w:id="74"/>
      <w:bookmarkEnd w:id="75"/>
    </w:p>
    <w:p w14:paraId="064B51CD">
      <w:pPr>
        <w:pStyle w:val="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ascii="Times New Roman" w:hAnsi="Times New Roman" w:eastAsia="Times New Roman" w:cs="宋体"/>
          <w:b/>
          <w:bCs/>
          <w:color w:val="auto"/>
          <w:sz w:val="24"/>
          <w:szCs w:val="24"/>
          <w:highlight w:val="none"/>
        </w:rPr>
      </w:pPr>
      <w:r>
        <w:rPr>
          <w:rFonts w:hint="eastAsia" w:ascii="Times New Roman" w:hAnsi="Times New Roman" w:eastAsia="Times New Roman" w:cs="宋体"/>
          <w:b/>
          <w:bCs/>
          <w:color w:val="auto"/>
          <w:sz w:val="24"/>
          <w:szCs w:val="24"/>
          <w:highlight w:val="none"/>
          <w:lang w:val="en-US" w:eastAsia="zh-CN"/>
        </w:rPr>
        <w:t>2.1.1</w:t>
      </w:r>
      <w:r>
        <w:rPr>
          <w:rFonts w:ascii="Times New Roman" w:hAnsi="Times New Roman" w:eastAsia="Times New Roman" w:cs="宋体"/>
          <w:b/>
          <w:bCs/>
          <w:color w:val="auto"/>
          <w:sz w:val="24"/>
          <w:szCs w:val="24"/>
          <w:highlight w:val="none"/>
        </w:rPr>
        <w:t>法律、法规</w:t>
      </w:r>
    </w:p>
    <w:p w14:paraId="69A7CBBC">
      <w:pPr>
        <w:pStyle w:val="9"/>
        <w:adjustRightInd w:val="0"/>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lang w:val="en-US"/>
        </w:rPr>
        <w:t xml:space="preserve">（1）《中华人民共和国环境保护法》(2014年4月24日修订，2015年1月1日起施行)； </w:t>
      </w:r>
    </w:p>
    <w:p w14:paraId="1F2504DE">
      <w:pPr>
        <w:pStyle w:val="9"/>
        <w:adjustRightInd w:val="0"/>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lang w:val="en-US"/>
        </w:rPr>
        <w:t xml:space="preserve">（2）《中华人民共和国环境影响评价法》(2018年12月29日修订并施行)； </w:t>
      </w:r>
    </w:p>
    <w:p w14:paraId="32A7F599">
      <w:pPr>
        <w:pStyle w:val="9"/>
        <w:adjustRightInd w:val="0"/>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lang w:val="en-US"/>
        </w:rPr>
        <w:t>（3）《中华人民共和国电力法》(2018年12月29日修订并施行)；</w:t>
      </w:r>
    </w:p>
    <w:p w14:paraId="4AE43D23">
      <w:pPr>
        <w:pStyle w:val="9"/>
        <w:adjustRightInd w:val="0"/>
        <w:snapToGrid w:val="0"/>
        <w:spacing w:line="500" w:lineRule="exact"/>
        <w:ind w:firstLine="480"/>
        <w:jc w:val="left"/>
        <w:rPr>
          <w:rFonts w:ascii="Times New Roman" w:hAnsi="Times New Roman" w:cs="Times New Roman"/>
          <w:sz w:val="24"/>
          <w:szCs w:val="24"/>
          <w:lang w:val="en-US"/>
        </w:rPr>
      </w:pPr>
      <w:r>
        <w:rPr>
          <w:rFonts w:ascii="Times New Roman" w:hAnsi="Times New Roman" w:cs="Times New Roman"/>
          <w:sz w:val="24"/>
          <w:szCs w:val="24"/>
          <w:lang w:val="en-US"/>
        </w:rPr>
        <w:t>（4）《建设项目环境保护管理条例》（2017年10月1日起施行）；</w:t>
      </w:r>
    </w:p>
    <w:p w14:paraId="2C2A6C76">
      <w:pPr>
        <w:pStyle w:val="10"/>
        <w:spacing w:line="500" w:lineRule="exact"/>
        <w:ind w:firstLine="480"/>
        <w:rPr>
          <w:rFonts w:hAnsi="Times New Roman" w:cs="Times New Roman"/>
          <w:sz w:val="24"/>
          <w:szCs w:val="24"/>
          <w:lang w:bidi="zh-CN"/>
        </w:rPr>
      </w:pPr>
      <w:r>
        <w:rPr>
          <w:rFonts w:hAnsi="Times New Roman" w:cs="Times New Roman"/>
          <w:sz w:val="24"/>
          <w:szCs w:val="24"/>
          <w:lang w:bidi="zh-CN"/>
        </w:rPr>
        <w:t>（5）</w:t>
      </w:r>
      <w:r>
        <w:rPr>
          <w:rFonts w:hint="eastAsia" w:hAnsi="Times New Roman" w:cs="Times New Roman"/>
          <w:sz w:val="24"/>
          <w:szCs w:val="24"/>
          <w:lang w:bidi="zh-CN"/>
        </w:rPr>
        <w:t>《</w:t>
      </w:r>
      <w:r>
        <w:rPr>
          <w:rFonts w:hAnsi="Times New Roman" w:cs="Times New Roman"/>
          <w:sz w:val="24"/>
          <w:szCs w:val="24"/>
          <w:lang w:bidi="zh-CN"/>
        </w:rPr>
        <w:t>产业结构调整指导目录(</w:t>
      </w:r>
      <w:r>
        <w:rPr>
          <w:rFonts w:hint="eastAsia" w:hAnsi="Times New Roman" w:cs="Times New Roman"/>
          <w:sz w:val="24"/>
          <w:szCs w:val="24"/>
          <w:lang w:val="en-US" w:bidi="zh-CN"/>
        </w:rPr>
        <w:t>2024</w:t>
      </w:r>
      <w:r>
        <w:rPr>
          <w:rFonts w:hAnsi="Times New Roman" w:cs="Times New Roman"/>
          <w:sz w:val="24"/>
          <w:szCs w:val="24"/>
          <w:lang w:bidi="zh-CN"/>
        </w:rPr>
        <w:t>年本)》(202</w:t>
      </w:r>
      <w:r>
        <w:rPr>
          <w:rFonts w:hint="eastAsia" w:hAnsi="Times New Roman" w:cs="Times New Roman"/>
          <w:sz w:val="24"/>
          <w:szCs w:val="24"/>
          <w:lang w:val="en-US" w:bidi="zh-CN"/>
        </w:rPr>
        <w:t>4</w:t>
      </w:r>
      <w:r>
        <w:rPr>
          <w:rFonts w:hAnsi="Times New Roman" w:cs="Times New Roman"/>
          <w:sz w:val="24"/>
          <w:szCs w:val="24"/>
          <w:lang w:bidi="zh-CN"/>
        </w:rPr>
        <w:t>年</w:t>
      </w:r>
      <w:r>
        <w:rPr>
          <w:rFonts w:hint="eastAsia" w:hAnsi="Times New Roman" w:cs="Times New Roman"/>
          <w:sz w:val="24"/>
          <w:szCs w:val="24"/>
          <w:lang w:val="en-US" w:bidi="zh-CN"/>
        </w:rPr>
        <w:t>2</w:t>
      </w:r>
      <w:r>
        <w:rPr>
          <w:rFonts w:hAnsi="Times New Roman" w:cs="Times New Roman"/>
          <w:sz w:val="24"/>
          <w:szCs w:val="24"/>
          <w:lang w:bidi="zh-CN"/>
        </w:rPr>
        <w:t>月1日实施)；</w:t>
      </w:r>
    </w:p>
    <w:p w14:paraId="6CBC152E">
      <w:pPr>
        <w:pStyle w:val="11"/>
        <w:spacing w:line="500" w:lineRule="exact"/>
        <w:ind w:firstLine="480" w:firstLineChars="200"/>
        <w:rPr>
          <w:sz w:val="24"/>
          <w:szCs w:val="24"/>
          <w:lang w:bidi="zh-CN"/>
        </w:rPr>
      </w:pPr>
      <w:r>
        <w:rPr>
          <w:sz w:val="24"/>
          <w:szCs w:val="24"/>
          <w:lang w:bidi="zh-CN"/>
        </w:rPr>
        <w:t>（6）</w:t>
      </w:r>
      <w:r>
        <w:rPr>
          <w:rFonts w:hint="eastAsia"/>
          <w:sz w:val="24"/>
          <w:szCs w:val="24"/>
          <w:lang w:bidi="zh-CN"/>
        </w:rPr>
        <w:t>《</w:t>
      </w:r>
      <w:r>
        <w:rPr>
          <w:sz w:val="24"/>
          <w:szCs w:val="24"/>
          <w:lang w:bidi="zh-CN"/>
        </w:rPr>
        <w:t>建设项目环境影响评价分类管理名录》(生态环境部第16号令，2021年1月1日施行)；</w:t>
      </w:r>
    </w:p>
    <w:p w14:paraId="0D21A335">
      <w:pPr>
        <w:pStyle w:val="9"/>
        <w:adjustRightInd w:val="0"/>
        <w:snapToGrid w:val="0"/>
        <w:spacing w:line="500" w:lineRule="exact"/>
        <w:ind w:firstLine="480" w:firstLineChars="200"/>
        <w:rPr>
          <w:rFonts w:ascii="Times New Roman" w:hAnsi="Times New Roman" w:cs="Times New Roman"/>
          <w:sz w:val="24"/>
          <w:szCs w:val="24"/>
          <w:lang w:val="en-US"/>
        </w:rPr>
      </w:pPr>
      <w:r>
        <w:rPr>
          <w:rFonts w:ascii="Times New Roman" w:hAnsi="Times New Roman" w:cs="Times New Roman"/>
          <w:sz w:val="24"/>
          <w:szCs w:val="24"/>
          <w:lang w:val="en-US"/>
        </w:rPr>
        <w:t>（7）</w:t>
      </w:r>
      <w:r>
        <w:rPr>
          <w:rFonts w:hint="eastAsia" w:ascii="Times New Roman" w:hAnsi="Times New Roman" w:cs="Times New Roman"/>
          <w:sz w:val="24"/>
          <w:szCs w:val="24"/>
          <w:lang w:val="en-US"/>
        </w:rPr>
        <w:t>《电力设施保护条例实施细则》(2024年3月1日实施)</w:t>
      </w:r>
      <w:r>
        <w:rPr>
          <w:rFonts w:ascii="Times New Roman" w:hAnsi="Times New Roman" w:cs="Times New Roman"/>
          <w:sz w:val="24"/>
          <w:szCs w:val="24"/>
          <w:lang w:val="en-US"/>
        </w:rPr>
        <w:t>；</w:t>
      </w:r>
    </w:p>
    <w:p w14:paraId="5A65BC01">
      <w:pPr>
        <w:pStyle w:val="10"/>
        <w:spacing w:line="500" w:lineRule="exact"/>
        <w:ind w:firstLine="480" w:firstLineChars="200"/>
        <w:rPr>
          <w:rFonts w:hAnsi="Times New Roman" w:cs="Times New Roman"/>
          <w:sz w:val="24"/>
          <w:szCs w:val="24"/>
          <w:lang w:bidi="zh-CN"/>
        </w:rPr>
      </w:pPr>
      <w:r>
        <w:rPr>
          <w:rFonts w:hAnsi="Times New Roman" w:cs="Times New Roman"/>
          <w:sz w:val="24"/>
          <w:szCs w:val="24"/>
          <w:lang w:bidi="zh-CN"/>
        </w:rPr>
        <w:t>（8）《关干进一步加强输变电类建设项目环境保护监管工作的通知》（环办[2012]131号）；</w:t>
      </w:r>
    </w:p>
    <w:p w14:paraId="7F1C242B">
      <w:pPr>
        <w:pStyle w:val="9"/>
        <w:adjustRightInd w:val="0"/>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lang w:val="en-US"/>
        </w:rPr>
        <w:t xml:space="preserve">（9）《电力设施保护条例》(2011年1月8日第二次修订并施行)； </w:t>
      </w:r>
    </w:p>
    <w:p w14:paraId="6D150A23">
      <w:pPr>
        <w:pStyle w:val="9"/>
        <w:adjustRightInd w:val="0"/>
        <w:snapToGrid w:val="0"/>
        <w:spacing w:line="500" w:lineRule="exact"/>
        <w:ind w:firstLine="480" w:firstLineChars="200"/>
        <w:rPr>
          <w:rFonts w:ascii="Times New Roman" w:hAnsi="Times New Roman" w:cs="Times New Roman"/>
          <w:sz w:val="24"/>
          <w:szCs w:val="24"/>
          <w:lang w:val="en-US"/>
        </w:rPr>
      </w:pPr>
      <w:r>
        <w:rPr>
          <w:rFonts w:ascii="Times New Roman" w:hAnsi="Times New Roman" w:cs="Times New Roman"/>
          <w:sz w:val="24"/>
          <w:szCs w:val="24"/>
          <w:lang w:val="en-US"/>
        </w:rPr>
        <w:t>（10）《关于以改善环境质量为核心加强环境影响评价管理的通知》(环环评[2016]150号)；</w:t>
      </w:r>
    </w:p>
    <w:p w14:paraId="66C6FD62">
      <w:pPr>
        <w:pStyle w:val="9"/>
        <w:adjustRightInd w:val="0"/>
        <w:snapToGrid w:val="0"/>
        <w:spacing w:line="500" w:lineRule="exact"/>
        <w:ind w:firstLine="480" w:firstLineChars="200"/>
        <w:rPr>
          <w:rFonts w:ascii="Times New Roman" w:hAnsi="Times New Roman" w:cs="Times New Roman"/>
          <w:sz w:val="24"/>
          <w:szCs w:val="24"/>
          <w:lang w:val="en-US"/>
        </w:rPr>
      </w:pPr>
      <w:r>
        <w:rPr>
          <w:rFonts w:ascii="Times New Roman" w:hAnsi="Times New Roman" w:cs="Times New Roman"/>
          <w:sz w:val="24"/>
          <w:szCs w:val="24"/>
          <w:lang w:val="en-US"/>
        </w:rPr>
        <w:t>（11）《建设项目环境评价文件审批及建设单位自主开展环境保护设施验收工作指引（试行）》（冀环办字函[2017]727号）；</w:t>
      </w:r>
    </w:p>
    <w:p w14:paraId="68B0CE96">
      <w:pPr>
        <w:pStyle w:val="9"/>
        <w:adjustRightInd w:val="0"/>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lang w:val="en-US"/>
        </w:rPr>
        <w:t xml:space="preserve">（12）《河北省辐射污染防治条例》(2020年7月30日修订并实施)； </w:t>
      </w:r>
    </w:p>
    <w:p w14:paraId="203ED43D">
      <w:pPr>
        <w:pStyle w:val="9"/>
        <w:adjustRightInd w:val="0"/>
        <w:snapToGrid w:val="0"/>
        <w:spacing w:line="500" w:lineRule="exact"/>
        <w:ind w:firstLine="480" w:firstLineChars="20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（13）《河北省电力条例》(</w:t>
      </w:r>
      <w:r>
        <w:rPr>
          <w:rFonts w:hint="eastAsia" w:ascii="Times New Roman" w:hAnsi="Times New Roman" w:eastAsia="宋体" w:cs="Times New Roman"/>
          <w:sz w:val="24"/>
          <w:szCs w:val="24"/>
          <w:lang w:val="en-US"/>
        </w:rPr>
        <w:t>2024年3月28日修订，2024年5月1日实施</w:t>
      </w:r>
      <w:r>
        <w:rPr>
          <w:rFonts w:ascii="Times New Roman" w:hAnsi="Times New Roman" w:eastAsia="宋体" w:cs="Times New Roman"/>
          <w:sz w:val="24"/>
          <w:szCs w:val="24"/>
          <w:lang w:val="en-US"/>
        </w:rPr>
        <w:t xml:space="preserve">)； </w:t>
      </w:r>
    </w:p>
    <w:p w14:paraId="4188347F">
      <w:pPr>
        <w:pStyle w:val="9"/>
        <w:adjustRightInd w:val="0"/>
        <w:snapToGrid w:val="0"/>
        <w:spacing w:line="500" w:lineRule="exact"/>
        <w:ind w:firstLine="480" w:firstLineChars="20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（14）《河北省实施电力设施保护条例办法》(2001年12月13日通过，自2002年3月1日起施行)；</w:t>
      </w:r>
    </w:p>
    <w:p w14:paraId="4DE1D27D">
      <w:pPr>
        <w:pStyle w:val="9"/>
        <w:adjustRightInd w:val="0"/>
        <w:snapToGrid w:val="0"/>
        <w:spacing w:line="500" w:lineRule="exact"/>
        <w:ind w:firstLine="482" w:firstLineChars="200"/>
        <w:rPr>
          <w:rFonts w:hint="eastAsia" w:ascii="Times New Roman" w:hAnsi="Times New Roman" w:eastAsia="宋体" w:cs="Times New Roman"/>
          <w:b/>
          <w:bCs/>
          <w:i w:val="0"/>
          <w:iCs w:val="0"/>
          <w:sz w:val="24"/>
          <w:szCs w:val="24"/>
          <w:lang w:val="en-US"/>
        </w:rPr>
      </w:pPr>
      <w:r>
        <w:rPr>
          <w:rFonts w:hint="eastAsia" w:ascii="Times New Roman" w:hAnsi="Times New Roman" w:eastAsia="宋体" w:cs="Times New Roman"/>
          <w:b/>
          <w:bCs/>
          <w:i w:val="0"/>
          <w:iCs w:val="0"/>
          <w:sz w:val="24"/>
          <w:szCs w:val="24"/>
          <w:lang w:val="en-US" w:eastAsia="zh-CN"/>
        </w:rPr>
        <w:t>2.1.2环境保护相关的导则和规范</w:t>
      </w:r>
    </w:p>
    <w:p w14:paraId="3FDB3801">
      <w:pPr>
        <w:pStyle w:val="9"/>
        <w:adjustRightInd w:val="0"/>
        <w:snapToGrid w:val="0"/>
        <w:spacing w:line="500" w:lineRule="exact"/>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1)《建设项目环境影响评价技术导则总纲》(HJ2.1-2016)；</w:t>
      </w:r>
    </w:p>
    <w:p w14:paraId="4DD9DE77">
      <w:pPr>
        <w:pStyle w:val="9"/>
        <w:adjustRightInd w:val="0"/>
        <w:snapToGrid w:val="0"/>
        <w:spacing w:line="500" w:lineRule="exact"/>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2)《环境影响评价技术导则输变电》(HJ24-2020)；</w:t>
      </w:r>
    </w:p>
    <w:p w14:paraId="0CD5B770">
      <w:pPr>
        <w:pStyle w:val="9"/>
        <w:adjustRightInd w:val="0"/>
        <w:snapToGrid w:val="0"/>
        <w:spacing w:line="500" w:lineRule="exact"/>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3)《电磁环境控制限值》(GB8702-2014)；</w:t>
      </w:r>
    </w:p>
    <w:p w14:paraId="101D9C1B">
      <w:pPr>
        <w:pStyle w:val="9"/>
        <w:adjustRightInd w:val="0"/>
        <w:snapToGrid w:val="0"/>
        <w:spacing w:line="500" w:lineRule="exact"/>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《输变电建设项目环境保护技术要求》(HJ1113-2020)；</w:t>
      </w:r>
    </w:p>
    <w:p w14:paraId="70C49967">
      <w:pPr>
        <w:pStyle w:val="9"/>
        <w:adjustRightInd w:val="0"/>
        <w:snapToGrid w:val="0"/>
        <w:spacing w:line="500" w:lineRule="exact"/>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5)《交流输变电工程电磁环境监测方法(试行)》(HJ681-2013)；</w:t>
      </w:r>
    </w:p>
    <w:p w14:paraId="1F58D37B">
      <w:pPr>
        <w:pStyle w:val="9"/>
        <w:adjustRightInd w:val="0"/>
        <w:snapToGrid w:val="0"/>
        <w:spacing w:line="500" w:lineRule="exact"/>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6）《辐射环境保护管理导则电磁辐射环境影响评价方法与标准》(HJ/T10.3-1996)。</w:t>
      </w:r>
    </w:p>
    <w:p w14:paraId="4E54DF53">
      <w:pPr>
        <w:pStyle w:val="9"/>
        <w:adjustRightInd w:val="0"/>
        <w:snapToGrid w:val="0"/>
        <w:spacing w:line="500" w:lineRule="exact"/>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2.1.3与项目相关的文件和资料</w:t>
      </w:r>
    </w:p>
    <w:p w14:paraId="1B2C025C">
      <w:pPr>
        <w:pStyle w:val="9"/>
        <w:adjustRightInd w:val="0"/>
        <w:snapToGrid w:val="0"/>
        <w:spacing w:line="500" w:lineRule="exact"/>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1)《华能围场“风光储氢热一体化”项目（风电200MW）项目220kV送出线路工程项目申请报告</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p>
    <w:p w14:paraId="31772A6E">
      <w:pPr>
        <w:pStyle w:val="9"/>
        <w:adjustRightInd w:val="0"/>
        <w:snapToGrid w:val="0"/>
        <w:spacing w:line="500" w:lineRule="exact"/>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2)华能围场“风光储氢热一体化”项目（风电200MW）项目220kV送出线路工程项目检测报告，编号DLHJ字（2024）第169号；</w:t>
      </w:r>
    </w:p>
    <w:p w14:paraId="3485FF6C">
      <w:pPr>
        <w:pStyle w:val="9"/>
        <w:adjustRightInd w:val="0"/>
        <w:snapToGrid w:val="0"/>
        <w:spacing w:line="500" w:lineRule="exact"/>
        <w:ind w:firstLine="480" w:firstLineChars="200"/>
        <w:rPr>
          <w:rFonts w:hint="eastAsia" w:ascii="Times New Roman" w:hAnsi="Times New Roman" w:eastAsia="宋体" w:cs="Times New Roman"/>
          <w:sz w:val="24"/>
          <w:szCs w:val="24"/>
          <w:lang w:val="en-US" w:eastAsia="zh-CN"/>
        </w:rPr>
        <w:sectPr>
          <w:pgSz w:w="11905" w:h="16838"/>
          <w:pgMar w:top="1440" w:right="1083" w:bottom="1440" w:left="1083" w:header="850" w:footer="992" w:gutter="0"/>
          <w:pgBorders>
            <w:top w:val="none" w:sz="0" w:space="0"/>
            <w:left w:val="none" w:sz="0" w:space="0"/>
            <w:bottom w:val="none" w:sz="0" w:space="0"/>
            <w:right w:val="none" w:sz="0" w:space="0"/>
          </w:pgBorders>
          <w:pgNumType w:fmt="decimal"/>
          <w:cols w:space="0" w:num="1"/>
          <w:rtlGutter w:val="0"/>
          <w:docGrid w:type="lines" w:linePitch="317" w:charSpace="0"/>
        </w:sectPr>
      </w:pPr>
      <w:r>
        <w:rPr>
          <w:rFonts w:hint="eastAsia" w:ascii="Times New Roman" w:hAnsi="Times New Roman" w:eastAsia="宋体" w:cs="Times New Roman"/>
          <w:sz w:val="24"/>
          <w:szCs w:val="24"/>
          <w:lang w:val="en-US" w:eastAsia="zh-CN"/>
        </w:rPr>
        <w:t>3)其他与本项目有关的文件及资料。</w:t>
      </w:r>
    </w:p>
    <w:p w14:paraId="1D6E9B2E">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outlineLvl w:val="1"/>
        <w:rPr>
          <w:rFonts w:hint="default" w:ascii="Times New Roman" w:hAnsi="Times New Roman"/>
          <w:b/>
          <w:bCs/>
          <w:color w:val="auto"/>
          <w:sz w:val="24"/>
          <w:szCs w:val="24"/>
          <w:highlight w:val="none"/>
          <w:lang w:val="en-US" w:eastAsia="zh-CN"/>
        </w:rPr>
      </w:pPr>
      <w:bookmarkStart w:id="76" w:name="_Toc21106"/>
      <w:bookmarkStart w:id="77" w:name="_Toc20982"/>
      <w:r>
        <w:rPr>
          <w:rFonts w:hint="eastAsia" w:ascii="Times New Roman" w:hAnsi="Times New Roman"/>
          <w:b/>
          <w:bCs/>
          <w:color w:val="auto"/>
          <w:sz w:val="24"/>
          <w:szCs w:val="24"/>
          <w:highlight w:val="none"/>
          <w:lang w:val="en-US" w:eastAsia="zh-CN"/>
        </w:rPr>
        <w:t>2.2评价因子</w:t>
      </w:r>
      <w:bookmarkEnd w:id="76"/>
      <w:bookmarkEnd w:id="77"/>
    </w:p>
    <w:p w14:paraId="7D72C90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现状监测因子：工频电场、工频磁场。</w:t>
      </w:r>
    </w:p>
    <w:p w14:paraId="74D606F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预测监测因子：工频电场、工频磁场。</w:t>
      </w:r>
    </w:p>
    <w:p w14:paraId="129D3D81">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outlineLvl w:val="1"/>
        <w:rPr>
          <w:rFonts w:hint="default" w:ascii="Times New Roman" w:hAnsi="Times New Roman"/>
          <w:b/>
          <w:bCs/>
          <w:color w:val="auto"/>
          <w:sz w:val="24"/>
          <w:szCs w:val="24"/>
          <w:highlight w:val="none"/>
          <w:lang w:val="en-US" w:eastAsia="zh-CN"/>
        </w:rPr>
      </w:pPr>
      <w:bookmarkStart w:id="78" w:name="_Toc30401"/>
      <w:bookmarkStart w:id="79" w:name="_Toc9666"/>
      <w:r>
        <w:rPr>
          <w:rFonts w:hint="eastAsia" w:ascii="Times New Roman" w:hAnsi="Times New Roman"/>
          <w:b/>
          <w:bCs/>
          <w:color w:val="auto"/>
          <w:sz w:val="24"/>
          <w:szCs w:val="24"/>
          <w:highlight w:val="none"/>
          <w:lang w:val="en-US" w:eastAsia="zh-CN"/>
        </w:rPr>
        <w:t>2.3评价标准</w:t>
      </w:r>
      <w:bookmarkEnd w:id="78"/>
      <w:bookmarkEnd w:id="79"/>
    </w:p>
    <w:p w14:paraId="022CECE1">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本项目环境影响评价执行以下标准：</w:t>
      </w:r>
    </w:p>
    <w:p w14:paraId="56F36A74">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工频电场强度、工频磁感应强度，执行《电磁环境控制限值》 (GB8702-2014) 中“表1公众曝露控制限值”，频率f为0.05kHz，工频电场强度： 200/f=4kV/m，工频磁感应强度5/f-100μT (100μT=0.1mT)。</w:t>
      </w:r>
    </w:p>
    <w:p w14:paraId="02923D8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架空输电线路线下的耕地、园地、牧草地、畜禽饲养地、养殖水面、道路等场所，其频率50Hz的电场强度控制限值为10kV/m。</w:t>
      </w:r>
    </w:p>
    <w:p w14:paraId="073C5BC8">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outlineLvl w:val="1"/>
        <w:rPr>
          <w:rFonts w:hint="default" w:ascii="Times New Roman" w:hAnsi="Times New Roman"/>
          <w:b/>
          <w:bCs/>
          <w:color w:val="auto"/>
          <w:sz w:val="24"/>
          <w:szCs w:val="24"/>
          <w:highlight w:val="none"/>
          <w:lang w:val="en-US" w:eastAsia="zh-CN"/>
        </w:rPr>
      </w:pPr>
      <w:bookmarkStart w:id="80" w:name="_Toc13191"/>
      <w:bookmarkStart w:id="81" w:name="_Toc11807"/>
      <w:r>
        <w:rPr>
          <w:rFonts w:hint="eastAsia" w:ascii="Times New Roman" w:hAnsi="Times New Roman"/>
          <w:b/>
          <w:bCs/>
          <w:color w:val="auto"/>
          <w:sz w:val="24"/>
          <w:szCs w:val="24"/>
          <w:highlight w:val="none"/>
          <w:lang w:val="en-US" w:eastAsia="zh-CN"/>
        </w:rPr>
        <w:t>2.4</w:t>
      </w:r>
      <w:r>
        <w:rPr>
          <w:rFonts w:hint="default" w:ascii="Times New Roman" w:hAnsi="Times New Roman"/>
          <w:b/>
          <w:bCs/>
          <w:color w:val="auto"/>
          <w:sz w:val="24"/>
          <w:szCs w:val="24"/>
          <w:highlight w:val="none"/>
          <w:lang w:val="en-US" w:eastAsia="zh-CN"/>
        </w:rPr>
        <w:t>评价等级</w:t>
      </w:r>
      <w:bookmarkEnd w:id="80"/>
      <w:bookmarkEnd w:id="81"/>
    </w:p>
    <w:p w14:paraId="45BF2E97">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bookmarkStart w:id="82" w:name="_Toc13863"/>
      <w:r>
        <w:rPr>
          <w:rFonts w:hint="eastAsia" w:cs="Times New Roman"/>
          <w:color w:val="auto"/>
          <w:kern w:val="0"/>
          <w:sz w:val="24"/>
          <w:szCs w:val="24"/>
          <w:highlight w:val="none"/>
          <w:lang w:val="en-US" w:eastAsia="zh-CN" w:bidi="ar"/>
        </w:rPr>
        <w:t>本工程</w:t>
      </w:r>
      <w:r>
        <w:rPr>
          <w:rFonts w:hint="eastAsia" w:ascii="Times New Roman" w:hAnsi="Times New Roman" w:eastAsia="宋体" w:cs="Times New Roman"/>
          <w:color w:val="auto"/>
          <w:kern w:val="0"/>
          <w:sz w:val="24"/>
          <w:szCs w:val="24"/>
          <w:highlight w:val="none"/>
          <w:lang w:val="en-US" w:eastAsia="zh-CN" w:bidi="ar"/>
        </w:rPr>
        <w:t>输电线路为架空线路，架空输电线路边导线地面投影外两侧各</w:t>
      </w:r>
      <w:r>
        <w:rPr>
          <w:rFonts w:hint="default" w:ascii="Times New Roman" w:hAnsi="Times New Roman" w:eastAsia="宋体" w:cs="Times New Roman"/>
          <w:color w:val="auto"/>
          <w:kern w:val="0"/>
          <w:sz w:val="24"/>
          <w:szCs w:val="24"/>
          <w:highlight w:val="none"/>
          <w:lang w:val="en-US" w:eastAsia="zh-CN" w:bidi="ar"/>
        </w:rPr>
        <w:t>15m</w:t>
      </w:r>
      <w:r>
        <w:rPr>
          <w:rFonts w:hint="eastAsia" w:ascii="Times New Roman" w:hAnsi="Times New Roman" w:eastAsia="宋体" w:cs="Times New Roman"/>
          <w:color w:val="auto"/>
          <w:kern w:val="0"/>
          <w:sz w:val="24"/>
          <w:szCs w:val="24"/>
          <w:highlight w:val="none"/>
          <w:lang w:val="en-US" w:eastAsia="zh-CN" w:bidi="ar"/>
        </w:rPr>
        <w:t>范围无磁环境敏感目标。根据《环境影响评价技术导则</w:t>
      </w:r>
      <w:r>
        <w:rPr>
          <w:rFonts w:hint="eastAsia" w:cs="Times New Roman"/>
          <w:color w:val="auto"/>
          <w:kern w:val="0"/>
          <w:sz w:val="24"/>
          <w:szCs w:val="24"/>
          <w:highlight w:val="none"/>
          <w:lang w:val="en-US" w:eastAsia="zh-CN" w:bidi="ar"/>
        </w:rPr>
        <w:t xml:space="preserve"> </w:t>
      </w:r>
      <w:r>
        <w:rPr>
          <w:rFonts w:hint="eastAsia" w:ascii="Times New Roman" w:hAnsi="Times New Roman" w:eastAsia="宋体" w:cs="Times New Roman"/>
          <w:color w:val="auto"/>
          <w:kern w:val="0"/>
          <w:sz w:val="24"/>
          <w:szCs w:val="24"/>
          <w:highlight w:val="none"/>
          <w:lang w:val="en-US" w:eastAsia="zh-CN" w:bidi="ar"/>
        </w:rPr>
        <w:t>输变电</w:t>
      </w:r>
      <w:r>
        <w:rPr>
          <w:rFonts w:hint="eastAsia" w:cs="Times New Roman"/>
          <w:color w:val="auto"/>
          <w:kern w:val="0"/>
          <w:sz w:val="24"/>
          <w:szCs w:val="24"/>
          <w:highlight w:val="none"/>
          <w:lang w:val="en-US" w:eastAsia="zh-CN" w:bidi="ar"/>
        </w:rPr>
        <w:t>工程</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HJ24-2020</w:t>
      </w:r>
      <w:r>
        <w:rPr>
          <w:rFonts w:hint="eastAsia" w:ascii="Times New Roman" w:hAnsi="Times New Roman" w:eastAsia="宋体" w:cs="Times New Roman"/>
          <w:color w:val="auto"/>
          <w:kern w:val="0"/>
          <w:sz w:val="24"/>
          <w:szCs w:val="24"/>
          <w:highlight w:val="none"/>
          <w:lang w:val="en-US" w:eastAsia="zh-CN" w:bidi="ar"/>
        </w:rPr>
        <w:t>）中关于电磁环境影响评价工作等级划分的规定，确定本工程变电站电磁环境影响评价等级为三级，架空输电线路电磁环境影响评价等级为三级。</w:t>
      </w:r>
    </w:p>
    <w:p w14:paraId="2953134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表</w:t>
      </w:r>
      <w:r>
        <w:rPr>
          <w:rFonts w:hint="eastAsia" w:ascii="宋体" w:hAnsi="宋体" w:cs="宋体"/>
          <w:b/>
          <w:bCs/>
          <w:color w:val="auto"/>
          <w:kern w:val="0"/>
          <w:sz w:val="24"/>
          <w:szCs w:val="24"/>
          <w:highlight w:val="none"/>
          <w:lang w:val="en-US" w:eastAsia="zh-CN" w:bidi="ar-SA"/>
        </w:rPr>
        <w:t>2</w:t>
      </w:r>
      <w:r>
        <w:rPr>
          <w:rFonts w:hint="eastAsia" w:ascii="宋体" w:hAnsi="宋体" w:eastAsia="宋体" w:cs="宋体"/>
          <w:b/>
          <w:bCs/>
          <w:color w:val="auto"/>
          <w:kern w:val="0"/>
          <w:sz w:val="24"/>
          <w:szCs w:val="24"/>
          <w:highlight w:val="none"/>
          <w:lang w:val="en-US" w:eastAsia="zh-CN" w:bidi="ar-SA"/>
        </w:rPr>
        <w:t>-1输变电工程电磁环境影响评价工作等级</w:t>
      </w:r>
    </w:p>
    <w:tbl>
      <w:tblPr>
        <w:tblStyle w:val="19"/>
        <w:tblW w:w="4996" w:type="pct"/>
        <w:tblInd w:w="0" w:type="dxa"/>
        <w:tblBorders>
          <w:top w:val="double" w:color="auto" w:sz="4" w:space="0"/>
          <w:left w:val="none" w:color="auto" w:sz="0" w:space="0"/>
          <w:bottom w:val="double" w:color="auto" w:sz="4"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923"/>
        <w:gridCol w:w="1608"/>
        <w:gridCol w:w="1276"/>
        <w:gridCol w:w="3284"/>
        <w:gridCol w:w="1776"/>
      </w:tblGrid>
      <w:tr w14:paraId="4F57A497">
        <w:tblPrEx>
          <w:tblBorders>
            <w:top w:val="double" w:color="auto" w:sz="4" w:space="0"/>
            <w:left w:val="none" w:color="auto" w:sz="0" w:space="0"/>
            <w:bottom w:val="double" w:color="auto"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520" w:type="pct"/>
            <w:tcBorders>
              <w:tl2br w:val="nil"/>
              <w:tr2bl w:val="nil"/>
            </w:tcBorders>
            <w:noWrap w:val="0"/>
            <w:vAlign w:val="center"/>
          </w:tcPr>
          <w:p w14:paraId="7C5D81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分类</w:t>
            </w:r>
          </w:p>
        </w:tc>
        <w:tc>
          <w:tcPr>
            <w:tcW w:w="906" w:type="pct"/>
            <w:tcBorders>
              <w:tl2br w:val="nil"/>
              <w:tr2bl w:val="nil"/>
            </w:tcBorders>
            <w:noWrap w:val="0"/>
            <w:vAlign w:val="center"/>
          </w:tcPr>
          <w:p w14:paraId="4E956F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电压等级</w:t>
            </w:r>
          </w:p>
        </w:tc>
        <w:tc>
          <w:tcPr>
            <w:tcW w:w="719" w:type="pct"/>
            <w:tcBorders>
              <w:tl2br w:val="nil"/>
              <w:tr2bl w:val="nil"/>
            </w:tcBorders>
            <w:noWrap w:val="0"/>
            <w:vAlign w:val="center"/>
          </w:tcPr>
          <w:p w14:paraId="33C607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工程</w:t>
            </w:r>
          </w:p>
        </w:tc>
        <w:tc>
          <w:tcPr>
            <w:tcW w:w="1851" w:type="pct"/>
            <w:tcBorders>
              <w:tl2br w:val="nil"/>
              <w:tr2bl w:val="nil"/>
            </w:tcBorders>
            <w:noWrap w:val="0"/>
            <w:vAlign w:val="center"/>
          </w:tcPr>
          <w:p w14:paraId="413F3B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条件</w:t>
            </w:r>
          </w:p>
        </w:tc>
        <w:tc>
          <w:tcPr>
            <w:tcW w:w="1001" w:type="pct"/>
            <w:tcBorders>
              <w:tl2br w:val="nil"/>
              <w:tr2bl w:val="nil"/>
            </w:tcBorders>
            <w:noWrap w:val="0"/>
            <w:vAlign w:val="center"/>
          </w:tcPr>
          <w:p w14:paraId="6FFDE0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评价工作等级</w:t>
            </w:r>
          </w:p>
        </w:tc>
      </w:tr>
      <w:tr w14:paraId="6594118D">
        <w:tblPrEx>
          <w:tblBorders>
            <w:top w:val="double" w:color="auto" w:sz="4" w:space="0"/>
            <w:left w:val="none" w:color="auto" w:sz="0" w:space="0"/>
            <w:bottom w:val="double" w:color="auto"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520" w:type="pct"/>
            <w:vMerge w:val="restart"/>
            <w:tcBorders>
              <w:tl2br w:val="nil"/>
              <w:tr2bl w:val="nil"/>
            </w:tcBorders>
            <w:noWrap w:val="0"/>
            <w:vAlign w:val="center"/>
          </w:tcPr>
          <w:p w14:paraId="20666D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交流</w:t>
            </w:r>
          </w:p>
        </w:tc>
        <w:tc>
          <w:tcPr>
            <w:tcW w:w="906" w:type="pct"/>
            <w:vMerge w:val="restart"/>
            <w:tcBorders>
              <w:tl2br w:val="nil"/>
              <w:tr2bl w:val="nil"/>
            </w:tcBorders>
            <w:noWrap w:val="0"/>
            <w:vAlign w:val="center"/>
          </w:tcPr>
          <w:p w14:paraId="4AF214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220~330kV</w:t>
            </w:r>
          </w:p>
        </w:tc>
        <w:tc>
          <w:tcPr>
            <w:tcW w:w="719" w:type="pct"/>
            <w:vMerge w:val="restart"/>
            <w:tcBorders>
              <w:tl2br w:val="nil"/>
              <w:tr2bl w:val="nil"/>
            </w:tcBorders>
            <w:noWrap w:val="0"/>
            <w:vAlign w:val="center"/>
          </w:tcPr>
          <w:p w14:paraId="478A139C">
            <w:pPr>
              <w:keepNext w:val="0"/>
              <w:keepLines w:val="0"/>
              <w:widowControl/>
              <w:suppressLineNumbers w:val="0"/>
              <w:spacing w:line="360" w:lineRule="auto"/>
              <w:jc w:val="left"/>
              <w:rPr>
                <w:rFonts w:hint="default" w:ascii="Times New Roman" w:hAnsi="Times New Roman" w:eastAsia="宋体" w:cs="Times New Roman"/>
                <w:i w:val="0"/>
                <w:color w:val="auto"/>
                <w:sz w:val="21"/>
                <w:szCs w:val="21"/>
                <w:highlight w:val="none"/>
                <w:u w:val="none"/>
              </w:rPr>
            </w:pPr>
            <w:r>
              <w:rPr>
                <w:rFonts w:hint="eastAsia" w:ascii="宋体" w:hAnsi="宋体" w:eastAsia="宋体" w:cs="宋体"/>
                <w:color w:val="000000"/>
                <w:kern w:val="0"/>
                <w:sz w:val="21"/>
                <w:szCs w:val="21"/>
                <w:lang w:val="en-US" w:eastAsia="zh-CN" w:bidi="ar"/>
              </w:rPr>
              <w:t>输电线路</w:t>
            </w:r>
          </w:p>
        </w:tc>
        <w:tc>
          <w:tcPr>
            <w:tcW w:w="1851" w:type="pct"/>
            <w:tcBorders>
              <w:tl2br w:val="nil"/>
              <w:tr2bl w:val="nil"/>
            </w:tcBorders>
            <w:noWrap w:val="0"/>
            <w:vAlign w:val="center"/>
          </w:tcPr>
          <w:p w14:paraId="7F41F11A">
            <w:pPr>
              <w:keepNext w:val="0"/>
              <w:keepLines w:val="0"/>
              <w:widowControl/>
              <w:suppressLineNumbers w:val="0"/>
              <w:spacing w:line="360" w:lineRule="auto"/>
              <w:jc w:val="left"/>
              <w:rPr>
                <w:sz w:val="21"/>
                <w:szCs w:val="21"/>
              </w:rPr>
            </w:pP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、地下电缆</w:t>
            </w:r>
          </w:p>
          <w:p w14:paraId="36FE63CA">
            <w:pPr>
              <w:keepNext w:val="0"/>
              <w:keepLines w:val="0"/>
              <w:widowControl/>
              <w:suppressLineNumbers w:val="0"/>
              <w:spacing w:line="360" w:lineRule="auto"/>
              <w:jc w:val="lef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、边导线地面投影外两侧各</w:t>
            </w:r>
            <w:r>
              <w:rPr>
                <w:rFonts w:hint="default" w:ascii="Times New Roman" w:hAnsi="Times New Roman" w:eastAsia="宋体" w:cs="Times New Roman"/>
                <w:color w:val="000000"/>
                <w:kern w:val="0"/>
                <w:sz w:val="21"/>
                <w:szCs w:val="21"/>
                <w:lang w:val="en-US" w:eastAsia="zh-CN" w:bidi="ar"/>
              </w:rPr>
              <w:t>15m</w:t>
            </w:r>
            <w:r>
              <w:rPr>
                <w:rFonts w:hint="eastAsia" w:ascii="宋体" w:hAnsi="宋体" w:eastAsia="宋体" w:cs="宋体"/>
                <w:color w:val="000000"/>
                <w:kern w:val="0"/>
                <w:sz w:val="21"/>
                <w:szCs w:val="21"/>
                <w:lang w:val="en-US" w:eastAsia="zh-CN" w:bidi="ar"/>
              </w:rPr>
              <w:t>范围内无电磁环境敏感目标的架空线</w:t>
            </w:r>
          </w:p>
        </w:tc>
        <w:tc>
          <w:tcPr>
            <w:tcW w:w="1001" w:type="pct"/>
            <w:tcBorders>
              <w:tl2br w:val="nil"/>
              <w:tr2bl w:val="nil"/>
            </w:tcBorders>
            <w:noWrap w:val="0"/>
            <w:vAlign w:val="center"/>
          </w:tcPr>
          <w:p w14:paraId="5609A4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三级</w:t>
            </w:r>
          </w:p>
        </w:tc>
      </w:tr>
      <w:tr w14:paraId="5601C638">
        <w:tblPrEx>
          <w:tblBorders>
            <w:top w:val="double" w:color="auto" w:sz="4" w:space="0"/>
            <w:left w:val="none" w:color="auto" w:sz="0" w:space="0"/>
            <w:bottom w:val="double" w:color="auto"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520" w:type="pct"/>
            <w:vMerge w:val="continue"/>
            <w:tcBorders>
              <w:tl2br w:val="nil"/>
              <w:tr2bl w:val="nil"/>
            </w:tcBorders>
            <w:noWrap w:val="0"/>
            <w:vAlign w:val="center"/>
          </w:tcPr>
          <w:p w14:paraId="6A5D501D">
            <w:pPr>
              <w:keepNext w:val="0"/>
              <w:keepLines w:val="0"/>
              <w:pageBreakBefore w:val="0"/>
              <w:widowControl/>
              <w:kinsoku/>
              <w:wordWrap/>
              <w:overflowPunct/>
              <w:topLinePunct w:val="0"/>
              <w:autoSpaceDE/>
              <w:autoSpaceDN/>
              <w:bidi w:val="0"/>
              <w:adjustRightInd/>
              <w:snapToGrid/>
              <w:spacing w:line="360" w:lineRule="auto"/>
              <w:jc w:val="center"/>
              <w:outlineLvl w:val="9"/>
              <w:rPr>
                <w:rFonts w:hint="default" w:ascii="Times New Roman" w:hAnsi="Times New Roman" w:eastAsia="宋体" w:cs="Times New Roman"/>
                <w:i w:val="0"/>
                <w:color w:val="auto"/>
                <w:sz w:val="21"/>
                <w:szCs w:val="21"/>
                <w:highlight w:val="none"/>
                <w:u w:val="none"/>
              </w:rPr>
            </w:pPr>
          </w:p>
        </w:tc>
        <w:tc>
          <w:tcPr>
            <w:tcW w:w="906" w:type="pct"/>
            <w:vMerge w:val="continue"/>
            <w:tcBorders>
              <w:tl2br w:val="nil"/>
              <w:tr2bl w:val="nil"/>
            </w:tcBorders>
            <w:noWrap w:val="0"/>
            <w:vAlign w:val="center"/>
          </w:tcPr>
          <w:p w14:paraId="1C3C0FAC">
            <w:pPr>
              <w:keepNext w:val="0"/>
              <w:keepLines w:val="0"/>
              <w:pageBreakBefore w:val="0"/>
              <w:widowControl/>
              <w:kinsoku/>
              <w:wordWrap/>
              <w:overflowPunct/>
              <w:topLinePunct w:val="0"/>
              <w:autoSpaceDE/>
              <w:autoSpaceDN/>
              <w:bidi w:val="0"/>
              <w:adjustRightInd/>
              <w:snapToGrid/>
              <w:spacing w:line="360" w:lineRule="auto"/>
              <w:jc w:val="center"/>
              <w:outlineLvl w:val="9"/>
              <w:rPr>
                <w:rFonts w:hint="default" w:ascii="Times New Roman" w:hAnsi="Times New Roman" w:eastAsia="宋体" w:cs="Times New Roman"/>
                <w:i w:val="0"/>
                <w:color w:val="auto"/>
                <w:sz w:val="21"/>
                <w:szCs w:val="21"/>
                <w:highlight w:val="none"/>
                <w:u w:val="none"/>
              </w:rPr>
            </w:pPr>
          </w:p>
        </w:tc>
        <w:tc>
          <w:tcPr>
            <w:tcW w:w="719" w:type="pct"/>
            <w:vMerge w:val="continue"/>
            <w:tcBorders>
              <w:tl2br w:val="nil"/>
              <w:tr2bl w:val="nil"/>
            </w:tcBorders>
            <w:noWrap w:val="0"/>
            <w:vAlign w:val="center"/>
          </w:tcPr>
          <w:p w14:paraId="6B413488">
            <w:pPr>
              <w:keepNext w:val="0"/>
              <w:keepLines w:val="0"/>
              <w:pageBreakBefore w:val="0"/>
              <w:widowControl/>
              <w:kinsoku/>
              <w:wordWrap/>
              <w:overflowPunct/>
              <w:topLinePunct w:val="0"/>
              <w:autoSpaceDE/>
              <w:autoSpaceDN/>
              <w:bidi w:val="0"/>
              <w:adjustRightInd/>
              <w:snapToGrid/>
              <w:spacing w:line="360" w:lineRule="auto"/>
              <w:jc w:val="center"/>
              <w:outlineLvl w:val="9"/>
              <w:rPr>
                <w:rFonts w:hint="default" w:ascii="Times New Roman" w:hAnsi="Times New Roman" w:eastAsia="宋体" w:cs="Times New Roman"/>
                <w:i w:val="0"/>
                <w:color w:val="auto"/>
                <w:sz w:val="21"/>
                <w:szCs w:val="21"/>
                <w:highlight w:val="none"/>
                <w:u w:val="none"/>
              </w:rPr>
            </w:pPr>
          </w:p>
        </w:tc>
        <w:tc>
          <w:tcPr>
            <w:tcW w:w="1851" w:type="pct"/>
            <w:tcBorders>
              <w:tl2br w:val="nil"/>
              <w:tr2bl w:val="nil"/>
            </w:tcBorders>
            <w:noWrap w:val="0"/>
            <w:vAlign w:val="center"/>
          </w:tcPr>
          <w:p w14:paraId="4D380D71">
            <w:pPr>
              <w:keepNext w:val="0"/>
              <w:keepLines w:val="0"/>
              <w:widowControl/>
              <w:suppressLineNumbers w:val="0"/>
              <w:spacing w:line="360" w:lineRule="auto"/>
              <w:jc w:val="left"/>
              <w:rPr>
                <w:rFonts w:hint="default" w:ascii="Times New Roman" w:hAnsi="Times New Roman" w:eastAsia="宋体" w:cs="Times New Roman"/>
                <w:i w:val="0"/>
                <w:color w:val="auto"/>
                <w:sz w:val="21"/>
                <w:szCs w:val="21"/>
                <w:highlight w:val="none"/>
                <w:u w:val="none"/>
              </w:rPr>
            </w:pPr>
            <w:r>
              <w:rPr>
                <w:rFonts w:hint="eastAsia" w:ascii="宋体" w:hAnsi="宋体" w:eastAsia="宋体" w:cs="宋体"/>
                <w:color w:val="000000"/>
                <w:kern w:val="0"/>
                <w:sz w:val="21"/>
                <w:szCs w:val="21"/>
                <w:lang w:val="en-US" w:eastAsia="zh-CN" w:bidi="ar"/>
              </w:rPr>
              <w:t>边导线地面投影外两侧各</w:t>
            </w:r>
            <w:r>
              <w:rPr>
                <w:rFonts w:hint="default" w:ascii="Times New Roman" w:hAnsi="Times New Roman" w:eastAsia="宋体" w:cs="Times New Roman"/>
                <w:color w:val="000000"/>
                <w:kern w:val="0"/>
                <w:sz w:val="21"/>
                <w:szCs w:val="21"/>
                <w:lang w:val="en-US" w:eastAsia="zh-CN" w:bidi="ar"/>
              </w:rPr>
              <w:t>15m</w:t>
            </w:r>
            <w:r>
              <w:rPr>
                <w:rFonts w:hint="eastAsia" w:ascii="宋体" w:hAnsi="宋体" w:eastAsia="宋体" w:cs="宋体"/>
                <w:color w:val="000000"/>
                <w:kern w:val="0"/>
                <w:sz w:val="21"/>
                <w:szCs w:val="21"/>
                <w:lang w:val="en-US" w:eastAsia="zh-CN" w:bidi="ar"/>
              </w:rPr>
              <w:t>范围内有电磁环境敏感目标的架空线</w:t>
            </w:r>
          </w:p>
        </w:tc>
        <w:tc>
          <w:tcPr>
            <w:tcW w:w="1001" w:type="pct"/>
            <w:tcBorders>
              <w:tl2br w:val="nil"/>
              <w:tr2bl w:val="nil"/>
            </w:tcBorders>
            <w:noWrap w:val="0"/>
            <w:vAlign w:val="center"/>
          </w:tcPr>
          <w:p w14:paraId="7C8893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二级</w:t>
            </w:r>
          </w:p>
        </w:tc>
      </w:tr>
    </w:tbl>
    <w:p w14:paraId="1934A456">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t>综上所述</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本工程</w:t>
      </w:r>
      <w:r>
        <w:rPr>
          <w:rFonts w:hint="default" w:ascii="Times New Roman" w:hAnsi="Times New Roman" w:eastAsia="宋体" w:cs="Times New Roman"/>
          <w:color w:val="auto"/>
          <w:kern w:val="0"/>
          <w:sz w:val="24"/>
          <w:szCs w:val="24"/>
          <w:highlight w:val="none"/>
          <w:lang w:val="en-US" w:eastAsia="zh-CN" w:bidi="ar"/>
        </w:rPr>
        <w:t>磁环境影响评价工作等级为</w:t>
      </w:r>
      <w:r>
        <w:rPr>
          <w:rFonts w:hint="eastAsia" w:cs="Times New Roman"/>
          <w:color w:val="auto"/>
          <w:kern w:val="0"/>
          <w:sz w:val="24"/>
          <w:szCs w:val="24"/>
          <w:highlight w:val="none"/>
          <w:lang w:val="en-US" w:eastAsia="zh-CN" w:bidi="ar"/>
        </w:rPr>
        <w:t>三</w:t>
      </w:r>
      <w:r>
        <w:rPr>
          <w:rFonts w:hint="default" w:ascii="Times New Roman" w:hAnsi="Times New Roman" w:eastAsia="宋体" w:cs="Times New Roman"/>
          <w:color w:val="auto"/>
          <w:kern w:val="0"/>
          <w:sz w:val="24"/>
          <w:szCs w:val="24"/>
          <w:highlight w:val="none"/>
          <w:lang w:val="en-US" w:eastAsia="zh-CN" w:bidi="ar"/>
        </w:rPr>
        <w:t>级评价</w:t>
      </w:r>
      <w:r>
        <w:rPr>
          <w:rFonts w:hint="eastAsia" w:cs="Times New Roman"/>
          <w:color w:val="auto"/>
          <w:kern w:val="0"/>
          <w:sz w:val="24"/>
          <w:szCs w:val="24"/>
          <w:highlight w:val="none"/>
          <w:lang w:val="en-US" w:eastAsia="zh-CN" w:bidi="ar"/>
        </w:rPr>
        <w:t>。</w:t>
      </w:r>
    </w:p>
    <w:p w14:paraId="2515E415">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outlineLvl w:val="1"/>
        <w:rPr>
          <w:rFonts w:hint="default" w:ascii="Times New Roman" w:hAnsi="Times New Roman"/>
          <w:b/>
          <w:bCs/>
          <w:color w:val="auto"/>
          <w:sz w:val="24"/>
          <w:szCs w:val="24"/>
          <w:highlight w:val="none"/>
          <w:lang w:val="en-US" w:eastAsia="zh-CN"/>
        </w:rPr>
      </w:pPr>
      <w:bookmarkStart w:id="83" w:name="_Toc3800"/>
      <w:r>
        <w:rPr>
          <w:rFonts w:hint="eastAsia" w:ascii="Times New Roman" w:hAnsi="Times New Roman"/>
          <w:b/>
          <w:bCs/>
          <w:color w:val="auto"/>
          <w:sz w:val="24"/>
          <w:szCs w:val="24"/>
          <w:highlight w:val="none"/>
          <w:lang w:val="en-US" w:eastAsia="zh-CN"/>
        </w:rPr>
        <w:t>2.5</w:t>
      </w:r>
      <w:r>
        <w:rPr>
          <w:rFonts w:hint="default" w:ascii="Times New Roman" w:hAnsi="Times New Roman"/>
          <w:b/>
          <w:bCs/>
          <w:color w:val="auto"/>
          <w:sz w:val="24"/>
          <w:szCs w:val="24"/>
          <w:highlight w:val="none"/>
          <w:lang w:val="en-US" w:eastAsia="zh-CN"/>
        </w:rPr>
        <w:t>评价范围</w:t>
      </w:r>
      <w:bookmarkEnd w:id="82"/>
      <w:bookmarkEnd w:id="83"/>
    </w:p>
    <w:p w14:paraId="1805B0E6">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根据《环境影响评价技术导则</w:t>
      </w:r>
      <w:r>
        <w:rPr>
          <w:rFonts w:hint="eastAsia"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输变电工程》（HJ24-2020）中相关要求确定电磁环境影响评价范围。</w:t>
      </w:r>
      <w:r>
        <w:rPr>
          <w:rFonts w:hint="eastAsia" w:ascii="Times New Roman" w:hAnsi="Times New Roman" w:eastAsia="宋体" w:cs="Times New Roman"/>
          <w:color w:val="auto"/>
          <w:kern w:val="0"/>
          <w:sz w:val="24"/>
          <w:szCs w:val="24"/>
          <w:highlight w:val="none"/>
          <w:lang w:val="en-US" w:eastAsia="zh-CN" w:bidi="ar"/>
        </w:rPr>
        <w:t>架空输电线路的评价范围为线路边导线地面投影外两侧各</w:t>
      </w:r>
      <w:r>
        <w:rPr>
          <w:rFonts w:hint="default" w:ascii="Times New Roman" w:hAnsi="Times New Roman" w:eastAsia="宋体" w:cs="Times New Roman"/>
          <w:color w:val="auto"/>
          <w:kern w:val="0"/>
          <w:sz w:val="24"/>
          <w:szCs w:val="24"/>
          <w:highlight w:val="none"/>
          <w:lang w:val="en-US" w:eastAsia="zh-CN" w:bidi="ar"/>
        </w:rPr>
        <w:t>40m</w:t>
      </w:r>
      <w:r>
        <w:rPr>
          <w:rFonts w:hint="eastAsia" w:ascii="Times New Roman" w:hAnsi="Times New Roman" w:eastAsia="宋体" w:cs="Times New Roman"/>
          <w:color w:val="auto"/>
          <w:kern w:val="0"/>
          <w:sz w:val="24"/>
          <w:szCs w:val="24"/>
          <w:highlight w:val="none"/>
          <w:lang w:val="en-US" w:eastAsia="zh-CN" w:bidi="ar"/>
        </w:rPr>
        <w:t>带状区域范围内。</w:t>
      </w:r>
    </w:p>
    <w:p w14:paraId="777D1E04">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outlineLvl w:val="1"/>
        <w:rPr>
          <w:rFonts w:hint="default" w:ascii="Times New Roman" w:hAnsi="Times New Roman"/>
          <w:b/>
          <w:bCs/>
          <w:color w:val="auto"/>
          <w:sz w:val="24"/>
          <w:szCs w:val="24"/>
          <w:highlight w:val="none"/>
          <w:lang w:val="en-US" w:eastAsia="zh-CN"/>
        </w:rPr>
      </w:pPr>
      <w:bookmarkStart w:id="84" w:name="_Toc5164"/>
      <w:bookmarkStart w:id="85" w:name="_Toc15646"/>
      <w:r>
        <w:rPr>
          <w:rFonts w:hint="eastAsia" w:ascii="Times New Roman" w:hAnsi="Times New Roman"/>
          <w:b/>
          <w:bCs/>
          <w:color w:val="auto"/>
          <w:sz w:val="24"/>
          <w:szCs w:val="24"/>
          <w:highlight w:val="none"/>
          <w:lang w:val="en-US" w:eastAsia="zh-CN"/>
        </w:rPr>
        <w:t>2.6评价方法</w:t>
      </w:r>
      <w:bookmarkEnd w:id="84"/>
      <w:bookmarkEnd w:id="85"/>
    </w:p>
    <w:p w14:paraId="767CF0E1">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outlineLvl w:val="1"/>
        <w:rPr>
          <w:rFonts w:hint="eastAsia" w:ascii="Times New Roman" w:hAnsi="Times New Roman" w:eastAsia="宋体" w:cs="Times New Roman"/>
          <w:color w:val="auto"/>
          <w:kern w:val="0"/>
          <w:sz w:val="24"/>
          <w:szCs w:val="24"/>
          <w:highlight w:val="none"/>
          <w:lang w:val="en-US" w:eastAsia="zh-CN" w:bidi="ar"/>
        </w:rPr>
      </w:pPr>
      <w:bookmarkStart w:id="86" w:name="_Toc21029"/>
      <w:bookmarkStart w:id="87" w:name="_Toc19298"/>
      <w:r>
        <w:rPr>
          <w:rFonts w:hint="eastAsia" w:ascii="Times New Roman" w:hAnsi="Times New Roman" w:eastAsia="宋体" w:cs="Times New Roman"/>
          <w:color w:val="auto"/>
          <w:kern w:val="0"/>
          <w:sz w:val="24"/>
          <w:szCs w:val="24"/>
          <w:highlight w:val="none"/>
          <w:lang w:val="en-US" w:eastAsia="zh-CN" w:bidi="ar"/>
        </w:rPr>
        <w:t>架空输电线路电磁环境影响预测采用模式预测的方式进行评价。</w:t>
      </w:r>
      <w:bookmarkEnd w:id="86"/>
    </w:p>
    <w:p w14:paraId="61EDD753">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outlineLvl w:val="1"/>
        <w:rPr>
          <w:rFonts w:hint="eastAsia" w:ascii="Times New Roman" w:hAnsi="Times New Roman"/>
          <w:b/>
          <w:bCs/>
          <w:color w:val="auto"/>
          <w:sz w:val="24"/>
          <w:szCs w:val="24"/>
          <w:highlight w:val="none"/>
          <w:lang w:val="en-US" w:eastAsia="zh-CN"/>
        </w:rPr>
      </w:pPr>
      <w:bookmarkStart w:id="88" w:name="_Toc16377"/>
      <w:r>
        <w:rPr>
          <w:rFonts w:hint="eastAsia" w:ascii="Times New Roman" w:hAnsi="Times New Roman"/>
          <w:b/>
          <w:bCs/>
          <w:color w:val="auto"/>
          <w:sz w:val="24"/>
          <w:szCs w:val="24"/>
          <w:highlight w:val="none"/>
          <w:lang w:val="en-US" w:eastAsia="zh-CN"/>
        </w:rPr>
        <w:t>2.7评价重点</w:t>
      </w:r>
      <w:bookmarkEnd w:id="87"/>
      <w:bookmarkEnd w:id="88"/>
    </w:p>
    <w:p w14:paraId="4B3FC52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t>结合本工程的特点及周围环境特征</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确定本次电磁环境专题评价工作重点为：</w:t>
      </w:r>
      <w:r>
        <w:rPr>
          <w:rFonts w:hint="eastAsia" w:cs="Times New Roman"/>
          <w:color w:val="auto"/>
          <w:kern w:val="0"/>
          <w:sz w:val="24"/>
          <w:szCs w:val="24"/>
          <w:highlight w:val="none"/>
          <w:lang w:val="en-US" w:eastAsia="zh-CN" w:bidi="ar"/>
        </w:rPr>
        <w:t>送出线路</w:t>
      </w:r>
      <w:r>
        <w:rPr>
          <w:rFonts w:hint="eastAsia" w:ascii="Times New Roman" w:hAnsi="Times New Roman" w:eastAsia="宋体" w:cs="Times New Roman"/>
          <w:color w:val="auto"/>
          <w:kern w:val="0"/>
          <w:sz w:val="24"/>
          <w:szCs w:val="24"/>
          <w:highlight w:val="none"/>
          <w:lang w:val="en-US" w:eastAsia="zh-CN" w:bidi="ar"/>
        </w:rPr>
        <w:t>电磁环境影响预测与分析。</w:t>
      </w:r>
    </w:p>
    <w:p w14:paraId="542E9A18">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outlineLvl w:val="1"/>
        <w:rPr>
          <w:rFonts w:hint="eastAsia" w:ascii="Times New Roman" w:hAnsi="Times New Roman"/>
          <w:b/>
          <w:bCs/>
          <w:color w:val="auto"/>
          <w:sz w:val="24"/>
          <w:szCs w:val="24"/>
          <w:highlight w:val="none"/>
          <w:lang w:val="en-US" w:eastAsia="zh-CN"/>
        </w:rPr>
      </w:pPr>
      <w:bookmarkStart w:id="89" w:name="_Toc2680"/>
      <w:bookmarkStart w:id="90" w:name="_Toc26915"/>
      <w:r>
        <w:rPr>
          <w:rFonts w:hint="eastAsia" w:ascii="Times New Roman" w:hAnsi="Times New Roman"/>
          <w:b/>
          <w:bCs/>
          <w:color w:val="auto"/>
          <w:sz w:val="24"/>
          <w:szCs w:val="24"/>
          <w:highlight w:val="none"/>
          <w:lang w:val="en-US" w:eastAsia="zh-CN"/>
        </w:rPr>
        <w:t>2.8电磁环境敏感目标</w:t>
      </w:r>
      <w:bookmarkEnd w:id="89"/>
      <w:bookmarkEnd w:id="90"/>
    </w:p>
    <w:p w14:paraId="18275B4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根据《环境影响评价技术导则输变电》（</w:t>
      </w:r>
      <w:r>
        <w:rPr>
          <w:rFonts w:hint="default"/>
          <w:color w:val="auto"/>
          <w:sz w:val="24"/>
          <w:szCs w:val="24"/>
          <w:highlight w:val="none"/>
          <w:lang w:val="en-US" w:eastAsia="zh-CN"/>
        </w:rPr>
        <w:t>HJ24-2020</w:t>
      </w:r>
      <w:r>
        <w:rPr>
          <w:rFonts w:hint="eastAsia"/>
          <w:color w:val="auto"/>
          <w:sz w:val="24"/>
          <w:szCs w:val="24"/>
          <w:highlight w:val="none"/>
          <w:lang w:val="en-US" w:eastAsia="zh-CN"/>
        </w:rPr>
        <w:t>）所确定的电磁环境影响评价范围，本项目不存在电磁环境影响敏感目标。</w:t>
      </w:r>
    </w:p>
    <w:p w14:paraId="3F453392">
      <w:pPr>
        <w:rPr>
          <w:rFonts w:hint="eastAsia" w:ascii="Times New Roman" w:hAnsi="Times New Roman"/>
          <w:b/>
          <w:bCs/>
          <w:color w:val="auto"/>
          <w:sz w:val="24"/>
          <w:szCs w:val="24"/>
          <w:highlight w:val="none"/>
          <w:lang w:val="en-US" w:eastAsia="zh-CN"/>
        </w:rPr>
      </w:pPr>
      <w:r>
        <w:rPr>
          <w:rFonts w:hint="eastAsia" w:ascii="Times New Roman" w:hAnsi="Times New Roman"/>
          <w:b/>
          <w:bCs/>
          <w:color w:val="auto"/>
          <w:sz w:val="24"/>
          <w:szCs w:val="24"/>
          <w:highlight w:val="none"/>
          <w:lang w:val="en-US" w:eastAsia="zh-CN"/>
        </w:rPr>
        <w:br w:type="page"/>
      </w:r>
    </w:p>
    <w:p w14:paraId="43E1BF49">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outlineLvl w:val="0"/>
        <w:rPr>
          <w:rFonts w:hint="default" w:ascii="Times New Roman" w:hAnsi="Times New Roman"/>
          <w:b/>
          <w:bCs/>
          <w:color w:val="auto"/>
          <w:sz w:val="24"/>
          <w:szCs w:val="24"/>
          <w:highlight w:val="none"/>
          <w:lang w:val="en-US" w:eastAsia="zh-CN"/>
        </w:rPr>
      </w:pPr>
      <w:bookmarkStart w:id="91" w:name="_Toc24312"/>
      <w:bookmarkStart w:id="92" w:name="_Toc22407"/>
      <w:bookmarkStart w:id="93" w:name="_Toc21071"/>
      <w:r>
        <w:rPr>
          <w:rFonts w:hint="eastAsia" w:ascii="Times New Roman" w:hAnsi="Times New Roman"/>
          <w:b/>
          <w:bCs/>
          <w:color w:val="auto"/>
          <w:sz w:val="24"/>
          <w:szCs w:val="24"/>
          <w:highlight w:val="none"/>
          <w:lang w:val="en-US" w:eastAsia="zh-CN"/>
        </w:rPr>
        <w:t>3、项目概况与分析</w:t>
      </w:r>
      <w:bookmarkEnd w:id="91"/>
      <w:bookmarkEnd w:id="92"/>
      <w:bookmarkEnd w:id="93"/>
    </w:p>
    <w:p w14:paraId="71EECBBC">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2" w:firstLineChars="200"/>
        <w:jc w:val="both"/>
        <w:textAlignment w:val="auto"/>
        <w:rPr>
          <w:rFonts w:hint="eastAsia" w:cs="Times New Roman"/>
          <w:b/>
          <w:bCs/>
          <w:color w:val="auto"/>
          <w:spacing w:val="0"/>
          <w:w w:val="100"/>
          <w:sz w:val="24"/>
          <w:szCs w:val="24"/>
          <w:highlight w:val="none"/>
          <w:lang w:val="en-US" w:eastAsia="zh-CN"/>
        </w:rPr>
      </w:pPr>
      <w:r>
        <w:rPr>
          <w:rFonts w:hint="eastAsia" w:cs="Times New Roman"/>
          <w:b/>
          <w:bCs/>
          <w:color w:val="auto"/>
          <w:spacing w:val="0"/>
          <w:w w:val="100"/>
          <w:sz w:val="24"/>
          <w:szCs w:val="24"/>
          <w:highlight w:val="none"/>
          <w:lang w:val="en-US" w:eastAsia="zh-CN"/>
        </w:rPr>
        <w:t>3.1项目概况</w:t>
      </w:r>
    </w:p>
    <w:p w14:paraId="74E95474">
      <w:pPr>
        <w:pStyle w:val="9"/>
        <w:keepNext w:val="0"/>
        <w:keepLines w:val="0"/>
        <w:pageBreakBefore w:val="0"/>
        <w:widowControl w:val="0"/>
        <w:kinsoku/>
        <w:wordWrap/>
        <w:overflowPunct/>
        <w:topLinePunct w:val="0"/>
        <w:autoSpaceDE/>
        <w:autoSpaceDN/>
        <w:bidi w:val="0"/>
        <w:adjustRightInd w:val="0"/>
        <w:snapToGrid w:val="0"/>
        <w:spacing w:line="360" w:lineRule="auto"/>
        <w:ind w:left="1919" w:leftChars="228" w:right="0" w:hanging="1440" w:hangingChars="600"/>
        <w:textAlignment w:val="auto"/>
        <w:rPr>
          <w:rFonts w:hint="eastAsia" w:ascii="Times New Roman" w:hAnsi="Times New Roman" w:eastAsia="宋体" w:cs="Times New Roman"/>
          <w:b w:val="0"/>
          <w:bCs w:val="0"/>
          <w:color w:val="auto"/>
          <w:spacing w:val="0"/>
          <w:w w:val="100"/>
          <w:sz w:val="24"/>
          <w:szCs w:val="24"/>
          <w:highlight w:val="none"/>
          <w:lang w:val="en-US" w:eastAsia="zh-CN"/>
        </w:rPr>
      </w:pPr>
      <w:r>
        <w:rPr>
          <w:rFonts w:hint="eastAsia" w:ascii="Times New Roman" w:hAnsi="Times New Roman" w:eastAsia="宋体" w:cs="Times New Roman"/>
          <w:b w:val="0"/>
          <w:bCs w:val="0"/>
          <w:color w:val="auto"/>
          <w:spacing w:val="0"/>
          <w:w w:val="100"/>
          <w:sz w:val="24"/>
          <w:szCs w:val="24"/>
          <w:highlight w:val="none"/>
          <w:lang w:val="en-US" w:eastAsia="zh-CN"/>
        </w:rPr>
        <w:t>1）项目名称：华能围场“风光储氢热一体化”项目（风电200MW）项目220kV送出线路工程</w:t>
      </w:r>
    </w:p>
    <w:p w14:paraId="47659AF3">
      <w:pPr>
        <w:pStyle w:val="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建设性质：新建</w:t>
      </w:r>
    </w:p>
    <w:p w14:paraId="6B4B5A33">
      <w:pPr>
        <w:pStyle w:val="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建设单位</w:t>
      </w:r>
      <w:r>
        <w:rPr>
          <w:rFonts w:hint="eastAsia" w:ascii="Times New Roman" w:hAnsi="Times New Roman" w:eastAsia="宋体" w:cs="Times New Roman"/>
          <w:color w:val="auto"/>
          <w:sz w:val="24"/>
          <w:szCs w:val="24"/>
          <w:highlight w:val="none"/>
          <w:lang w:val="en-US" w:eastAsia="zh-CN"/>
        </w:rPr>
        <w:t>：围场满族蒙古族自治县阳洁光伏发电有限责任公司</w:t>
      </w:r>
    </w:p>
    <w:p w14:paraId="0EA92E03">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0" w:firstLineChars="200"/>
        <w:jc w:val="both"/>
        <w:textAlignment w:val="auto"/>
        <w:rPr>
          <w:rFonts w:hint="eastAsia" w:cs="Times New Roman"/>
          <w:b w:val="0"/>
          <w:bCs w:val="0"/>
          <w:color w:val="auto"/>
          <w:spacing w:val="0"/>
          <w:w w:val="100"/>
          <w:sz w:val="24"/>
          <w:szCs w:val="24"/>
          <w:highlight w:val="none"/>
          <w:lang w:val="en-US" w:eastAsia="zh-CN"/>
        </w:rPr>
      </w:pPr>
      <w:r>
        <w:rPr>
          <w:rFonts w:hint="eastAsia" w:cs="Times New Roman"/>
          <w:b w:val="0"/>
          <w:bCs w:val="0"/>
          <w:color w:val="auto"/>
          <w:spacing w:val="0"/>
          <w:w w:val="100"/>
          <w:sz w:val="24"/>
          <w:szCs w:val="24"/>
          <w:highlight w:val="none"/>
          <w:lang w:val="en-US" w:eastAsia="zh-CN"/>
        </w:rPr>
        <w:t>4</w:t>
      </w:r>
      <w:r>
        <w:rPr>
          <w:rFonts w:hint="eastAsia" w:ascii="Times New Roman" w:hAnsi="Times New Roman" w:eastAsia="宋体" w:cs="Times New Roman"/>
          <w:b w:val="0"/>
          <w:bCs w:val="0"/>
          <w:color w:val="auto"/>
          <w:spacing w:val="0"/>
          <w:w w:val="100"/>
          <w:sz w:val="24"/>
          <w:szCs w:val="24"/>
          <w:highlight w:val="none"/>
          <w:lang w:val="en-US" w:eastAsia="zh-CN"/>
        </w:rPr>
        <w:t>）</w:t>
      </w:r>
      <w:r>
        <w:rPr>
          <w:rFonts w:hint="default" w:ascii="Times New Roman" w:hAnsi="Times New Roman" w:eastAsia="宋体" w:cs="Times New Roman"/>
          <w:b w:val="0"/>
          <w:bCs w:val="0"/>
          <w:color w:val="auto"/>
          <w:spacing w:val="0"/>
          <w:w w:val="100"/>
          <w:sz w:val="24"/>
          <w:szCs w:val="24"/>
          <w:highlight w:val="none"/>
          <w:lang w:val="en-US" w:eastAsia="zh-CN"/>
        </w:rPr>
        <w:t>建设地点</w:t>
      </w:r>
      <w:r>
        <w:rPr>
          <w:rFonts w:hint="eastAsia" w:ascii="Times New Roman" w:hAnsi="Times New Roman" w:eastAsia="宋体" w:cs="Times New Roman"/>
          <w:b w:val="0"/>
          <w:bCs w:val="0"/>
          <w:color w:val="auto"/>
          <w:spacing w:val="0"/>
          <w:w w:val="100"/>
          <w:sz w:val="24"/>
          <w:szCs w:val="24"/>
          <w:highlight w:val="none"/>
          <w:lang w:val="en-US" w:eastAsia="zh-CN"/>
        </w:rPr>
        <w:t>：</w:t>
      </w:r>
      <w:r>
        <w:rPr>
          <w:rFonts w:hint="default" w:ascii="Times New Roman" w:hAnsi="Times New Roman" w:eastAsia="宋体" w:cs="Times New Roman"/>
          <w:b w:val="0"/>
          <w:bCs w:val="0"/>
          <w:color w:val="auto"/>
          <w:spacing w:val="0"/>
          <w:w w:val="100"/>
          <w:sz w:val="24"/>
          <w:szCs w:val="24"/>
          <w:highlight w:val="none"/>
          <w:lang w:val="en-US" w:eastAsia="zh-CN"/>
        </w:rPr>
        <w:t>线路位于河北省承德市围场满族蒙古族自治县城子镇、牌楼乡、燕格柏乡和半截塔镇。</w:t>
      </w:r>
    </w:p>
    <w:p w14:paraId="57B69773">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0" w:firstLineChars="200"/>
        <w:jc w:val="both"/>
        <w:textAlignment w:val="auto"/>
        <w:rPr>
          <w:rFonts w:hint="default" w:ascii="Times New Roman" w:hAnsi="Times New Roman" w:eastAsia="宋体" w:cs="Times New Roman"/>
          <w:b w:val="0"/>
          <w:bCs w:val="0"/>
          <w:color w:val="auto"/>
          <w:spacing w:val="0"/>
          <w:w w:val="100"/>
          <w:sz w:val="24"/>
          <w:szCs w:val="24"/>
          <w:highlight w:val="none"/>
          <w:lang w:val="en-US" w:eastAsia="zh-CN"/>
        </w:rPr>
      </w:pPr>
      <w:r>
        <w:rPr>
          <w:rFonts w:hint="eastAsia" w:cs="Times New Roman"/>
          <w:b w:val="0"/>
          <w:bCs w:val="0"/>
          <w:color w:val="auto"/>
          <w:spacing w:val="0"/>
          <w:w w:val="100"/>
          <w:sz w:val="24"/>
          <w:szCs w:val="24"/>
          <w:highlight w:val="none"/>
          <w:lang w:val="en-US" w:eastAsia="zh-CN"/>
        </w:rPr>
        <w:t>5</w:t>
      </w:r>
      <w:r>
        <w:rPr>
          <w:rFonts w:hint="eastAsia" w:ascii="Times New Roman" w:hAnsi="Times New Roman" w:eastAsia="宋体" w:cs="Times New Roman"/>
          <w:b w:val="0"/>
          <w:bCs w:val="0"/>
          <w:color w:val="auto"/>
          <w:spacing w:val="0"/>
          <w:w w:val="100"/>
          <w:sz w:val="24"/>
          <w:szCs w:val="24"/>
          <w:highlight w:val="none"/>
          <w:lang w:val="en-US" w:eastAsia="zh-CN"/>
        </w:rPr>
        <w:t>）</w:t>
      </w:r>
      <w:r>
        <w:rPr>
          <w:rFonts w:hint="eastAsia" w:cs="Times New Roman"/>
          <w:b w:val="0"/>
          <w:bCs w:val="0"/>
          <w:color w:val="auto"/>
          <w:spacing w:val="0"/>
          <w:w w:val="100"/>
          <w:sz w:val="24"/>
          <w:szCs w:val="24"/>
          <w:highlight w:val="none"/>
          <w:lang w:val="en-US" w:eastAsia="zh-CN"/>
        </w:rPr>
        <w:t>建设</w:t>
      </w:r>
      <w:r>
        <w:rPr>
          <w:rFonts w:hint="eastAsia" w:ascii="Times New Roman" w:hAnsi="Times New Roman" w:eastAsia="宋体" w:cs="Times New Roman"/>
          <w:b w:val="0"/>
          <w:bCs w:val="0"/>
          <w:color w:val="auto"/>
          <w:spacing w:val="0"/>
          <w:w w:val="100"/>
          <w:sz w:val="24"/>
          <w:szCs w:val="24"/>
          <w:highlight w:val="none"/>
          <w:lang w:val="en-US" w:eastAsia="zh-CN"/>
        </w:rPr>
        <w:t>规模和内容</w:t>
      </w:r>
      <w:r>
        <w:rPr>
          <w:rFonts w:hint="eastAsia" w:cs="Times New Roman"/>
          <w:b w:val="0"/>
          <w:bCs w:val="0"/>
          <w:color w:val="auto"/>
          <w:spacing w:val="0"/>
          <w:w w:val="100"/>
          <w:sz w:val="24"/>
          <w:szCs w:val="24"/>
          <w:highlight w:val="none"/>
          <w:lang w:val="en-US" w:eastAsia="zh-CN"/>
        </w:rPr>
        <w:t>：</w:t>
      </w:r>
    </w:p>
    <w:p w14:paraId="5ACE4777">
      <w:pPr>
        <w:keepNext w:val="0"/>
        <w:keepLines/>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right="0" w:rightChars="0" w:firstLine="480" w:firstLineChars="200"/>
        <w:jc w:val="both"/>
        <w:textAlignment w:val="auto"/>
        <w:rPr>
          <w:rFonts w:hint="eastAsia" w:ascii="Times New Roman" w:hAnsi="Times New Roman" w:cs="Times New Roman"/>
          <w:b w:val="0"/>
          <w:bCs w:val="0"/>
          <w:spacing w:val="-3"/>
          <w:sz w:val="24"/>
          <w:szCs w:val="24"/>
          <w:lang w:val="en-US" w:eastAsia="zh-CN"/>
        </w:rPr>
      </w:pPr>
      <w:r>
        <w:rPr>
          <w:rFonts w:hint="eastAsia" w:ascii="Times New Roman" w:hAnsi="Times New Roman" w:eastAsia="宋体" w:cs="Times New Roman"/>
          <w:b w:val="0"/>
          <w:bCs w:val="0"/>
          <w:color w:val="auto"/>
          <w:spacing w:val="0"/>
          <w:w w:val="100"/>
          <w:sz w:val="24"/>
          <w:szCs w:val="24"/>
          <w:highlight w:val="none"/>
          <w:lang w:val="en-US" w:eastAsia="zh-CN"/>
        </w:rPr>
        <w:t>本项目为新建</w:t>
      </w:r>
      <w:r>
        <w:rPr>
          <w:rFonts w:hint="default" w:ascii="Times New Roman" w:hAnsi="Times New Roman" w:cs="Times New Roman"/>
          <w:b w:val="0"/>
          <w:bCs w:val="0"/>
          <w:spacing w:val="-3"/>
          <w:sz w:val="24"/>
          <w:szCs w:val="24"/>
          <w:lang w:val="en-US" w:eastAsia="zh-CN"/>
        </w:rPr>
        <w:t>华能风电220kV升压站</w:t>
      </w:r>
      <w:r>
        <w:rPr>
          <w:rFonts w:hint="eastAsia" w:ascii="Times New Roman" w:hAnsi="Times New Roman" w:cs="Times New Roman"/>
          <w:b w:val="0"/>
          <w:bCs w:val="0"/>
          <w:spacing w:val="-3"/>
          <w:sz w:val="24"/>
          <w:szCs w:val="24"/>
          <w:lang w:val="en-US" w:eastAsia="zh-CN"/>
        </w:rPr>
        <w:t>~牌楼500kV变电站线路工程；线路路径长度为29.9km，全线单回路铁塔架设。新建95基塔，其中直线塔62基，耐张塔33基；导线采用2×JL/G1A-630/45钢芯铝绞线。</w:t>
      </w:r>
    </w:p>
    <w:p w14:paraId="40241529">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0" w:firstLineChars="200"/>
        <w:jc w:val="both"/>
        <w:textAlignment w:val="auto"/>
        <w:rPr>
          <w:rFonts w:hint="default" w:ascii="Times New Roman" w:hAnsi="Times New Roman" w:eastAsia="宋体" w:cs="Times New Roman"/>
          <w:b w:val="0"/>
          <w:bCs w:val="0"/>
          <w:color w:val="auto"/>
          <w:spacing w:val="0"/>
          <w:w w:val="100"/>
          <w:sz w:val="24"/>
          <w:szCs w:val="24"/>
          <w:highlight w:val="none"/>
          <w:lang w:val="en-US" w:eastAsia="zh-CN"/>
        </w:rPr>
      </w:pPr>
      <w:r>
        <w:rPr>
          <w:rFonts w:hint="default" w:ascii="Times New Roman" w:hAnsi="Times New Roman" w:eastAsia="宋体" w:cs="Times New Roman"/>
          <w:b w:val="0"/>
          <w:bCs w:val="0"/>
          <w:color w:val="auto"/>
          <w:spacing w:val="0"/>
          <w:w w:val="100"/>
          <w:sz w:val="24"/>
          <w:szCs w:val="24"/>
          <w:highlight w:val="none"/>
          <w:lang w:val="en-US" w:eastAsia="zh-CN"/>
        </w:rPr>
        <w:t>本工程主要技术、经济特性</w:t>
      </w:r>
    </w:p>
    <w:p w14:paraId="5FE36E8B">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0" w:firstLineChars="200"/>
        <w:jc w:val="both"/>
        <w:textAlignment w:val="auto"/>
        <w:rPr>
          <w:rFonts w:hint="default" w:ascii="Times New Roman" w:hAnsi="Times New Roman" w:eastAsia="宋体" w:cs="Times New Roman"/>
          <w:b w:val="0"/>
          <w:bCs w:val="0"/>
          <w:color w:val="auto"/>
          <w:spacing w:val="0"/>
          <w:w w:val="100"/>
          <w:sz w:val="24"/>
          <w:szCs w:val="24"/>
          <w:highlight w:val="none"/>
          <w:lang w:val="en-US" w:eastAsia="zh-CN"/>
        </w:rPr>
      </w:pPr>
    </w:p>
    <w:p w14:paraId="774790C3">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2" w:firstLineChars="200"/>
        <w:jc w:val="center"/>
        <w:textAlignment w:val="auto"/>
        <w:rPr>
          <w:rFonts w:hint="default" w:ascii="Times New Roman" w:hAnsi="Times New Roman" w:eastAsia="宋体" w:cs="Times New Roman"/>
          <w:b/>
          <w:bCs/>
          <w:color w:val="auto"/>
          <w:spacing w:val="0"/>
          <w:w w:val="100"/>
          <w:sz w:val="24"/>
          <w:szCs w:val="24"/>
          <w:highlight w:val="none"/>
          <w:lang w:val="en-US" w:eastAsia="zh-CN"/>
        </w:rPr>
      </w:pPr>
      <w:r>
        <w:rPr>
          <w:rFonts w:hint="default" w:ascii="Times New Roman" w:hAnsi="Times New Roman" w:eastAsia="宋体" w:cs="Times New Roman"/>
          <w:b/>
          <w:bCs/>
          <w:color w:val="auto"/>
          <w:spacing w:val="0"/>
          <w:w w:val="100"/>
          <w:sz w:val="24"/>
          <w:szCs w:val="24"/>
          <w:highlight w:val="none"/>
          <w:lang w:val="en-US" w:eastAsia="zh-CN"/>
        </w:rPr>
        <w:t>表</w:t>
      </w:r>
      <w:r>
        <w:rPr>
          <w:rFonts w:hint="eastAsia" w:cs="Times New Roman"/>
          <w:b/>
          <w:bCs/>
          <w:color w:val="auto"/>
          <w:spacing w:val="0"/>
          <w:w w:val="100"/>
          <w:sz w:val="24"/>
          <w:szCs w:val="24"/>
          <w:highlight w:val="none"/>
          <w:lang w:val="en-US" w:eastAsia="zh-CN"/>
        </w:rPr>
        <w:t>3-1</w:t>
      </w:r>
      <w:r>
        <w:rPr>
          <w:rFonts w:hint="eastAsia" w:ascii="Times New Roman" w:hAnsi="Times New Roman" w:eastAsia="宋体" w:cs="Times New Roman"/>
          <w:b/>
          <w:bCs/>
          <w:color w:val="auto"/>
          <w:spacing w:val="0"/>
          <w:w w:val="100"/>
          <w:sz w:val="24"/>
          <w:szCs w:val="24"/>
          <w:highlight w:val="none"/>
          <w:lang w:val="en-US" w:eastAsia="zh-CN"/>
        </w:rPr>
        <w:t>本项目</w:t>
      </w:r>
      <w:r>
        <w:rPr>
          <w:rFonts w:hint="default" w:ascii="Times New Roman" w:hAnsi="Times New Roman" w:eastAsia="宋体" w:cs="Times New Roman"/>
          <w:b/>
          <w:bCs/>
          <w:color w:val="auto"/>
          <w:spacing w:val="0"/>
          <w:w w:val="100"/>
          <w:sz w:val="24"/>
          <w:szCs w:val="24"/>
          <w:highlight w:val="none"/>
          <w:lang w:val="en-US" w:eastAsia="zh-CN"/>
        </w:rPr>
        <w:t>工程概况</w:t>
      </w:r>
    </w:p>
    <w:tbl>
      <w:tblPr>
        <w:tblStyle w:val="25"/>
        <w:tblW w:w="4950" w:type="pct"/>
        <w:tblInd w:w="5" w:type="dxa"/>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1765"/>
        <w:gridCol w:w="6991"/>
      </w:tblGrid>
      <w:tr w14:paraId="17332C86">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35" w:hRule="atLeast"/>
        </w:trPr>
        <w:tc>
          <w:tcPr>
            <w:tcW w:w="1765" w:type="dxa"/>
            <w:tcBorders>
              <w:tl2br w:val="nil"/>
              <w:tr2bl w:val="nil"/>
            </w:tcBorders>
            <w:noWrap w:val="0"/>
            <w:vAlign w:val="center"/>
          </w:tcPr>
          <w:p w14:paraId="3A5D9FE5">
            <w:pPr>
              <w:keepNext w:val="0"/>
              <w:keepLines/>
              <w:pageBreakBefore w:val="0"/>
              <w:widowControl w:val="0"/>
              <w:kinsoku/>
              <w:wordWrap/>
              <w:overflowPunct/>
              <w:topLinePunct w:val="0"/>
              <w:bidi w:val="0"/>
              <w:adjustRightInd w:val="0"/>
              <w:snapToGrid w:val="0"/>
              <w:spacing w:before="62" w:line="360" w:lineRule="auto"/>
              <w:jc w:val="center"/>
              <w:rPr>
                <w:rFonts w:hint="eastAsia" w:ascii="Times New Roman" w:hAnsi="Times New Roman" w:eastAsia="宋体" w:cs="Times New Roman"/>
                <w:i w:val="0"/>
                <w:color w:val="auto"/>
                <w:kern w:val="0"/>
                <w:sz w:val="21"/>
                <w:szCs w:val="21"/>
                <w:highlight w:val="none"/>
                <w:u w:val="none"/>
                <w:lang w:val="en-US" w:eastAsia="zh-CN" w:bidi="ar"/>
              </w:rPr>
            </w:pPr>
            <w:r>
              <w:rPr>
                <w:rFonts w:ascii="宋体" w:hAnsi="宋体" w:eastAsia="宋体" w:cs="宋体"/>
                <w:spacing w:val="-3"/>
                <w:sz w:val="21"/>
                <w:szCs w:val="21"/>
                <w:highlight w:val="none"/>
              </w:rPr>
              <w:t>线</w:t>
            </w:r>
            <w:r>
              <w:rPr>
                <w:rFonts w:ascii="宋体" w:hAnsi="宋体" w:eastAsia="宋体" w:cs="宋体"/>
                <w:spacing w:val="-2"/>
                <w:sz w:val="21"/>
                <w:szCs w:val="21"/>
                <w:highlight w:val="none"/>
              </w:rPr>
              <w:t>路名称</w:t>
            </w:r>
            <w:r>
              <w:rPr>
                <w:rFonts w:ascii="宋体" w:hAnsi="宋体" w:eastAsia="宋体" w:cs="宋体"/>
                <w:spacing w:val="13"/>
                <w:sz w:val="21"/>
                <w:szCs w:val="21"/>
                <w:highlight w:val="none"/>
              </w:rPr>
              <w:t>项</w:t>
            </w:r>
            <w:r>
              <w:rPr>
                <w:rFonts w:ascii="宋体" w:hAnsi="宋体" w:eastAsia="宋体" w:cs="宋体"/>
                <w:spacing w:val="12"/>
                <w:sz w:val="21"/>
                <w:szCs w:val="21"/>
                <w:highlight w:val="none"/>
              </w:rPr>
              <w:t>目</w:t>
            </w:r>
          </w:p>
        </w:tc>
        <w:tc>
          <w:tcPr>
            <w:tcW w:w="6991" w:type="dxa"/>
            <w:tcBorders>
              <w:tl2br w:val="nil"/>
              <w:tr2bl w:val="nil"/>
            </w:tcBorders>
            <w:noWrap w:val="0"/>
            <w:vAlign w:val="center"/>
          </w:tcPr>
          <w:p w14:paraId="76785E18">
            <w:pPr>
              <w:pStyle w:val="24"/>
              <w:keepNext w:val="0"/>
              <w:keepLines/>
              <w:pageBreakBefore w:val="0"/>
              <w:widowControl w:val="0"/>
              <w:kinsoku/>
              <w:wordWrap/>
              <w:overflowPunct/>
              <w:topLinePunct w:val="0"/>
              <w:bidi w:val="0"/>
              <w:adjustRightInd w:val="0"/>
              <w:snapToGrid w:val="0"/>
              <w:spacing w:before="92" w:line="220" w:lineRule="auto"/>
              <w:jc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sz w:val="21"/>
                <w:szCs w:val="21"/>
                <w:highlight w:val="none"/>
              </w:rPr>
              <w:t>华能围场“风光储氢热一体化”项目（风电200MW）项目220kV送出线路工程</w:t>
            </w:r>
          </w:p>
        </w:tc>
      </w:tr>
      <w:tr w14:paraId="55F5DE2F">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7" w:hRule="atLeast"/>
        </w:trPr>
        <w:tc>
          <w:tcPr>
            <w:tcW w:w="1765" w:type="dxa"/>
            <w:tcBorders>
              <w:tl2br w:val="nil"/>
              <w:tr2bl w:val="nil"/>
            </w:tcBorders>
            <w:noWrap w:val="0"/>
            <w:vAlign w:val="center"/>
          </w:tcPr>
          <w:p w14:paraId="2E20B610">
            <w:pPr>
              <w:keepNext w:val="0"/>
              <w:keepLines/>
              <w:pageBreakBefore w:val="0"/>
              <w:widowControl w:val="0"/>
              <w:kinsoku/>
              <w:wordWrap/>
              <w:overflowPunct/>
              <w:topLinePunct w:val="0"/>
              <w:bidi w:val="0"/>
              <w:adjustRightInd w:val="0"/>
              <w:snapToGrid w:val="0"/>
              <w:spacing w:before="95" w:line="360" w:lineRule="auto"/>
              <w:jc w:val="center"/>
              <w:rPr>
                <w:rFonts w:hint="eastAsia" w:ascii="Times New Roman" w:hAnsi="Times New Roman" w:eastAsia="宋体" w:cs="Times New Roman"/>
                <w:i w:val="0"/>
                <w:color w:val="auto"/>
                <w:kern w:val="0"/>
                <w:sz w:val="21"/>
                <w:szCs w:val="21"/>
                <w:highlight w:val="none"/>
                <w:u w:val="none"/>
                <w:lang w:val="en-US" w:eastAsia="zh-CN" w:bidi="ar"/>
              </w:rPr>
            </w:pPr>
            <w:r>
              <w:rPr>
                <w:rFonts w:ascii="宋体" w:hAnsi="宋体" w:eastAsia="宋体" w:cs="宋体"/>
                <w:spacing w:val="-2"/>
                <w:sz w:val="21"/>
                <w:szCs w:val="21"/>
                <w:highlight w:val="none"/>
              </w:rPr>
              <w:t>起点</w:t>
            </w:r>
          </w:p>
        </w:tc>
        <w:tc>
          <w:tcPr>
            <w:tcW w:w="6991" w:type="dxa"/>
            <w:tcBorders>
              <w:tl2br w:val="nil"/>
              <w:tr2bl w:val="nil"/>
            </w:tcBorders>
            <w:noWrap w:val="0"/>
            <w:vAlign w:val="center"/>
          </w:tcPr>
          <w:p w14:paraId="5888528A">
            <w:pPr>
              <w:pStyle w:val="24"/>
              <w:keepNext w:val="0"/>
              <w:keepLines/>
              <w:pageBreakBefore w:val="0"/>
              <w:widowControl w:val="0"/>
              <w:kinsoku/>
              <w:wordWrap/>
              <w:overflowPunct/>
              <w:topLinePunct w:val="0"/>
              <w:bidi w:val="0"/>
              <w:adjustRightInd w:val="0"/>
              <w:snapToGrid w:val="0"/>
              <w:spacing w:before="100" w:line="220" w:lineRule="auto"/>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2"/>
                <w:sz w:val="21"/>
                <w:szCs w:val="21"/>
              </w:rPr>
              <w:t>华能风电220kV升压站</w:t>
            </w:r>
          </w:p>
        </w:tc>
      </w:tr>
      <w:tr w14:paraId="22D7C020">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7" w:hRule="atLeast"/>
        </w:trPr>
        <w:tc>
          <w:tcPr>
            <w:tcW w:w="1765" w:type="dxa"/>
            <w:tcBorders>
              <w:tl2br w:val="nil"/>
              <w:tr2bl w:val="nil"/>
            </w:tcBorders>
            <w:noWrap w:val="0"/>
            <w:vAlign w:val="center"/>
          </w:tcPr>
          <w:p w14:paraId="46319D17">
            <w:pPr>
              <w:keepNext w:val="0"/>
              <w:keepLines/>
              <w:pageBreakBefore w:val="0"/>
              <w:widowControl w:val="0"/>
              <w:kinsoku/>
              <w:wordWrap/>
              <w:overflowPunct/>
              <w:topLinePunct w:val="0"/>
              <w:bidi w:val="0"/>
              <w:adjustRightInd w:val="0"/>
              <w:snapToGrid w:val="0"/>
              <w:spacing w:before="95" w:line="360" w:lineRule="auto"/>
              <w:jc w:val="center"/>
              <w:rPr>
                <w:rFonts w:hint="eastAsia" w:ascii="Times New Roman" w:hAnsi="Times New Roman" w:eastAsia="宋体" w:cs="Times New Roman"/>
                <w:i w:val="0"/>
                <w:color w:val="auto"/>
                <w:kern w:val="0"/>
                <w:sz w:val="21"/>
                <w:szCs w:val="21"/>
                <w:highlight w:val="none"/>
                <w:u w:val="none"/>
                <w:lang w:val="en-US" w:eastAsia="zh-CN" w:bidi="ar"/>
              </w:rPr>
            </w:pPr>
            <w:r>
              <w:rPr>
                <w:rFonts w:ascii="宋体" w:hAnsi="宋体" w:eastAsia="宋体" w:cs="宋体"/>
                <w:spacing w:val="-3"/>
                <w:sz w:val="21"/>
                <w:szCs w:val="21"/>
                <w:highlight w:val="none"/>
              </w:rPr>
              <w:t>终</w:t>
            </w:r>
            <w:r>
              <w:rPr>
                <w:rFonts w:ascii="宋体" w:hAnsi="宋体" w:eastAsia="宋体" w:cs="宋体"/>
                <w:spacing w:val="-2"/>
                <w:sz w:val="21"/>
                <w:szCs w:val="21"/>
                <w:highlight w:val="none"/>
              </w:rPr>
              <w:t>点</w:t>
            </w:r>
          </w:p>
        </w:tc>
        <w:tc>
          <w:tcPr>
            <w:tcW w:w="6991" w:type="dxa"/>
            <w:tcBorders>
              <w:tl2br w:val="nil"/>
              <w:tr2bl w:val="nil"/>
            </w:tcBorders>
            <w:noWrap w:val="0"/>
            <w:vAlign w:val="center"/>
          </w:tcPr>
          <w:p w14:paraId="71213D73">
            <w:pPr>
              <w:pStyle w:val="24"/>
              <w:keepNext w:val="0"/>
              <w:keepLines/>
              <w:pageBreakBefore w:val="0"/>
              <w:widowControl w:val="0"/>
              <w:kinsoku/>
              <w:wordWrap/>
              <w:overflowPunct/>
              <w:topLinePunct w:val="0"/>
              <w:bidi w:val="0"/>
              <w:adjustRightInd w:val="0"/>
              <w:snapToGrid w:val="0"/>
              <w:spacing w:before="102" w:line="221" w:lineRule="auto"/>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pacing w:val="-2"/>
                <w:sz w:val="21"/>
                <w:szCs w:val="21"/>
              </w:rPr>
              <w:t>牌楼500kV变电站</w:t>
            </w:r>
          </w:p>
        </w:tc>
      </w:tr>
      <w:tr w14:paraId="5672B080">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7" w:hRule="atLeast"/>
        </w:trPr>
        <w:tc>
          <w:tcPr>
            <w:tcW w:w="1765" w:type="dxa"/>
            <w:tcBorders>
              <w:tl2br w:val="nil"/>
              <w:tr2bl w:val="nil"/>
            </w:tcBorders>
            <w:noWrap w:val="0"/>
            <w:vAlign w:val="center"/>
          </w:tcPr>
          <w:p w14:paraId="7AD360A6">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val="en-US" w:eastAsia="zh-CN"/>
              </w:rPr>
              <w:t>途经乡镇</w:t>
            </w:r>
          </w:p>
        </w:tc>
        <w:tc>
          <w:tcPr>
            <w:tcW w:w="6991" w:type="dxa"/>
            <w:tcBorders>
              <w:tl2br w:val="nil"/>
              <w:tr2bl w:val="nil"/>
            </w:tcBorders>
            <w:noWrap w:val="0"/>
            <w:vAlign w:val="center"/>
          </w:tcPr>
          <w:p w14:paraId="37AE37B1">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城子镇、牌楼乡、燕格柏乡和半截塔镇。</w:t>
            </w:r>
          </w:p>
        </w:tc>
      </w:tr>
      <w:tr w14:paraId="551EEC94">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5" w:hRule="atLeast"/>
        </w:trPr>
        <w:tc>
          <w:tcPr>
            <w:tcW w:w="1765" w:type="dxa"/>
            <w:tcBorders>
              <w:tl2br w:val="nil"/>
              <w:tr2bl w:val="nil"/>
            </w:tcBorders>
            <w:noWrap w:val="0"/>
            <w:vAlign w:val="center"/>
          </w:tcPr>
          <w:p w14:paraId="017AECB1">
            <w:pPr>
              <w:keepNext w:val="0"/>
              <w:keepLines/>
              <w:pageBreakBefore w:val="0"/>
              <w:widowControl w:val="0"/>
              <w:kinsoku/>
              <w:wordWrap/>
              <w:overflowPunct/>
              <w:topLinePunct w:val="0"/>
              <w:bidi w:val="0"/>
              <w:adjustRightInd w:val="0"/>
              <w:snapToGrid w:val="0"/>
              <w:spacing w:before="96" w:line="36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ascii="宋体" w:hAnsi="宋体" w:eastAsia="宋体" w:cs="宋体"/>
                <w:spacing w:val="-1"/>
                <w:sz w:val="21"/>
                <w:szCs w:val="21"/>
                <w:highlight w:val="none"/>
              </w:rPr>
              <w:t>电压</w:t>
            </w:r>
            <w:r>
              <w:rPr>
                <w:rFonts w:hint="eastAsia" w:ascii="Times New Roman" w:hAnsi="Times New Roman" w:eastAsia="宋体" w:cs="Times New Roman"/>
                <w:spacing w:val="-1"/>
                <w:sz w:val="21"/>
                <w:szCs w:val="21"/>
                <w:highlight w:val="none"/>
                <w:lang w:val="en-US" w:eastAsia="zh-CN"/>
              </w:rPr>
              <w:t>等级</w:t>
            </w:r>
          </w:p>
        </w:tc>
        <w:tc>
          <w:tcPr>
            <w:tcW w:w="6991" w:type="dxa"/>
            <w:tcBorders>
              <w:tl2br w:val="nil"/>
              <w:tr2bl w:val="nil"/>
            </w:tcBorders>
            <w:noWrap w:val="0"/>
            <w:vAlign w:val="center"/>
          </w:tcPr>
          <w:p w14:paraId="71A56932">
            <w:pPr>
              <w:keepNext w:val="0"/>
              <w:keepLines/>
              <w:pageBreakBefore w:val="0"/>
              <w:widowControl w:val="0"/>
              <w:kinsoku/>
              <w:wordWrap/>
              <w:overflowPunct/>
              <w:topLinePunct w:val="0"/>
              <w:bidi w:val="0"/>
              <w:adjustRightInd w:val="0"/>
              <w:snapToGrid w:val="0"/>
              <w:spacing w:before="131" w:line="360" w:lineRule="auto"/>
              <w:jc w:val="center"/>
              <w:rPr>
                <w:rFonts w:hint="eastAsia" w:ascii="Times New Roman" w:hAnsi="Times New Roman" w:eastAsia="宋体" w:cs="Times New Roman"/>
                <w:i w:val="0"/>
                <w:color w:val="auto"/>
                <w:kern w:val="0"/>
                <w:sz w:val="21"/>
                <w:szCs w:val="21"/>
                <w:highlight w:val="none"/>
                <w:u w:val="none"/>
                <w:lang w:val="en-US" w:eastAsia="zh-CN" w:bidi="ar"/>
              </w:rPr>
            </w:pPr>
            <w:r>
              <w:rPr>
                <w:rFonts w:ascii="Times New Roman" w:hAnsi="Times New Roman" w:eastAsia="Times New Roman" w:cs="Times New Roman"/>
                <w:spacing w:val="-1"/>
                <w:sz w:val="21"/>
                <w:szCs w:val="21"/>
                <w:highlight w:val="none"/>
              </w:rPr>
              <w:t>2</w:t>
            </w:r>
            <w:r>
              <w:rPr>
                <w:rFonts w:ascii="Times New Roman" w:hAnsi="Times New Roman" w:eastAsia="Times New Roman" w:cs="Times New Roman"/>
                <w:sz w:val="21"/>
                <w:szCs w:val="21"/>
                <w:highlight w:val="none"/>
              </w:rPr>
              <w:t>20kV</w:t>
            </w:r>
          </w:p>
        </w:tc>
      </w:tr>
      <w:tr w14:paraId="5540807B">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8" w:hRule="atLeast"/>
        </w:trPr>
        <w:tc>
          <w:tcPr>
            <w:tcW w:w="1765" w:type="dxa"/>
            <w:tcBorders>
              <w:tl2br w:val="nil"/>
              <w:tr2bl w:val="nil"/>
            </w:tcBorders>
            <w:noWrap w:val="0"/>
            <w:vAlign w:val="center"/>
          </w:tcPr>
          <w:p w14:paraId="2821C111">
            <w:pPr>
              <w:keepNext w:val="0"/>
              <w:keepLines/>
              <w:pageBreakBefore w:val="0"/>
              <w:widowControl w:val="0"/>
              <w:kinsoku/>
              <w:wordWrap/>
              <w:overflowPunct/>
              <w:topLinePunct w:val="0"/>
              <w:bidi w:val="0"/>
              <w:adjustRightInd w:val="0"/>
              <w:snapToGrid w:val="0"/>
              <w:spacing w:before="96" w:line="36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ascii="宋体" w:hAnsi="宋体" w:eastAsia="宋体" w:cs="宋体"/>
                <w:spacing w:val="-2"/>
                <w:sz w:val="21"/>
                <w:szCs w:val="21"/>
                <w:highlight w:val="none"/>
              </w:rPr>
              <w:t>线路性质</w:t>
            </w:r>
          </w:p>
        </w:tc>
        <w:tc>
          <w:tcPr>
            <w:tcW w:w="6991" w:type="dxa"/>
            <w:tcBorders>
              <w:tl2br w:val="nil"/>
              <w:tr2bl w:val="nil"/>
            </w:tcBorders>
            <w:noWrap w:val="0"/>
            <w:vAlign w:val="center"/>
          </w:tcPr>
          <w:p w14:paraId="00DCC2F8">
            <w:pPr>
              <w:keepNext w:val="0"/>
              <w:keepLines/>
              <w:pageBreakBefore w:val="0"/>
              <w:widowControl w:val="0"/>
              <w:kinsoku/>
              <w:wordWrap/>
              <w:overflowPunct/>
              <w:topLinePunct w:val="0"/>
              <w:bidi w:val="0"/>
              <w:adjustRightInd w:val="0"/>
              <w:snapToGrid w:val="0"/>
              <w:spacing w:before="96" w:line="360" w:lineRule="auto"/>
              <w:jc w:val="center"/>
              <w:rPr>
                <w:rFonts w:hint="default" w:cs="Times New Roman"/>
                <w:i w:val="0"/>
                <w:color w:val="auto"/>
                <w:kern w:val="0"/>
                <w:sz w:val="21"/>
                <w:szCs w:val="21"/>
                <w:highlight w:val="none"/>
                <w:u w:val="none"/>
                <w:lang w:val="en-US" w:eastAsia="zh-CN" w:bidi="ar"/>
              </w:rPr>
            </w:pPr>
            <w:r>
              <w:rPr>
                <w:rFonts w:hint="eastAsia" w:ascii="宋体" w:hAnsi="宋体" w:eastAsia="宋体" w:cs="宋体"/>
                <w:spacing w:val="-3"/>
                <w:sz w:val="21"/>
                <w:szCs w:val="21"/>
                <w:highlight w:val="none"/>
                <w:lang w:val="en-US" w:eastAsia="zh-CN"/>
              </w:rPr>
              <w:t>架空线路</w:t>
            </w:r>
          </w:p>
        </w:tc>
      </w:tr>
      <w:tr w14:paraId="6E90325E">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8" w:hRule="atLeast"/>
        </w:trPr>
        <w:tc>
          <w:tcPr>
            <w:tcW w:w="1765" w:type="dxa"/>
            <w:tcBorders>
              <w:tl2br w:val="nil"/>
              <w:tr2bl w:val="nil"/>
            </w:tcBorders>
            <w:noWrap w:val="0"/>
            <w:vAlign w:val="center"/>
          </w:tcPr>
          <w:p w14:paraId="5E8B8C9D">
            <w:pPr>
              <w:keepNext w:val="0"/>
              <w:keepLines/>
              <w:pageBreakBefore w:val="0"/>
              <w:widowControl w:val="0"/>
              <w:kinsoku/>
              <w:wordWrap/>
              <w:overflowPunct/>
              <w:topLinePunct w:val="0"/>
              <w:bidi w:val="0"/>
              <w:adjustRightInd w:val="0"/>
              <w:snapToGrid w:val="0"/>
              <w:spacing w:before="96" w:line="360" w:lineRule="auto"/>
              <w:jc w:val="center"/>
              <w:rPr>
                <w:rFonts w:hint="eastAsia" w:ascii="Times New Roman" w:hAnsi="Times New Roman" w:eastAsia="宋体" w:cs="Times New Roman"/>
                <w:i w:val="0"/>
                <w:color w:val="auto"/>
                <w:kern w:val="0"/>
                <w:sz w:val="21"/>
                <w:szCs w:val="21"/>
                <w:highlight w:val="none"/>
                <w:u w:val="none"/>
                <w:lang w:val="en-US" w:eastAsia="zh-CN" w:bidi="ar"/>
              </w:rPr>
            </w:pPr>
            <w:r>
              <w:rPr>
                <w:rFonts w:ascii="宋体" w:hAnsi="宋体" w:eastAsia="宋体" w:cs="宋体"/>
                <w:spacing w:val="-2"/>
                <w:sz w:val="21"/>
                <w:szCs w:val="21"/>
                <w:highlight w:val="none"/>
              </w:rPr>
              <w:t>线路回</w:t>
            </w:r>
            <w:r>
              <w:rPr>
                <w:rFonts w:ascii="宋体" w:hAnsi="宋体" w:eastAsia="宋体" w:cs="宋体"/>
                <w:spacing w:val="-1"/>
                <w:sz w:val="21"/>
                <w:szCs w:val="21"/>
                <w:highlight w:val="none"/>
              </w:rPr>
              <w:t>路数</w:t>
            </w:r>
          </w:p>
        </w:tc>
        <w:tc>
          <w:tcPr>
            <w:tcW w:w="6991" w:type="dxa"/>
            <w:tcBorders>
              <w:tl2br w:val="nil"/>
              <w:tr2bl w:val="nil"/>
            </w:tcBorders>
            <w:noWrap w:val="0"/>
            <w:vAlign w:val="center"/>
          </w:tcPr>
          <w:p w14:paraId="2A7D553A">
            <w:pPr>
              <w:keepNext w:val="0"/>
              <w:keepLines/>
              <w:pageBreakBefore w:val="0"/>
              <w:widowControl w:val="0"/>
              <w:kinsoku/>
              <w:wordWrap/>
              <w:overflowPunct/>
              <w:topLinePunct w:val="0"/>
              <w:bidi w:val="0"/>
              <w:adjustRightInd w:val="0"/>
              <w:snapToGrid w:val="0"/>
              <w:spacing w:before="96" w:line="360" w:lineRule="auto"/>
              <w:jc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宋体" w:hAnsi="宋体" w:eastAsia="宋体" w:cs="宋体"/>
                <w:spacing w:val="-2"/>
                <w:sz w:val="21"/>
                <w:szCs w:val="21"/>
                <w:highlight w:val="none"/>
                <w:lang w:val="en-US" w:eastAsia="zh-CN"/>
              </w:rPr>
              <w:t>同塔单</w:t>
            </w:r>
            <w:r>
              <w:rPr>
                <w:rFonts w:ascii="宋体" w:hAnsi="宋体" w:eastAsia="宋体" w:cs="宋体"/>
                <w:spacing w:val="-2"/>
                <w:sz w:val="21"/>
                <w:szCs w:val="21"/>
                <w:highlight w:val="none"/>
              </w:rPr>
              <w:t>回</w:t>
            </w:r>
            <w:r>
              <w:rPr>
                <w:rFonts w:ascii="宋体" w:hAnsi="宋体" w:eastAsia="宋体" w:cs="宋体"/>
                <w:spacing w:val="-1"/>
                <w:sz w:val="21"/>
                <w:szCs w:val="21"/>
                <w:highlight w:val="none"/>
              </w:rPr>
              <w:t>路</w:t>
            </w:r>
          </w:p>
        </w:tc>
      </w:tr>
      <w:tr w14:paraId="18C4D172">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6" w:hRule="atLeast"/>
        </w:trPr>
        <w:tc>
          <w:tcPr>
            <w:tcW w:w="1765" w:type="dxa"/>
            <w:tcBorders>
              <w:tl2br w:val="nil"/>
              <w:tr2bl w:val="nil"/>
            </w:tcBorders>
            <w:noWrap w:val="0"/>
            <w:vAlign w:val="center"/>
          </w:tcPr>
          <w:p w14:paraId="056E08F0">
            <w:pPr>
              <w:keepNext w:val="0"/>
              <w:keepLines/>
              <w:pageBreakBefore w:val="0"/>
              <w:widowControl w:val="0"/>
              <w:kinsoku/>
              <w:wordWrap/>
              <w:overflowPunct/>
              <w:topLinePunct w:val="0"/>
              <w:bidi w:val="0"/>
              <w:adjustRightInd w:val="0"/>
              <w:snapToGrid w:val="0"/>
              <w:spacing w:before="96" w:line="360" w:lineRule="auto"/>
              <w:jc w:val="center"/>
              <w:rPr>
                <w:rFonts w:hint="eastAsia" w:ascii="Times New Roman" w:hAnsi="Times New Roman" w:eastAsia="宋体" w:cs="Times New Roman"/>
                <w:i w:val="0"/>
                <w:color w:val="auto"/>
                <w:kern w:val="0"/>
                <w:sz w:val="21"/>
                <w:szCs w:val="21"/>
                <w:highlight w:val="none"/>
                <w:u w:val="none"/>
                <w:lang w:val="en-US" w:eastAsia="zh-CN" w:bidi="ar"/>
              </w:rPr>
            </w:pPr>
            <w:r>
              <w:rPr>
                <w:rFonts w:ascii="宋体" w:hAnsi="宋体" w:eastAsia="宋体" w:cs="宋体"/>
                <w:spacing w:val="-1"/>
                <w:sz w:val="21"/>
                <w:szCs w:val="21"/>
                <w:highlight w:val="none"/>
              </w:rPr>
              <w:t>路径长度</w:t>
            </w:r>
            <w:r>
              <w:rPr>
                <w:rFonts w:ascii="Times New Roman" w:hAnsi="Times New Roman" w:eastAsia="Times New Roman" w:cs="Times New Roman"/>
                <w:spacing w:val="-1"/>
                <w:sz w:val="21"/>
                <w:szCs w:val="21"/>
                <w:highlight w:val="none"/>
              </w:rPr>
              <w:t>(k</w:t>
            </w:r>
            <w:r>
              <w:rPr>
                <w:rFonts w:ascii="Times New Roman" w:hAnsi="Times New Roman" w:eastAsia="Times New Roman" w:cs="Times New Roman"/>
                <w:sz w:val="21"/>
                <w:szCs w:val="21"/>
                <w:highlight w:val="none"/>
              </w:rPr>
              <w:t>m</w:t>
            </w:r>
            <w:r>
              <w:rPr>
                <w:rFonts w:ascii="Times New Roman" w:hAnsi="Times New Roman" w:eastAsia="Times New Roman" w:cs="Times New Roman"/>
                <w:spacing w:val="-1"/>
                <w:sz w:val="21"/>
                <w:szCs w:val="21"/>
                <w:highlight w:val="none"/>
              </w:rPr>
              <w:t>)</w:t>
            </w:r>
          </w:p>
        </w:tc>
        <w:tc>
          <w:tcPr>
            <w:tcW w:w="6991" w:type="dxa"/>
            <w:tcBorders>
              <w:tl2br w:val="nil"/>
              <w:tr2bl w:val="nil"/>
            </w:tcBorders>
            <w:noWrap w:val="0"/>
            <w:vAlign w:val="center"/>
          </w:tcPr>
          <w:p w14:paraId="46904F39">
            <w:pPr>
              <w:keepNext w:val="0"/>
              <w:keepLines/>
              <w:pageBreakBefore w:val="0"/>
              <w:widowControl w:val="0"/>
              <w:kinsoku/>
              <w:wordWrap/>
              <w:overflowPunct/>
              <w:topLinePunct w:val="0"/>
              <w:bidi w:val="0"/>
              <w:adjustRightInd w:val="0"/>
              <w:snapToGrid w:val="0"/>
              <w:spacing w:before="132" w:line="360" w:lineRule="auto"/>
              <w:jc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spacing w:val="-10"/>
                <w:sz w:val="21"/>
                <w:szCs w:val="21"/>
                <w:highlight w:val="none"/>
                <w:lang w:val="en-US" w:eastAsia="zh-CN"/>
              </w:rPr>
              <w:t>29.9</w:t>
            </w:r>
          </w:p>
        </w:tc>
      </w:tr>
      <w:tr w14:paraId="50F44591">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15" w:hRule="atLeast"/>
        </w:trPr>
        <w:tc>
          <w:tcPr>
            <w:tcW w:w="1765" w:type="dxa"/>
            <w:tcBorders>
              <w:tl2br w:val="nil"/>
              <w:tr2bl w:val="nil"/>
            </w:tcBorders>
            <w:noWrap w:val="0"/>
            <w:vAlign w:val="center"/>
          </w:tcPr>
          <w:p w14:paraId="50205E68">
            <w:pPr>
              <w:keepNext w:val="0"/>
              <w:keepLines/>
              <w:pageBreakBefore w:val="0"/>
              <w:widowControl w:val="0"/>
              <w:kinsoku/>
              <w:wordWrap/>
              <w:overflowPunct/>
              <w:topLinePunct w:val="0"/>
              <w:bidi w:val="0"/>
              <w:adjustRightInd w:val="0"/>
              <w:snapToGrid w:val="0"/>
              <w:spacing w:before="100" w:line="360" w:lineRule="auto"/>
              <w:jc w:val="center"/>
              <w:rPr>
                <w:rFonts w:hint="eastAsia" w:ascii="Times New Roman" w:hAnsi="Times New Roman" w:eastAsia="宋体" w:cs="Times New Roman"/>
                <w:i w:val="0"/>
                <w:color w:val="auto"/>
                <w:kern w:val="0"/>
                <w:sz w:val="21"/>
                <w:szCs w:val="21"/>
                <w:highlight w:val="none"/>
                <w:u w:val="none"/>
                <w:lang w:val="en-US" w:eastAsia="zh-CN" w:bidi="ar"/>
              </w:rPr>
            </w:pPr>
            <w:r>
              <w:rPr>
                <w:rFonts w:ascii="宋体" w:hAnsi="宋体" w:eastAsia="宋体" w:cs="宋体"/>
                <w:spacing w:val="-4"/>
                <w:sz w:val="21"/>
                <w:szCs w:val="21"/>
                <w:highlight w:val="none"/>
              </w:rPr>
              <w:t>导</w:t>
            </w:r>
            <w:r>
              <w:rPr>
                <w:rFonts w:ascii="宋体" w:hAnsi="宋体" w:eastAsia="宋体" w:cs="宋体"/>
                <w:spacing w:val="-3"/>
                <w:sz w:val="21"/>
                <w:szCs w:val="21"/>
                <w:highlight w:val="none"/>
              </w:rPr>
              <w:t>线</w:t>
            </w:r>
            <w:r>
              <w:rPr>
                <w:rFonts w:ascii="宋体" w:hAnsi="宋体" w:eastAsia="宋体" w:cs="宋体"/>
                <w:spacing w:val="-2"/>
                <w:sz w:val="21"/>
                <w:szCs w:val="21"/>
                <w:highlight w:val="none"/>
              </w:rPr>
              <w:t>型号</w:t>
            </w:r>
          </w:p>
        </w:tc>
        <w:tc>
          <w:tcPr>
            <w:tcW w:w="6991" w:type="dxa"/>
            <w:tcBorders>
              <w:tl2br w:val="nil"/>
              <w:tr2bl w:val="nil"/>
            </w:tcBorders>
            <w:noWrap w:val="0"/>
            <w:vAlign w:val="center"/>
          </w:tcPr>
          <w:p w14:paraId="203CA019">
            <w:pPr>
              <w:keepNext w:val="0"/>
              <w:keepLines/>
              <w:pageBreakBefore w:val="0"/>
              <w:widowControl w:val="0"/>
              <w:kinsoku/>
              <w:wordWrap/>
              <w:overflowPunct/>
              <w:topLinePunct w:val="0"/>
              <w:bidi w:val="0"/>
              <w:adjustRightInd w:val="0"/>
              <w:snapToGrid w:val="0"/>
              <w:spacing w:before="99" w:line="360" w:lineRule="auto"/>
              <w:jc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Times New Roman" w:cs="Times New Roman"/>
                <w:spacing w:val="-6"/>
                <w:sz w:val="21"/>
                <w:szCs w:val="21"/>
                <w:highlight w:val="none"/>
                <w:lang w:val="en-US" w:eastAsia="zh-CN"/>
              </w:rPr>
              <w:t>2×JL/G1A-</w:t>
            </w:r>
            <w:r>
              <w:rPr>
                <w:rFonts w:hint="eastAsia" w:ascii="Times New Roman" w:hAnsi="Times New Roman" w:eastAsia="Times New Roman" w:cs="Times New Roman"/>
                <w:spacing w:val="-6"/>
                <w:sz w:val="21"/>
                <w:szCs w:val="21"/>
                <w:highlight w:val="none"/>
                <w:lang w:val="en-US" w:eastAsia="zh-CN"/>
              </w:rPr>
              <w:t>630/45</w:t>
            </w:r>
            <w:r>
              <w:rPr>
                <w:rFonts w:hint="default" w:ascii="Times New Roman" w:hAnsi="Times New Roman" w:eastAsia="Times New Roman" w:cs="Times New Roman"/>
                <w:spacing w:val="-6"/>
                <w:sz w:val="21"/>
                <w:szCs w:val="21"/>
                <w:highlight w:val="none"/>
                <w:lang w:val="en-US" w:eastAsia="zh-CN"/>
              </w:rPr>
              <w:t>钢芯铝绞线</w:t>
            </w:r>
          </w:p>
        </w:tc>
      </w:tr>
      <w:tr w14:paraId="51AF3EBC">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5" w:hRule="atLeast"/>
        </w:trPr>
        <w:tc>
          <w:tcPr>
            <w:tcW w:w="1765" w:type="dxa"/>
            <w:tcBorders>
              <w:tl2br w:val="nil"/>
              <w:tr2bl w:val="nil"/>
            </w:tcBorders>
            <w:noWrap w:val="0"/>
            <w:vAlign w:val="center"/>
          </w:tcPr>
          <w:p w14:paraId="462FC520">
            <w:pPr>
              <w:keepNext w:val="0"/>
              <w:keepLines/>
              <w:pageBreakBefore w:val="0"/>
              <w:widowControl w:val="0"/>
              <w:kinsoku/>
              <w:wordWrap/>
              <w:overflowPunct/>
              <w:topLinePunct w:val="0"/>
              <w:bidi w:val="0"/>
              <w:adjustRightInd w:val="0"/>
              <w:snapToGrid w:val="0"/>
              <w:spacing w:before="96" w:line="360" w:lineRule="auto"/>
              <w:jc w:val="center"/>
              <w:rPr>
                <w:rFonts w:hint="eastAsia" w:ascii="Times New Roman" w:hAnsi="Times New Roman" w:eastAsia="宋体" w:cs="Times New Roman"/>
                <w:i w:val="0"/>
                <w:color w:val="auto"/>
                <w:kern w:val="0"/>
                <w:sz w:val="21"/>
                <w:szCs w:val="21"/>
                <w:highlight w:val="none"/>
                <w:u w:val="none"/>
                <w:lang w:val="en-US" w:eastAsia="zh-CN" w:bidi="ar"/>
              </w:rPr>
            </w:pPr>
            <w:r>
              <w:rPr>
                <w:rFonts w:ascii="宋体" w:hAnsi="宋体" w:eastAsia="宋体" w:cs="宋体"/>
                <w:spacing w:val="-2"/>
                <w:sz w:val="21"/>
                <w:szCs w:val="21"/>
                <w:highlight w:val="none"/>
              </w:rPr>
              <w:t>地</w:t>
            </w:r>
            <w:r>
              <w:rPr>
                <w:rFonts w:ascii="宋体" w:hAnsi="宋体" w:eastAsia="宋体" w:cs="宋体"/>
                <w:spacing w:val="-1"/>
                <w:sz w:val="21"/>
                <w:szCs w:val="21"/>
                <w:highlight w:val="none"/>
              </w:rPr>
              <w:t>线型号</w:t>
            </w:r>
          </w:p>
        </w:tc>
        <w:tc>
          <w:tcPr>
            <w:tcW w:w="6991" w:type="dxa"/>
            <w:tcBorders>
              <w:tl2br w:val="nil"/>
              <w:tr2bl w:val="nil"/>
            </w:tcBorders>
            <w:noWrap w:val="0"/>
            <w:vAlign w:val="center"/>
          </w:tcPr>
          <w:p w14:paraId="4931802B">
            <w:pPr>
              <w:keepNext w:val="0"/>
              <w:keepLines/>
              <w:pageBreakBefore w:val="0"/>
              <w:widowControl w:val="0"/>
              <w:kinsoku/>
              <w:wordWrap/>
              <w:overflowPunct/>
              <w:topLinePunct w:val="0"/>
              <w:bidi w:val="0"/>
              <w:adjustRightInd w:val="0"/>
              <w:snapToGrid w:val="0"/>
              <w:spacing w:before="95" w:line="360" w:lineRule="auto"/>
              <w:jc w:val="center"/>
              <w:rPr>
                <w:rFonts w:hint="eastAsia" w:ascii="Times New Roman" w:hAnsi="Times New Roman" w:eastAsia="宋体" w:cs="Times New Roman"/>
                <w:i w:val="0"/>
                <w:color w:val="auto"/>
                <w:kern w:val="0"/>
                <w:sz w:val="21"/>
                <w:szCs w:val="21"/>
                <w:highlight w:val="none"/>
                <w:u w:val="none"/>
                <w:lang w:val="en-US" w:eastAsia="zh-CN" w:bidi="ar"/>
              </w:rPr>
            </w:pPr>
            <w:r>
              <w:rPr>
                <w:rFonts w:ascii="Times New Roman" w:hAnsi="Times New Roman" w:eastAsia="Times New Roman" w:cs="Times New Roman"/>
                <w:spacing w:val="-12"/>
                <w:sz w:val="21"/>
                <w:szCs w:val="21"/>
                <w:highlight w:val="none"/>
              </w:rPr>
              <w:t>2</w:t>
            </w:r>
            <w:r>
              <w:rPr>
                <w:rFonts w:ascii="宋体" w:hAnsi="宋体" w:eastAsia="宋体" w:cs="宋体"/>
                <w:spacing w:val="-6"/>
                <w:sz w:val="21"/>
                <w:szCs w:val="21"/>
                <w:highlight w:val="none"/>
              </w:rPr>
              <w:t>根</w:t>
            </w:r>
            <w:r>
              <w:rPr>
                <w:rFonts w:ascii="Times New Roman" w:hAnsi="Times New Roman" w:eastAsia="Times New Roman" w:cs="Times New Roman"/>
                <w:spacing w:val="-6"/>
                <w:sz w:val="21"/>
                <w:szCs w:val="21"/>
                <w:highlight w:val="none"/>
              </w:rPr>
              <w:t>24</w:t>
            </w:r>
            <w:r>
              <w:rPr>
                <w:rFonts w:ascii="宋体" w:hAnsi="宋体" w:eastAsia="宋体" w:cs="宋体"/>
                <w:spacing w:val="-6"/>
                <w:sz w:val="21"/>
                <w:szCs w:val="21"/>
                <w:highlight w:val="none"/>
              </w:rPr>
              <w:t>芯</w:t>
            </w:r>
            <w:r>
              <w:rPr>
                <w:rFonts w:ascii="Times New Roman" w:hAnsi="Times New Roman" w:eastAsia="Times New Roman" w:cs="Times New Roman"/>
                <w:spacing w:val="-6"/>
                <w:sz w:val="21"/>
                <w:szCs w:val="21"/>
                <w:highlight w:val="none"/>
              </w:rPr>
              <w:t>OPGW</w:t>
            </w:r>
            <w:r>
              <w:rPr>
                <w:rFonts w:hint="eastAsia" w:ascii="Times New Roman" w:hAnsi="Times New Roman" w:eastAsia="宋体" w:cs="Times New Roman"/>
                <w:spacing w:val="-6"/>
                <w:sz w:val="21"/>
                <w:szCs w:val="21"/>
                <w:highlight w:val="none"/>
                <w:lang w:val="en-US" w:eastAsia="zh-CN"/>
              </w:rPr>
              <w:t>-17-150-3型</w:t>
            </w:r>
            <w:r>
              <w:rPr>
                <w:rFonts w:ascii="宋体" w:hAnsi="宋体" w:eastAsia="宋体" w:cs="宋体"/>
                <w:spacing w:val="-6"/>
                <w:sz w:val="21"/>
                <w:szCs w:val="21"/>
                <w:highlight w:val="none"/>
              </w:rPr>
              <w:t>光缆</w:t>
            </w:r>
          </w:p>
        </w:tc>
      </w:tr>
      <w:tr w14:paraId="194F20A8">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5" w:hRule="atLeast"/>
        </w:trPr>
        <w:tc>
          <w:tcPr>
            <w:tcW w:w="1765" w:type="dxa"/>
            <w:tcBorders>
              <w:tl2br w:val="nil"/>
              <w:tr2bl w:val="nil"/>
            </w:tcBorders>
            <w:noWrap w:val="0"/>
            <w:vAlign w:val="center"/>
          </w:tcPr>
          <w:p w14:paraId="08FADD75">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color w:val="auto"/>
                <w:sz w:val="21"/>
                <w:szCs w:val="21"/>
                <w:highlight w:val="none"/>
              </w:rPr>
              <w:t>主要塔基基础型式</w:t>
            </w:r>
          </w:p>
        </w:tc>
        <w:tc>
          <w:tcPr>
            <w:tcW w:w="6991" w:type="dxa"/>
            <w:tcBorders>
              <w:tl2br w:val="nil"/>
              <w:tr2bl w:val="nil"/>
            </w:tcBorders>
            <w:noWrap w:val="0"/>
            <w:vAlign w:val="center"/>
          </w:tcPr>
          <w:p w14:paraId="2111874E">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color w:val="auto"/>
                <w:sz w:val="21"/>
                <w:szCs w:val="21"/>
                <w:highlight w:val="none"/>
              </w:rPr>
              <w:t>台阶刚性基础、灌注桩基础</w:t>
            </w:r>
          </w:p>
        </w:tc>
      </w:tr>
      <w:tr w14:paraId="1F62801A">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5" w:hRule="atLeast"/>
        </w:trPr>
        <w:tc>
          <w:tcPr>
            <w:tcW w:w="1765" w:type="dxa"/>
            <w:tcBorders>
              <w:tl2br w:val="nil"/>
              <w:tr2bl w:val="nil"/>
            </w:tcBorders>
            <w:noWrap w:val="0"/>
            <w:vAlign w:val="top"/>
          </w:tcPr>
          <w:p w14:paraId="65669E65">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rPr>
              <w:t>占地类型</w:t>
            </w:r>
          </w:p>
        </w:tc>
        <w:tc>
          <w:tcPr>
            <w:tcW w:w="6991" w:type="dxa"/>
            <w:tcBorders>
              <w:tl2br w:val="nil"/>
              <w:tr2bl w:val="nil"/>
            </w:tcBorders>
            <w:noWrap w:val="0"/>
            <w:vAlign w:val="top"/>
          </w:tcPr>
          <w:p w14:paraId="3111D15C">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林地/草地</w:t>
            </w:r>
          </w:p>
        </w:tc>
      </w:tr>
      <w:tr w14:paraId="17CACE48">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5" w:hRule="atLeast"/>
        </w:trPr>
        <w:tc>
          <w:tcPr>
            <w:tcW w:w="1765" w:type="dxa"/>
            <w:tcBorders>
              <w:tl2br w:val="nil"/>
              <w:tr2bl w:val="nil"/>
            </w:tcBorders>
            <w:noWrap w:val="0"/>
            <w:vAlign w:val="top"/>
          </w:tcPr>
          <w:p w14:paraId="6B76D2D7">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rPr>
              <w:t>工程特点</w:t>
            </w:r>
          </w:p>
        </w:tc>
        <w:tc>
          <w:tcPr>
            <w:tcW w:w="6991" w:type="dxa"/>
            <w:tcBorders>
              <w:tl2br w:val="nil"/>
              <w:tr2bl w:val="nil"/>
            </w:tcBorders>
            <w:noWrap w:val="0"/>
            <w:vAlign w:val="top"/>
          </w:tcPr>
          <w:p w14:paraId="1F3B75A5">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rPr>
              <w:t>线路沿线地势起伏及高差变化较大，多为山地</w:t>
            </w:r>
          </w:p>
        </w:tc>
      </w:tr>
      <w:tr w14:paraId="72256821">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5" w:hRule="atLeast"/>
        </w:trPr>
        <w:tc>
          <w:tcPr>
            <w:tcW w:w="1765" w:type="dxa"/>
            <w:tcBorders>
              <w:tl2br w:val="nil"/>
              <w:tr2bl w:val="nil"/>
            </w:tcBorders>
            <w:noWrap w:val="0"/>
            <w:vAlign w:val="top"/>
          </w:tcPr>
          <w:p w14:paraId="3A61B7AB">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hint="eastAsia" w:ascii="Times New Roman" w:hAnsi="Times New Roman" w:eastAsia="宋体" w:cs="Times New Roman"/>
                <w:color w:val="auto"/>
                <w:sz w:val="21"/>
                <w:szCs w:val="21"/>
                <w:highlight w:val="none"/>
              </w:rPr>
            </w:pPr>
          </w:p>
          <w:p w14:paraId="107FB50C">
            <w:pPr>
              <w:pStyle w:val="29"/>
              <w:keepNext w:val="0"/>
              <w:keepLines/>
              <w:pageBreakBefore w:val="0"/>
              <w:widowControl w:val="0"/>
              <w:kinsoku/>
              <w:wordWrap/>
              <w:overflowPunct/>
              <w:topLinePunct w:val="0"/>
              <w:bidi w:val="0"/>
              <w:adjustRightInd w:val="0"/>
              <w:snapToGrid w:val="0"/>
              <w:spacing w:line="360" w:lineRule="auto"/>
              <w:ind w:firstLine="0" w:firstLineChars="0"/>
              <w:jc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rPr>
              <w:t>依托工程</w:t>
            </w:r>
          </w:p>
        </w:tc>
        <w:tc>
          <w:tcPr>
            <w:tcW w:w="6991" w:type="dxa"/>
            <w:tcBorders>
              <w:tl2br w:val="nil"/>
              <w:tr2bl w:val="nil"/>
            </w:tcBorders>
            <w:noWrap w:val="0"/>
            <w:vAlign w:val="top"/>
          </w:tcPr>
          <w:p w14:paraId="1331931C">
            <w:pPr>
              <w:pStyle w:val="29"/>
              <w:keepNext w:val="0"/>
              <w:keepLines/>
              <w:pageBreakBefore w:val="0"/>
              <w:widowControl w:val="0"/>
              <w:kinsoku/>
              <w:wordWrap/>
              <w:overflowPunct/>
              <w:topLinePunct w:val="0"/>
              <w:bidi w:val="0"/>
              <w:adjustRightInd w:val="0"/>
              <w:snapToGrid w:val="0"/>
              <w:spacing w:line="360" w:lineRule="auto"/>
              <w:ind w:firstLine="420" w:firstLineChars="200"/>
              <w:jc w:val="both"/>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rPr>
              <w:t>施工期施工人员租用周边民房，生活污水纳入当地居民生活污水处理系统</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运营期线路巡检人员依托</w:t>
            </w:r>
            <w:r>
              <w:rPr>
                <w:rFonts w:hint="eastAsia" w:ascii="Times New Roman" w:hAnsi="Times New Roman" w:eastAsia="宋体" w:cs="Times New Roman"/>
                <w:color w:val="auto"/>
                <w:sz w:val="21"/>
                <w:szCs w:val="21"/>
                <w:highlight w:val="none"/>
                <w:lang w:val="en-US" w:eastAsia="zh-CN"/>
              </w:rPr>
              <w:t>风电</w:t>
            </w:r>
            <w:r>
              <w:rPr>
                <w:rFonts w:hint="eastAsia" w:ascii="Times New Roman" w:hAnsi="Times New Roman" w:eastAsia="宋体" w:cs="Times New Roman"/>
                <w:color w:val="auto"/>
                <w:sz w:val="21"/>
                <w:szCs w:val="21"/>
                <w:highlight w:val="none"/>
              </w:rPr>
              <w:t>项目工作人员</w:t>
            </w:r>
          </w:p>
        </w:tc>
      </w:tr>
    </w:tbl>
    <w:p w14:paraId="36CE9E44">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eastAsia="宋体" w:cs="Times New Roman"/>
          <w:b w:val="0"/>
          <w:bCs w:val="0"/>
          <w:color w:val="auto"/>
          <w:spacing w:val="0"/>
          <w:w w:val="100"/>
          <w:sz w:val="24"/>
          <w:szCs w:val="24"/>
          <w:highlight w:val="none"/>
          <w:lang w:val="en-US" w:eastAsia="zh-CN"/>
        </w:rPr>
      </w:pPr>
      <w:r>
        <w:rPr>
          <w:rFonts w:hint="eastAsia" w:ascii="Times New Roman" w:hAnsi="Times New Roman" w:eastAsia="宋体" w:cs="Times New Roman"/>
          <w:b w:val="0"/>
          <w:bCs w:val="0"/>
          <w:color w:val="auto"/>
          <w:spacing w:val="0"/>
          <w:w w:val="100"/>
          <w:sz w:val="24"/>
          <w:szCs w:val="24"/>
          <w:highlight w:val="none"/>
          <w:lang w:val="en-US" w:eastAsia="zh-CN"/>
        </w:rPr>
        <w:t>线路路径</w:t>
      </w:r>
    </w:p>
    <w:p w14:paraId="587648BD">
      <w:pPr>
        <w:pStyle w:val="24"/>
        <w:keepNext w:val="0"/>
        <w:keepLines/>
        <w:pageBreakBefore w:val="0"/>
        <w:widowControl w:val="0"/>
        <w:numPr>
          <w:ilvl w:val="0"/>
          <w:numId w:val="0"/>
        </w:numPr>
        <w:kinsoku/>
        <w:wordWrap/>
        <w:overflowPunct/>
        <w:topLinePunct w:val="0"/>
        <w:bidi w:val="0"/>
        <w:adjustRightInd w:val="0"/>
        <w:snapToGrid w:val="0"/>
        <w:spacing w:before="36" w:line="360" w:lineRule="auto"/>
        <w:ind w:left="420" w:leftChars="200"/>
        <w:jc w:val="left"/>
        <w:rPr>
          <w:rFonts w:hint="eastAsia"/>
          <w:b w:val="0"/>
          <w:bCs w:val="0"/>
          <w:spacing w:val="-3"/>
          <w:sz w:val="24"/>
          <w:szCs w:val="24"/>
          <w:lang w:val="en-US" w:eastAsia="zh-CN"/>
        </w:rPr>
      </w:pPr>
      <w:r>
        <w:rPr>
          <w:rFonts w:hint="eastAsia" w:ascii="宋体" w:hAnsi="宋体" w:eastAsia="宋体" w:cs="宋体"/>
          <w:b w:val="0"/>
          <w:bCs w:val="0"/>
          <w:spacing w:val="-3"/>
          <w:kern w:val="2"/>
          <w:sz w:val="24"/>
          <w:szCs w:val="24"/>
          <w:lang w:val="en-US" w:eastAsia="zh-CN" w:bidi="ar-SA"/>
        </w:rPr>
        <w:t>（1）</w:t>
      </w:r>
      <w:r>
        <w:rPr>
          <w:rFonts w:hint="eastAsia"/>
          <w:b w:val="0"/>
          <w:bCs w:val="0"/>
          <w:spacing w:val="-3"/>
          <w:sz w:val="24"/>
          <w:szCs w:val="24"/>
          <w:lang w:val="en-US" w:eastAsia="zh-CN"/>
        </w:rPr>
        <w:t>线路两端情况</w:t>
      </w:r>
    </w:p>
    <w:p w14:paraId="6007FA69">
      <w:pPr>
        <w:pStyle w:val="24"/>
        <w:keepNext w:val="0"/>
        <w:keepLines/>
        <w:pageBreakBefore w:val="0"/>
        <w:widowControl w:val="0"/>
        <w:numPr>
          <w:ilvl w:val="0"/>
          <w:numId w:val="0"/>
        </w:numPr>
        <w:kinsoku/>
        <w:wordWrap/>
        <w:overflowPunct/>
        <w:topLinePunct w:val="0"/>
        <w:bidi w:val="0"/>
        <w:adjustRightInd w:val="0"/>
        <w:snapToGrid w:val="0"/>
        <w:spacing w:before="36" w:line="360" w:lineRule="auto"/>
        <w:ind w:firstLine="468" w:firstLineChars="200"/>
        <w:jc w:val="left"/>
        <w:rPr>
          <w:rFonts w:hint="eastAsia"/>
          <w:b w:val="0"/>
          <w:bCs w:val="0"/>
          <w:spacing w:val="-3"/>
          <w:sz w:val="24"/>
          <w:szCs w:val="24"/>
          <w:lang w:val="en-US" w:eastAsia="zh-CN"/>
        </w:rPr>
      </w:pPr>
      <w:r>
        <w:rPr>
          <w:rFonts w:hint="eastAsia" w:cs="宋体"/>
          <w:b w:val="0"/>
          <w:bCs w:val="0"/>
          <w:spacing w:val="-3"/>
          <w:kern w:val="2"/>
          <w:sz w:val="24"/>
          <w:szCs w:val="24"/>
          <w:lang w:val="en-US" w:eastAsia="zh-CN" w:bidi="ar-SA"/>
        </w:rPr>
        <w:t>1</w:t>
      </w:r>
      <w:r>
        <w:rPr>
          <w:rFonts w:hint="eastAsia" w:ascii="宋体" w:hAnsi="宋体" w:eastAsia="宋体" w:cs="宋体"/>
          <w:b w:val="0"/>
          <w:bCs w:val="0"/>
          <w:spacing w:val="-3"/>
          <w:kern w:val="2"/>
          <w:sz w:val="24"/>
          <w:szCs w:val="24"/>
          <w:lang w:val="en-US" w:eastAsia="zh-CN" w:bidi="ar-SA"/>
        </w:rPr>
        <w:t>）</w:t>
      </w:r>
      <w:r>
        <w:rPr>
          <w:rFonts w:hint="eastAsia"/>
          <w:b w:val="0"/>
          <w:bCs w:val="0"/>
          <w:spacing w:val="-3"/>
          <w:sz w:val="24"/>
          <w:szCs w:val="24"/>
          <w:lang w:val="en-US" w:eastAsia="zh-CN"/>
        </w:rPr>
        <w:t>华能风电220kV升压站</w:t>
      </w:r>
    </w:p>
    <w:p w14:paraId="4BEF4F99">
      <w:pPr>
        <w:pStyle w:val="24"/>
        <w:keepNext w:val="0"/>
        <w:keepLines/>
        <w:pageBreakBefore w:val="0"/>
        <w:widowControl w:val="0"/>
        <w:numPr>
          <w:ilvl w:val="0"/>
          <w:numId w:val="0"/>
        </w:numPr>
        <w:kinsoku/>
        <w:wordWrap/>
        <w:overflowPunct/>
        <w:topLinePunct w:val="0"/>
        <w:bidi w:val="0"/>
        <w:adjustRightInd w:val="0"/>
        <w:snapToGrid w:val="0"/>
        <w:spacing w:before="36" w:line="360" w:lineRule="auto"/>
        <w:ind w:firstLine="480" w:firstLineChars="200"/>
        <w:jc w:val="left"/>
        <w:rPr>
          <w:rFonts w:hint="eastAsia" w:ascii="Times New Roman" w:hAnsi="Times New Roman" w:cs="Times New Roman"/>
          <w:b/>
          <w:bCs/>
          <w:color w:val="auto"/>
          <w:sz w:val="24"/>
          <w:szCs w:val="24"/>
          <w:highlight w:val="none"/>
          <w:vertAlign w:val="baseline"/>
          <w:lang w:val="en-US" w:eastAsia="zh-CN"/>
        </w:rPr>
      </w:pPr>
      <w:r>
        <w:rPr>
          <w:rFonts w:ascii="Times New Roman" w:hAnsi="Times New Roman" w:cs="Times New Roman"/>
          <w:sz w:val="24"/>
          <w:szCs w:val="24"/>
        </w:rPr>
        <w:drawing>
          <wp:anchor distT="0" distB="0" distL="114300" distR="114300" simplePos="0" relativeHeight="251670528" behindDoc="0" locked="0" layoutInCell="1" allowOverlap="1">
            <wp:simplePos x="0" y="0"/>
            <wp:positionH relativeFrom="column">
              <wp:posOffset>489585</wp:posOffset>
            </wp:positionH>
            <wp:positionV relativeFrom="paragraph">
              <wp:posOffset>1088390</wp:posOffset>
            </wp:positionV>
            <wp:extent cx="4034790" cy="2960370"/>
            <wp:effectExtent l="0" t="0" r="3810" b="1143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4034790" cy="2960370"/>
                    </a:xfrm>
                    <a:prstGeom prst="rect">
                      <a:avLst/>
                    </a:prstGeom>
                    <a:noFill/>
                    <a:ln>
                      <a:noFill/>
                    </a:ln>
                  </pic:spPr>
                </pic:pic>
              </a:graphicData>
            </a:graphic>
          </wp:anchor>
        </w:drawing>
      </w:r>
      <w:r>
        <w:rPr>
          <w:rFonts w:hint="default" w:ascii="Times New Roman" w:hAnsi="Times New Roman" w:cs="Times New Roman"/>
          <w:sz w:val="24"/>
          <w:szCs w:val="24"/>
        </w:rPr>
        <w:t>华能风电220kV升压站为待建变电站，本工程线路由该升压站220kV架构的向西南出线，面向变电站相序排列为自左向右ABC。220kV进出线共为4回，本工程本期占用1回（面向变电站自左向右第四间隔）。</w:t>
      </w:r>
    </w:p>
    <w:p w14:paraId="63A935ED">
      <w:pPr>
        <w:keepNext w:val="0"/>
        <w:keepLines/>
        <w:pageBreakBefore w:val="0"/>
        <w:widowControl w:val="0"/>
        <w:kinsoku/>
        <w:wordWrap/>
        <w:overflowPunct/>
        <w:topLinePunct w:val="0"/>
        <w:bidi w:val="0"/>
        <w:adjustRightInd w:val="0"/>
        <w:snapToGrid w:val="0"/>
        <w:ind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图</w:t>
      </w:r>
      <w:r>
        <w:rPr>
          <w:rFonts w:hint="eastAsia" w:cs="Times New Roman"/>
          <w:b/>
          <w:bCs/>
          <w:sz w:val="24"/>
          <w:szCs w:val="24"/>
          <w:lang w:val="en-US" w:eastAsia="zh-CN"/>
        </w:rPr>
        <w:t>3</w:t>
      </w:r>
      <w:r>
        <w:rPr>
          <w:rFonts w:hint="eastAsia" w:ascii="Times New Roman" w:hAnsi="Times New Roman" w:cs="Times New Roman"/>
          <w:b/>
          <w:bCs/>
          <w:sz w:val="24"/>
          <w:szCs w:val="24"/>
          <w:lang w:val="en-US" w:eastAsia="zh-CN"/>
        </w:rPr>
        <w:t>-</w:t>
      </w:r>
      <w:r>
        <w:rPr>
          <w:rFonts w:hint="eastAsia" w:cs="Times New Roman"/>
          <w:b/>
          <w:bCs/>
          <w:sz w:val="24"/>
          <w:szCs w:val="24"/>
          <w:lang w:val="en-US" w:eastAsia="zh-CN"/>
        </w:rPr>
        <w:t>1</w:t>
      </w:r>
      <w:r>
        <w:rPr>
          <w:rFonts w:hint="default" w:ascii="Times New Roman" w:hAnsi="Times New Roman" w:cs="Times New Roman"/>
          <w:b/>
          <w:bCs/>
          <w:sz w:val="24"/>
          <w:szCs w:val="24"/>
        </w:rPr>
        <w:t>华能风电220kV升压站进出线示意图</w:t>
      </w:r>
    </w:p>
    <w:p w14:paraId="00BC5856">
      <w:pPr>
        <w:pStyle w:val="24"/>
        <w:keepNext w:val="0"/>
        <w:keepLines/>
        <w:pageBreakBefore w:val="0"/>
        <w:widowControl w:val="0"/>
        <w:numPr>
          <w:ilvl w:val="0"/>
          <w:numId w:val="0"/>
        </w:numPr>
        <w:kinsoku/>
        <w:wordWrap/>
        <w:overflowPunct/>
        <w:topLinePunct w:val="0"/>
        <w:bidi w:val="0"/>
        <w:adjustRightInd w:val="0"/>
        <w:snapToGrid w:val="0"/>
        <w:spacing w:before="229" w:line="220" w:lineRule="auto"/>
        <w:ind w:left="534" w:leftChars="0"/>
        <w:rPr>
          <w:rFonts w:ascii="Times New Roman" w:hAnsi="Times New Roman" w:cs="Times New Roman"/>
          <w:sz w:val="24"/>
          <w:szCs w:val="24"/>
        </w:rPr>
      </w:pPr>
      <w:r>
        <w:rPr>
          <w:rFonts w:hint="eastAsia" w:ascii="Times New Roman" w:hAnsi="Times New Roman" w:cs="Times New Roman"/>
          <w:kern w:val="2"/>
          <w:sz w:val="24"/>
          <w:szCs w:val="24"/>
          <w:lang w:val="en-US" w:eastAsia="zh-CN" w:bidi="ar-SA"/>
        </w:rPr>
        <w:t>2</w:t>
      </w:r>
      <w:r>
        <w:rPr>
          <w:rFonts w:ascii="Times New Roman" w:hAnsi="Times New Roman" w:eastAsia="宋体" w:cs="Times New Roman"/>
          <w:kern w:val="2"/>
          <w:sz w:val="24"/>
          <w:szCs w:val="24"/>
          <w:lang w:val="en-US" w:eastAsia="en-US" w:bidi="ar-SA"/>
        </w:rPr>
        <w:t>）</w:t>
      </w:r>
      <w:r>
        <w:rPr>
          <w:rFonts w:hint="default" w:ascii="Times New Roman" w:hAnsi="Times New Roman" w:cs="Times New Roman"/>
          <w:sz w:val="24"/>
          <w:szCs w:val="24"/>
        </w:rPr>
        <w:t>牌楼50</w:t>
      </w:r>
      <w:r>
        <w:rPr>
          <w:rFonts w:ascii="Times New Roman" w:hAnsi="Times New Roman" w:cs="Times New Roman"/>
          <w:sz w:val="24"/>
          <w:szCs w:val="24"/>
        </w:rPr>
        <w:t>0kV</w:t>
      </w:r>
      <w:r>
        <w:rPr>
          <w:rFonts w:hint="default" w:ascii="Times New Roman" w:hAnsi="Times New Roman" w:cs="Times New Roman"/>
          <w:sz w:val="24"/>
          <w:szCs w:val="24"/>
        </w:rPr>
        <w:t>变电站</w:t>
      </w:r>
    </w:p>
    <w:p w14:paraId="28C36D76">
      <w:pPr>
        <w:pStyle w:val="24"/>
        <w:keepNext w:val="0"/>
        <w:keepLines/>
        <w:pageBreakBefore w:val="0"/>
        <w:widowControl w:val="0"/>
        <w:numPr>
          <w:ilvl w:val="0"/>
          <w:numId w:val="0"/>
        </w:numPr>
        <w:kinsoku/>
        <w:wordWrap/>
        <w:overflowPunct/>
        <w:topLinePunct w:val="0"/>
        <w:bidi w:val="0"/>
        <w:adjustRightInd w:val="0"/>
        <w:snapToGrid w:val="0"/>
        <w:spacing w:before="229" w:line="360" w:lineRule="auto"/>
        <w:rPr>
          <w:rFonts w:ascii="Times New Roman" w:hAnsi="Times New Roman" w:cs="Times New Roman"/>
          <w:sz w:val="24"/>
          <w:szCs w:val="24"/>
        </w:rPr>
      </w:pPr>
      <w:r>
        <w:rPr>
          <w:rFonts w:hint="default" w:ascii="Times New Roman" w:hAnsi="Times New Roman" w:cs="Times New Roman"/>
          <w:sz w:val="24"/>
          <w:szCs w:val="24"/>
        </w:rPr>
        <w:t>牌楼500kV变电站为在建变电站，本工程线路由该变电站220kV架构的由西向东进线，面向变电站相序排列为自左向右ABC。220kV进出线共为12回，本工程为其中1回（面向变电站自左向右第四间隔）。</w:t>
      </w:r>
    </w:p>
    <w:p w14:paraId="004739E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b/>
          <w:bCs/>
          <w:color w:val="auto"/>
          <w:spacing w:val="0"/>
          <w:w w:val="100"/>
          <w:sz w:val="24"/>
          <w:szCs w:val="24"/>
          <w:highlight w:val="none"/>
          <w:lang w:val="en-US" w:eastAsia="zh-CN"/>
        </w:rPr>
      </w:pPr>
      <w:r>
        <w:rPr>
          <w:rFonts w:ascii="Times New Roman" w:hAnsi="Times New Roman" w:cs="Times New Roman"/>
          <w:b/>
          <w:bCs/>
          <w:sz w:val="24"/>
          <w:szCs w:val="24"/>
        </w:rPr>
        <w:drawing>
          <wp:anchor distT="0" distB="0" distL="114300" distR="114300" simplePos="0" relativeHeight="251671552" behindDoc="0" locked="0" layoutInCell="1" allowOverlap="1">
            <wp:simplePos x="0" y="0"/>
            <wp:positionH relativeFrom="column">
              <wp:posOffset>369570</wp:posOffset>
            </wp:positionH>
            <wp:positionV relativeFrom="paragraph">
              <wp:posOffset>51435</wp:posOffset>
            </wp:positionV>
            <wp:extent cx="4157980" cy="3082290"/>
            <wp:effectExtent l="0" t="0" r="13970" b="3810"/>
            <wp:wrapTopAndBottom/>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5"/>
                    <a:stretch>
                      <a:fillRect/>
                    </a:stretch>
                  </pic:blipFill>
                  <pic:spPr>
                    <a:xfrm>
                      <a:off x="0" y="0"/>
                      <a:ext cx="4157980" cy="3082290"/>
                    </a:xfrm>
                    <a:prstGeom prst="rect">
                      <a:avLst/>
                    </a:prstGeom>
                    <a:noFill/>
                    <a:ln>
                      <a:noFill/>
                    </a:ln>
                  </pic:spPr>
                </pic:pic>
              </a:graphicData>
            </a:graphic>
          </wp:anchor>
        </w:drawing>
      </w:r>
      <w:r>
        <w:rPr>
          <w:rFonts w:hint="default" w:ascii="Times New Roman" w:hAnsi="Times New Roman" w:cs="Times New Roman"/>
          <w:b/>
          <w:bCs/>
          <w:sz w:val="24"/>
          <w:szCs w:val="24"/>
        </w:rPr>
        <w:t>图</w:t>
      </w:r>
      <w:r>
        <w:rPr>
          <w:rFonts w:hint="eastAsia" w:cs="Times New Roman"/>
          <w:b/>
          <w:bCs/>
          <w:sz w:val="24"/>
          <w:szCs w:val="24"/>
          <w:lang w:val="en-US" w:eastAsia="zh-CN"/>
        </w:rPr>
        <w:t>3</w:t>
      </w:r>
      <w:r>
        <w:rPr>
          <w:rFonts w:hint="eastAsia" w:ascii="Times New Roman" w:hAnsi="Times New Roman" w:cs="Times New Roman"/>
          <w:b/>
          <w:bCs/>
          <w:sz w:val="24"/>
          <w:szCs w:val="24"/>
          <w:lang w:val="en-US" w:eastAsia="zh-CN"/>
        </w:rPr>
        <w:t>-</w:t>
      </w:r>
      <w:r>
        <w:rPr>
          <w:rFonts w:hint="eastAsia" w:cs="Times New Roman"/>
          <w:b/>
          <w:bCs/>
          <w:sz w:val="24"/>
          <w:szCs w:val="24"/>
          <w:lang w:val="en-US" w:eastAsia="zh-CN"/>
        </w:rPr>
        <w:t>2</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牌楼500kV变电站进线示意图</w:t>
      </w:r>
    </w:p>
    <w:p w14:paraId="441ABE34">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360" w:lineRule="auto"/>
        <w:ind w:right="0" w:rightChars="0" w:firstLine="480" w:firstLineChars="200"/>
        <w:jc w:val="both"/>
        <w:textAlignment w:val="auto"/>
        <w:rPr>
          <w:rFonts w:hint="eastAsia" w:ascii="Times New Roman" w:hAnsi="Times New Roman" w:eastAsia="宋体" w:cs="Times New Roman"/>
          <w:b w:val="0"/>
          <w:bCs w:val="0"/>
          <w:color w:val="auto"/>
          <w:spacing w:val="0"/>
          <w:w w:val="100"/>
          <w:sz w:val="24"/>
          <w:szCs w:val="24"/>
          <w:highlight w:val="none"/>
          <w:lang w:val="en-US" w:eastAsia="zh-CN"/>
        </w:rPr>
      </w:pPr>
      <w:r>
        <w:rPr>
          <w:rFonts w:hint="eastAsia" w:ascii="Times New Roman" w:hAnsi="Times New Roman" w:eastAsia="宋体" w:cs="Times New Roman"/>
          <w:b w:val="0"/>
          <w:bCs w:val="0"/>
          <w:color w:val="auto"/>
          <w:spacing w:val="0"/>
          <w:w w:val="100"/>
          <w:sz w:val="24"/>
          <w:szCs w:val="24"/>
          <w:highlight w:val="none"/>
          <w:lang w:val="en-US" w:eastAsia="zh-CN"/>
        </w:rPr>
        <w:t>（3）线路沿线路径现状</w:t>
      </w:r>
    </w:p>
    <w:p w14:paraId="3692D2D1">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0" w:firstLineChars="200"/>
        <w:jc w:val="both"/>
        <w:textAlignment w:val="auto"/>
        <w:rPr>
          <w:rFonts w:hint="eastAsia" w:ascii="Times New Roman" w:hAnsi="Times New Roman" w:eastAsia="宋体" w:cs="Times New Roman"/>
          <w:b w:val="0"/>
          <w:bCs w:val="0"/>
          <w:color w:val="auto"/>
          <w:spacing w:val="0"/>
          <w:w w:val="100"/>
          <w:kern w:val="2"/>
          <w:sz w:val="24"/>
          <w:szCs w:val="24"/>
          <w:highlight w:val="none"/>
          <w:lang w:val="en-US" w:eastAsia="zh-CN" w:bidi="ar-SA"/>
        </w:rPr>
      </w:pPr>
      <w:r>
        <w:rPr>
          <w:rFonts w:hint="eastAsia" w:ascii="Times New Roman" w:hAnsi="Times New Roman" w:eastAsia="宋体" w:cs="Times New Roman"/>
          <w:b w:val="0"/>
          <w:bCs w:val="0"/>
          <w:color w:val="auto"/>
          <w:spacing w:val="0"/>
          <w:w w:val="100"/>
          <w:kern w:val="2"/>
          <w:sz w:val="24"/>
          <w:szCs w:val="24"/>
          <w:highlight w:val="none"/>
          <w:lang w:val="en-US" w:eastAsia="zh-CN" w:bidi="ar-SA"/>
        </w:rPr>
        <w:t>本线路工程沿线主要为：山地。动物种类较为简单，主要以啮齿类动物为主，主要为田鼠，家畜主要为牛，羊。</w:t>
      </w:r>
    </w:p>
    <w:p w14:paraId="2EB7590B">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0" w:firstLineChars="200"/>
        <w:jc w:val="both"/>
        <w:textAlignment w:val="auto"/>
        <w:rPr>
          <w:rFonts w:hint="eastAsia" w:ascii="Times New Roman" w:hAnsi="Times New Roman" w:eastAsia="宋体" w:cs="Times New Roman"/>
          <w:b w:val="0"/>
          <w:bCs w:val="0"/>
          <w:color w:val="auto"/>
          <w:spacing w:val="0"/>
          <w:w w:val="100"/>
          <w:kern w:val="2"/>
          <w:sz w:val="24"/>
          <w:szCs w:val="24"/>
          <w:highlight w:val="none"/>
          <w:lang w:val="en-US" w:eastAsia="zh-CN" w:bidi="ar-SA"/>
        </w:rPr>
      </w:pPr>
    </w:p>
    <w:p w14:paraId="1B01781C">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0" w:firstLineChars="200"/>
        <w:jc w:val="both"/>
        <w:textAlignment w:val="auto"/>
        <w:rPr>
          <w:rFonts w:hint="eastAsia" w:ascii="Times New Roman" w:hAnsi="Times New Roman" w:eastAsia="宋体" w:cs="Times New Roman"/>
          <w:b w:val="0"/>
          <w:bCs w:val="0"/>
          <w:color w:val="auto"/>
          <w:spacing w:val="0"/>
          <w:w w:val="100"/>
          <w:kern w:val="2"/>
          <w:sz w:val="24"/>
          <w:szCs w:val="24"/>
          <w:highlight w:val="none"/>
          <w:lang w:val="en-US" w:eastAsia="zh-CN" w:bidi="ar-SA"/>
        </w:rPr>
      </w:pPr>
    </w:p>
    <w:p w14:paraId="7A4CA235">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0" w:firstLineChars="200"/>
        <w:jc w:val="both"/>
        <w:textAlignment w:val="auto"/>
        <w:rPr>
          <w:rFonts w:hint="eastAsia" w:ascii="Times New Roman" w:hAnsi="Times New Roman" w:eastAsia="宋体" w:cs="Times New Roman"/>
          <w:b w:val="0"/>
          <w:bCs w:val="0"/>
          <w:color w:val="auto"/>
          <w:spacing w:val="0"/>
          <w:w w:val="100"/>
          <w:kern w:val="2"/>
          <w:sz w:val="24"/>
          <w:szCs w:val="24"/>
          <w:highlight w:val="none"/>
          <w:lang w:val="en-US" w:eastAsia="zh-CN" w:bidi="ar-SA"/>
        </w:rPr>
      </w:pPr>
    </w:p>
    <w:p w14:paraId="263E6DFF">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0" w:firstLineChars="200"/>
        <w:jc w:val="both"/>
        <w:textAlignment w:val="auto"/>
        <w:rPr>
          <w:rFonts w:hint="eastAsia" w:ascii="Times New Roman" w:hAnsi="Times New Roman" w:eastAsia="宋体" w:cs="Times New Roman"/>
          <w:b w:val="0"/>
          <w:bCs w:val="0"/>
          <w:color w:val="auto"/>
          <w:spacing w:val="0"/>
          <w:w w:val="100"/>
          <w:kern w:val="2"/>
          <w:sz w:val="24"/>
          <w:szCs w:val="24"/>
          <w:highlight w:val="none"/>
          <w:lang w:val="en-US" w:eastAsia="zh-CN" w:bidi="ar-SA"/>
        </w:rPr>
      </w:pPr>
    </w:p>
    <w:p w14:paraId="0EDD4533">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0" w:firstLineChars="200"/>
        <w:jc w:val="both"/>
        <w:textAlignment w:val="auto"/>
        <w:rPr>
          <w:rFonts w:hint="eastAsia" w:ascii="Times New Roman" w:hAnsi="Times New Roman" w:eastAsia="宋体" w:cs="Times New Roman"/>
          <w:b w:val="0"/>
          <w:bCs w:val="0"/>
          <w:color w:val="auto"/>
          <w:spacing w:val="0"/>
          <w:w w:val="100"/>
          <w:kern w:val="2"/>
          <w:sz w:val="24"/>
          <w:szCs w:val="24"/>
          <w:highlight w:val="none"/>
          <w:lang w:val="en-US" w:eastAsia="zh-CN" w:bidi="ar-SA"/>
        </w:rPr>
      </w:pPr>
    </w:p>
    <w:p w14:paraId="7C706DD3">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0" w:firstLineChars="200"/>
        <w:jc w:val="both"/>
        <w:textAlignment w:val="auto"/>
        <w:rPr>
          <w:rFonts w:hint="eastAsia" w:ascii="Times New Roman" w:hAnsi="Times New Roman" w:eastAsia="宋体" w:cs="Times New Roman"/>
          <w:b w:val="0"/>
          <w:bCs w:val="0"/>
          <w:color w:val="auto"/>
          <w:spacing w:val="0"/>
          <w:w w:val="100"/>
          <w:kern w:val="2"/>
          <w:sz w:val="24"/>
          <w:szCs w:val="24"/>
          <w:highlight w:val="none"/>
          <w:lang w:val="en-US" w:eastAsia="zh-CN" w:bidi="ar-SA"/>
        </w:rPr>
      </w:pPr>
    </w:p>
    <w:p w14:paraId="09C875EF">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0" w:firstLineChars="200"/>
        <w:jc w:val="both"/>
        <w:textAlignment w:val="auto"/>
        <w:rPr>
          <w:rFonts w:hint="eastAsia" w:ascii="Times New Roman" w:hAnsi="Times New Roman" w:eastAsia="宋体" w:cs="Times New Roman"/>
          <w:b w:val="0"/>
          <w:bCs w:val="0"/>
          <w:color w:val="auto"/>
          <w:spacing w:val="0"/>
          <w:w w:val="100"/>
          <w:kern w:val="2"/>
          <w:sz w:val="24"/>
          <w:szCs w:val="24"/>
          <w:highlight w:val="none"/>
          <w:lang w:val="en-US" w:eastAsia="zh-CN" w:bidi="ar-SA"/>
        </w:rPr>
      </w:pPr>
    </w:p>
    <w:p w14:paraId="76DF4BDC">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0" w:firstLineChars="200"/>
        <w:jc w:val="both"/>
        <w:textAlignment w:val="auto"/>
        <w:rPr>
          <w:rFonts w:hint="eastAsia" w:ascii="Times New Roman" w:hAnsi="Times New Roman" w:eastAsia="宋体" w:cs="Times New Roman"/>
          <w:b w:val="0"/>
          <w:bCs w:val="0"/>
          <w:color w:val="auto"/>
          <w:spacing w:val="0"/>
          <w:w w:val="100"/>
          <w:kern w:val="2"/>
          <w:sz w:val="24"/>
          <w:szCs w:val="24"/>
          <w:highlight w:val="none"/>
          <w:lang w:val="en-US" w:eastAsia="zh-CN" w:bidi="ar-SA"/>
        </w:rPr>
      </w:pPr>
    </w:p>
    <w:p w14:paraId="167560BE">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0" w:firstLineChars="200"/>
        <w:jc w:val="both"/>
        <w:textAlignment w:val="auto"/>
        <w:rPr>
          <w:rFonts w:hint="eastAsia" w:ascii="Times New Roman" w:hAnsi="Times New Roman" w:eastAsia="宋体" w:cs="Times New Roman"/>
          <w:b w:val="0"/>
          <w:bCs w:val="0"/>
          <w:color w:val="auto"/>
          <w:spacing w:val="0"/>
          <w:w w:val="100"/>
          <w:kern w:val="2"/>
          <w:sz w:val="24"/>
          <w:szCs w:val="24"/>
          <w:highlight w:val="none"/>
          <w:lang w:val="en-US" w:eastAsia="zh-CN" w:bidi="ar-SA"/>
        </w:rPr>
      </w:pPr>
    </w:p>
    <w:p w14:paraId="0D24DBF6">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0" w:firstLineChars="200"/>
        <w:jc w:val="both"/>
        <w:textAlignment w:val="auto"/>
        <w:rPr>
          <w:rFonts w:hint="eastAsia" w:ascii="Times New Roman" w:hAnsi="Times New Roman" w:eastAsia="宋体" w:cs="Times New Roman"/>
          <w:b w:val="0"/>
          <w:bCs w:val="0"/>
          <w:color w:val="auto"/>
          <w:spacing w:val="0"/>
          <w:w w:val="100"/>
          <w:kern w:val="2"/>
          <w:sz w:val="24"/>
          <w:szCs w:val="24"/>
          <w:highlight w:val="none"/>
          <w:lang w:val="en-US" w:eastAsia="zh-CN" w:bidi="ar-SA"/>
        </w:rPr>
      </w:pPr>
    </w:p>
    <w:p w14:paraId="5AAA7285">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0" w:firstLineChars="200"/>
        <w:jc w:val="both"/>
        <w:textAlignment w:val="auto"/>
        <w:rPr>
          <w:rFonts w:hint="eastAsia" w:ascii="Times New Roman" w:hAnsi="Times New Roman" w:eastAsia="宋体" w:cs="Times New Roman"/>
          <w:b w:val="0"/>
          <w:bCs w:val="0"/>
          <w:color w:val="auto"/>
          <w:spacing w:val="0"/>
          <w:w w:val="100"/>
          <w:kern w:val="2"/>
          <w:sz w:val="24"/>
          <w:szCs w:val="24"/>
          <w:highlight w:val="none"/>
          <w:lang w:val="en-US" w:eastAsia="zh-CN" w:bidi="ar-SA"/>
        </w:rPr>
      </w:pPr>
    </w:p>
    <w:p w14:paraId="7A306CBC">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0" w:firstLineChars="200"/>
        <w:jc w:val="both"/>
        <w:textAlignment w:val="auto"/>
        <w:rPr>
          <w:rFonts w:hint="eastAsia" w:ascii="Times New Roman" w:hAnsi="Times New Roman" w:eastAsia="宋体" w:cs="Times New Roman"/>
          <w:b w:val="0"/>
          <w:bCs w:val="0"/>
          <w:color w:val="auto"/>
          <w:spacing w:val="0"/>
          <w:w w:val="100"/>
          <w:kern w:val="2"/>
          <w:sz w:val="24"/>
          <w:szCs w:val="24"/>
          <w:highlight w:val="none"/>
          <w:lang w:val="en-US" w:eastAsia="zh-CN" w:bidi="ar-SA"/>
        </w:rPr>
      </w:pPr>
    </w:p>
    <w:p w14:paraId="62668FFE">
      <w:pPr>
        <w:rPr>
          <w:rFonts w:hint="eastAsia" w:ascii="Times New Roman" w:hAnsi="Times New Roman"/>
          <w:b/>
          <w:bCs/>
          <w:color w:val="auto"/>
          <w:sz w:val="24"/>
          <w:szCs w:val="24"/>
          <w:highlight w:val="none"/>
          <w:lang w:val="en-US" w:eastAsia="zh-CN"/>
        </w:rPr>
      </w:pPr>
      <w:r>
        <w:rPr>
          <w:rFonts w:hint="eastAsia" w:ascii="Times New Roman" w:hAnsi="Times New Roman"/>
          <w:b/>
          <w:bCs/>
          <w:color w:val="auto"/>
          <w:sz w:val="24"/>
          <w:szCs w:val="24"/>
          <w:highlight w:val="none"/>
          <w:lang w:val="en-US" w:eastAsia="zh-CN"/>
        </w:rPr>
        <w:br w:type="page"/>
      </w:r>
    </w:p>
    <w:p w14:paraId="649921C0">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2" w:firstLineChars="200"/>
        <w:jc w:val="both"/>
        <w:textAlignment w:val="auto"/>
        <w:outlineLvl w:val="0"/>
        <w:rPr>
          <w:rFonts w:hint="default" w:ascii="Times New Roman" w:hAnsi="Times New Roman"/>
          <w:b/>
          <w:bCs/>
          <w:color w:val="auto"/>
          <w:sz w:val="24"/>
          <w:szCs w:val="24"/>
          <w:highlight w:val="none"/>
          <w:lang w:val="en-US" w:eastAsia="zh-CN"/>
        </w:rPr>
      </w:pPr>
      <w:bookmarkStart w:id="94" w:name="_Toc13741"/>
      <w:r>
        <w:rPr>
          <w:rFonts w:hint="eastAsia" w:ascii="Times New Roman" w:hAnsi="Times New Roman"/>
          <w:b/>
          <w:bCs/>
          <w:color w:val="auto"/>
          <w:sz w:val="24"/>
          <w:szCs w:val="24"/>
          <w:highlight w:val="none"/>
          <w:lang w:val="en-US" w:eastAsia="zh-CN"/>
        </w:rPr>
        <w:t>4、电磁环境现状监测与评价</w:t>
      </w:r>
      <w:bookmarkEnd w:id="94"/>
    </w:p>
    <w:p w14:paraId="5BC46EF3">
      <w:pPr>
        <w:keepNext w:val="0"/>
        <w:keepLines w:val="0"/>
        <w:pageBreakBefore w:val="0"/>
        <w:widowControl w:val="0"/>
        <w:kinsoku/>
        <w:wordWrap/>
        <w:overflowPunct/>
        <w:topLinePunct w:val="0"/>
        <w:autoSpaceDE/>
        <w:autoSpaceDN/>
        <w:bidi w:val="0"/>
        <w:adjustRightInd/>
        <w:snapToGrid/>
        <w:spacing w:line="360" w:lineRule="auto"/>
        <w:ind w:firstLine="464" w:firstLineChars="200"/>
        <w:jc w:val="both"/>
        <w:textAlignment w:val="auto"/>
        <w:outlineLvl w:val="9"/>
        <w:rPr>
          <w:rFonts w:hint="eastAsia" w:cs="Times New Roman"/>
          <w:color w:val="auto"/>
          <w:sz w:val="24"/>
          <w:szCs w:val="24"/>
          <w:highlight w:val="none"/>
          <w:lang w:val="en-US" w:eastAsia="zh-CN"/>
        </w:rPr>
      </w:pPr>
      <w:r>
        <w:rPr>
          <w:rFonts w:hint="eastAsia" w:ascii="Times New Roman" w:hAnsi="Times New Roman" w:eastAsia="宋体" w:cs="Times New Roman"/>
          <w:spacing w:val="-4"/>
          <w:kern w:val="2"/>
          <w:sz w:val="24"/>
          <w:szCs w:val="24"/>
          <w:highlight w:val="none"/>
          <w:lang w:val="en-US" w:eastAsia="zh-CN" w:bidi="ar-SA"/>
        </w:rPr>
        <w:t>承德市东岭环境监测有限公司于</w:t>
      </w:r>
      <w:r>
        <w:rPr>
          <w:rFonts w:hint="default" w:ascii="Times New Roman" w:hAnsi="Times New Roman" w:eastAsia="宋体" w:cs="Times New Roman"/>
          <w:spacing w:val="-4"/>
          <w:kern w:val="2"/>
          <w:sz w:val="24"/>
          <w:szCs w:val="24"/>
          <w:highlight w:val="none"/>
          <w:lang w:val="en-US" w:eastAsia="zh-CN" w:bidi="ar-SA"/>
        </w:rPr>
        <w:t>202</w:t>
      </w:r>
      <w:r>
        <w:rPr>
          <w:rFonts w:hint="eastAsia" w:ascii="Times New Roman" w:hAnsi="Times New Roman" w:eastAsia="宋体" w:cs="Times New Roman"/>
          <w:spacing w:val="-4"/>
          <w:kern w:val="2"/>
          <w:sz w:val="24"/>
          <w:szCs w:val="24"/>
          <w:highlight w:val="none"/>
          <w:lang w:val="en-US" w:eastAsia="zh-CN" w:bidi="ar-SA"/>
        </w:rPr>
        <w:t>4</w:t>
      </w:r>
      <w:r>
        <w:rPr>
          <w:rFonts w:hint="default" w:ascii="Times New Roman" w:hAnsi="Times New Roman" w:eastAsia="宋体" w:cs="Times New Roman"/>
          <w:spacing w:val="-4"/>
          <w:kern w:val="2"/>
          <w:sz w:val="24"/>
          <w:szCs w:val="24"/>
          <w:highlight w:val="none"/>
          <w:lang w:val="en-US" w:eastAsia="zh-CN" w:bidi="ar-SA"/>
        </w:rPr>
        <w:t>年</w:t>
      </w:r>
      <w:r>
        <w:rPr>
          <w:rFonts w:hint="eastAsia" w:ascii="Times New Roman" w:hAnsi="Times New Roman" w:eastAsia="宋体" w:cs="Times New Roman"/>
          <w:spacing w:val="-4"/>
          <w:kern w:val="2"/>
          <w:sz w:val="24"/>
          <w:szCs w:val="24"/>
          <w:highlight w:val="none"/>
          <w:lang w:val="en-US" w:eastAsia="zh-CN" w:bidi="ar-SA"/>
        </w:rPr>
        <w:t>6</w:t>
      </w:r>
      <w:r>
        <w:rPr>
          <w:rFonts w:hint="default" w:ascii="Times New Roman" w:hAnsi="Times New Roman" w:eastAsia="宋体" w:cs="Times New Roman"/>
          <w:spacing w:val="-4"/>
          <w:kern w:val="2"/>
          <w:sz w:val="24"/>
          <w:szCs w:val="24"/>
          <w:highlight w:val="none"/>
          <w:lang w:val="en-US" w:eastAsia="zh-CN" w:bidi="ar-SA"/>
        </w:rPr>
        <w:t>月</w:t>
      </w:r>
      <w:r>
        <w:rPr>
          <w:rFonts w:hint="eastAsia" w:ascii="Times New Roman" w:hAnsi="Times New Roman" w:eastAsia="宋体" w:cs="Times New Roman"/>
          <w:spacing w:val="-4"/>
          <w:kern w:val="2"/>
          <w:sz w:val="24"/>
          <w:szCs w:val="24"/>
          <w:highlight w:val="none"/>
          <w:lang w:val="en-US" w:eastAsia="zh-CN" w:bidi="ar-SA"/>
        </w:rPr>
        <w:t>24-25</w:t>
      </w:r>
      <w:r>
        <w:rPr>
          <w:rFonts w:hint="default" w:ascii="Times New Roman" w:hAnsi="Times New Roman" w:eastAsia="宋体" w:cs="Times New Roman"/>
          <w:spacing w:val="-4"/>
          <w:kern w:val="2"/>
          <w:sz w:val="24"/>
          <w:szCs w:val="24"/>
          <w:highlight w:val="none"/>
          <w:lang w:val="en-US" w:eastAsia="zh-CN" w:bidi="ar-SA"/>
        </w:rPr>
        <w:t>日对项目</w:t>
      </w:r>
      <w:r>
        <w:rPr>
          <w:rFonts w:hint="eastAsia" w:ascii="Times New Roman" w:hAnsi="Times New Roman" w:eastAsia="宋体" w:cs="Times New Roman"/>
          <w:spacing w:val="-4"/>
          <w:kern w:val="2"/>
          <w:sz w:val="24"/>
          <w:szCs w:val="24"/>
          <w:highlight w:val="none"/>
          <w:lang w:val="en-US" w:eastAsia="zh-CN" w:bidi="ar-SA"/>
        </w:rPr>
        <w:t>周边</w:t>
      </w:r>
      <w:r>
        <w:rPr>
          <w:rFonts w:hint="default" w:ascii="Times New Roman" w:hAnsi="Times New Roman" w:eastAsia="宋体" w:cs="Times New Roman"/>
          <w:spacing w:val="-4"/>
          <w:kern w:val="2"/>
          <w:sz w:val="24"/>
          <w:szCs w:val="24"/>
          <w:highlight w:val="none"/>
          <w:lang w:val="en-US" w:eastAsia="zh-CN" w:bidi="ar-SA"/>
        </w:rPr>
        <w:t>电磁环境</w:t>
      </w:r>
      <w:r>
        <w:rPr>
          <w:rFonts w:hint="default" w:ascii="Times New Roman" w:hAnsi="Times New Roman" w:cs="Times New Roman"/>
          <w:color w:val="auto"/>
          <w:sz w:val="24"/>
          <w:szCs w:val="24"/>
          <w:highlight w:val="none"/>
          <w:lang w:val="en-US" w:eastAsia="zh-CN"/>
        </w:rPr>
        <w:t>质量进行了监测</w:t>
      </w:r>
      <w:r>
        <w:rPr>
          <w:rFonts w:hint="eastAsia" w:cs="Times New Roman"/>
          <w:color w:val="auto"/>
          <w:sz w:val="24"/>
          <w:szCs w:val="24"/>
          <w:highlight w:val="none"/>
          <w:lang w:val="en-US" w:eastAsia="zh-CN"/>
        </w:rPr>
        <w:t>。</w:t>
      </w:r>
    </w:p>
    <w:p w14:paraId="39E4DACD">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现状监测</w:t>
      </w:r>
    </w:p>
    <w:p w14:paraId="3004DD19">
      <w:pPr>
        <w:pStyle w:val="9"/>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Times New Roman" w:hAnsi="Times New Roman" w:cs="Times New Roman"/>
          <w:color w:val="auto"/>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bidi="ar-SA"/>
        </w:rPr>
        <w:t>①监测点位</w:t>
      </w:r>
    </w:p>
    <w:p w14:paraId="1BCE40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jc w:val="both"/>
        <w:textAlignment w:val="auto"/>
        <w:outlineLvl w:val="9"/>
        <w:rPr>
          <w:spacing w:val="-1"/>
          <w:sz w:val="24"/>
          <w:szCs w:val="24"/>
        </w:rPr>
      </w:pPr>
      <w:r>
        <w:rPr>
          <w:spacing w:val="-5"/>
          <w:sz w:val="24"/>
          <w:szCs w:val="24"/>
        </w:rPr>
        <w:t>根据《环境影响评价技术导则输变电》（</w:t>
      </w:r>
      <w:r>
        <w:rPr>
          <w:rFonts w:ascii="Times New Roman" w:hAnsi="Times New Roman" w:eastAsia="Times New Roman" w:cs="Times New Roman"/>
          <w:spacing w:val="-5"/>
          <w:sz w:val="24"/>
          <w:szCs w:val="24"/>
        </w:rPr>
        <w:t>HJ24-2020</w:t>
      </w:r>
      <w:r>
        <w:rPr>
          <w:spacing w:val="-5"/>
          <w:sz w:val="24"/>
          <w:szCs w:val="24"/>
        </w:rPr>
        <w:t>）要求，线路监测点位均匀布点，</w:t>
      </w:r>
      <w:r>
        <w:rPr>
          <w:spacing w:val="14"/>
          <w:sz w:val="24"/>
          <w:szCs w:val="24"/>
        </w:rPr>
        <w:t xml:space="preserve"> </w:t>
      </w:r>
      <w:r>
        <w:rPr>
          <w:spacing w:val="-1"/>
          <w:sz w:val="24"/>
          <w:szCs w:val="24"/>
        </w:rPr>
        <w:t>敏感目标定点监测。</w:t>
      </w:r>
    </w:p>
    <w:p w14:paraId="29530CDF">
      <w:pPr>
        <w:pStyle w:val="8"/>
        <w:numPr>
          <w:ilvl w:val="0"/>
          <w:numId w:val="0"/>
        </w:numPr>
        <w:spacing w:line="360" w:lineRule="auto"/>
        <w:ind w:firstLine="476" w:firstLineChars="200"/>
        <w:jc w:val="left"/>
        <w:rPr>
          <w:rFonts w:hint="default" w:ascii="Times New Roman" w:hAnsi="Times New Roman" w:cs="Times New Roman"/>
          <w:color w:val="auto"/>
          <w:sz w:val="24"/>
          <w:szCs w:val="24"/>
          <w:highlight w:val="none"/>
        </w:rPr>
      </w:pPr>
      <w:r>
        <w:rPr>
          <w:spacing w:val="-1"/>
          <w:sz w:val="24"/>
          <w:szCs w:val="24"/>
        </w:rPr>
        <w:t>工频电场强度、工频磁感应强度监测点：</w:t>
      </w:r>
      <w:r>
        <w:rPr>
          <w:rFonts w:hint="eastAsia" w:ascii="宋体" w:hAnsi="宋体" w:eastAsia="宋体" w:cs="宋体"/>
          <w:color w:val="auto"/>
          <w:kern w:val="2"/>
          <w:sz w:val="24"/>
          <w:szCs w:val="24"/>
          <w:highlight w:val="none"/>
          <w:u w:val="none"/>
          <w:lang w:val="en-US" w:eastAsia="zh-CN" w:bidi="ar-SA"/>
        </w:rPr>
        <w:t>在二号村居民区、下五号村居民区、十二号西沟村居民区、</w:t>
      </w:r>
      <w:r>
        <w:rPr>
          <w:rFonts w:hint="default" w:ascii="Times New Roman" w:hAnsi="Times New Roman" w:eastAsia="宋体" w:cs="Times New Roman"/>
          <w:color w:val="auto"/>
          <w:kern w:val="2"/>
          <w:sz w:val="24"/>
          <w:szCs w:val="24"/>
          <w:highlight w:val="none"/>
          <w:u w:val="none"/>
          <w:lang w:val="en-US" w:eastAsia="zh-CN" w:bidi="ar-SA"/>
        </w:rPr>
        <w:t xml:space="preserve">跨越 110kV木牌线处各设置1个监测点位，测量距地面1.5m高处的工频电场强度和工频磁感应强度，共设置4个监测点位。 </w:t>
      </w:r>
      <w:r>
        <w:rPr>
          <w:rFonts w:hint="default" w:ascii="Times New Roman" w:hAnsi="Times New Roman" w:eastAsia="宋体" w:cs="Times New Roman"/>
          <w:color w:val="auto"/>
          <w:sz w:val="24"/>
          <w:szCs w:val="24"/>
          <w:highlight w:val="none"/>
          <w:lang w:val="en-US" w:eastAsia="zh-CN"/>
        </w:rPr>
        <w:t>本工程电磁环境现状</w:t>
      </w:r>
      <w:r>
        <w:rPr>
          <w:rFonts w:hint="default" w:ascii="Times New Roman" w:hAnsi="Times New Roman" w:eastAsia="宋体" w:cs="Times New Roman"/>
          <w:color w:val="auto"/>
          <w:kern w:val="0"/>
          <w:sz w:val="24"/>
          <w:szCs w:val="24"/>
          <w:highlight w:val="none"/>
          <w:lang w:val="en-US" w:eastAsia="zh-CN" w:bidi="ar"/>
        </w:rPr>
        <w:t>监测点位见表</w:t>
      </w:r>
      <w:r>
        <w:rPr>
          <w:rFonts w:hint="default" w:ascii="Times New Roman" w:hAnsi="Times New Roman" w:cs="Times New Roman"/>
          <w:color w:val="auto"/>
          <w:kern w:val="0"/>
          <w:sz w:val="24"/>
          <w:szCs w:val="24"/>
          <w:highlight w:val="none"/>
          <w:lang w:val="en-US" w:eastAsia="zh-CN" w:bidi="ar"/>
        </w:rPr>
        <w:t>4-1</w:t>
      </w:r>
      <w:r>
        <w:rPr>
          <w:rFonts w:hint="default" w:ascii="Times New Roman" w:hAnsi="Times New Roman" w:eastAsia="宋体" w:cs="Times New Roman"/>
          <w:color w:val="auto"/>
          <w:kern w:val="0"/>
          <w:sz w:val="24"/>
          <w:szCs w:val="24"/>
          <w:highlight w:val="none"/>
          <w:lang w:val="en-US" w:eastAsia="zh-CN" w:bidi="ar"/>
        </w:rPr>
        <w:t>。</w:t>
      </w:r>
    </w:p>
    <w:p w14:paraId="2C76DD30">
      <w:pPr>
        <w:pStyle w:val="9"/>
        <w:keepNext w:val="0"/>
        <w:keepLines w:val="0"/>
        <w:pageBreakBefore w:val="0"/>
        <w:widowControl w:val="0"/>
        <w:kinsoku/>
        <w:wordWrap/>
        <w:overflowPunct/>
        <w:topLinePunct w:val="0"/>
        <w:autoSpaceDE/>
        <w:autoSpaceDN/>
        <w:bidi w:val="0"/>
        <w:adjustRightInd w:val="0"/>
        <w:snapToGrid w:val="0"/>
        <w:spacing w:line="360" w:lineRule="auto"/>
        <w:ind w:left="0" w:right="0" w:firstLine="480"/>
        <w:jc w:val="center"/>
        <w:textAlignment w:val="auto"/>
        <w:rPr>
          <w:rFonts w:hint="default" w:eastAsia="宋体"/>
          <w:b/>
          <w:bCs/>
          <w:color w:val="auto"/>
          <w:sz w:val="24"/>
          <w:szCs w:val="24"/>
          <w:highlight w:val="none"/>
          <w:lang w:val="en-US" w:eastAsia="zh-CN"/>
        </w:rPr>
      </w:pPr>
      <w:r>
        <w:rPr>
          <w:rFonts w:hint="eastAsia"/>
          <w:b/>
          <w:bCs/>
          <w:color w:val="auto"/>
          <w:sz w:val="24"/>
          <w:szCs w:val="24"/>
          <w:highlight w:val="none"/>
          <w:lang w:val="en-US" w:eastAsia="zh-CN"/>
        </w:rPr>
        <w:t>表4-1电磁环境监测布点一览表</w:t>
      </w:r>
    </w:p>
    <w:tbl>
      <w:tblPr>
        <w:tblStyle w:val="20"/>
        <w:tblW w:w="4996"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0"/>
        <w:gridCol w:w="6893"/>
      </w:tblGrid>
      <w:tr w14:paraId="5BDACBE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1193" w:type="pct"/>
            <w:tcBorders>
              <w:tl2br w:val="nil"/>
              <w:tr2bl w:val="nil"/>
            </w:tcBorders>
            <w:vAlign w:val="center"/>
          </w:tcPr>
          <w:p w14:paraId="1D40DC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监测点编号</w:t>
            </w:r>
          </w:p>
        </w:tc>
        <w:tc>
          <w:tcPr>
            <w:tcW w:w="3806" w:type="pct"/>
            <w:tcBorders>
              <w:tl2br w:val="nil"/>
              <w:tr2bl w:val="nil"/>
            </w:tcBorders>
            <w:vAlign w:val="center"/>
          </w:tcPr>
          <w:p w14:paraId="640B61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监测点位位置</w:t>
            </w:r>
          </w:p>
        </w:tc>
      </w:tr>
      <w:tr w14:paraId="6E0EE8B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6" w:hRule="atLeast"/>
        </w:trPr>
        <w:tc>
          <w:tcPr>
            <w:tcW w:w="2374" w:type="dxa"/>
            <w:tcBorders>
              <w:tl2br w:val="nil"/>
              <w:tr2bl w:val="nil"/>
            </w:tcBorders>
            <w:vAlign w:val="center"/>
          </w:tcPr>
          <w:p w14:paraId="43561402">
            <w:pPr>
              <w:spacing w:line="400" w:lineRule="atLeast"/>
              <w:jc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1</w:t>
            </w:r>
          </w:p>
        </w:tc>
        <w:tc>
          <w:tcPr>
            <w:tcW w:w="7573" w:type="dxa"/>
            <w:tcBorders>
              <w:tl2br w:val="nil"/>
              <w:tr2bl w:val="nil"/>
            </w:tcBorders>
            <w:vAlign w:val="center"/>
          </w:tcPr>
          <w:p w14:paraId="497E6C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sz w:val="21"/>
                <w:szCs w:val="21"/>
                <w:highlight w:val="none"/>
                <w:lang w:val="en-US" w:eastAsia="zh-CN"/>
              </w:rPr>
              <w:t>1#二号村居民区</w:t>
            </w:r>
          </w:p>
        </w:tc>
      </w:tr>
      <w:tr w14:paraId="20B05FB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2374" w:type="dxa"/>
            <w:tcBorders>
              <w:tl2br w:val="nil"/>
              <w:tr2bl w:val="nil"/>
            </w:tcBorders>
            <w:vAlign w:val="center"/>
          </w:tcPr>
          <w:p w14:paraId="3838D936">
            <w:pPr>
              <w:spacing w:line="400" w:lineRule="atLeast"/>
              <w:jc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2</w:t>
            </w:r>
          </w:p>
        </w:tc>
        <w:tc>
          <w:tcPr>
            <w:tcW w:w="7573" w:type="dxa"/>
            <w:tcBorders>
              <w:tl2br w:val="nil"/>
              <w:tr2bl w:val="nil"/>
            </w:tcBorders>
            <w:vAlign w:val="center"/>
          </w:tcPr>
          <w:p w14:paraId="3ED7F6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sz w:val="21"/>
                <w:szCs w:val="21"/>
                <w:highlight w:val="none"/>
                <w:lang w:val="en-US" w:eastAsia="zh-CN"/>
              </w:rPr>
              <w:t>2#下五号村居民区</w:t>
            </w:r>
          </w:p>
        </w:tc>
      </w:tr>
      <w:tr w14:paraId="39001B0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2374" w:type="dxa"/>
            <w:tcBorders>
              <w:tl2br w:val="nil"/>
              <w:tr2bl w:val="nil"/>
            </w:tcBorders>
            <w:vAlign w:val="center"/>
          </w:tcPr>
          <w:p w14:paraId="0EA4CCAD">
            <w:pPr>
              <w:spacing w:line="400" w:lineRule="atLeast"/>
              <w:jc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3</w:t>
            </w:r>
          </w:p>
        </w:tc>
        <w:tc>
          <w:tcPr>
            <w:tcW w:w="7573" w:type="dxa"/>
            <w:tcBorders>
              <w:tl2br w:val="nil"/>
              <w:tr2bl w:val="nil"/>
            </w:tcBorders>
            <w:vAlign w:val="center"/>
          </w:tcPr>
          <w:p w14:paraId="05C384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sz w:val="21"/>
                <w:szCs w:val="21"/>
                <w:highlight w:val="none"/>
                <w:lang w:val="en-US" w:eastAsia="zh-CN"/>
              </w:rPr>
              <w:t>3#十二号西沟村居民区</w:t>
            </w:r>
          </w:p>
        </w:tc>
      </w:tr>
      <w:tr w14:paraId="64D451D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374" w:type="dxa"/>
            <w:tcBorders>
              <w:tl2br w:val="nil"/>
              <w:tr2bl w:val="nil"/>
            </w:tcBorders>
            <w:vAlign w:val="center"/>
          </w:tcPr>
          <w:p w14:paraId="6616658F">
            <w:pPr>
              <w:spacing w:line="400" w:lineRule="atLeast"/>
              <w:jc w:val="center"/>
              <w:rPr>
                <w:rFonts w:hint="eastAsia" w:ascii="Times New Roman" w:hAnsi="Times New Roman" w:eastAsia="宋体" w:cs="Times New Roman"/>
                <w:i w:val="0"/>
                <w:color w:val="auto"/>
                <w:kern w:val="0"/>
                <w:sz w:val="21"/>
                <w:szCs w:val="21"/>
                <w:highlight w:val="yellow"/>
                <w:u w:val="none"/>
                <w:lang w:val="en-US" w:eastAsia="zh-CN" w:bidi="ar"/>
              </w:rPr>
            </w:pPr>
            <w:r>
              <w:rPr>
                <w:rFonts w:hint="default" w:ascii="Times New Roman" w:hAnsi="Times New Roman" w:cs="Times New Roman"/>
                <w:color w:val="auto"/>
                <w:sz w:val="21"/>
                <w:szCs w:val="21"/>
                <w:highlight w:val="none"/>
                <w:lang w:val="en-US" w:eastAsia="zh-CN"/>
              </w:rPr>
              <w:t>4</w:t>
            </w:r>
          </w:p>
        </w:tc>
        <w:tc>
          <w:tcPr>
            <w:tcW w:w="7573" w:type="dxa"/>
            <w:tcBorders>
              <w:tl2br w:val="nil"/>
              <w:tr2bl w:val="nil"/>
            </w:tcBorders>
            <w:vAlign w:val="center"/>
          </w:tcPr>
          <w:p w14:paraId="2D6533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4#跨越110kV木牌线处</w:t>
            </w:r>
          </w:p>
          <w:p w14:paraId="0FCAB5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color w:val="auto"/>
                <w:kern w:val="0"/>
                <w:sz w:val="21"/>
                <w:szCs w:val="21"/>
                <w:highlight w:val="yellow"/>
                <w:u w:val="none"/>
                <w:lang w:val="en-US" w:eastAsia="zh-CN" w:bidi="ar"/>
              </w:rPr>
            </w:pPr>
            <w:r>
              <w:rPr>
                <w:rFonts w:hint="default" w:ascii="Times New Roman" w:hAnsi="Times New Roman" w:eastAsia="宋体" w:cs="Times New Roman"/>
                <w:sz w:val="21"/>
                <w:szCs w:val="21"/>
                <w:highlight w:val="none"/>
                <w:lang w:val="en-US" w:eastAsia="zh-CN"/>
              </w:rPr>
              <w:t>（监测点位旁有树木影响）</w:t>
            </w:r>
          </w:p>
        </w:tc>
      </w:tr>
    </w:tbl>
    <w:p w14:paraId="6F2548A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②监测</w:t>
      </w:r>
      <w:r>
        <w:rPr>
          <w:rFonts w:hint="eastAsia" w:cs="Times New Roman"/>
          <w:color w:val="auto"/>
          <w:kern w:val="0"/>
          <w:sz w:val="24"/>
          <w:szCs w:val="24"/>
          <w:highlight w:val="none"/>
          <w:lang w:val="en-US" w:eastAsia="zh-CN" w:bidi="ar-SA"/>
        </w:rPr>
        <w:t>因子</w:t>
      </w:r>
    </w:p>
    <w:p w14:paraId="0536E6D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本项目电磁环境质量现状监测因子为工频电场</w:t>
      </w:r>
      <w:r>
        <w:rPr>
          <w:rFonts w:hint="eastAsia"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工频磁</w:t>
      </w:r>
      <w:r>
        <w:rPr>
          <w:rFonts w:hint="eastAsia" w:cs="Times New Roman"/>
          <w:color w:val="auto"/>
          <w:kern w:val="0"/>
          <w:sz w:val="24"/>
          <w:szCs w:val="24"/>
          <w:highlight w:val="none"/>
          <w:lang w:val="en-US" w:eastAsia="zh-CN" w:bidi="ar-SA"/>
        </w:rPr>
        <w:t>场</w:t>
      </w:r>
      <w:r>
        <w:rPr>
          <w:rFonts w:hint="default" w:ascii="Times New Roman" w:hAnsi="Times New Roman" w:cs="Times New Roman"/>
          <w:color w:val="auto"/>
          <w:kern w:val="0"/>
          <w:sz w:val="24"/>
          <w:szCs w:val="24"/>
          <w:highlight w:val="none"/>
          <w:lang w:val="en-US" w:eastAsia="zh-CN" w:bidi="ar-SA"/>
        </w:rPr>
        <w:t>。</w:t>
      </w:r>
    </w:p>
    <w:p w14:paraId="497EF10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③监测频次与分析方法</w:t>
      </w:r>
    </w:p>
    <w:p w14:paraId="14965BD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电磁环境现状监测频率为1天</w:t>
      </w:r>
      <w:r>
        <w:rPr>
          <w:rFonts w:hint="eastAsia"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采样一次。工频电场、工频磁场检测方法执行《交流输变电工程电磁环境监测方法(试行)》(HJ681-2013)。</w:t>
      </w:r>
    </w:p>
    <w:p w14:paraId="22E3589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按《交流输变电工程电磁环境监测方法(试行)》(HJ681-2013)进行</w:t>
      </w:r>
      <w:r>
        <w:rPr>
          <w:rFonts w:hint="eastAsia"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尽量在空旷地进行</w:t>
      </w:r>
      <w:r>
        <w:rPr>
          <w:rFonts w:hint="eastAsia"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避开建筑物、林木、高压线及金属结构。</w:t>
      </w:r>
    </w:p>
    <w:p w14:paraId="2C3833E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监测点应选择在地势平坦、远离树木且没有其他电力线路、通信线路及广播线路的空地上。</w:t>
      </w:r>
    </w:p>
    <w:p w14:paraId="39E9F06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监测仪器的探头应架设在地面（或立足平面）上方1.5m高度处。监测工频电场时</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监测人员与监测仪器探头的距离应不小于2.5m。监测仪器探头与固定物体的距离应不小于1m。</w:t>
      </w:r>
    </w:p>
    <w:p w14:paraId="766C62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监测工频磁场时</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监测探头可以用一个小的电介质手柄支撑</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并可由监测人员手持。采用一维探头监测工频磁场时</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应调整探头使其位置在监测最大值的方向。</w:t>
      </w:r>
    </w:p>
    <w:p w14:paraId="3AAEECE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kern w:val="0"/>
          <w:sz w:val="24"/>
          <w:szCs w:val="24"/>
          <w:highlight w:val="none"/>
          <w:lang w:val="en-US" w:eastAsia="zh-CN" w:bidi="ar-SA"/>
        </w:rPr>
        <w:t>④</w:t>
      </w:r>
      <w:r>
        <w:rPr>
          <w:rFonts w:hint="default" w:ascii="Times New Roman" w:hAnsi="Times New Roman" w:cs="Times New Roman"/>
          <w:color w:val="auto"/>
          <w:sz w:val="24"/>
          <w:szCs w:val="24"/>
          <w:highlight w:val="none"/>
          <w:lang w:val="en-US" w:eastAsia="zh-CN"/>
        </w:rPr>
        <w:t>监测仪器</w:t>
      </w:r>
    </w:p>
    <w:p w14:paraId="3DA03E0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所用仪器均经国家计量部门检验合格，并处于校准证书有效期内，仪器的频率性能覆盖监测对象的频率范围。</w:t>
      </w:r>
    </w:p>
    <w:p w14:paraId="5AF928A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监测仪器校准情况见表</w:t>
      </w:r>
      <w:r>
        <w:rPr>
          <w:rFonts w:hint="eastAsia" w:cs="Times New Roman"/>
          <w:color w:val="auto"/>
          <w:sz w:val="24"/>
          <w:szCs w:val="24"/>
          <w:highlight w:val="none"/>
          <w:lang w:val="en-US" w:eastAsia="zh-CN"/>
        </w:rPr>
        <w:t>4-2</w:t>
      </w:r>
      <w:r>
        <w:rPr>
          <w:rFonts w:hint="default" w:ascii="Times New Roman" w:hAnsi="Times New Roman" w:cs="Times New Roman"/>
          <w:color w:val="auto"/>
          <w:sz w:val="24"/>
          <w:szCs w:val="24"/>
          <w:highlight w:val="none"/>
          <w:lang w:val="en-US" w:eastAsia="zh-CN"/>
        </w:rPr>
        <w:t>。</w:t>
      </w:r>
    </w:p>
    <w:p w14:paraId="4CF213C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val="en-US" w:eastAsia="zh-CN"/>
        </w:rPr>
        <w:t>监测仪器校准情况表</w:t>
      </w:r>
    </w:p>
    <w:tbl>
      <w:tblPr>
        <w:tblStyle w:val="19"/>
        <w:tblW w:w="4991" w:type="pct"/>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690"/>
        <w:gridCol w:w="1319"/>
        <w:gridCol w:w="1240"/>
        <w:gridCol w:w="1857"/>
        <w:gridCol w:w="2117"/>
        <w:gridCol w:w="1635"/>
      </w:tblGrid>
      <w:tr w14:paraId="1D0396A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33" w:hRule="atLeast"/>
        </w:trPr>
        <w:tc>
          <w:tcPr>
            <w:tcW w:w="389" w:type="pct"/>
            <w:tcBorders>
              <w:tl2br w:val="nil"/>
              <w:tr2bl w:val="nil"/>
            </w:tcBorders>
            <w:noWrap w:val="0"/>
            <w:vAlign w:val="center"/>
          </w:tcPr>
          <w:p w14:paraId="1A1BCA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序号</w:t>
            </w:r>
          </w:p>
        </w:tc>
        <w:tc>
          <w:tcPr>
            <w:tcW w:w="744" w:type="pct"/>
            <w:tcBorders>
              <w:tl2br w:val="nil"/>
              <w:tr2bl w:val="nil"/>
            </w:tcBorders>
            <w:noWrap w:val="0"/>
            <w:vAlign w:val="center"/>
          </w:tcPr>
          <w:p w14:paraId="2A71DE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仪器名称</w:t>
            </w:r>
          </w:p>
        </w:tc>
        <w:tc>
          <w:tcPr>
            <w:tcW w:w="699" w:type="pct"/>
            <w:tcBorders>
              <w:tl2br w:val="nil"/>
              <w:tr2bl w:val="nil"/>
            </w:tcBorders>
            <w:noWrap w:val="0"/>
            <w:vAlign w:val="center"/>
          </w:tcPr>
          <w:p w14:paraId="035C61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仪器型号</w:t>
            </w:r>
          </w:p>
        </w:tc>
        <w:tc>
          <w:tcPr>
            <w:tcW w:w="1048" w:type="pct"/>
            <w:tcBorders>
              <w:tl2br w:val="nil"/>
              <w:tr2bl w:val="nil"/>
            </w:tcBorders>
            <w:noWrap w:val="0"/>
            <w:vAlign w:val="center"/>
          </w:tcPr>
          <w:p w14:paraId="17A5CF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测量范围或量程</w:t>
            </w:r>
          </w:p>
        </w:tc>
        <w:tc>
          <w:tcPr>
            <w:tcW w:w="1195" w:type="pct"/>
            <w:tcBorders>
              <w:tl2br w:val="nil"/>
              <w:tr2bl w:val="nil"/>
            </w:tcBorders>
            <w:noWrap w:val="0"/>
            <w:vAlign w:val="center"/>
          </w:tcPr>
          <w:p w14:paraId="2B4BF3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检定/校准</w:t>
            </w:r>
          </w:p>
          <w:p w14:paraId="510A55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有效期</w:t>
            </w:r>
          </w:p>
        </w:tc>
        <w:tc>
          <w:tcPr>
            <w:tcW w:w="923" w:type="pct"/>
            <w:tcBorders>
              <w:tl2br w:val="nil"/>
              <w:tr2bl w:val="nil"/>
            </w:tcBorders>
            <w:noWrap w:val="0"/>
            <w:vAlign w:val="center"/>
          </w:tcPr>
          <w:p w14:paraId="41CA04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检定/校准机构</w:t>
            </w:r>
          </w:p>
        </w:tc>
      </w:tr>
      <w:tr w14:paraId="0AAB189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33" w:hRule="atLeast"/>
        </w:trPr>
        <w:tc>
          <w:tcPr>
            <w:tcW w:w="389" w:type="pct"/>
            <w:tcBorders>
              <w:tl2br w:val="nil"/>
              <w:tr2bl w:val="nil"/>
            </w:tcBorders>
            <w:noWrap w:val="0"/>
            <w:vAlign w:val="center"/>
          </w:tcPr>
          <w:p w14:paraId="2B68AC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1</w:t>
            </w:r>
          </w:p>
        </w:tc>
        <w:tc>
          <w:tcPr>
            <w:tcW w:w="744" w:type="pct"/>
            <w:tcBorders>
              <w:tl2br w:val="nil"/>
              <w:tr2bl w:val="nil"/>
            </w:tcBorders>
            <w:noWrap w:val="0"/>
            <w:vAlign w:val="center"/>
          </w:tcPr>
          <w:p w14:paraId="100CAA5B">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0" w:leftChars="0" w:firstLine="0" w:firstLineChars="0"/>
              <w:jc w:val="center"/>
              <w:textAlignment w:val="auto"/>
              <w:rPr>
                <w:rFonts w:hint="default" w:ascii="宋体" w:hAnsi="宋体" w:eastAsia="宋体" w:cs="宋体"/>
                <w:b w:val="0"/>
                <w:bCs w:val="0"/>
                <w:color w:val="auto"/>
                <w:kern w:val="2"/>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bidi="ar"/>
              </w:rPr>
              <w:t>工频探头</w:t>
            </w:r>
            <w:r>
              <w:rPr>
                <w:rFonts w:hint="eastAsia" w:ascii="宋体" w:hAnsi="宋体" w:eastAsia="宋体" w:cs="宋体"/>
                <w:b w:val="0"/>
                <w:bCs w:val="0"/>
                <w:sz w:val="21"/>
                <w:szCs w:val="21"/>
                <w:highlight w:val="none"/>
                <w:lang w:eastAsia="zh-CN"/>
              </w:rPr>
              <w:t>DLYQ-</w:t>
            </w:r>
            <w:r>
              <w:rPr>
                <w:rFonts w:hint="eastAsia" w:ascii="宋体" w:hAnsi="宋体" w:eastAsia="宋体" w:cs="宋体"/>
                <w:b w:val="0"/>
                <w:bCs w:val="0"/>
                <w:sz w:val="21"/>
                <w:szCs w:val="21"/>
                <w:highlight w:val="none"/>
                <w:lang w:val="en-US" w:eastAsia="zh-CN"/>
              </w:rPr>
              <w:t>45</w:t>
            </w:r>
          </w:p>
        </w:tc>
        <w:tc>
          <w:tcPr>
            <w:tcW w:w="699" w:type="pct"/>
            <w:tcBorders>
              <w:tl2br w:val="nil"/>
              <w:tr2bl w:val="nil"/>
            </w:tcBorders>
            <w:noWrap w:val="0"/>
            <w:vAlign w:val="center"/>
          </w:tcPr>
          <w:p w14:paraId="6CC22BB5">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0" w:leftChars="0" w:firstLine="0" w:firstLineChars="0"/>
              <w:jc w:val="center"/>
              <w:textAlignment w:val="auto"/>
              <w:rPr>
                <w:rFonts w:hint="default" w:ascii="宋体" w:hAnsi="宋体" w:eastAsia="宋体" w:cs="宋体"/>
                <w:b w:val="0"/>
                <w:bCs w:val="0"/>
                <w:color w:val="auto"/>
                <w:kern w:val="2"/>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bidi="ar"/>
              </w:rPr>
              <w:t>EHP-50F/NBM-550</w:t>
            </w:r>
          </w:p>
        </w:tc>
        <w:tc>
          <w:tcPr>
            <w:tcW w:w="1048" w:type="pct"/>
            <w:tcBorders>
              <w:tl2br w:val="nil"/>
              <w:tr2bl w:val="nil"/>
            </w:tcBorders>
            <w:noWrap w:val="0"/>
            <w:vAlign w:val="center"/>
          </w:tcPr>
          <w:p w14:paraId="432BD858">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0" w:leftChars="0" w:firstLine="0" w:firstLineChars="0"/>
              <w:jc w:val="center"/>
              <w:textAlignment w:val="auto"/>
              <w:rPr>
                <w:rFonts w:hint="default" w:ascii="宋体" w:hAnsi="宋体" w:eastAsia="宋体" w:cs="宋体"/>
                <w:b w:val="0"/>
                <w:bCs w:val="0"/>
                <w:color w:val="auto"/>
                <w:kern w:val="2"/>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bidi="ar"/>
              </w:rPr>
              <w:t>5mV/m～100kV/m  0.3nT～10mT</w:t>
            </w:r>
          </w:p>
        </w:tc>
        <w:tc>
          <w:tcPr>
            <w:tcW w:w="1195" w:type="pct"/>
            <w:tcBorders>
              <w:tl2br w:val="nil"/>
              <w:tr2bl w:val="nil"/>
            </w:tcBorders>
            <w:noWrap w:val="0"/>
            <w:vAlign w:val="center"/>
          </w:tcPr>
          <w:p w14:paraId="3E1AEBB3">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0" w:leftChars="0" w:firstLine="0" w:firstLineChars="0"/>
              <w:jc w:val="center"/>
              <w:textAlignment w:val="auto"/>
              <w:rPr>
                <w:rFonts w:hint="default" w:ascii="宋体" w:hAnsi="宋体" w:eastAsia="宋体" w:cs="宋体"/>
                <w:b w:val="0"/>
                <w:bCs w:val="0"/>
                <w:color w:val="auto"/>
                <w:kern w:val="2"/>
                <w:sz w:val="21"/>
                <w:szCs w:val="21"/>
                <w:highlight w:val="none"/>
                <w:lang w:val="en-US" w:eastAsia="zh-CN" w:bidi="ar"/>
              </w:rPr>
            </w:pPr>
            <w:r>
              <w:rPr>
                <w:rFonts w:hint="default" w:ascii="宋体" w:hAnsi="宋体" w:eastAsia="宋体" w:cs="宋体"/>
                <w:b w:val="0"/>
                <w:bCs w:val="0"/>
                <w:color w:val="auto"/>
                <w:sz w:val="21"/>
                <w:szCs w:val="21"/>
                <w:highlight w:val="none"/>
                <w:lang w:val="en-US" w:eastAsia="zh-CN" w:bidi="ar"/>
              </w:rPr>
              <w:t>2024</w:t>
            </w:r>
            <w:r>
              <w:rPr>
                <w:rFonts w:hint="eastAsia" w:ascii="宋体" w:hAnsi="宋体" w:eastAsia="宋体" w:cs="宋体"/>
                <w:b w:val="0"/>
                <w:bCs w:val="0"/>
                <w:color w:val="auto"/>
                <w:sz w:val="21"/>
                <w:szCs w:val="21"/>
                <w:highlight w:val="none"/>
                <w:lang w:val="en-US" w:eastAsia="zh-CN" w:bidi="ar"/>
              </w:rPr>
              <w:t>年</w:t>
            </w:r>
            <w:r>
              <w:rPr>
                <w:rFonts w:hint="default" w:ascii="宋体" w:hAnsi="宋体" w:eastAsia="宋体" w:cs="宋体"/>
                <w:b w:val="0"/>
                <w:bCs w:val="0"/>
                <w:color w:val="auto"/>
                <w:sz w:val="21"/>
                <w:szCs w:val="21"/>
                <w:highlight w:val="none"/>
                <w:lang w:val="en-US" w:eastAsia="zh-CN" w:bidi="ar"/>
              </w:rPr>
              <w:t>01</w:t>
            </w:r>
            <w:r>
              <w:rPr>
                <w:rFonts w:hint="eastAsia" w:ascii="宋体" w:hAnsi="宋体" w:eastAsia="宋体" w:cs="宋体"/>
                <w:b w:val="0"/>
                <w:bCs w:val="0"/>
                <w:color w:val="auto"/>
                <w:sz w:val="21"/>
                <w:szCs w:val="21"/>
                <w:highlight w:val="none"/>
                <w:lang w:val="en-US" w:eastAsia="zh-CN" w:bidi="ar"/>
              </w:rPr>
              <w:t>月</w:t>
            </w:r>
            <w:r>
              <w:rPr>
                <w:rFonts w:hint="default" w:ascii="宋体" w:hAnsi="宋体" w:eastAsia="宋体" w:cs="宋体"/>
                <w:b w:val="0"/>
                <w:bCs w:val="0"/>
                <w:color w:val="auto"/>
                <w:sz w:val="21"/>
                <w:szCs w:val="21"/>
                <w:highlight w:val="none"/>
                <w:lang w:val="en-US" w:eastAsia="zh-CN" w:bidi="ar"/>
              </w:rPr>
              <w:t>1</w:t>
            </w:r>
            <w:r>
              <w:rPr>
                <w:rFonts w:hint="eastAsia" w:ascii="宋体" w:hAnsi="宋体" w:eastAsia="宋体" w:cs="宋体"/>
                <w:b w:val="0"/>
                <w:bCs w:val="0"/>
                <w:color w:val="auto"/>
                <w:sz w:val="21"/>
                <w:szCs w:val="21"/>
                <w:highlight w:val="none"/>
                <w:lang w:val="en-US" w:eastAsia="zh-CN" w:bidi="ar"/>
              </w:rPr>
              <w:t>5日-</w:t>
            </w:r>
            <w:r>
              <w:rPr>
                <w:rFonts w:hint="default" w:ascii="宋体" w:hAnsi="宋体" w:eastAsia="宋体" w:cs="宋体"/>
                <w:b w:val="0"/>
                <w:bCs w:val="0"/>
                <w:color w:val="auto"/>
                <w:sz w:val="21"/>
                <w:szCs w:val="21"/>
                <w:highlight w:val="none"/>
                <w:lang w:val="en-US" w:eastAsia="zh-CN" w:bidi="ar"/>
              </w:rPr>
              <w:t>202</w:t>
            </w:r>
            <w:r>
              <w:rPr>
                <w:rFonts w:hint="eastAsia" w:ascii="宋体" w:hAnsi="宋体" w:eastAsia="宋体" w:cs="宋体"/>
                <w:b w:val="0"/>
                <w:bCs w:val="0"/>
                <w:color w:val="auto"/>
                <w:sz w:val="21"/>
                <w:szCs w:val="21"/>
                <w:highlight w:val="none"/>
                <w:lang w:val="en-US" w:eastAsia="zh-CN" w:bidi="ar"/>
              </w:rPr>
              <w:t>5年</w:t>
            </w:r>
            <w:r>
              <w:rPr>
                <w:rFonts w:hint="default" w:ascii="宋体" w:hAnsi="宋体" w:eastAsia="宋体" w:cs="宋体"/>
                <w:b w:val="0"/>
                <w:bCs w:val="0"/>
                <w:color w:val="auto"/>
                <w:sz w:val="21"/>
                <w:szCs w:val="21"/>
                <w:highlight w:val="none"/>
                <w:lang w:val="en-US" w:eastAsia="zh-CN" w:bidi="ar"/>
              </w:rPr>
              <w:t>01</w:t>
            </w:r>
            <w:r>
              <w:rPr>
                <w:rFonts w:hint="eastAsia" w:ascii="宋体" w:hAnsi="宋体" w:eastAsia="宋体" w:cs="宋体"/>
                <w:b w:val="0"/>
                <w:bCs w:val="0"/>
                <w:color w:val="auto"/>
                <w:sz w:val="21"/>
                <w:szCs w:val="21"/>
                <w:highlight w:val="none"/>
                <w:lang w:val="en-US" w:eastAsia="zh-CN" w:bidi="ar"/>
              </w:rPr>
              <w:t>月</w:t>
            </w:r>
            <w:r>
              <w:rPr>
                <w:rFonts w:hint="default" w:ascii="宋体" w:hAnsi="宋体" w:eastAsia="宋体" w:cs="宋体"/>
                <w:b w:val="0"/>
                <w:bCs w:val="0"/>
                <w:color w:val="auto"/>
                <w:sz w:val="21"/>
                <w:szCs w:val="21"/>
                <w:highlight w:val="none"/>
                <w:lang w:val="en-US" w:eastAsia="zh-CN" w:bidi="ar"/>
              </w:rPr>
              <w:t>1</w:t>
            </w:r>
            <w:r>
              <w:rPr>
                <w:rFonts w:hint="eastAsia" w:ascii="宋体" w:hAnsi="宋体" w:eastAsia="宋体" w:cs="宋体"/>
                <w:b w:val="0"/>
                <w:bCs w:val="0"/>
                <w:color w:val="auto"/>
                <w:sz w:val="21"/>
                <w:szCs w:val="21"/>
                <w:highlight w:val="none"/>
                <w:lang w:val="en-US" w:eastAsia="zh-CN" w:bidi="ar"/>
              </w:rPr>
              <w:t>4日</w:t>
            </w:r>
          </w:p>
        </w:tc>
        <w:tc>
          <w:tcPr>
            <w:tcW w:w="923" w:type="pct"/>
            <w:tcBorders>
              <w:tl2br w:val="nil"/>
              <w:tr2bl w:val="nil"/>
            </w:tcBorders>
            <w:noWrap w:val="0"/>
            <w:vAlign w:val="center"/>
          </w:tcPr>
          <w:p w14:paraId="7A5E30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中国计量科学</w:t>
            </w:r>
          </w:p>
          <w:p w14:paraId="2EB814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研究院</w:t>
            </w:r>
          </w:p>
        </w:tc>
      </w:tr>
      <w:tr w14:paraId="3C31CA3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33" w:hRule="atLeast"/>
        </w:trPr>
        <w:tc>
          <w:tcPr>
            <w:tcW w:w="389" w:type="pct"/>
            <w:tcBorders>
              <w:tl2br w:val="nil"/>
              <w:tr2bl w:val="nil"/>
            </w:tcBorders>
            <w:noWrap w:val="0"/>
            <w:vAlign w:val="center"/>
          </w:tcPr>
          <w:p w14:paraId="13437A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3</w:t>
            </w:r>
          </w:p>
        </w:tc>
        <w:tc>
          <w:tcPr>
            <w:tcW w:w="744" w:type="pct"/>
            <w:tcBorders>
              <w:tl2br w:val="nil"/>
              <w:tr2bl w:val="nil"/>
            </w:tcBorders>
            <w:noWrap w:val="0"/>
            <w:vAlign w:val="center"/>
          </w:tcPr>
          <w:p w14:paraId="0516AB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温湿度表DLYQ-</w:t>
            </w:r>
            <w:r>
              <w:rPr>
                <w:rFonts w:hint="eastAsia" w:ascii="宋体" w:hAnsi="宋体" w:eastAsia="宋体" w:cs="宋体"/>
                <w:b w:val="0"/>
                <w:bCs w:val="0"/>
                <w:sz w:val="21"/>
                <w:szCs w:val="21"/>
                <w:highlight w:val="none"/>
                <w:lang w:val="en-US" w:eastAsia="zh-CN"/>
              </w:rPr>
              <w:t>63</w:t>
            </w:r>
          </w:p>
        </w:tc>
        <w:tc>
          <w:tcPr>
            <w:tcW w:w="699" w:type="pct"/>
            <w:tcBorders>
              <w:tl2br w:val="nil"/>
              <w:tr2bl w:val="nil"/>
            </w:tcBorders>
            <w:noWrap w:val="0"/>
            <w:vAlign w:val="center"/>
          </w:tcPr>
          <w:p w14:paraId="65FEE0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WHM5型</w:t>
            </w:r>
          </w:p>
        </w:tc>
        <w:tc>
          <w:tcPr>
            <w:tcW w:w="1048" w:type="pct"/>
            <w:tcBorders>
              <w:tl2br w:val="nil"/>
              <w:tr2bl w:val="nil"/>
            </w:tcBorders>
            <w:noWrap w:val="0"/>
            <w:vAlign w:val="center"/>
          </w:tcPr>
          <w:p w14:paraId="3999F9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 xml:space="preserve">-20℃～+40℃ </w:t>
            </w:r>
          </w:p>
          <w:p w14:paraId="162872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（0～100%）RH</w:t>
            </w:r>
          </w:p>
        </w:tc>
        <w:tc>
          <w:tcPr>
            <w:tcW w:w="1195" w:type="pct"/>
            <w:tcBorders>
              <w:tl2br w:val="nil"/>
              <w:tr2bl w:val="nil"/>
            </w:tcBorders>
            <w:noWrap w:val="0"/>
            <w:vAlign w:val="center"/>
          </w:tcPr>
          <w:p w14:paraId="4774B9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2024年04月24日-2025年04月23日</w:t>
            </w:r>
          </w:p>
        </w:tc>
        <w:tc>
          <w:tcPr>
            <w:tcW w:w="923" w:type="pct"/>
            <w:tcBorders>
              <w:tl2br w:val="nil"/>
              <w:tr2bl w:val="nil"/>
            </w:tcBorders>
            <w:noWrap w:val="0"/>
            <w:vAlign w:val="center"/>
          </w:tcPr>
          <w:p w14:paraId="6D78D5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河北省计量监督检测研究院</w:t>
            </w:r>
          </w:p>
        </w:tc>
      </w:tr>
      <w:tr w14:paraId="1FAB2D1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33" w:hRule="atLeast"/>
        </w:trPr>
        <w:tc>
          <w:tcPr>
            <w:tcW w:w="389" w:type="pct"/>
            <w:tcBorders>
              <w:tl2br w:val="nil"/>
              <w:tr2bl w:val="nil"/>
            </w:tcBorders>
            <w:noWrap w:val="0"/>
            <w:vAlign w:val="center"/>
          </w:tcPr>
          <w:p w14:paraId="4DF1D5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5</w:t>
            </w:r>
          </w:p>
        </w:tc>
        <w:tc>
          <w:tcPr>
            <w:tcW w:w="744" w:type="pct"/>
            <w:tcBorders>
              <w:tl2br w:val="nil"/>
              <w:tr2bl w:val="nil"/>
            </w:tcBorders>
            <w:noWrap w:val="0"/>
            <w:vAlign w:val="center"/>
          </w:tcPr>
          <w:p w14:paraId="13C040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数字风速仪DLYQ-07</w:t>
            </w:r>
          </w:p>
        </w:tc>
        <w:tc>
          <w:tcPr>
            <w:tcW w:w="699" w:type="pct"/>
            <w:tcBorders>
              <w:tl2br w:val="nil"/>
              <w:tr2bl w:val="nil"/>
            </w:tcBorders>
            <w:noWrap w:val="0"/>
            <w:vAlign w:val="center"/>
          </w:tcPr>
          <w:p w14:paraId="0DC91C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QDF-6</w:t>
            </w:r>
          </w:p>
        </w:tc>
        <w:tc>
          <w:tcPr>
            <w:tcW w:w="1048" w:type="pct"/>
            <w:tcBorders>
              <w:tl2br w:val="nil"/>
              <w:tr2bl w:val="nil"/>
            </w:tcBorders>
            <w:noWrap w:val="0"/>
            <w:vAlign w:val="center"/>
          </w:tcPr>
          <w:p w14:paraId="0DF25E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0～30m/s</w:t>
            </w:r>
          </w:p>
        </w:tc>
        <w:tc>
          <w:tcPr>
            <w:tcW w:w="1195" w:type="pct"/>
            <w:tcBorders>
              <w:tl2br w:val="nil"/>
              <w:tr2bl w:val="nil"/>
            </w:tcBorders>
            <w:noWrap w:val="0"/>
            <w:vAlign w:val="center"/>
          </w:tcPr>
          <w:p w14:paraId="5A144E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2024年04月29日-2025年04月28日</w:t>
            </w:r>
          </w:p>
        </w:tc>
        <w:tc>
          <w:tcPr>
            <w:tcW w:w="923" w:type="pct"/>
            <w:tcBorders>
              <w:tl2br w:val="nil"/>
              <w:tr2bl w:val="nil"/>
            </w:tcBorders>
            <w:noWrap w:val="0"/>
            <w:vAlign w:val="center"/>
          </w:tcPr>
          <w:p w14:paraId="2506A1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河北省计量监督检测研究院</w:t>
            </w:r>
          </w:p>
        </w:tc>
      </w:tr>
      <w:tr w14:paraId="434F294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33" w:hRule="atLeast"/>
        </w:trPr>
        <w:tc>
          <w:tcPr>
            <w:tcW w:w="389" w:type="pct"/>
            <w:tcBorders>
              <w:tl2br w:val="nil"/>
              <w:tr2bl w:val="nil"/>
            </w:tcBorders>
            <w:noWrap w:val="0"/>
            <w:vAlign w:val="center"/>
          </w:tcPr>
          <w:p w14:paraId="176194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6</w:t>
            </w:r>
          </w:p>
        </w:tc>
        <w:tc>
          <w:tcPr>
            <w:tcW w:w="744" w:type="pct"/>
            <w:tcBorders>
              <w:tl2br w:val="nil"/>
              <w:tr2bl w:val="nil"/>
            </w:tcBorders>
            <w:noWrap w:val="0"/>
            <w:vAlign w:val="center"/>
          </w:tcPr>
          <w:p w14:paraId="146774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激光测距仪DLYQ-61</w:t>
            </w:r>
          </w:p>
        </w:tc>
        <w:tc>
          <w:tcPr>
            <w:tcW w:w="699" w:type="pct"/>
            <w:tcBorders>
              <w:tl2br w:val="nil"/>
              <w:tr2bl w:val="nil"/>
            </w:tcBorders>
            <w:noWrap w:val="0"/>
            <w:vAlign w:val="center"/>
          </w:tcPr>
          <w:p w14:paraId="30E69F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X800Pro</w:t>
            </w:r>
          </w:p>
        </w:tc>
        <w:tc>
          <w:tcPr>
            <w:tcW w:w="1048" w:type="pct"/>
            <w:tcBorders>
              <w:tl2br w:val="nil"/>
              <w:tr2bl w:val="nil"/>
            </w:tcBorders>
            <w:noWrap w:val="0"/>
            <w:vAlign w:val="center"/>
          </w:tcPr>
          <w:p w14:paraId="0981C8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0-800米</w:t>
            </w:r>
          </w:p>
        </w:tc>
        <w:tc>
          <w:tcPr>
            <w:tcW w:w="1195" w:type="pct"/>
            <w:tcBorders>
              <w:tl2br w:val="nil"/>
              <w:tr2bl w:val="nil"/>
            </w:tcBorders>
            <w:noWrap w:val="0"/>
            <w:vAlign w:val="center"/>
          </w:tcPr>
          <w:p w14:paraId="27E969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202</w:t>
            </w:r>
            <w:r>
              <w:rPr>
                <w:rFonts w:hint="eastAsia" w:ascii="宋体" w:hAnsi="宋体" w:eastAsia="宋体" w:cs="宋体"/>
                <w:b w:val="0"/>
                <w:bCs w:val="0"/>
                <w:sz w:val="21"/>
                <w:szCs w:val="21"/>
                <w:highlight w:val="none"/>
                <w:lang w:val="en-US" w:eastAsia="zh-CN"/>
              </w:rPr>
              <w:t>4</w:t>
            </w:r>
            <w:r>
              <w:rPr>
                <w:rFonts w:hint="eastAsia" w:ascii="宋体" w:hAnsi="宋体" w:eastAsia="宋体" w:cs="宋体"/>
                <w:b w:val="0"/>
                <w:bCs w:val="0"/>
                <w:sz w:val="21"/>
                <w:szCs w:val="21"/>
                <w:highlight w:val="none"/>
                <w:lang w:eastAsia="zh-CN"/>
              </w:rPr>
              <w:t>年</w:t>
            </w:r>
            <w:r>
              <w:rPr>
                <w:rFonts w:hint="eastAsia" w:ascii="宋体" w:hAnsi="宋体" w:eastAsia="宋体" w:cs="宋体"/>
                <w:b w:val="0"/>
                <w:bCs w:val="0"/>
                <w:sz w:val="21"/>
                <w:szCs w:val="21"/>
                <w:highlight w:val="none"/>
                <w:lang w:val="en-US" w:eastAsia="zh-CN"/>
              </w:rPr>
              <w:t>05</w:t>
            </w:r>
            <w:r>
              <w:rPr>
                <w:rFonts w:hint="eastAsia" w:ascii="宋体" w:hAnsi="宋体" w:eastAsia="宋体" w:cs="宋体"/>
                <w:b w:val="0"/>
                <w:bCs w:val="0"/>
                <w:sz w:val="21"/>
                <w:szCs w:val="21"/>
                <w:highlight w:val="none"/>
                <w:lang w:eastAsia="zh-CN"/>
              </w:rPr>
              <w:t>月</w:t>
            </w:r>
            <w:r>
              <w:rPr>
                <w:rFonts w:hint="eastAsia" w:ascii="宋体" w:hAnsi="宋体" w:eastAsia="宋体" w:cs="宋体"/>
                <w:b w:val="0"/>
                <w:bCs w:val="0"/>
                <w:sz w:val="21"/>
                <w:szCs w:val="21"/>
                <w:highlight w:val="none"/>
                <w:lang w:val="en-US" w:eastAsia="zh-CN"/>
              </w:rPr>
              <w:t>07</w:t>
            </w:r>
            <w:r>
              <w:rPr>
                <w:rFonts w:hint="eastAsia" w:ascii="宋体" w:hAnsi="宋体" w:eastAsia="宋体" w:cs="宋体"/>
                <w:b w:val="0"/>
                <w:bCs w:val="0"/>
                <w:sz w:val="21"/>
                <w:szCs w:val="21"/>
                <w:highlight w:val="none"/>
                <w:lang w:eastAsia="zh-CN"/>
              </w:rPr>
              <w:t>日</w:t>
            </w:r>
            <w:r>
              <w:rPr>
                <w:rFonts w:hint="eastAsia" w:ascii="宋体" w:hAnsi="宋体" w:eastAsia="宋体" w:cs="宋体"/>
                <w:b w:val="0"/>
                <w:bCs w:val="0"/>
                <w:sz w:val="21"/>
                <w:szCs w:val="21"/>
                <w:highlight w:val="none"/>
                <w:lang w:val="en-US" w:eastAsia="zh-CN"/>
              </w:rPr>
              <w:t>-2025年05月06日</w:t>
            </w:r>
          </w:p>
        </w:tc>
        <w:tc>
          <w:tcPr>
            <w:tcW w:w="923" w:type="pct"/>
            <w:tcBorders>
              <w:tl2br w:val="nil"/>
              <w:tr2bl w:val="nil"/>
            </w:tcBorders>
            <w:noWrap w:val="0"/>
            <w:vAlign w:val="center"/>
          </w:tcPr>
          <w:p w14:paraId="6F106F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eastAsia="zh-CN"/>
              </w:rPr>
              <w:t>河北省计量监督检测研究院</w:t>
            </w:r>
          </w:p>
        </w:tc>
      </w:tr>
    </w:tbl>
    <w:p w14:paraId="5BDD54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highlight w:val="none"/>
        </w:rPr>
      </w:pP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监测布点</w:t>
      </w:r>
    </w:p>
    <w:p w14:paraId="02AB39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jc w:val="both"/>
        <w:textAlignment w:val="auto"/>
        <w:outlineLvl w:val="9"/>
        <w:rPr>
          <w:spacing w:val="-1"/>
          <w:sz w:val="24"/>
          <w:szCs w:val="24"/>
        </w:rPr>
      </w:pPr>
      <w:r>
        <w:rPr>
          <w:spacing w:val="-5"/>
          <w:sz w:val="24"/>
          <w:szCs w:val="24"/>
        </w:rPr>
        <w:t>根据《环境影响评价技术导则输变电》（</w:t>
      </w:r>
      <w:r>
        <w:rPr>
          <w:rFonts w:ascii="Times New Roman" w:hAnsi="Times New Roman" w:eastAsia="Times New Roman" w:cs="Times New Roman"/>
          <w:spacing w:val="-5"/>
          <w:sz w:val="24"/>
          <w:szCs w:val="24"/>
        </w:rPr>
        <w:t>HJ24-2020</w:t>
      </w:r>
      <w:r>
        <w:rPr>
          <w:spacing w:val="-5"/>
          <w:sz w:val="24"/>
          <w:szCs w:val="24"/>
        </w:rPr>
        <w:t>）要求，线路监测点位均匀布点，</w:t>
      </w:r>
      <w:r>
        <w:rPr>
          <w:spacing w:val="14"/>
          <w:sz w:val="24"/>
          <w:szCs w:val="24"/>
        </w:rPr>
        <w:t xml:space="preserve"> </w:t>
      </w:r>
      <w:r>
        <w:rPr>
          <w:spacing w:val="-1"/>
          <w:sz w:val="24"/>
          <w:szCs w:val="24"/>
        </w:rPr>
        <w:t>敏感目标定点监测。</w:t>
      </w:r>
    </w:p>
    <w:p w14:paraId="405E02D9">
      <w:pPr>
        <w:pStyle w:val="8"/>
        <w:numPr>
          <w:ilvl w:val="0"/>
          <w:numId w:val="0"/>
        </w:numPr>
        <w:spacing w:line="360" w:lineRule="auto"/>
        <w:ind w:firstLine="476" w:firstLineChars="200"/>
        <w:jc w:val="left"/>
        <w:rPr>
          <w:sz w:val="24"/>
          <w:szCs w:val="24"/>
        </w:rPr>
      </w:pPr>
      <w:r>
        <w:rPr>
          <w:spacing w:val="-1"/>
          <w:sz w:val="24"/>
          <w:szCs w:val="24"/>
        </w:rPr>
        <w:t>工频电场强度、工频磁感应强度监测点：</w:t>
      </w:r>
      <w:r>
        <w:rPr>
          <w:rFonts w:hint="eastAsia" w:ascii="宋体" w:hAnsi="宋体" w:eastAsia="宋体" w:cs="宋体"/>
          <w:color w:val="auto"/>
          <w:kern w:val="2"/>
          <w:sz w:val="24"/>
          <w:szCs w:val="24"/>
          <w:highlight w:val="none"/>
          <w:u w:val="none"/>
          <w:lang w:val="en-US" w:eastAsia="zh-CN" w:bidi="ar-SA"/>
        </w:rPr>
        <w:t xml:space="preserve">在二号村居民区、下五号村居民区、十二号西沟村居民区、跨越 110kV木牌线处各设置1个监测点位，测量距地面1.5m高处的工频电场强度和工频磁感应强度，共设置4个监测点位。 </w:t>
      </w:r>
    </w:p>
    <w:p w14:paraId="6FDD1BBB">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（2）现状评价</w:t>
      </w:r>
    </w:p>
    <w:p w14:paraId="5C6B517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①评价方法</w:t>
      </w:r>
    </w:p>
    <w:p w14:paraId="46564F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本项目电磁环境质量现状评价采用比标法</w:t>
      </w:r>
      <w:r>
        <w:rPr>
          <w:rFonts w:hint="eastAsia"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即将监测结果与评价标准对比比较</w:t>
      </w:r>
      <w:r>
        <w:rPr>
          <w:rFonts w:hint="eastAsia"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低于评价标准限值即为达标。</w:t>
      </w:r>
    </w:p>
    <w:p w14:paraId="7F42137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②评价标准</w:t>
      </w:r>
    </w:p>
    <w:p w14:paraId="7A6B539A">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SA"/>
        </w:rPr>
        <w:t>根据《电磁环境控制限值》(GB8702-2014)的规定</w:t>
      </w:r>
      <w:r>
        <w:rPr>
          <w:rFonts w:hint="eastAsia"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工频电场强度和工频磁感应强度的公众曝露控制限值分别为</w:t>
      </w:r>
      <w:r>
        <w:rPr>
          <w:rFonts w:hint="eastAsia" w:cs="Times New Roman"/>
          <w:color w:val="auto"/>
          <w:kern w:val="0"/>
          <w:sz w:val="24"/>
          <w:szCs w:val="24"/>
          <w:highlight w:val="none"/>
          <w:lang w:val="en-US" w:eastAsia="zh-CN" w:bidi="ar-SA"/>
        </w:rPr>
        <w:t>4k</w:t>
      </w:r>
      <w:r>
        <w:rPr>
          <w:rFonts w:hint="default" w:ascii="Times New Roman" w:hAnsi="Times New Roman" w:cs="Times New Roman"/>
          <w:color w:val="auto"/>
          <w:kern w:val="0"/>
          <w:sz w:val="24"/>
          <w:szCs w:val="24"/>
          <w:highlight w:val="none"/>
          <w:lang w:val="en-US" w:eastAsia="zh-CN" w:bidi="ar-SA"/>
        </w:rPr>
        <w:t>V/m和100μT</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
        </w:rPr>
        <w:t>架空输电线路线下的耕地、园地、牧草地、畜禽饲养地、养殖水面、道路等场所，其频率50Hz的电场强度控制限值为10kV/m。</w:t>
      </w:r>
    </w:p>
    <w:p w14:paraId="198CF96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③监测与比标结果</w:t>
      </w:r>
    </w:p>
    <w:p w14:paraId="435D509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各监测点电磁环境</w:t>
      </w:r>
      <w:r>
        <w:rPr>
          <w:rFonts w:hint="eastAsia" w:cs="Times New Roman"/>
          <w:color w:val="auto"/>
          <w:kern w:val="0"/>
          <w:sz w:val="24"/>
          <w:szCs w:val="24"/>
          <w:highlight w:val="none"/>
          <w:lang w:val="en-US" w:eastAsia="zh-CN" w:bidi="ar-SA"/>
        </w:rPr>
        <w:t>监测环境条件情况</w:t>
      </w:r>
      <w:r>
        <w:rPr>
          <w:rFonts w:hint="default" w:ascii="Times New Roman" w:hAnsi="Times New Roman" w:cs="Times New Roman"/>
          <w:color w:val="auto"/>
          <w:kern w:val="0"/>
          <w:sz w:val="24"/>
          <w:szCs w:val="24"/>
          <w:highlight w:val="none"/>
          <w:lang w:val="en-US" w:eastAsia="zh-CN" w:bidi="ar-SA"/>
        </w:rPr>
        <w:t>见表</w:t>
      </w:r>
      <w:r>
        <w:rPr>
          <w:rFonts w:hint="eastAsia" w:cs="Times New Roman"/>
          <w:color w:val="auto"/>
          <w:kern w:val="0"/>
          <w:sz w:val="24"/>
          <w:szCs w:val="24"/>
          <w:highlight w:val="none"/>
          <w:lang w:val="en-US" w:eastAsia="zh-CN" w:bidi="ar-SA"/>
        </w:rPr>
        <w:t>4-3</w:t>
      </w:r>
      <w:r>
        <w:rPr>
          <w:rFonts w:hint="default" w:ascii="Times New Roman" w:hAnsi="Times New Roman" w:cs="Times New Roman"/>
          <w:color w:val="auto"/>
          <w:kern w:val="0"/>
          <w:sz w:val="24"/>
          <w:szCs w:val="24"/>
          <w:highlight w:val="none"/>
          <w:lang w:val="en-US" w:eastAsia="zh-CN" w:bidi="ar-SA"/>
        </w:rPr>
        <w:t>。</w:t>
      </w:r>
    </w:p>
    <w:p w14:paraId="738711E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SA"/>
        </w:rPr>
        <w:t>表</w:t>
      </w:r>
      <w:r>
        <w:rPr>
          <w:rFonts w:hint="eastAsia" w:ascii="宋体" w:hAnsi="宋体" w:cs="宋体"/>
          <w:b/>
          <w:bCs/>
          <w:color w:val="auto"/>
          <w:kern w:val="0"/>
          <w:sz w:val="24"/>
          <w:szCs w:val="24"/>
          <w:highlight w:val="none"/>
          <w:lang w:val="en-US" w:eastAsia="zh-CN" w:bidi="ar-SA"/>
        </w:rPr>
        <w:t>4</w:t>
      </w:r>
      <w:r>
        <w:rPr>
          <w:rFonts w:hint="eastAsia" w:ascii="宋体" w:hAnsi="宋体" w:eastAsia="宋体" w:cs="宋体"/>
          <w:b/>
          <w:bCs/>
          <w:color w:val="auto"/>
          <w:kern w:val="0"/>
          <w:sz w:val="24"/>
          <w:szCs w:val="24"/>
          <w:highlight w:val="none"/>
          <w:lang w:val="en-US" w:eastAsia="zh-CN" w:bidi="ar-SA"/>
        </w:rPr>
        <w:t>-3</w:t>
      </w:r>
      <w:r>
        <w:rPr>
          <w:rFonts w:hint="eastAsia" w:ascii="宋体" w:hAnsi="宋体" w:cs="宋体"/>
          <w:b/>
          <w:bCs/>
          <w:color w:val="auto"/>
          <w:kern w:val="0"/>
          <w:sz w:val="24"/>
          <w:szCs w:val="24"/>
          <w:highlight w:val="none"/>
          <w:lang w:val="en-US" w:eastAsia="zh-CN" w:bidi="ar-SA"/>
        </w:rPr>
        <w:t>监测环境条件</w:t>
      </w:r>
      <w:r>
        <w:rPr>
          <w:rFonts w:hint="eastAsia" w:ascii="宋体" w:hAnsi="宋体" w:eastAsia="宋体" w:cs="宋体"/>
          <w:b/>
          <w:bCs/>
          <w:color w:val="auto"/>
          <w:kern w:val="0"/>
          <w:sz w:val="24"/>
          <w:szCs w:val="24"/>
          <w:highlight w:val="none"/>
          <w:lang w:val="en-US" w:eastAsia="zh-CN" w:bidi="ar-SA"/>
        </w:rPr>
        <w:t>统计表</w:t>
      </w:r>
    </w:p>
    <w:tbl>
      <w:tblPr>
        <w:tblStyle w:val="19"/>
        <w:tblW w:w="4996" w:type="pct"/>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946"/>
        <w:gridCol w:w="1599"/>
        <w:gridCol w:w="1777"/>
        <w:gridCol w:w="1772"/>
        <w:gridCol w:w="1772"/>
      </w:tblGrid>
      <w:tr w14:paraId="2F01C33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28" w:hRule="atLeast"/>
        </w:trPr>
        <w:tc>
          <w:tcPr>
            <w:tcW w:w="1097" w:type="pct"/>
            <w:tcBorders>
              <w:tl2br w:val="nil"/>
              <w:tr2bl w:val="nil"/>
            </w:tcBorders>
            <w:noWrap w:val="0"/>
            <w:vAlign w:val="center"/>
          </w:tcPr>
          <w:p w14:paraId="7ECC38F9">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检测日期</w:t>
            </w:r>
          </w:p>
        </w:tc>
        <w:tc>
          <w:tcPr>
            <w:tcW w:w="901" w:type="pct"/>
            <w:tcBorders>
              <w:tl2br w:val="nil"/>
              <w:tr2bl w:val="nil"/>
            </w:tcBorders>
            <w:noWrap w:val="0"/>
            <w:vAlign w:val="center"/>
          </w:tcPr>
          <w:p w14:paraId="6CF3CE78">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环境温度</w:t>
            </w:r>
            <w:r>
              <w:rPr>
                <w:rFonts w:hint="eastAsia" w:ascii="Times New Roman" w:hAnsi="Times New Roman" w:cs="Times New Roman"/>
                <w:color w:val="auto"/>
                <w:sz w:val="21"/>
                <w:szCs w:val="21"/>
                <w:highlight w:val="none"/>
                <w:lang w:val="en-US" w:eastAsia="zh-CN"/>
              </w:rPr>
              <w:t>℃</w:t>
            </w:r>
          </w:p>
        </w:tc>
        <w:tc>
          <w:tcPr>
            <w:tcW w:w="1001" w:type="pct"/>
            <w:tcBorders>
              <w:tl2br w:val="nil"/>
              <w:tr2bl w:val="nil"/>
            </w:tcBorders>
            <w:noWrap w:val="0"/>
            <w:vAlign w:val="center"/>
          </w:tcPr>
          <w:p w14:paraId="65FDC1F6">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环境湿度</w:t>
            </w:r>
            <w:r>
              <w:rPr>
                <w:rFonts w:hint="eastAsia" w:ascii="Times New Roman" w:hAnsi="Times New Roman" w:cs="Times New Roman"/>
                <w:color w:val="auto"/>
                <w:kern w:val="0"/>
                <w:sz w:val="21"/>
                <w:szCs w:val="21"/>
                <w:highlight w:val="none"/>
                <w:lang w:val="en-US" w:eastAsia="zh-CN" w:bidi="ar-SA"/>
              </w:rPr>
              <w:t>%</w:t>
            </w:r>
          </w:p>
        </w:tc>
        <w:tc>
          <w:tcPr>
            <w:tcW w:w="999" w:type="pct"/>
            <w:tcBorders>
              <w:tl2br w:val="nil"/>
              <w:tr2bl w:val="nil"/>
            </w:tcBorders>
            <w:noWrap w:val="0"/>
            <w:vAlign w:val="center"/>
          </w:tcPr>
          <w:p w14:paraId="1BD20D0F">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天气状况</w:t>
            </w:r>
          </w:p>
        </w:tc>
        <w:tc>
          <w:tcPr>
            <w:tcW w:w="999" w:type="pct"/>
            <w:tcBorders>
              <w:tl2br w:val="nil"/>
              <w:tr2bl w:val="nil"/>
            </w:tcBorders>
            <w:noWrap w:val="0"/>
            <w:vAlign w:val="center"/>
          </w:tcPr>
          <w:p w14:paraId="5DB851DB">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风速m/s</w:t>
            </w:r>
          </w:p>
        </w:tc>
      </w:tr>
      <w:tr w14:paraId="763A0E0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28" w:hRule="atLeast"/>
        </w:trPr>
        <w:tc>
          <w:tcPr>
            <w:tcW w:w="1097" w:type="pct"/>
            <w:tcBorders>
              <w:tl2br w:val="nil"/>
              <w:tr2bl w:val="nil"/>
            </w:tcBorders>
            <w:noWrap w:val="0"/>
            <w:vAlign w:val="center"/>
          </w:tcPr>
          <w:p w14:paraId="14D6A9B6">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月</w:t>
            </w:r>
            <w:r>
              <w:rPr>
                <w:rFonts w:hint="eastAsia"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lang w:val="en-US" w:eastAsia="zh-CN"/>
              </w:rPr>
              <w:t>日</w:t>
            </w:r>
          </w:p>
        </w:tc>
        <w:tc>
          <w:tcPr>
            <w:tcW w:w="901" w:type="pct"/>
            <w:tcBorders>
              <w:tl2br w:val="nil"/>
              <w:tr2bl w:val="nil"/>
            </w:tcBorders>
            <w:noWrap w:val="0"/>
            <w:vAlign w:val="center"/>
          </w:tcPr>
          <w:p w14:paraId="6E666D37">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outlineLvl w:val="9"/>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21~22</w:t>
            </w:r>
          </w:p>
        </w:tc>
        <w:tc>
          <w:tcPr>
            <w:tcW w:w="1001" w:type="pct"/>
            <w:tcBorders>
              <w:tl2br w:val="nil"/>
              <w:tr2bl w:val="nil"/>
            </w:tcBorders>
            <w:noWrap w:val="0"/>
            <w:vAlign w:val="center"/>
          </w:tcPr>
          <w:p w14:paraId="164C4E69">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outlineLvl w:val="9"/>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49</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50</w:t>
            </w:r>
          </w:p>
        </w:tc>
        <w:tc>
          <w:tcPr>
            <w:tcW w:w="999" w:type="pct"/>
            <w:tcBorders>
              <w:tl2br w:val="nil"/>
              <w:tr2bl w:val="nil"/>
            </w:tcBorders>
            <w:noWrap w:val="0"/>
            <w:vAlign w:val="center"/>
          </w:tcPr>
          <w:p w14:paraId="25C2A6AD">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无雨无雪</w:t>
            </w:r>
          </w:p>
        </w:tc>
        <w:tc>
          <w:tcPr>
            <w:tcW w:w="999" w:type="pct"/>
            <w:tcBorders>
              <w:tl2br w:val="nil"/>
              <w:tr2bl w:val="nil"/>
            </w:tcBorders>
            <w:noWrap w:val="0"/>
            <w:vAlign w:val="center"/>
          </w:tcPr>
          <w:p w14:paraId="2BE09A4C">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~1.5</w:t>
            </w:r>
          </w:p>
        </w:tc>
      </w:tr>
      <w:tr w14:paraId="69D63BB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28" w:hRule="atLeast"/>
        </w:trPr>
        <w:tc>
          <w:tcPr>
            <w:tcW w:w="1097" w:type="pct"/>
            <w:tcBorders>
              <w:tl2br w:val="nil"/>
              <w:tr2bl w:val="nil"/>
            </w:tcBorders>
            <w:noWrap w:val="0"/>
            <w:vAlign w:val="center"/>
          </w:tcPr>
          <w:p w14:paraId="3B495E70">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月</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lang w:val="en-US" w:eastAsia="zh-CN"/>
              </w:rPr>
              <w:t>日</w:t>
            </w:r>
          </w:p>
        </w:tc>
        <w:tc>
          <w:tcPr>
            <w:tcW w:w="901" w:type="pct"/>
            <w:tcBorders>
              <w:tl2br w:val="nil"/>
              <w:tr2bl w:val="nil"/>
            </w:tcBorders>
            <w:noWrap w:val="0"/>
            <w:vAlign w:val="center"/>
          </w:tcPr>
          <w:p w14:paraId="495EB2CC">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outlineLvl w:val="9"/>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16~18</w:t>
            </w:r>
          </w:p>
        </w:tc>
        <w:tc>
          <w:tcPr>
            <w:tcW w:w="1001" w:type="pct"/>
            <w:tcBorders>
              <w:tl2br w:val="nil"/>
              <w:tr2bl w:val="nil"/>
            </w:tcBorders>
            <w:noWrap w:val="0"/>
            <w:vAlign w:val="center"/>
          </w:tcPr>
          <w:p w14:paraId="04602C50">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outlineLvl w:val="9"/>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52~54</w:t>
            </w:r>
          </w:p>
        </w:tc>
        <w:tc>
          <w:tcPr>
            <w:tcW w:w="999" w:type="pct"/>
            <w:tcBorders>
              <w:tl2br w:val="nil"/>
              <w:tr2bl w:val="nil"/>
            </w:tcBorders>
            <w:noWrap w:val="0"/>
            <w:vAlign w:val="center"/>
          </w:tcPr>
          <w:p w14:paraId="3737AF55">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outlineLvl w:val="9"/>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无雨无雪</w:t>
            </w:r>
          </w:p>
        </w:tc>
        <w:tc>
          <w:tcPr>
            <w:tcW w:w="999" w:type="pct"/>
            <w:tcBorders>
              <w:tl2br w:val="nil"/>
              <w:tr2bl w:val="nil"/>
            </w:tcBorders>
            <w:noWrap w:val="0"/>
            <w:vAlign w:val="center"/>
          </w:tcPr>
          <w:p w14:paraId="6AD872B4">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7</w:t>
            </w: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8</w:t>
            </w:r>
          </w:p>
        </w:tc>
      </w:tr>
    </w:tbl>
    <w:p w14:paraId="054E7924">
      <w:pPr>
        <w:pStyle w:val="34"/>
        <w:keepNext w:val="0"/>
        <w:keepLines w:val="0"/>
        <w:pageBreakBefore w:val="0"/>
        <w:widowControl w:val="0"/>
        <w:numPr>
          <w:ilvl w:val="0"/>
          <w:numId w:val="0"/>
        </w:numPr>
        <w:tabs>
          <w:tab w:val="left" w:pos="973"/>
        </w:tabs>
        <w:kinsoku/>
        <w:wordWrap/>
        <w:overflowPunct/>
        <w:topLinePunct w:val="0"/>
        <w:autoSpaceDE/>
        <w:autoSpaceDN/>
        <w:bidi w:val="0"/>
        <w:adjustRightInd w:val="0"/>
        <w:snapToGrid w:val="0"/>
        <w:spacing w:after="0" w:line="360" w:lineRule="auto"/>
        <w:ind w:left="0" w:leftChars="0" w:right="0" w:rightChars="0" w:firstLine="480" w:firstLineChars="20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本工程</w:t>
      </w:r>
      <w:r>
        <w:rPr>
          <w:rFonts w:hint="eastAsia" w:cs="宋体"/>
          <w:color w:val="auto"/>
          <w:sz w:val="24"/>
          <w:szCs w:val="24"/>
          <w:highlight w:val="none"/>
          <w:lang w:val="en-US" w:eastAsia="zh-CN"/>
        </w:rPr>
        <w:t>线路周边</w:t>
      </w:r>
      <w:r>
        <w:rPr>
          <w:rFonts w:hint="eastAsia" w:ascii="宋体" w:hAnsi="宋体" w:eastAsia="宋体" w:cs="宋体"/>
          <w:color w:val="auto"/>
          <w:sz w:val="24"/>
          <w:szCs w:val="24"/>
          <w:highlight w:val="none"/>
          <w:lang w:val="en-US" w:eastAsia="zh-CN"/>
        </w:rPr>
        <w:t>的工频电场、工频磁感应强度监测结果见表</w:t>
      </w:r>
      <w:r>
        <w:rPr>
          <w:rFonts w:hint="eastAsia" w:cs="宋体"/>
          <w:color w:val="auto"/>
          <w:sz w:val="24"/>
          <w:szCs w:val="24"/>
          <w:highlight w:val="none"/>
          <w:lang w:val="en-US" w:eastAsia="zh-CN"/>
        </w:rPr>
        <w:t>4</w:t>
      </w:r>
      <w:r>
        <w:rPr>
          <w:rFonts w:hint="default" w:ascii="宋体" w:hAnsi="宋体" w:eastAsia="宋体" w:cs="宋体"/>
          <w:color w:val="auto"/>
          <w:sz w:val="24"/>
          <w:szCs w:val="24"/>
          <w:highlight w:val="none"/>
          <w:lang w:val="en-US" w:eastAsia="zh-CN"/>
        </w:rPr>
        <w:t>-</w:t>
      </w:r>
      <w:r>
        <w:rPr>
          <w:rFonts w:hint="eastAsia"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p>
    <w:p w14:paraId="6AC073F9">
      <w:pPr>
        <w:pStyle w:val="34"/>
        <w:keepNext w:val="0"/>
        <w:keepLines w:val="0"/>
        <w:pageBreakBefore w:val="0"/>
        <w:widowControl w:val="0"/>
        <w:numPr>
          <w:ilvl w:val="0"/>
          <w:numId w:val="0"/>
        </w:numPr>
        <w:tabs>
          <w:tab w:val="left" w:pos="973"/>
        </w:tabs>
        <w:kinsoku/>
        <w:wordWrap/>
        <w:overflowPunct/>
        <w:topLinePunct w:val="0"/>
        <w:autoSpaceDE/>
        <w:autoSpaceDN/>
        <w:bidi w:val="0"/>
        <w:adjustRightInd w:val="0"/>
        <w:snapToGrid w:val="0"/>
        <w:spacing w:after="0" w:line="360" w:lineRule="auto"/>
        <w:ind w:left="0" w:leftChars="0" w:right="0" w:rightChars="0" w:firstLine="482" w:firstLineChars="200"/>
        <w:jc w:val="center"/>
        <w:textAlignment w:val="auto"/>
        <w:rPr>
          <w:b/>
          <w:bCs/>
          <w:color w:val="auto"/>
          <w:sz w:val="24"/>
          <w:szCs w:val="24"/>
          <w:highlight w:val="none"/>
        </w:rPr>
      </w:pPr>
      <w:r>
        <w:rPr>
          <w:rFonts w:ascii="宋体" w:hAnsi="宋体" w:eastAsia="宋体" w:cs="宋体"/>
          <w:b/>
          <w:bCs/>
          <w:color w:val="auto"/>
          <w:sz w:val="24"/>
          <w:szCs w:val="24"/>
          <w:highlight w:val="none"/>
        </w:rPr>
        <w:t>表</w:t>
      </w:r>
      <w:r>
        <w:rPr>
          <w:rFonts w:hint="eastAsia" w:cs="宋体"/>
          <w:b/>
          <w:bCs/>
          <w:color w:val="auto"/>
          <w:sz w:val="24"/>
          <w:szCs w:val="24"/>
          <w:highlight w:val="none"/>
          <w:lang w:val="en-US" w:eastAsia="zh-CN"/>
        </w:rPr>
        <w:t>4-4</w:t>
      </w:r>
      <w:r>
        <w:rPr>
          <w:rFonts w:ascii="宋体" w:hAnsi="宋体" w:eastAsia="宋体" w:cs="宋体"/>
          <w:b/>
          <w:bCs/>
          <w:color w:val="auto"/>
          <w:sz w:val="24"/>
          <w:szCs w:val="24"/>
          <w:highlight w:val="none"/>
        </w:rPr>
        <w:t>工频电磁场监测结果</w:t>
      </w:r>
    </w:p>
    <w:tbl>
      <w:tblPr>
        <w:tblStyle w:val="19"/>
        <w:tblW w:w="5005"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631"/>
        <w:gridCol w:w="3923"/>
        <w:gridCol w:w="1517"/>
        <w:gridCol w:w="2812"/>
      </w:tblGrid>
      <w:tr w14:paraId="5F7A551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355" w:type="pct"/>
            <w:tcBorders>
              <w:tl2br w:val="nil"/>
              <w:tr2bl w:val="nil"/>
            </w:tcBorders>
            <w:noWrap w:val="0"/>
            <w:vAlign w:val="center"/>
          </w:tcPr>
          <w:p w14:paraId="16CB829E">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序号</w:t>
            </w:r>
          </w:p>
        </w:tc>
        <w:tc>
          <w:tcPr>
            <w:tcW w:w="2208" w:type="pct"/>
            <w:tcBorders>
              <w:tl2br w:val="nil"/>
              <w:tr2bl w:val="nil"/>
            </w:tcBorders>
            <w:noWrap w:val="0"/>
            <w:vAlign w:val="center"/>
          </w:tcPr>
          <w:p w14:paraId="0129283C">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监测位置</w:t>
            </w:r>
          </w:p>
        </w:tc>
        <w:tc>
          <w:tcPr>
            <w:tcW w:w="853" w:type="pct"/>
            <w:tcBorders>
              <w:tl2br w:val="nil"/>
              <w:tr2bl w:val="nil"/>
            </w:tcBorders>
            <w:noWrap w:val="0"/>
            <w:vAlign w:val="center"/>
          </w:tcPr>
          <w:p w14:paraId="297D284E">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工频电场强度(V/m)</w:t>
            </w:r>
          </w:p>
        </w:tc>
        <w:tc>
          <w:tcPr>
            <w:tcW w:w="1582" w:type="pct"/>
            <w:tcBorders>
              <w:tl2br w:val="nil"/>
              <w:tr2bl w:val="nil"/>
            </w:tcBorders>
            <w:noWrap w:val="0"/>
            <w:vAlign w:val="center"/>
          </w:tcPr>
          <w:p w14:paraId="48A15606">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工频磁感应强度(μT)</w:t>
            </w:r>
          </w:p>
        </w:tc>
      </w:tr>
      <w:tr w14:paraId="7ACC1A2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09" w:hRule="atLeast"/>
        </w:trPr>
        <w:tc>
          <w:tcPr>
            <w:tcW w:w="355" w:type="pct"/>
            <w:tcBorders>
              <w:tl2br w:val="nil"/>
              <w:tr2bl w:val="nil"/>
            </w:tcBorders>
            <w:noWrap w:val="0"/>
            <w:vAlign w:val="center"/>
          </w:tcPr>
          <w:p w14:paraId="6919A298">
            <w:pPr>
              <w:spacing w:line="40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p>
        </w:tc>
        <w:tc>
          <w:tcPr>
            <w:tcW w:w="2208" w:type="pct"/>
            <w:tcBorders>
              <w:tl2br w:val="nil"/>
              <w:tr2bl w:val="nil"/>
            </w:tcBorders>
            <w:noWrap w:val="0"/>
            <w:vAlign w:val="center"/>
          </w:tcPr>
          <w:p w14:paraId="5B3ECD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highlight w:val="none"/>
                <w:lang w:val="en-US" w:eastAsia="zh-CN"/>
              </w:rPr>
              <w:t>1#二号村居民区</w:t>
            </w:r>
          </w:p>
        </w:tc>
        <w:tc>
          <w:tcPr>
            <w:tcW w:w="853" w:type="pct"/>
            <w:tcBorders>
              <w:tl2br w:val="nil"/>
              <w:tr2bl w:val="nil"/>
            </w:tcBorders>
            <w:noWrap w:val="0"/>
            <w:vAlign w:val="center"/>
          </w:tcPr>
          <w:p w14:paraId="7F4E154B">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2.21</w:t>
            </w:r>
          </w:p>
        </w:tc>
        <w:tc>
          <w:tcPr>
            <w:tcW w:w="1582" w:type="pct"/>
            <w:tcBorders>
              <w:tl2br w:val="nil"/>
              <w:tr2bl w:val="nil"/>
            </w:tcBorders>
            <w:noWrap w:val="0"/>
            <w:vAlign w:val="center"/>
          </w:tcPr>
          <w:p w14:paraId="139A7FF0">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0.021</w:t>
            </w:r>
          </w:p>
        </w:tc>
      </w:tr>
      <w:tr w14:paraId="4E3D7F1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60" w:hRule="atLeast"/>
        </w:trPr>
        <w:tc>
          <w:tcPr>
            <w:tcW w:w="355" w:type="pct"/>
            <w:tcBorders>
              <w:tl2br w:val="nil"/>
              <w:tr2bl w:val="nil"/>
            </w:tcBorders>
            <w:noWrap w:val="0"/>
            <w:vAlign w:val="center"/>
          </w:tcPr>
          <w:p w14:paraId="0CC1E560">
            <w:pPr>
              <w:spacing w:line="40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w:t>
            </w:r>
          </w:p>
        </w:tc>
        <w:tc>
          <w:tcPr>
            <w:tcW w:w="2208" w:type="pct"/>
            <w:tcBorders>
              <w:tl2br w:val="nil"/>
              <w:tr2bl w:val="nil"/>
            </w:tcBorders>
            <w:noWrap w:val="0"/>
            <w:vAlign w:val="center"/>
          </w:tcPr>
          <w:p w14:paraId="73F72D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highlight w:val="none"/>
                <w:lang w:val="en-US" w:eastAsia="zh-CN"/>
              </w:rPr>
              <w:t>2#下五号村居民区</w:t>
            </w:r>
          </w:p>
        </w:tc>
        <w:tc>
          <w:tcPr>
            <w:tcW w:w="853" w:type="pct"/>
            <w:tcBorders>
              <w:tl2br w:val="nil"/>
              <w:tr2bl w:val="nil"/>
            </w:tcBorders>
            <w:noWrap w:val="0"/>
            <w:vAlign w:val="center"/>
          </w:tcPr>
          <w:p w14:paraId="2D42D18C">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2.51</w:t>
            </w:r>
          </w:p>
        </w:tc>
        <w:tc>
          <w:tcPr>
            <w:tcW w:w="1582" w:type="pct"/>
            <w:tcBorders>
              <w:tl2br w:val="nil"/>
              <w:tr2bl w:val="nil"/>
            </w:tcBorders>
            <w:noWrap w:val="0"/>
            <w:vAlign w:val="center"/>
          </w:tcPr>
          <w:p w14:paraId="7E3F57A7">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0.024</w:t>
            </w:r>
          </w:p>
        </w:tc>
      </w:tr>
      <w:tr w14:paraId="1F315BA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355" w:type="pct"/>
            <w:tcBorders>
              <w:tl2br w:val="nil"/>
              <w:tr2bl w:val="nil"/>
            </w:tcBorders>
            <w:noWrap w:val="0"/>
            <w:vAlign w:val="center"/>
          </w:tcPr>
          <w:p w14:paraId="48F0045A">
            <w:pPr>
              <w:spacing w:line="40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p>
        </w:tc>
        <w:tc>
          <w:tcPr>
            <w:tcW w:w="2208" w:type="pct"/>
            <w:tcBorders>
              <w:tl2br w:val="nil"/>
              <w:tr2bl w:val="nil"/>
            </w:tcBorders>
            <w:noWrap w:val="0"/>
            <w:vAlign w:val="center"/>
          </w:tcPr>
          <w:p w14:paraId="3E9C7D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highlight w:val="none"/>
                <w:lang w:val="en-US" w:eastAsia="zh-CN"/>
              </w:rPr>
              <w:t>3#十二号西沟村居民区</w:t>
            </w:r>
          </w:p>
        </w:tc>
        <w:tc>
          <w:tcPr>
            <w:tcW w:w="853" w:type="pct"/>
            <w:tcBorders>
              <w:tl2br w:val="nil"/>
              <w:tr2bl w:val="nil"/>
            </w:tcBorders>
            <w:noWrap w:val="0"/>
            <w:vAlign w:val="center"/>
          </w:tcPr>
          <w:p w14:paraId="4A8C85B9">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1.97</w:t>
            </w:r>
          </w:p>
        </w:tc>
        <w:tc>
          <w:tcPr>
            <w:tcW w:w="1582" w:type="pct"/>
            <w:tcBorders>
              <w:tl2br w:val="nil"/>
              <w:tr2bl w:val="nil"/>
            </w:tcBorders>
            <w:noWrap w:val="0"/>
            <w:vAlign w:val="center"/>
          </w:tcPr>
          <w:p w14:paraId="69276DB1">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0.018</w:t>
            </w:r>
          </w:p>
        </w:tc>
      </w:tr>
      <w:tr w14:paraId="4B4BF72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355" w:type="pct"/>
            <w:tcBorders>
              <w:tl2br w:val="nil"/>
              <w:tr2bl w:val="nil"/>
            </w:tcBorders>
            <w:noWrap w:val="0"/>
            <w:vAlign w:val="center"/>
          </w:tcPr>
          <w:p w14:paraId="563DA57A">
            <w:pPr>
              <w:spacing w:line="40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w:t>
            </w:r>
          </w:p>
        </w:tc>
        <w:tc>
          <w:tcPr>
            <w:tcW w:w="2208" w:type="pct"/>
            <w:tcBorders>
              <w:tl2br w:val="nil"/>
              <w:tr2bl w:val="nil"/>
            </w:tcBorders>
            <w:noWrap w:val="0"/>
            <w:vAlign w:val="center"/>
          </w:tcPr>
          <w:p w14:paraId="7120E7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4#跨越110kV木牌线处</w:t>
            </w:r>
          </w:p>
          <w:p w14:paraId="00D482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highlight w:val="none"/>
                <w:lang w:val="en-US" w:eastAsia="zh-CN"/>
              </w:rPr>
              <w:t>（监测点位旁有树木影响）</w:t>
            </w:r>
          </w:p>
        </w:tc>
        <w:tc>
          <w:tcPr>
            <w:tcW w:w="853" w:type="pct"/>
            <w:tcBorders>
              <w:tl2br w:val="nil"/>
              <w:tr2bl w:val="nil"/>
            </w:tcBorders>
            <w:noWrap w:val="0"/>
            <w:vAlign w:val="center"/>
          </w:tcPr>
          <w:p w14:paraId="4820E3A5">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62.6</w:t>
            </w:r>
          </w:p>
        </w:tc>
        <w:tc>
          <w:tcPr>
            <w:tcW w:w="1582" w:type="pct"/>
            <w:tcBorders>
              <w:tl2br w:val="nil"/>
              <w:tr2bl w:val="nil"/>
            </w:tcBorders>
            <w:noWrap w:val="0"/>
            <w:vAlign w:val="center"/>
          </w:tcPr>
          <w:p w14:paraId="41791A20">
            <w:pPr>
              <w:spacing w:line="4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0.194</w:t>
            </w:r>
          </w:p>
        </w:tc>
      </w:tr>
      <w:tr w14:paraId="037B680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2563" w:type="pct"/>
            <w:gridSpan w:val="2"/>
            <w:tcBorders>
              <w:tl2br w:val="nil"/>
              <w:tr2bl w:val="nil"/>
            </w:tcBorders>
            <w:noWrap w:val="0"/>
            <w:vAlign w:val="center"/>
          </w:tcPr>
          <w:p w14:paraId="34CD8E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达标判断</w:t>
            </w:r>
          </w:p>
        </w:tc>
        <w:tc>
          <w:tcPr>
            <w:tcW w:w="853" w:type="pct"/>
            <w:tcBorders>
              <w:tl2br w:val="nil"/>
              <w:tr2bl w:val="nil"/>
            </w:tcBorders>
            <w:noWrap w:val="0"/>
            <w:vAlign w:val="center"/>
          </w:tcPr>
          <w:p w14:paraId="0D3AF50C">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1582" w:type="pct"/>
            <w:tcBorders>
              <w:tl2br w:val="nil"/>
              <w:tr2bl w:val="nil"/>
            </w:tcBorders>
            <w:noWrap w:val="0"/>
            <w:vAlign w:val="center"/>
          </w:tcPr>
          <w:p w14:paraId="229E4C45">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3E71FB6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2563" w:type="pct"/>
            <w:gridSpan w:val="2"/>
            <w:tcBorders>
              <w:tl2br w:val="nil"/>
              <w:tr2bl w:val="nil"/>
            </w:tcBorders>
            <w:noWrap w:val="0"/>
            <w:vAlign w:val="center"/>
          </w:tcPr>
          <w:p w14:paraId="781407C4">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GB8702-2014《电磁环境控制限值》</w:t>
            </w:r>
          </w:p>
        </w:tc>
        <w:tc>
          <w:tcPr>
            <w:tcW w:w="853" w:type="pct"/>
            <w:tcBorders>
              <w:tl2br w:val="nil"/>
              <w:tr2bl w:val="nil"/>
            </w:tcBorders>
            <w:noWrap w:val="0"/>
            <w:vAlign w:val="center"/>
          </w:tcPr>
          <w:p w14:paraId="3E4F43D8">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4000</w:t>
            </w:r>
          </w:p>
        </w:tc>
        <w:tc>
          <w:tcPr>
            <w:tcW w:w="1582" w:type="pct"/>
            <w:tcBorders>
              <w:tl2br w:val="nil"/>
              <w:tr2bl w:val="nil"/>
            </w:tcBorders>
            <w:noWrap w:val="0"/>
            <w:vAlign w:val="center"/>
          </w:tcPr>
          <w:p w14:paraId="47FB3115">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r>
    </w:tbl>
    <w:p w14:paraId="0F584220">
      <w:pPr>
        <w:pStyle w:val="34"/>
        <w:keepNext w:val="0"/>
        <w:keepLines w:val="0"/>
        <w:pageBreakBefore w:val="0"/>
        <w:widowControl w:val="0"/>
        <w:numPr>
          <w:ilvl w:val="0"/>
          <w:numId w:val="0"/>
        </w:numPr>
        <w:tabs>
          <w:tab w:val="left" w:pos="973"/>
        </w:tabs>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cs="宋体"/>
          <w:color w:val="auto"/>
          <w:sz w:val="24"/>
          <w:szCs w:val="24"/>
          <w:highlight w:val="none"/>
          <w:lang w:val="en-US" w:eastAsia="zh-CN"/>
        </w:rPr>
        <w:t>④评价分析</w:t>
      </w:r>
    </w:p>
    <w:p w14:paraId="34F7E4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由上表</w:t>
      </w:r>
      <w:r>
        <w:rPr>
          <w:rFonts w:hint="default" w:ascii="Times New Roman" w:hAnsi="Times New Roman" w:cs="Times New Roman"/>
          <w:color w:val="auto"/>
          <w:sz w:val="24"/>
          <w:szCs w:val="24"/>
          <w:highlight w:val="none"/>
          <w:lang w:val="en-US" w:eastAsia="zh-CN"/>
        </w:rPr>
        <w:t>监测结果显示：</w:t>
      </w:r>
      <w:r>
        <w:rPr>
          <w:rFonts w:hint="eastAsia" w:ascii="Times New Roman" w:hAnsi="Times New Roman" w:cs="Times New Roman"/>
          <w:color w:val="auto"/>
          <w:sz w:val="24"/>
          <w:szCs w:val="24"/>
          <w:highlight w:val="none"/>
          <w:lang w:val="en-US" w:eastAsia="zh-CN"/>
        </w:rPr>
        <w:t>项目区域</w:t>
      </w:r>
      <w:r>
        <w:rPr>
          <w:rFonts w:hint="default" w:ascii="Times New Roman" w:hAnsi="Times New Roman" w:cs="Times New Roman"/>
          <w:color w:val="auto"/>
          <w:sz w:val="24"/>
          <w:szCs w:val="24"/>
          <w:highlight w:val="none"/>
          <w:lang w:val="en-US" w:eastAsia="zh-CN"/>
        </w:rPr>
        <w:t>距离地面1.5m处的工频电场强度为(0.</w:t>
      </w:r>
      <w:r>
        <w:rPr>
          <w:rFonts w:hint="eastAsia" w:cs="Times New Roman"/>
          <w:color w:val="auto"/>
          <w:sz w:val="24"/>
          <w:szCs w:val="24"/>
          <w:highlight w:val="none"/>
          <w:lang w:val="en-US" w:eastAsia="zh-CN"/>
        </w:rPr>
        <w:t>2.21</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62.6</w:t>
      </w:r>
      <w:r>
        <w:rPr>
          <w:rFonts w:hint="default" w:ascii="Times New Roman" w:hAnsi="Times New Roman" w:cs="Times New Roman"/>
          <w:color w:val="auto"/>
          <w:sz w:val="24"/>
          <w:szCs w:val="24"/>
          <w:highlight w:val="none"/>
          <w:lang w:val="en-US" w:eastAsia="zh-CN"/>
        </w:rPr>
        <w:t>)V/m，工频磁感应强度均为(</w:t>
      </w:r>
      <w:r>
        <w:rPr>
          <w:rFonts w:hint="eastAsia" w:cs="Times New Roman"/>
          <w:color w:val="auto"/>
          <w:sz w:val="24"/>
          <w:szCs w:val="24"/>
          <w:highlight w:val="none"/>
          <w:lang w:val="en-US" w:eastAsia="zh-CN"/>
        </w:rPr>
        <w:t>0.018</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194</w:t>
      </w:r>
      <w:r>
        <w:rPr>
          <w:rFonts w:hint="default" w:ascii="Times New Roman" w:hAnsi="Times New Roman" w:cs="Times New Roman"/>
          <w:color w:val="auto"/>
          <w:sz w:val="24"/>
          <w:szCs w:val="24"/>
          <w:highlight w:val="none"/>
          <w:lang w:val="en-US" w:eastAsia="zh-CN"/>
        </w:rPr>
        <w:t>)μT</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均满足《电磁环境控制限值》GB8702-2014公众曝露控制限值要求，区域电磁环境质量现状较好。</w:t>
      </w:r>
    </w:p>
    <w:p w14:paraId="6DDBAB0D">
      <w:pPr>
        <w:rPr>
          <w:rFonts w:hint="eastAsia" w:ascii="Times New Roman" w:hAnsi="Times New Roman"/>
          <w:b/>
          <w:bCs/>
          <w:color w:val="auto"/>
          <w:sz w:val="24"/>
          <w:szCs w:val="24"/>
          <w:highlight w:val="none"/>
          <w:lang w:val="en-US" w:eastAsia="zh-CN"/>
        </w:rPr>
      </w:pPr>
      <w:r>
        <w:rPr>
          <w:rFonts w:hint="eastAsia" w:ascii="Times New Roman" w:hAnsi="Times New Roman"/>
          <w:b/>
          <w:bCs/>
          <w:color w:val="auto"/>
          <w:sz w:val="24"/>
          <w:szCs w:val="24"/>
          <w:highlight w:val="none"/>
          <w:lang w:val="en-US" w:eastAsia="zh-CN"/>
        </w:rPr>
        <w:br w:type="page"/>
      </w:r>
    </w:p>
    <w:p w14:paraId="06DCDD29">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outlineLvl w:val="0"/>
        <w:rPr>
          <w:rFonts w:hint="eastAsia" w:ascii="Times New Roman" w:hAnsi="Times New Roman"/>
          <w:b/>
          <w:bCs/>
          <w:color w:val="auto"/>
          <w:sz w:val="24"/>
          <w:szCs w:val="24"/>
          <w:highlight w:val="none"/>
          <w:lang w:val="en-US" w:eastAsia="zh-CN"/>
        </w:rPr>
      </w:pPr>
      <w:bookmarkStart w:id="95" w:name="_Toc3525"/>
      <w:bookmarkStart w:id="96" w:name="_Toc8174"/>
      <w:bookmarkStart w:id="97" w:name="_Toc9310"/>
      <w:r>
        <w:rPr>
          <w:rFonts w:hint="eastAsia" w:ascii="Times New Roman" w:hAnsi="Times New Roman"/>
          <w:b/>
          <w:bCs/>
          <w:color w:val="auto"/>
          <w:sz w:val="24"/>
          <w:szCs w:val="24"/>
          <w:highlight w:val="none"/>
          <w:lang w:val="en-US" w:eastAsia="zh-CN"/>
        </w:rPr>
        <w:t>5、电磁环境预测与评价</w:t>
      </w:r>
      <w:bookmarkEnd w:id="95"/>
      <w:bookmarkEnd w:id="96"/>
      <w:bookmarkEnd w:id="97"/>
    </w:p>
    <w:p w14:paraId="0A52A6CD">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根据《环境影响评价技术导则输变电》（</w:t>
      </w:r>
      <w:r>
        <w:rPr>
          <w:rFonts w:hint="default" w:ascii="宋体" w:hAnsi="宋体" w:eastAsia="宋体" w:cs="宋体"/>
          <w:color w:val="auto"/>
          <w:sz w:val="24"/>
          <w:szCs w:val="24"/>
          <w:highlight w:val="none"/>
          <w:lang w:val="en-US" w:eastAsia="zh-CN"/>
        </w:rPr>
        <w:t>HJ24-2020</w:t>
      </w:r>
      <w:r>
        <w:rPr>
          <w:rFonts w:hint="eastAsia" w:ascii="宋体" w:hAnsi="宋体" w:eastAsia="宋体" w:cs="宋体"/>
          <w:color w:val="auto"/>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bidi="ar"/>
        </w:rPr>
        <w:t>架空输电线路电磁环境影响预测采用模式预测的方式进行评价。</w:t>
      </w:r>
    </w:p>
    <w:p w14:paraId="191B9967">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outlineLvl w:val="1"/>
        <w:rPr>
          <w:rFonts w:hint="default" w:ascii="Times New Roman" w:hAnsi="Times New Roman"/>
          <w:b/>
          <w:bCs/>
          <w:color w:val="auto"/>
          <w:sz w:val="24"/>
          <w:szCs w:val="24"/>
          <w:highlight w:val="none"/>
          <w:lang w:val="en-US" w:eastAsia="zh-CN"/>
        </w:rPr>
      </w:pPr>
      <w:bookmarkStart w:id="98" w:name="_Toc29066"/>
      <w:bookmarkStart w:id="99" w:name="_Toc14005"/>
      <w:r>
        <w:rPr>
          <w:rFonts w:hint="eastAsia" w:ascii="Times New Roman" w:hAnsi="Times New Roman"/>
          <w:b/>
          <w:bCs/>
          <w:color w:val="auto"/>
          <w:sz w:val="24"/>
          <w:szCs w:val="24"/>
          <w:highlight w:val="none"/>
          <w:lang w:val="en-US" w:eastAsia="zh-CN"/>
        </w:rPr>
        <w:t>5.1</w:t>
      </w:r>
      <w:r>
        <w:rPr>
          <w:rFonts w:hint="eastAsia" w:ascii="Times New Roman" w:hAnsi="Times New Roman" w:cs="Times New Roman"/>
          <w:b/>
          <w:bCs/>
          <w:color w:val="auto"/>
          <w:spacing w:val="0"/>
          <w:w w:val="100"/>
          <w:sz w:val="24"/>
          <w:szCs w:val="24"/>
          <w:highlight w:val="none"/>
          <w:lang w:val="en-US" w:eastAsia="zh-CN"/>
        </w:rPr>
        <w:t>架空线路</w:t>
      </w:r>
      <w:r>
        <w:rPr>
          <w:rFonts w:hint="eastAsia" w:ascii="Times New Roman" w:hAnsi="Times New Roman"/>
          <w:b/>
          <w:bCs/>
          <w:color w:val="auto"/>
          <w:sz w:val="24"/>
          <w:szCs w:val="24"/>
          <w:highlight w:val="none"/>
          <w:lang w:val="en-US" w:eastAsia="zh-CN"/>
        </w:rPr>
        <w:t>电磁环境影响预测与评价</w:t>
      </w:r>
      <w:bookmarkEnd w:id="98"/>
      <w:bookmarkEnd w:id="99"/>
    </w:p>
    <w:p w14:paraId="2E07D395">
      <w:pPr>
        <w:pStyle w:val="34"/>
        <w:keepNext w:val="0"/>
        <w:keepLines w:val="0"/>
        <w:pageBreakBefore w:val="0"/>
        <w:widowControl w:val="0"/>
        <w:numPr>
          <w:ilvl w:val="0"/>
          <w:numId w:val="0"/>
        </w:numPr>
        <w:tabs>
          <w:tab w:val="left" w:pos="973"/>
        </w:tabs>
        <w:kinsoku/>
        <w:wordWrap/>
        <w:overflowPunct/>
        <w:topLinePunct w:val="0"/>
        <w:autoSpaceDE/>
        <w:autoSpaceDN/>
        <w:bidi w:val="0"/>
        <w:adjustRightInd w:val="0"/>
        <w:snapToGrid w:val="0"/>
        <w:spacing w:after="0" w:line="360" w:lineRule="auto"/>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eastAsia="zh-CN"/>
        </w:rPr>
        <w:t>评价因子</w:t>
      </w:r>
    </w:p>
    <w:p w14:paraId="5B6D3CE6">
      <w:pPr>
        <w:pStyle w:val="34"/>
        <w:keepNext w:val="0"/>
        <w:keepLines w:val="0"/>
        <w:pageBreakBefore w:val="0"/>
        <w:widowControl w:val="0"/>
        <w:numPr>
          <w:ilvl w:val="0"/>
          <w:numId w:val="0"/>
        </w:numPr>
        <w:tabs>
          <w:tab w:val="left" w:pos="973"/>
        </w:tabs>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本工程</w:t>
      </w:r>
      <w:r>
        <w:rPr>
          <w:rFonts w:hint="eastAsia" w:ascii="Times New Roman" w:hAnsi="Times New Roman" w:eastAsia="宋体" w:cs="Times New Roman"/>
          <w:color w:val="auto"/>
          <w:kern w:val="0"/>
          <w:sz w:val="24"/>
          <w:szCs w:val="24"/>
          <w:highlight w:val="none"/>
          <w:lang w:val="en-US" w:eastAsia="zh-CN" w:bidi="ar"/>
        </w:rPr>
        <w:t>架空输电线路</w:t>
      </w:r>
      <w:r>
        <w:rPr>
          <w:rFonts w:hint="eastAsia" w:ascii="宋体" w:hAnsi="宋体" w:eastAsia="宋体" w:cs="宋体"/>
          <w:color w:val="auto"/>
          <w:sz w:val="24"/>
          <w:szCs w:val="24"/>
          <w:highlight w:val="none"/>
          <w:lang w:val="en-US" w:eastAsia="zh-CN"/>
        </w:rPr>
        <w:t>的预测内容包括：工频电场、工频磁场。</w:t>
      </w:r>
    </w:p>
    <w:p w14:paraId="7B1F63D2">
      <w:pPr>
        <w:pStyle w:val="34"/>
        <w:keepNext w:val="0"/>
        <w:keepLines w:val="0"/>
        <w:pageBreakBefore w:val="0"/>
        <w:widowControl w:val="0"/>
        <w:numPr>
          <w:ilvl w:val="0"/>
          <w:numId w:val="0"/>
        </w:numPr>
        <w:tabs>
          <w:tab w:val="left" w:pos="973"/>
        </w:tabs>
        <w:kinsoku/>
        <w:wordWrap/>
        <w:overflowPunct/>
        <w:topLinePunct w:val="0"/>
        <w:autoSpaceDE/>
        <w:autoSpaceDN/>
        <w:bidi w:val="0"/>
        <w:adjustRightInd w:val="0"/>
        <w:snapToGrid w:val="0"/>
        <w:spacing w:after="0" w:line="360" w:lineRule="auto"/>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eastAsia="zh-CN"/>
        </w:rPr>
        <w:t>预测方法</w:t>
      </w:r>
    </w:p>
    <w:p w14:paraId="4DBFC071">
      <w:pPr>
        <w:pStyle w:val="34"/>
        <w:keepNext w:val="0"/>
        <w:keepLines w:val="0"/>
        <w:pageBreakBefore w:val="0"/>
        <w:widowControl w:val="0"/>
        <w:numPr>
          <w:ilvl w:val="0"/>
          <w:numId w:val="0"/>
        </w:numPr>
        <w:tabs>
          <w:tab w:val="left" w:pos="973"/>
        </w:tabs>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t>架空输电线路</w:t>
      </w:r>
      <w:r>
        <w:rPr>
          <w:rFonts w:hint="eastAsia" w:ascii="宋体" w:hAnsi="宋体" w:eastAsia="宋体" w:cs="宋体"/>
          <w:color w:val="auto"/>
          <w:sz w:val="24"/>
          <w:szCs w:val="24"/>
          <w:highlight w:val="none"/>
          <w:lang w:val="en-US" w:eastAsia="zh-CN"/>
        </w:rPr>
        <w:t>电磁环境影响包括运行时产生的工频电场及工频磁场对周围环境的影响。</w:t>
      </w:r>
    </w:p>
    <w:p w14:paraId="5AFBCAF6">
      <w:pPr>
        <w:pStyle w:val="34"/>
        <w:keepNext w:val="0"/>
        <w:keepLines w:val="0"/>
        <w:pageBreakBefore w:val="0"/>
        <w:widowControl w:val="0"/>
        <w:numPr>
          <w:ilvl w:val="0"/>
          <w:numId w:val="0"/>
        </w:numPr>
        <w:tabs>
          <w:tab w:val="left" w:pos="973"/>
        </w:tabs>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预测方法：</w:t>
      </w:r>
      <w:r>
        <w:rPr>
          <w:rFonts w:hint="eastAsia" w:ascii="Times New Roman" w:hAnsi="Times New Roman" w:eastAsia="宋体" w:cs="Times New Roman"/>
          <w:color w:val="auto"/>
          <w:kern w:val="0"/>
          <w:sz w:val="24"/>
          <w:szCs w:val="24"/>
          <w:highlight w:val="none"/>
          <w:lang w:val="en-US" w:eastAsia="zh-CN" w:bidi="ar"/>
        </w:rPr>
        <w:t>架空输电线路电磁环境影响预测采用模式预测的方式进行评价</w:t>
      </w:r>
      <w:r>
        <w:rPr>
          <w:rFonts w:hint="eastAsia" w:ascii="宋体" w:hAnsi="宋体" w:eastAsia="宋体" w:cs="宋体"/>
          <w:color w:val="auto"/>
          <w:sz w:val="24"/>
          <w:szCs w:val="24"/>
          <w:highlight w:val="none"/>
          <w:lang w:val="en-US" w:eastAsia="zh-CN"/>
        </w:rPr>
        <w:t>。</w:t>
      </w:r>
    </w:p>
    <w:p w14:paraId="7B2A2937">
      <w:pPr>
        <w:pStyle w:val="9"/>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color w:val="auto"/>
          <w:spacing w:val="-10"/>
          <w:sz w:val="24"/>
          <w:szCs w:val="24"/>
          <w:highlight w:val="none"/>
          <w:lang w:val="en-US" w:eastAsia="zh-CN"/>
        </w:rPr>
      </w:pPr>
      <w:r>
        <w:rPr>
          <w:rFonts w:hint="eastAsia" w:cs="宋体"/>
          <w:b/>
          <w:bCs/>
          <w:color w:val="auto"/>
          <w:sz w:val="24"/>
          <w:szCs w:val="24"/>
          <w:highlight w:val="none"/>
          <w:lang w:val="en-US" w:eastAsia="zh-CN"/>
        </w:rPr>
        <w:t>（3）预测参数</w:t>
      </w:r>
    </w:p>
    <w:p w14:paraId="2220B247">
      <w:pPr>
        <w:pStyle w:val="34"/>
        <w:keepNext w:val="0"/>
        <w:keepLines w:val="0"/>
        <w:pageBreakBefore w:val="0"/>
        <w:widowControl w:val="0"/>
        <w:numPr>
          <w:ilvl w:val="0"/>
          <w:numId w:val="0"/>
        </w:numPr>
        <w:tabs>
          <w:tab w:val="left" w:pos="973"/>
        </w:tabs>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none"/>
          <w:lang w:val="en-US" w:eastAsia="zh-CN"/>
        </w:rPr>
        <w:t>本评价使用</w:t>
      </w:r>
      <w:r>
        <w:rPr>
          <w:rFonts w:hint="eastAsia" w:cs="宋体"/>
          <w:color w:val="auto"/>
          <w:sz w:val="24"/>
          <w:szCs w:val="24"/>
          <w:highlight w:val="none"/>
          <w:lang w:val="en-US" w:eastAsia="zh-CN"/>
        </w:rPr>
        <w:t>多</w:t>
      </w:r>
      <w:r>
        <w:rPr>
          <w:rFonts w:hint="eastAsia" w:ascii="宋体" w:hAnsi="宋体" w:eastAsia="宋体" w:cs="宋体"/>
          <w:color w:val="auto"/>
          <w:sz w:val="24"/>
          <w:szCs w:val="24"/>
          <w:highlight w:val="none"/>
          <w:lang w:val="en-US" w:eastAsia="zh-CN"/>
        </w:rPr>
        <w:t>种塔型，因此选</w:t>
      </w:r>
      <w:r>
        <w:rPr>
          <w:rFonts w:hint="default" w:ascii="Times New Roman" w:hAnsi="Times New Roman" w:eastAsia="宋体" w:cs="Times New Roman"/>
          <w:color w:val="auto"/>
          <w:sz w:val="24"/>
          <w:szCs w:val="24"/>
          <w:highlight w:val="none"/>
          <w:lang w:val="en-US" w:eastAsia="zh-CN"/>
        </w:rPr>
        <w:t>取</w:t>
      </w:r>
      <w:r>
        <w:rPr>
          <w:rFonts w:hint="default" w:ascii="Times New Roman" w:hAnsi="Times New Roman" w:cs="Times New Roman"/>
          <w:color w:val="auto"/>
          <w:sz w:val="24"/>
          <w:szCs w:val="24"/>
          <w:highlight w:val="none"/>
          <w:lang w:val="en-US" w:eastAsia="zh-CN"/>
        </w:rPr>
        <w:t>数量最多</w:t>
      </w:r>
      <w:r>
        <w:rPr>
          <w:rFonts w:hint="default" w:ascii="Times New Roman" w:hAnsi="Times New Roman" w:eastAsia="宋体" w:cs="Times New Roman"/>
          <w:color w:val="auto"/>
          <w:sz w:val="24"/>
          <w:szCs w:val="24"/>
          <w:highlight w:val="none"/>
          <w:lang w:val="en-US" w:eastAsia="zh-CN"/>
        </w:rPr>
        <w:t>的220-</w:t>
      </w:r>
      <w:r>
        <w:rPr>
          <w:rFonts w:hint="default" w:ascii="Times New Roman" w:hAnsi="Times New Roman" w:cs="Times New Roman"/>
          <w:color w:val="auto"/>
          <w:sz w:val="24"/>
          <w:szCs w:val="24"/>
          <w:highlight w:val="none"/>
          <w:lang w:val="en-US" w:eastAsia="zh-CN"/>
        </w:rPr>
        <w:t>HD22D-ZBC</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型铁塔进行预测，</w:t>
      </w:r>
      <w:r>
        <w:rPr>
          <w:rFonts w:hint="default" w:ascii="Times New Roman" w:hAnsi="Times New Roman" w:cs="Times New Roman"/>
          <w:color w:val="auto"/>
          <w:sz w:val="24"/>
          <w:szCs w:val="24"/>
          <w:highlight w:val="none"/>
          <w:lang w:val="en-US" w:eastAsia="zh-CN"/>
        </w:rPr>
        <w:t>以呼高</w:t>
      </w:r>
      <w:r>
        <w:rPr>
          <w:rFonts w:hint="default" w:ascii="Times New Roman" w:hAnsi="Times New Roman" w:eastAsia="宋体" w:cs="Times New Roman"/>
          <w:color w:val="auto"/>
          <w:sz w:val="24"/>
          <w:szCs w:val="24"/>
          <w:highlight w:val="none"/>
          <w:lang w:val="en-US" w:eastAsia="zh-CN"/>
        </w:rPr>
        <w:t>计算线路电磁环境来评价线路建成后对环境的影响，线路预测参数如下表。本项目线路计算预测所用塔型见附图</w:t>
      </w:r>
      <w:r>
        <w:rPr>
          <w:rFonts w:hint="default" w:ascii="Times New Roman" w:hAnsi="Times New Roman"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w:t>
      </w:r>
    </w:p>
    <w:p w14:paraId="5B592E72">
      <w:pPr>
        <w:keepNext w:val="0"/>
        <w:keepLines w:val="0"/>
        <w:widowControl/>
        <w:suppressLineNumbers w:val="0"/>
        <w:spacing w:line="360" w:lineRule="auto"/>
        <w:jc w:val="center"/>
        <w:rPr>
          <w:sz w:val="24"/>
          <w:szCs w:val="24"/>
          <w:highlight w:val="none"/>
        </w:rPr>
      </w:pPr>
      <w:r>
        <w:rPr>
          <w:rFonts w:hint="eastAsia" w:ascii="宋体" w:hAnsi="宋体" w:eastAsia="宋体" w:cs="宋体"/>
          <w:b/>
          <w:bCs/>
          <w:color w:val="000000"/>
          <w:kern w:val="0"/>
          <w:sz w:val="24"/>
          <w:szCs w:val="24"/>
          <w:highlight w:val="none"/>
          <w:lang w:val="en-US" w:eastAsia="zh-CN" w:bidi="ar"/>
        </w:rPr>
        <w:t>表</w:t>
      </w:r>
      <w:r>
        <w:rPr>
          <w:rFonts w:hint="eastAsia" w:cs="Times New Roman"/>
          <w:b/>
          <w:bCs/>
          <w:color w:val="000000"/>
          <w:kern w:val="0"/>
          <w:sz w:val="24"/>
          <w:szCs w:val="24"/>
          <w:highlight w:val="none"/>
          <w:lang w:val="en-US" w:eastAsia="zh-CN" w:bidi="ar"/>
        </w:rPr>
        <w:t>5-1</w:t>
      </w:r>
      <w:r>
        <w:rPr>
          <w:rFonts w:hint="eastAsia" w:ascii="宋体" w:hAnsi="宋体" w:eastAsia="宋体" w:cs="宋体"/>
          <w:b/>
          <w:bCs/>
          <w:color w:val="000000"/>
          <w:kern w:val="0"/>
          <w:sz w:val="24"/>
          <w:szCs w:val="24"/>
          <w:highlight w:val="none"/>
          <w:lang w:val="en-US" w:eastAsia="zh-CN" w:bidi="ar"/>
        </w:rPr>
        <w:t>理论计算所用参数表</w:t>
      </w:r>
    </w:p>
    <w:tbl>
      <w:tblPr>
        <w:tblStyle w:val="20"/>
        <w:tblW w:w="0" w:type="auto"/>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91"/>
        <w:gridCol w:w="4569"/>
      </w:tblGrid>
      <w:tr w14:paraId="66E2167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33" w:type="dxa"/>
            <w:tcBorders>
              <w:tl2br w:val="nil"/>
              <w:tr2bl w:val="nil"/>
            </w:tcBorders>
            <w:vAlign w:val="center"/>
          </w:tcPr>
          <w:p w14:paraId="25C08D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回路数</w:t>
            </w:r>
          </w:p>
        </w:tc>
        <w:tc>
          <w:tcPr>
            <w:tcW w:w="4833" w:type="dxa"/>
            <w:tcBorders>
              <w:tl2br w:val="nil"/>
              <w:tr2bl w:val="nil"/>
            </w:tcBorders>
            <w:vAlign w:val="center"/>
          </w:tcPr>
          <w:p w14:paraId="49E55D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单</w:t>
            </w:r>
            <w:r>
              <w:rPr>
                <w:rFonts w:hint="eastAsia" w:ascii="Times New Roman" w:hAnsi="Times New Roman" w:eastAsia="宋体" w:cs="Times New Roman"/>
                <w:i w:val="0"/>
                <w:color w:val="auto"/>
                <w:kern w:val="0"/>
                <w:sz w:val="21"/>
                <w:szCs w:val="21"/>
                <w:highlight w:val="none"/>
                <w:u w:val="none"/>
                <w:lang w:val="en-US" w:eastAsia="zh-CN" w:bidi="ar"/>
              </w:rPr>
              <w:t>回路</w:t>
            </w:r>
          </w:p>
        </w:tc>
      </w:tr>
      <w:tr w14:paraId="7B9BA33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33" w:type="dxa"/>
            <w:tcBorders>
              <w:tl2br w:val="nil"/>
              <w:tr2bl w:val="nil"/>
            </w:tcBorders>
            <w:vAlign w:val="center"/>
          </w:tcPr>
          <w:p w14:paraId="15F23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电压等级</w:t>
            </w:r>
          </w:p>
        </w:tc>
        <w:tc>
          <w:tcPr>
            <w:tcW w:w="4833" w:type="dxa"/>
            <w:tcBorders>
              <w:tl2br w:val="nil"/>
              <w:tr2bl w:val="nil"/>
            </w:tcBorders>
            <w:vAlign w:val="center"/>
          </w:tcPr>
          <w:p w14:paraId="02D54C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220kV</w:t>
            </w:r>
          </w:p>
        </w:tc>
      </w:tr>
      <w:tr w14:paraId="61F140A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33" w:type="dxa"/>
            <w:tcBorders>
              <w:tl2br w:val="nil"/>
              <w:tr2bl w:val="nil"/>
            </w:tcBorders>
            <w:vAlign w:val="center"/>
          </w:tcPr>
          <w:p w14:paraId="3AA267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杆塔类型</w:t>
            </w:r>
          </w:p>
        </w:tc>
        <w:tc>
          <w:tcPr>
            <w:tcW w:w="4833" w:type="dxa"/>
            <w:tcBorders>
              <w:tl2br w:val="nil"/>
              <w:tr2bl w:val="nil"/>
            </w:tcBorders>
            <w:vAlign w:val="center"/>
          </w:tcPr>
          <w:p w14:paraId="44EEE1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 xml:space="preserve"> 220-</w:t>
            </w:r>
            <w:r>
              <w:rPr>
                <w:rFonts w:hint="eastAsia" w:cs="Times New Roman"/>
                <w:i w:val="0"/>
                <w:color w:val="auto"/>
                <w:kern w:val="0"/>
                <w:sz w:val="21"/>
                <w:szCs w:val="21"/>
                <w:highlight w:val="none"/>
                <w:u w:val="none"/>
                <w:lang w:val="en-US" w:eastAsia="zh-CN" w:bidi="ar"/>
              </w:rPr>
              <w:t>HD22D-ZBC3</w:t>
            </w:r>
          </w:p>
        </w:tc>
      </w:tr>
      <w:tr w14:paraId="04294D2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33" w:type="dxa"/>
            <w:tcBorders>
              <w:tl2br w:val="nil"/>
              <w:tr2bl w:val="nil"/>
            </w:tcBorders>
            <w:vAlign w:val="center"/>
          </w:tcPr>
          <w:p w14:paraId="69143B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导线型号</w:t>
            </w:r>
          </w:p>
        </w:tc>
        <w:tc>
          <w:tcPr>
            <w:tcW w:w="4833" w:type="dxa"/>
            <w:tcBorders>
              <w:tl2br w:val="nil"/>
              <w:tr2bl w:val="nil"/>
            </w:tcBorders>
            <w:vAlign w:val="center"/>
          </w:tcPr>
          <w:p w14:paraId="6D775A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2×JL/G1A-</w:t>
            </w:r>
            <w:r>
              <w:rPr>
                <w:rFonts w:hint="eastAsia" w:cs="Times New Roman"/>
                <w:i w:val="0"/>
                <w:color w:val="auto"/>
                <w:kern w:val="0"/>
                <w:sz w:val="21"/>
                <w:szCs w:val="21"/>
                <w:highlight w:val="none"/>
                <w:u w:val="none"/>
                <w:lang w:val="en-US" w:eastAsia="zh-CN" w:bidi="ar"/>
              </w:rPr>
              <w:t>630/45</w:t>
            </w:r>
          </w:p>
        </w:tc>
      </w:tr>
      <w:tr w14:paraId="0D83102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33" w:type="dxa"/>
            <w:tcBorders>
              <w:tl2br w:val="nil"/>
              <w:tr2bl w:val="nil"/>
            </w:tcBorders>
            <w:vAlign w:val="center"/>
          </w:tcPr>
          <w:p w14:paraId="3669FC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导线排列方式</w:t>
            </w:r>
          </w:p>
        </w:tc>
        <w:tc>
          <w:tcPr>
            <w:tcW w:w="4833" w:type="dxa"/>
            <w:tcBorders>
              <w:tl2br w:val="nil"/>
              <w:tr2bl w:val="nil"/>
            </w:tcBorders>
            <w:vAlign w:val="center"/>
          </w:tcPr>
          <w:p w14:paraId="1C7254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垂直排列方式</w:t>
            </w:r>
          </w:p>
        </w:tc>
      </w:tr>
      <w:tr w14:paraId="15823AC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33" w:type="dxa"/>
            <w:tcBorders>
              <w:tl2br w:val="nil"/>
              <w:tr2bl w:val="nil"/>
            </w:tcBorders>
            <w:vAlign w:val="center"/>
          </w:tcPr>
          <w:p w14:paraId="724E04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导线半径（</w:t>
            </w:r>
            <w:r>
              <w:rPr>
                <w:rFonts w:hint="default" w:ascii="Times New Roman" w:hAnsi="Times New Roman" w:eastAsia="宋体" w:cs="Times New Roman"/>
                <w:i w:val="0"/>
                <w:color w:val="auto"/>
                <w:kern w:val="0"/>
                <w:sz w:val="21"/>
                <w:szCs w:val="21"/>
                <w:highlight w:val="none"/>
                <w:u w:val="none"/>
                <w:lang w:val="en-US" w:eastAsia="zh-CN" w:bidi="ar"/>
              </w:rPr>
              <w:t>mm</w:t>
            </w:r>
            <w:r>
              <w:rPr>
                <w:rFonts w:hint="eastAsia" w:ascii="Times New Roman" w:hAnsi="Times New Roman" w:eastAsia="宋体" w:cs="Times New Roman"/>
                <w:i w:val="0"/>
                <w:color w:val="auto"/>
                <w:kern w:val="0"/>
                <w:sz w:val="21"/>
                <w:szCs w:val="21"/>
                <w:highlight w:val="none"/>
                <w:u w:val="none"/>
                <w:lang w:val="en-US" w:eastAsia="zh-CN" w:bidi="ar"/>
              </w:rPr>
              <w:t>）</w:t>
            </w:r>
          </w:p>
        </w:tc>
        <w:tc>
          <w:tcPr>
            <w:tcW w:w="4833" w:type="dxa"/>
            <w:tcBorders>
              <w:tl2br w:val="nil"/>
              <w:tr2bl w:val="nil"/>
            </w:tcBorders>
            <w:vAlign w:val="center"/>
          </w:tcPr>
          <w:p w14:paraId="4AAB50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highlight w:val="none"/>
                <w:lang w:val="en-US" w:eastAsia="zh-CN"/>
              </w:rPr>
              <w:t>16.9</w:t>
            </w:r>
          </w:p>
        </w:tc>
      </w:tr>
      <w:tr w14:paraId="134F6DD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33" w:type="dxa"/>
            <w:tcBorders>
              <w:tl2br w:val="nil"/>
              <w:tr2bl w:val="nil"/>
            </w:tcBorders>
            <w:vAlign w:val="center"/>
          </w:tcPr>
          <w:p w14:paraId="237DB7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相序</w:t>
            </w:r>
          </w:p>
        </w:tc>
        <w:tc>
          <w:tcPr>
            <w:tcW w:w="4833" w:type="dxa"/>
            <w:tcBorders>
              <w:tl2br w:val="nil"/>
              <w:tr2bl w:val="nil"/>
            </w:tcBorders>
            <w:vAlign w:val="center"/>
          </w:tcPr>
          <w:p w14:paraId="1EB356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A/B/C</w:t>
            </w:r>
          </w:p>
        </w:tc>
      </w:tr>
      <w:tr w14:paraId="08C9695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33" w:type="dxa"/>
            <w:tcBorders>
              <w:tl2br w:val="nil"/>
              <w:tr2bl w:val="nil"/>
            </w:tcBorders>
            <w:vAlign w:val="center"/>
          </w:tcPr>
          <w:p w14:paraId="79A45A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分裂</w:t>
            </w:r>
          </w:p>
        </w:tc>
        <w:tc>
          <w:tcPr>
            <w:tcW w:w="4833" w:type="dxa"/>
            <w:tcBorders>
              <w:tl2br w:val="nil"/>
              <w:tr2bl w:val="nil"/>
            </w:tcBorders>
            <w:vAlign w:val="center"/>
          </w:tcPr>
          <w:p w14:paraId="2CFF02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双分裂</w:t>
            </w:r>
          </w:p>
        </w:tc>
      </w:tr>
      <w:tr w14:paraId="1F611E4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33" w:type="dxa"/>
            <w:tcBorders>
              <w:tl2br w:val="nil"/>
              <w:tr2bl w:val="nil"/>
            </w:tcBorders>
            <w:vAlign w:val="center"/>
          </w:tcPr>
          <w:p w14:paraId="472563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呼高（</w:t>
            </w:r>
            <w:r>
              <w:rPr>
                <w:rFonts w:hint="default" w:ascii="Times New Roman" w:hAnsi="Times New Roman" w:eastAsia="宋体" w:cs="Times New Roman"/>
                <w:i w:val="0"/>
                <w:color w:val="auto"/>
                <w:kern w:val="0"/>
                <w:sz w:val="21"/>
                <w:szCs w:val="21"/>
                <w:highlight w:val="none"/>
                <w:u w:val="none"/>
                <w:lang w:val="en-US" w:eastAsia="zh-CN" w:bidi="ar"/>
              </w:rPr>
              <w:t>m</w:t>
            </w:r>
            <w:r>
              <w:rPr>
                <w:rFonts w:hint="eastAsia" w:ascii="Times New Roman" w:hAnsi="Times New Roman" w:eastAsia="宋体" w:cs="Times New Roman"/>
                <w:i w:val="0"/>
                <w:color w:val="auto"/>
                <w:kern w:val="0"/>
                <w:sz w:val="21"/>
                <w:szCs w:val="21"/>
                <w:highlight w:val="none"/>
                <w:u w:val="none"/>
                <w:lang w:val="en-US" w:eastAsia="zh-CN" w:bidi="ar"/>
              </w:rPr>
              <w:t>）</w:t>
            </w:r>
          </w:p>
        </w:tc>
        <w:tc>
          <w:tcPr>
            <w:tcW w:w="4833" w:type="dxa"/>
            <w:tcBorders>
              <w:tl2br w:val="nil"/>
              <w:tr2bl w:val="nil"/>
            </w:tcBorders>
            <w:vAlign w:val="center"/>
          </w:tcPr>
          <w:p w14:paraId="1E56C3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45</w:t>
            </w:r>
          </w:p>
        </w:tc>
      </w:tr>
      <w:tr w14:paraId="0A1AEF1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33" w:type="dxa"/>
            <w:tcBorders>
              <w:tl2br w:val="nil"/>
              <w:tr2bl w:val="nil"/>
            </w:tcBorders>
            <w:vAlign w:val="center"/>
          </w:tcPr>
          <w:p w14:paraId="2E7D16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线路电流（</w:t>
            </w:r>
            <w:r>
              <w:rPr>
                <w:rFonts w:hint="default" w:ascii="Times New Roman" w:hAnsi="Times New Roman" w:eastAsia="宋体" w:cs="Times New Roman"/>
                <w:i w:val="0"/>
                <w:color w:val="auto"/>
                <w:kern w:val="0"/>
                <w:sz w:val="21"/>
                <w:szCs w:val="21"/>
                <w:highlight w:val="none"/>
                <w:u w:val="none"/>
                <w:lang w:val="en-US" w:eastAsia="zh-CN" w:bidi="ar"/>
              </w:rPr>
              <w:t>A</w:t>
            </w:r>
            <w:r>
              <w:rPr>
                <w:rFonts w:hint="eastAsia" w:ascii="Times New Roman" w:hAnsi="Times New Roman" w:eastAsia="宋体" w:cs="Times New Roman"/>
                <w:i w:val="0"/>
                <w:color w:val="auto"/>
                <w:kern w:val="0"/>
                <w:sz w:val="21"/>
                <w:szCs w:val="21"/>
                <w:highlight w:val="none"/>
                <w:u w:val="none"/>
                <w:lang w:val="en-US" w:eastAsia="zh-CN" w:bidi="ar"/>
              </w:rPr>
              <w:t>）</w:t>
            </w:r>
          </w:p>
        </w:tc>
        <w:tc>
          <w:tcPr>
            <w:tcW w:w="4833" w:type="dxa"/>
            <w:tcBorders>
              <w:tl2br w:val="nil"/>
              <w:tr2bl w:val="nil"/>
            </w:tcBorders>
            <w:vAlign w:val="center"/>
          </w:tcPr>
          <w:p w14:paraId="4753D0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1340</w:t>
            </w:r>
          </w:p>
        </w:tc>
      </w:tr>
      <w:tr w14:paraId="69C2A83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33" w:type="dxa"/>
            <w:tcBorders>
              <w:tl2br w:val="nil"/>
              <w:tr2bl w:val="nil"/>
            </w:tcBorders>
            <w:vAlign w:val="center"/>
          </w:tcPr>
          <w:p w14:paraId="556E6D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eastAsia" w:ascii="Times New Roman" w:hAnsi="Times New Roman" w:eastAsia="宋体" w:cs="Times New Roman"/>
                <w:i w:val="0"/>
                <w:color w:val="auto"/>
                <w:kern w:val="0"/>
                <w:sz w:val="21"/>
                <w:szCs w:val="21"/>
                <w:highlight w:val="yellow"/>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水平相距（距塔中心</w:t>
            </w:r>
            <w:r>
              <w:rPr>
                <w:rFonts w:hint="default" w:ascii="Times New Roman" w:hAnsi="Times New Roman" w:eastAsia="宋体" w:cs="Times New Roman"/>
                <w:i w:val="0"/>
                <w:color w:val="auto"/>
                <w:kern w:val="0"/>
                <w:sz w:val="21"/>
                <w:szCs w:val="21"/>
                <w:highlight w:val="none"/>
                <w:u w:val="none"/>
                <w:lang w:val="en-US" w:eastAsia="zh-CN" w:bidi="ar"/>
              </w:rPr>
              <w:t>m</w:t>
            </w:r>
            <w:r>
              <w:rPr>
                <w:rFonts w:hint="eastAsia" w:ascii="Times New Roman" w:hAnsi="Times New Roman" w:eastAsia="宋体" w:cs="Times New Roman"/>
                <w:i w:val="0"/>
                <w:color w:val="auto"/>
                <w:kern w:val="0"/>
                <w:sz w:val="21"/>
                <w:szCs w:val="21"/>
                <w:highlight w:val="none"/>
                <w:u w:val="none"/>
                <w:lang w:val="en-US" w:eastAsia="zh-CN" w:bidi="ar"/>
              </w:rPr>
              <w:t>）、导线弧垂对地距离（</w:t>
            </w:r>
            <w:r>
              <w:rPr>
                <w:rFonts w:hint="default" w:ascii="Times New Roman" w:hAnsi="Times New Roman" w:eastAsia="宋体" w:cs="Times New Roman"/>
                <w:i w:val="0"/>
                <w:color w:val="auto"/>
                <w:kern w:val="0"/>
                <w:sz w:val="21"/>
                <w:szCs w:val="21"/>
                <w:highlight w:val="none"/>
                <w:u w:val="none"/>
                <w:lang w:val="en-US" w:eastAsia="zh-CN" w:bidi="ar"/>
              </w:rPr>
              <w:t>m</w:t>
            </w:r>
            <w:r>
              <w:rPr>
                <w:rFonts w:hint="eastAsia" w:ascii="Times New Roman" w:hAnsi="Times New Roman" w:eastAsia="宋体" w:cs="Times New Roman"/>
                <w:i w:val="0"/>
                <w:color w:val="auto"/>
                <w:kern w:val="0"/>
                <w:sz w:val="21"/>
                <w:szCs w:val="21"/>
                <w:highlight w:val="none"/>
                <w:u w:val="none"/>
                <w:lang w:val="en-US" w:eastAsia="zh-CN" w:bidi="ar"/>
              </w:rPr>
              <w:t>）</w:t>
            </w:r>
          </w:p>
        </w:tc>
        <w:tc>
          <w:tcPr>
            <w:tcW w:w="4833" w:type="dxa"/>
            <w:tcBorders>
              <w:tl2br w:val="nil"/>
              <w:tr2bl w:val="nil"/>
            </w:tcBorders>
            <w:vAlign w:val="center"/>
          </w:tcPr>
          <w:p w14:paraId="22A3F5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kern w:val="0"/>
                <w:sz w:val="21"/>
                <w:szCs w:val="21"/>
                <w:highlight w:val="yellow"/>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-8.8</w:t>
            </w:r>
            <w:r>
              <w:rPr>
                <w:rFonts w:hint="eastAsia"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6.5</w:t>
            </w:r>
            <w:r>
              <w:rPr>
                <w:rFonts w:hint="eastAsia"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0</w:t>
            </w:r>
            <w:r>
              <w:rPr>
                <w:rFonts w:hint="eastAsia"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6.5</w:t>
            </w:r>
            <w:r>
              <w:rPr>
                <w:rFonts w:hint="eastAsia"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8.8,6.5</w:t>
            </w:r>
            <w:r>
              <w:rPr>
                <w:rFonts w:hint="eastAsia" w:ascii="Times New Roman" w:hAnsi="Times New Roman" w:eastAsia="宋体" w:cs="Times New Roman"/>
                <w:i w:val="0"/>
                <w:color w:val="auto"/>
                <w:kern w:val="0"/>
                <w:sz w:val="21"/>
                <w:szCs w:val="21"/>
                <w:highlight w:val="none"/>
                <w:u w:val="none"/>
                <w:lang w:val="en-US" w:eastAsia="zh-CN" w:bidi="ar"/>
              </w:rPr>
              <w:t>）</w:t>
            </w:r>
          </w:p>
        </w:tc>
      </w:tr>
      <w:tr w14:paraId="7E192E6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33" w:type="dxa"/>
            <w:tcBorders>
              <w:tl2br w:val="nil"/>
              <w:tr2bl w:val="nil"/>
            </w:tcBorders>
            <w:vAlign w:val="center"/>
          </w:tcPr>
          <w:p w14:paraId="6DD66E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导线对地最小距离（</w:t>
            </w:r>
            <w:r>
              <w:rPr>
                <w:rFonts w:hint="default" w:ascii="Times New Roman" w:hAnsi="Times New Roman" w:eastAsia="宋体" w:cs="Times New Roman"/>
                <w:i w:val="0"/>
                <w:color w:val="auto"/>
                <w:kern w:val="0"/>
                <w:sz w:val="21"/>
                <w:szCs w:val="21"/>
                <w:highlight w:val="none"/>
                <w:u w:val="none"/>
                <w:lang w:val="en-US" w:eastAsia="zh-CN" w:bidi="ar"/>
              </w:rPr>
              <w:t>m</w:t>
            </w:r>
            <w:r>
              <w:rPr>
                <w:rFonts w:hint="eastAsia" w:ascii="Times New Roman" w:hAnsi="Times New Roman" w:eastAsia="宋体" w:cs="Times New Roman"/>
                <w:i w:val="0"/>
                <w:color w:val="auto"/>
                <w:kern w:val="0"/>
                <w:sz w:val="21"/>
                <w:szCs w:val="21"/>
                <w:highlight w:val="none"/>
                <w:u w:val="none"/>
                <w:lang w:val="en-US" w:eastAsia="zh-CN" w:bidi="ar"/>
              </w:rPr>
              <w:t>）</w:t>
            </w:r>
          </w:p>
        </w:tc>
        <w:tc>
          <w:tcPr>
            <w:tcW w:w="4833" w:type="dxa"/>
            <w:tcBorders>
              <w:tl2br w:val="nil"/>
              <w:tr2bl w:val="nil"/>
            </w:tcBorders>
            <w:vAlign w:val="center"/>
          </w:tcPr>
          <w:p w14:paraId="6B7D18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6.5</w:t>
            </w:r>
          </w:p>
        </w:tc>
      </w:tr>
    </w:tbl>
    <w:p w14:paraId="33D7A96D">
      <w:pPr>
        <w:spacing w:line="360" w:lineRule="auto"/>
        <w:rPr>
          <w:rFonts w:hint="default"/>
          <w:color w:val="auto"/>
          <w:sz w:val="24"/>
          <w:szCs w:val="24"/>
          <w:highlight w:val="none"/>
          <w:lang w:val="en-US" w:eastAsia="zh-CN"/>
        </w:rPr>
      </w:pPr>
    </w:p>
    <w:p w14:paraId="51746A18">
      <w:pPr>
        <w:spacing w:line="360" w:lineRule="auto"/>
        <w:jc w:val="center"/>
        <w:rPr>
          <w:rFonts w:hint="default"/>
          <w:color w:val="auto"/>
          <w:sz w:val="24"/>
          <w:szCs w:val="24"/>
          <w:highlight w:val="none"/>
          <w:lang w:val="en-US" w:eastAsia="zh-CN"/>
        </w:rPr>
      </w:pPr>
      <w:r>
        <w:drawing>
          <wp:inline distT="0" distB="0" distL="114300" distR="114300">
            <wp:extent cx="1767840" cy="4332605"/>
            <wp:effectExtent l="0" t="0" r="3810" b="1079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1"/>
                    <a:stretch>
                      <a:fillRect/>
                    </a:stretch>
                  </pic:blipFill>
                  <pic:spPr>
                    <a:xfrm>
                      <a:off x="0" y="0"/>
                      <a:ext cx="1767840" cy="4332605"/>
                    </a:xfrm>
                    <a:prstGeom prst="rect">
                      <a:avLst/>
                    </a:prstGeom>
                    <a:noFill/>
                    <a:ln>
                      <a:noFill/>
                    </a:ln>
                  </pic:spPr>
                </pic:pic>
              </a:graphicData>
            </a:graphic>
          </wp:inline>
        </w:drawing>
      </w:r>
    </w:p>
    <w:p w14:paraId="3C69C9B9">
      <w:pPr>
        <w:pStyle w:val="16"/>
        <w:spacing w:line="360" w:lineRule="auto"/>
        <w:ind w:left="0" w:leftChars="0" w:firstLine="0" w:firstLineChars="0"/>
        <w:jc w:val="center"/>
        <w:rPr>
          <w:rFonts w:hint="eastAsia"/>
          <w:b/>
          <w:bCs/>
          <w:color w:val="auto"/>
          <w:spacing w:val="-10"/>
          <w:sz w:val="24"/>
          <w:szCs w:val="24"/>
          <w:highlight w:val="none"/>
          <w:vertAlign w:val="baseline"/>
          <w:lang w:val="en-US" w:eastAsia="zh-CN"/>
        </w:rPr>
      </w:pPr>
      <w:r>
        <w:rPr>
          <w:rFonts w:hint="eastAsia"/>
          <w:b/>
          <w:bCs/>
          <w:sz w:val="24"/>
          <w:szCs w:val="24"/>
          <w:highlight w:val="none"/>
          <w:lang w:val="en-US" w:eastAsia="zh-CN"/>
        </w:rPr>
        <w:t xml:space="preserve">图5-1  </w:t>
      </w:r>
      <w:r>
        <w:rPr>
          <w:rFonts w:hint="eastAsia" w:ascii="Times New Roman" w:hAnsi="Times New Roman" w:eastAsia="宋体" w:cs="Times New Roman"/>
          <w:color w:val="auto"/>
          <w:kern w:val="0"/>
          <w:sz w:val="24"/>
          <w:szCs w:val="24"/>
          <w:highlight w:val="none"/>
          <w:lang w:val="en-US" w:eastAsia="zh-CN" w:bidi="ar-SA"/>
        </w:rPr>
        <w:t>220-</w:t>
      </w:r>
      <w:r>
        <w:rPr>
          <w:rFonts w:hint="eastAsia" w:cs="Times New Roman"/>
          <w:color w:val="auto"/>
          <w:kern w:val="0"/>
          <w:sz w:val="24"/>
          <w:szCs w:val="24"/>
          <w:highlight w:val="none"/>
          <w:lang w:val="en-US" w:eastAsia="zh-CN" w:bidi="ar-SA"/>
        </w:rPr>
        <w:t>HD22D-ZBC3</w:t>
      </w:r>
      <w:r>
        <w:rPr>
          <w:rFonts w:hint="eastAsia"/>
          <w:b/>
          <w:bCs/>
          <w:color w:val="auto"/>
          <w:spacing w:val="-10"/>
          <w:sz w:val="24"/>
          <w:szCs w:val="24"/>
          <w:highlight w:val="none"/>
          <w:vertAlign w:val="baseline"/>
          <w:lang w:val="en-US" w:eastAsia="zh-CN"/>
        </w:rPr>
        <w:t>塔型图</w:t>
      </w:r>
    </w:p>
    <w:p w14:paraId="5CD443CC">
      <w:pPr>
        <w:keepNext w:val="0"/>
        <w:keepLines w:val="0"/>
        <w:widowControl/>
        <w:suppressLineNumbers w:val="0"/>
        <w:spacing w:line="360" w:lineRule="auto"/>
        <w:jc w:val="left"/>
        <w:rPr>
          <w:sz w:val="24"/>
          <w:szCs w:val="24"/>
          <w:highlight w:val="none"/>
        </w:rPr>
      </w:pPr>
      <w:r>
        <w:rPr>
          <w:rFonts w:hint="eastAsia"/>
          <w:color w:val="auto"/>
          <w:spacing w:val="-10"/>
          <w:sz w:val="24"/>
          <w:szCs w:val="24"/>
          <w:highlight w:val="none"/>
          <w:lang w:val="en-US" w:eastAsia="zh-CN"/>
        </w:rPr>
        <w:t>（4）</w:t>
      </w:r>
      <w:r>
        <w:rPr>
          <w:rFonts w:hint="default" w:ascii="Times New Roman" w:hAnsi="Times New Roman" w:eastAsia="宋体" w:cs="Times New Roman"/>
          <w:b/>
          <w:bCs/>
          <w:color w:val="000000"/>
          <w:kern w:val="0"/>
          <w:sz w:val="24"/>
          <w:szCs w:val="24"/>
          <w:highlight w:val="none"/>
          <w:lang w:val="en-US" w:eastAsia="zh-CN" w:bidi="ar"/>
        </w:rPr>
        <w:t>220kV</w:t>
      </w:r>
      <w:r>
        <w:rPr>
          <w:rFonts w:hint="eastAsia" w:ascii="Times New Roman" w:hAnsi="Times New Roman" w:eastAsia="宋体" w:cs="Times New Roman"/>
          <w:b/>
          <w:bCs/>
          <w:color w:val="000000"/>
          <w:kern w:val="0"/>
          <w:sz w:val="24"/>
          <w:szCs w:val="24"/>
          <w:highlight w:val="none"/>
          <w:lang w:val="en-US" w:eastAsia="zh-CN" w:bidi="ar"/>
        </w:rPr>
        <w:t>架空</w:t>
      </w:r>
      <w:r>
        <w:rPr>
          <w:rFonts w:hint="eastAsia" w:ascii="宋体" w:hAnsi="宋体" w:eastAsia="宋体" w:cs="宋体"/>
          <w:b/>
          <w:bCs/>
          <w:color w:val="000000"/>
          <w:kern w:val="0"/>
          <w:sz w:val="24"/>
          <w:szCs w:val="24"/>
          <w:highlight w:val="none"/>
          <w:lang w:val="en-US" w:eastAsia="zh-CN" w:bidi="ar"/>
        </w:rPr>
        <w:t>线路电场预测</w:t>
      </w:r>
    </w:p>
    <w:p w14:paraId="2BBC53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default" w:eastAsia="宋体" w:cs="Times New Roman"/>
          <w:color w:val="auto"/>
          <w:kern w:val="0"/>
          <w:sz w:val="24"/>
          <w:szCs w:val="24"/>
          <w:highlight w:val="none"/>
          <w:lang w:val="en-US" w:eastAsia="zh-CN" w:bidi="ar-SA"/>
        </w:rPr>
        <w:t>220kV</w:t>
      </w:r>
      <w:r>
        <w:rPr>
          <w:rFonts w:hint="eastAsia" w:eastAsia="宋体" w:cs="Times New Roman"/>
          <w:color w:val="auto"/>
          <w:kern w:val="0"/>
          <w:sz w:val="24"/>
          <w:szCs w:val="24"/>
          <w:highlight w:val="none"/>
          <w:lang w:val="en-US" w:eastAsia="zh-CN" w:bidi="ar-SA"/>
        </w:rPr>
        <w:t>送电线下空间电场强度的预测计算根据《环境影响评价技术导则输变电》（</w:t>
      </w:r>
      <w:r>
        <w:rPr>
          <w:rFonts w:hint="default" w:eastAsia="宋体" w:cs="Times New Roman"/>
          <w:color w:val="auto"/>
          <w:kern w:val="0"/>
          <w:sz w:val="24"/>
          <w:szCs w:val="24"/>
          <w:highlight w:val="none"/>
          <w:lang w:val="en-US" w:eastAsia="zh-CN" w:bidi="ar-SA"/>
        </w:rPr>
        <w:t>HJ24-2020</w:t>
      </w:r>
      <w:r>
        <w:rPr>
          <w:rFonts w:hint="eastAsia" w:eastAsia="宋体" w:cs="Times New Roman"/>
          <w:color w:val="auto"/>
          <w:kern w:val="0"/>
          <w:sz w:val="24"/>
          <w:szCs w:val="24"/>
          <w:highlight w:val="none"/>
          <w:lang w:val="en-US" w:eastAsia="zh-CN" w:bidi="ar-SA"/>
        </w:rPr>
        <w:t>）附录</w:t>
      </w:r>
      <w:r>
        <w:rPr>
          <w:rFonts w:hint="default" w:eastAsia="宋体" w:cs="Times New Roman"/>
          <w:color w:val="auto"/>
          <w:kern w:val="0"/>
          <w:sz w:val="24"/>
          <w:szCs w:val="24"/>
          <w:highlight w:val="none"/>
          <w:lang w:val="en-US" w:eastAsia="zh-CN" w:bidi="ar-SA"/>
        </w:rPr>
        <w:t>C</w:t>
      </w:r>
      <w:r>
        <w:rPr>
          <w:rFonts w:hint="eastAsia" w:eastAsia="宋体" w:cs="Times New Roman"/>
          <w:color w:val="auto"/>
          <w:kern w:val="0"/>
          <w:sz w:val="24"/>
          <w:szCs w:val="24"/>
          <w:highlight w:val="none"/>
          <w:lang w:val="en-US" w:eastAsia="zh-CN" w:bidi="ar-SA"/>
        </w:rPr>
        <w:t>推荐的计算模式进行。</w:t>
      </w:r>
    </w:p>
    <w:p w14:paraId="1CD9AE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①单位长度导线下等效电荷的计算</w:t>
      </w:r>
    </w:p>
    <w:p w14:paraId="26E9FA3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高压送电线上的等效电荷是线电荷，由于高压送电线半径</w:t>
      </w:r>
      <w:r>
        <w:rPr>
          <w:rFonts w:hint="default" w:eastAsia="宋体" w:cs="Times New Roman"/>
          <w:color w:val="auto"/>
          <w:kern w:val="0"/>
          <w:sz w:val="24"/>
          <w:szCs w:val="24"/>
          <w:highlight w:val="none"/>
          <w:lang w:val="en-US" w:eastAsia="zh-CN" w:bidi="ar-SA"/>
        </w:rPr>
        <w:t>r</w:t>
      </w:r>
      <w:r>
        <w:rPr>
          <w:rFonts w:hint="eastAsia" w:eastAsia="宋体" w:cs="Times New Roman"/>
          <w:color w:val="auto"/>
          <w:kern w:val="0"/>
          <w:sz w:val="24"/>
          <w:szCs w:val="24"/>
          <w:highlight w:val="none"/>
          <w:lang w:val="en-US" w:eastAsia="zh-CN" w:bidi="ar-SA"/>
        </w:rPr>
        <w:t>远小于架设高度</w:t>
      </w:r>
      <w:r>
        <w:rPr>
          <w:rFonts w:hint="default" w:eastAsia="宋体" w:cs="Times New Roman"/>
          <w:color w:val="auto"/>
          <w:kern w:val="0"/>
          <w:sz w:val="24"/>
          <w:szCs w:val="24"/>
          <w:highlight w:val="none"/>
          <w:lang w:val="en-US" w:eastAsia="zh-CN" w:bidi="ar-SA"/>
        </w:rPr>
        <w:t>h</w:t>
      </w:r>
      <w:r>
        <w:rPr>
          <w:rFonts w:hint="eastAsia" w:eastAsia="宋体" w:cs="Times New Roman"/>
          <w:color w:val="auto"/>
          <w:kern w:val="0"/>
          <w:sz w:val="24"/>
          <w:szCs w:val="24"/>
          <w:highlight w:val="none"/>
          <w:lang w:val="en-US" w:eastAsia="zh-CN" w:bidi="ar-SA"/>
        </w:rPr>
        <w:t>，因此等效电荷的位置可以认为是在送电导线的几何中心。</w:t>
      </w:r>
    </w:p>
    <w:p w14:paraId="1CBEB2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设送电线路为无限长并且平行于地面，地面可视为良导体，利用镜像法计算送电线上的等效电荷。</w:t>
      </w:r>
    </w:p>
    <w:p w14:paraId="6FFECF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多导线线路中导线上的等效电荷由下列矩阵方程计算：</w:t>
      </w:r>
    </w:p>
    <w:p w14:paraId="547ED70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drawing>
          <wp:anchor distT="0" distB="0" distL="114300" distR="114300" simplePos="0" relativeHeight="251672576" behindDoc="1" locked="0" layoutInCell="1" allowOverlap="1">
            <wp:simplePos x="0" y="0"/>
            <wp:positionH relativeFrom="column">
              <wp:posOffset>685800</wp:posOffset>
            </wp:positionH>
            <wp:positionV relativeFrom="paragraph">
              <wp:posOffset>46355</wp:posOffset>
            </wp:positionV>
            <wp:extent cx="3808095" cy="1108710"/>
            <wp:effectExtent l="0" t="0" r="1905" b="15240"/>
            <wp:wrapNone/>
            <wp:docPr id="16" name="图片 16" descr="168627654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6276547714"/>
                    <pic:cNvPicPr>
                      <a:picLocks noChangeAspect="1"/>
                    </pic:cNvPicPr>
                  </pic:nvPicPr>
                  <pic:blipFill>
                    <a:blip r:embed="rId22"/>
                    <a:stretch>
                      <a:fillRect/>
                    </a:stretch>
                  </pic:blipFill>
                  <pic:spPr>
                    <a:xfrm>
                      <a:off x="0" y="0"/>
                      <a:ext cx="3808095" cy="1108710"/>
                    </a:xfrm>
                    <a:prstGeom prst="rect">
                      <a:avLst/>
                    </a:prstGeom>
                  </pic:spPr>
                </pic:pic>
              </a:graphicData>
            </a:graphic>
          </wp:anchor>
        </w:drawing>
      </w:r>
    </w:p>
    <w:p w14:paraId="29365C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p>
    <w:p w14:paraId="4F7AED9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p>
    <w:p w14:paraId="5ACE85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p>
    <w:p w14:paraId="2CD2B1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式中：</w:t>
      </w:r>
      <w:r>
        <w:rPr>
          <w:rFonts w:hint="default" w:eastAsia="宋体" w:cs="Times New Roman"/>
          <w:color w:val="auto"/>
          <w:kern w:val="0"/>
          <w:sz w:val="24"/>
          <w:szCs w:val="24"/>
          <w:highlight w:val="none"/>
          <w:lang w:val="en-US" w:eastAsia="zh-CN" w:bidi="ar-SA"/>
        </w:rPr>
        <w:t>[u]---</w:t>
      </w:r>
      <w:r>
        <w:rPr>
          <w:rFonts w:hint="eastAsia" w:eastAsia="宋体" w:cs="Times New Roman"/>
          <w:color w:val="auto"/>
          <w:kern w:val="0"/>
          <w:sz w:val="24"/>
          <w:szCs w:val="24"/>
          <w:highlight w:val="none"/>
          <w:lang w:val="en-US" w:eastAsia="zh-CN" w:bidi="ar-SA"/>
        </w:rPr>
        <w:t>各导线对地电压的单列矩阵；</w:t>
      </w:r>
    </w:p>
    <w:p w14:paraId="02354111">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outlineLvl w:val="9"/>
        <w:rPr>
          <w:rFonts w:hint="eastAsia" w:eastAsia="宋体" w:cs="Times New Roman"/>
          <w:color w:val="auto"/>
          <w:kern w:val="0"/>
          <w:sz w:val="24"/>
          <w:szCs w:val="24"/>
          <w:highlight w:val="none"/>
          <w:lang w:val="en-US" w:eastAsia="zh-CN" w:bidi="ar-SA"/>
        </w:rPr>
      </w:pPr>
      <w:r>
        <w:rPr>
          <w:rFonts w:hint="default" w:eastAsia="宋体" w:cs="Times New Roman"/>
          <w:color w:val="auto"/>
          <w:kern w:val="0"/>
          <w:sz w:val="24"/>
          <w:szCs w:val="24"/>
          <w:highlight w:val="none"/>
          <w:lang w:val="en-US" w:eastAsia="zh-CN" w:bidi="ar-SA"/>
        </w:rPr>
        <w:t>[Q]---</w:t>
      </w:r>
      <w:r>
        <w:rPr>
          <w:rFonts w:hint="eastAsia" w:eastAsia="宋体" w:cs="Times New Roman"/>
          <w:color w:val="auto"/>
          <w:kern w:val="0"/>
          <w:sz w:val="24"/>
          <w:szCs w:val="24"/>
          <w:highlight w:val="none"/>
          <w:lang w:val="en-US" w:eastAsia="zh-CN" w:bidi="ar-SA"/>
        </w:rPr>
        <w:t>各导线上等效电荷的单列矩阵；</w:t>
      </w:r>
    </w:p>
    <w:p w14:paraId="1777EF65">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outlineLvl w:val="9"/>
        <w:rPr>
          <w:rFonts w:hint="eastAsia" w:eastAsia="宋体" w:cs="Times New Roman"/>
          <w:color w:val="auto"/>
          <w:kern w:val="0"/>
          <w:sz w:val="24"/>
          <w:szCs w:val="24"/>
          <w:highlight w:val="none"/>
          <w:lang w:val="en-US" w:eastAsia="zh-CN" w:bidi="ar-SA"/>
        </w:rPr>
      </w:pPr>
      <w:r>
        <w:rPr>
          <w:rFonts w:hint="default" w:eastAsia="宋体" w:cs="Times New Roman"/>
          <w:color w:val="auto"/>
          <w:kern w:val="0"/>
          <w:sz w:val="24"/>
          <w:szCs w:val="24"/>
          <w:highlight w:val="none"/>
          <w:lang w:val="en-US" w:eastAsia="zh-CN" w:bidi="ar-SA"/>
        </w:rPr>
        <w:t>[λ]---</w:t>
      </w:r>
      <w:r>
        <w:rPr>
          <w:rFonts w:hint="eastAsia" w:eastAsia="宋体" w:cs="Times New Roman"/>
          <w:color w:val="auto"/>
          <w:kern w:val="0"/>
          <w:sz w:val="24"/>
          <w:szCs w:val="24"/>
          <w:highlight w:val="none"/>
          <w:lang w:val="en-US" w:eastAsia="zh-CN" w:bidi="ar-SA"/>
        </w:rPr>
        <w:t>各导线的电位系数组成的</w:t>
      </w:r>
      <w:r>
        <w:rPr>
          <w:rFonts w:hint="default" w:eastAsia="宋体" w:cs="Times New Roman"/>
          <w:color w:val="auto"/>
          <w:kern w:val="0"/>
          <w:sz w:val="24"/>
          <w:szCs w:val="24"/>
          <w:highlight w:val="none"/>
          <w:lang w:val="en-US" w:eastAsia="zh-CN" w:bidi="ar-SA"/>
        </w:rPr>
        <w:t>n</w:t>
      </w:r>
      <w:r>
        <w:rPr>
          <w:rFonts w:hint="eastAsia" w:eastAsia="宋体" w:cs="Times New Roman"/>
          <w:color w:val="auto"/>
          <w:kern w:val="0"/>
          <w:sz w:val="24"/>
          <w:szCs w:val="24"/>
          <w:highlight w:val="none"/>
          <w:lang w:val="en-US" w:eastAsia="zh-CN" w:bidi="ar-SA"/>
        </w:rPr>
        <w:t>阶方阵（</w:t>
      </w:r>
      <w:r>
        <w:rPr>
          <w:rFonts w:hint="default" w:eastAsia="宋体" w:cs="Times New Roman"/>
          <w:color w:val="auto"/>
          <w:kern w:val="0"/>
          <w:sz w:val="24"/>
          <w:szCs w:val="24"/>
          <w:highlight w:val="none"/>
          <w:lang w:val="en-US" w:eastAsia="zh-CN" w:bidi="ar-SA"/>
        </w:rPr>
        <w:t>n</w:t>
      </w:r>
      <w:r>
        <w:rPr>
          <w:rFonts w:hint="eastAsia" w:eastAsia="宋体" w:cs="Times New Roman"/>
          <w:color w:val="auto"/>
          <w:kern w:val="0"/>
          <w:sz w:val="24"/>
          <w:szCs w:val="24"/>
          <w:highlight w:val="none"/>
          <w:lang w:val="en-US" w:eastAsia="zh-CN" w:bidi="ar-SA"/>
        </w:rPr>
        <w:t>为导线数目）。</w:t>
      </w:r>
    </w:p>
    <w:p w14:paraId="544A11F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sz w:val="24"/>
          <w:szCs w:val="24"/>
          <w:highlight w:val="none"/>
        </w:rPr>
        <w:drawing>
          <wp:anchor distT="0" distB="0" distL="114300" distR="114300" simplePos="0" relativeHeight="251672576" behindDoc="0" locked="0" layoutInCell="1" allowOverlap="1">
            <wp:simplePos x="0" y="0"/>
            <wp:positionH relativeFrom="column">
              <wp:posOffset>838200</wp:posOffset>
            </wp:positionH>
            <wp:positionV relativeFrom="paragraph">
              <wp:posOffset>556260</wp:posOffset>
            </wp:positionV>
            <wp:extent cx="1580515" cy="956310"/>
            <wp:effectExtent l="0" t="0" r="635" b="15240"/>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3"/>
                    <a:stretch>
                      <a:fillRect/>
                    </a:stretch>
                  </pic:blipFill>
                  <pic:spPr>
                    <a:xfrm>
                      <a:off x="0" y="0"/>
                      <a:ext cx="1580515" cy="956310"/>
                    </a:xfrm>
                    <a:prstGeom prst="rect">
                      <a:avLst/>
                    </a:prstGeom>
                    <a:noFill/>
                    <a:ln>
                      <a:noFill/>
                    </a:ln>
                  </pic:spPr>
                </pic:pic>
              </a:graphicData>
            </a:graphic>
          </wp:anchor>
        </w:drawing>
      </w:r>
      <w:r>
        <w:rPr>
          <w:rFonts w:hint="eastAsia" w:eastAsia="宋体" w:cs="Times New Roman"/>
          <w:color w:val="auto"/>
          <w:kern w:val="0"/>
          <w:sz w:val="24"/>
          <w:szCs w:val="24"/>
          <w:highlight w:val="none"/>
          <w:lang w:val="en-US" w:eastAsia="zh-CN" w:bidi="ar-SA"/>
        </w:rPr>
        <w:t>式（</w:t>
      </w:r>
      <w:r>
        <w:rPr>
          <w:rFonts w:hint="default" w:eastAsia="宋体" w:cs="Times New Roman"/>
          <w:color w:val="auto"/>
          <w:kern w:val="0"/>
          <w:sz w:val="24"/>
          <w:szCs w:val="24"/>
          <w:highlight w:val="none"/>
          <w:lang w:val="en-US" w:eastAsia="zh-CN" w:bidi="ar-SA"/>
        </w:rPr>
        <w:t>1</w:t>
      </w:r>
      <w:r>
        <w:rPr>
          <w:rFonts w:hint="eastAsia" w:eastAsia="宋体" w:cs="Times New Roman"/>
          <w:color w:val="auto"/>
          <w:kern w:val="0"/>
          <w:sz w:val="24"/>
          <w:szCs w:val="24"/>
          <w:highlight w:val="none"/>
          <w:lang w:val="en-US" w:eastAsia="zh-CN" w:bidi="ar-SA"/>
        </w:rPr>
        <w:t>）中，</w:t>
      </w:r>
      <w:r>
        <w:rPr>
          <w:rFonts w:hint="default" w:eastAsia="宋体" w:cs="Times New Roman"/>
          <w:color w:val="auto"/>
          <w:kern w:val="0"/>
          <w:sz w:val="24"/>
          <w:szCs w:val="24"/>
          <w:highlight w:val="none"/>
          <w:lang w:val="en-US" w:eastAsia="zh-CN" w:bidi="ar-SA"/>
        </w:rPr>
        <w:t>[u]</w:t>
      </w:r>
      <w:r>
        <w:rPr>
          <w:rFonts w:hint="eastAsia" w:eastAsia="宋体" w:cs="Times New Roman"/>
          <w:color w:val="auto"/>
          <w:kern w:val="0"/>
          <w:sz w:val="24"/>
          <w:szCs w:val="24"/>
          <w:highlight w:val="none"/>
          <w:lang w:val="en-US" w:eastAsia="zh-CN" w:bidi="ar-SA"/>
        </w:rPr>
        <w:t>矩阵由送电线的电压和相位确定，并以额定电压的</w:t>
      </w:r>
      <w:r>
        <w:rPr>
          <w:rFonts w:hint="default" w:eastAsia="宋体" w:cs="Times New Roman"/>
          <w:color w:val="auto"/>
          <w:kern w:val="0"/>
          <w:sz w:val="24"/>
          <w:szCs w:val="24"/>
          <w:highlight w:val="none"/>
          <w:lang w:val="en-US" w:eastAsia="zh-CN" w:bidi="ar-SA"/>
        </w:rPr>
        <w:t>1.05</w:t>
      </w:r>
      <w:r>
        <w:rPr>
          <w:rFonts w:hint="eastAsia" w:eastAsia="宋体" w:cs="Times New Roman"/>
          <w:color w:val="auto"/>
          <w:kern w:val="0"/>
          <w:sz w:val="24"/>
          <w:szCs w:val="24"/>
          <w:highlight w:val="none"/>
          <w:lang w:val="en-US" w:eastAsia="zh-CN" w:bidi="ar-SA"/>
        </w:rPr>
        <w:t>倍作为计算电压。并由三相</w:t>
      </w:r>
      <w:r>
        <w:rPr>
          <w:rFonts w:hint="default" w:eastAsia="宋体" w:cs="Times New Roman"/>
          <w:color w:val="auto"/>
          <w:kern w:val="0"/>
          <w:sz w:val="24"/>
          <w:szCs w:val="24"/>
          <w:highlight w:val="none"/>
          <w:lang w:val="en-US" w:eastAsia="zh-CN" w:bidi="ar-SA"/>
        </w:rPr>
        <w:t>220kV</w:t>
      </w:r>
      <w:r>
        <w:rPr>
          <w:rFonts w:hint="eastAsia" w:eastAsia="宋体" w:cs="Times New Roman"/>
          <w:color w:val="auto"/>
          <w:kern w:val="0"/>
          <w:sz w:val="24"/>
          <w:szCs w:val="24"/>
          <w:highlight w:val="none"/>
          <w:lang w:val="en-US" w:eastAsia="zh-CN" w:bidi="ar-SA"/>
        </w:rPr>
        <w:t>（线间电压）回路各相的相位和分量，计算各导线对地电压为：</w:t>
      </w:r>
    </w:p>
    <w:p w14:paraId="3DBD8BA4">
      <w:pPr>
        <w:pStyle w:val="9"/>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color w:val="auto"/>
          <w:spacing w:val="-10"/>
          <w:sz w:val="24"/>
          <w:szCs w:val="24"/>
          <w:highlight w:val="none"/>
          <w:lang w:val="en-US" w:eastAsia="zh-CN"/>
        </w:rPr>
      </w:pPr>
    </w:p>
    <w:p w14:paraId="74486DD1">
      <w:pPr>
        <w:pStyle w:val="10"/>
        <w:spacing w:line="360" w:lineRule="auto"/>
        <w:rPr>
          <w:rFonts w:hint="eastAsia"/>
          <w:color w:val="auto"/>
          <w:spacing w:val="-10"/>
          <w:sz w:val="24"/>
          <w:szCs w:val="24"/>
          <w:highlight w:val="none"/>
          <w:lang w:val="en-US" w:eastAsia="zh-CN"/>
        </w:rPr>
      </w:pPr>
    </w:p>
    <w:p w14:paraId="6AF5E785">
      <w:pPr>
        <w:pStyle w:val="11"/>
        <w:spacing w:line="360" w:lineRule="auto"/>
        <w:rPr>
          <w:rFonts w:hint="eastAsia"/>
          <w:color w:val="auto"/>
          <w:spacing w:val="-10"/>
          <w:sz w:val="24"/>
          <w:szCs w:val="24"/>
          <w:highlight w:val="none"/>
          <w:lang w:val="en-US" w:eastAsia="zh-CN"/>
        </w:rPr>
      </w:pPr>
    </w:p>
    <w:p w14:paraId="20F796AA">
      <w:pPr>
        <w:keepNext w:val="0"/>
        <w:keepLines w:val="0"/>
        <w:widowControl/>
        <w:suppressLineNumbers w:val="0"/>
        <w:spacing w:line="360" w:lineRule="auto"/>
        <w:jc w:val="left"/>
        <w:rPr>
          <w:sz w:val="24"/>
          <w:szCs w:val="24"/>
          <w:highlight w:val="none"/>
        </w:rPr>
      </w:pPr>
      <w:r>
        <w:rPr>
          <w:rFonts w:hint="eastAsia"/>
          <w:color w:val="auto"/>
          <w:spacing w:val="-10"/>
          <w:sz w:val="24"/>
          <w:szCs w:val="24"/>
          <w:highlight w:val="none"/>
          <w:lang w:val="en-US" w:eastAsia="zh-CN"/>
        </w:rPr>
        <w:drawing>
          <wp:anchor distT="0" distB="0" distL="114300" distR="114300" simplePos="0" relativeHeight="251674624" behindDoc="0" locked="0" layoutInCell="1" allowOverlap="1">
            <wp:simplePos x="0" y="0"/>
            <wp:positionH relativeFrom="column">
              <wp:posOffset>2648585</wp:posOffset>
            </wp:positionH>
            <wp:positionV relativeFrom="paragraph">
              <wp:posOffset>257810</wp:posOffset>
            </wp:positionV>
            <wp:extent cx="2794000" cy="1629410"/>
            <wp:effectExtent l="0" t="0" r="6350" b="8890"/>
            <wp:wrapNone/>
            <wp:docPr id="18" name="图片 18" descr="168627668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86276683723"/>
                    <pic:cNvPicPr>
                      <a:picLocks noChangeAspect="1"/>
                    </pic:cNvPicPr>
                  </pic:nvPicPr>
                  <pic:blipFill>
                    <a:blip r:embed="rId24"/>
                    <a:stretch>
                      <a:fillRect/>
                    </a:stretch>
                  </pic:blipFill>
                  <pic:spPr>
                    <a:xfrm>
                      <a:off x="0" y="0"/>
                      <a:ext cx="2794000" cy="1629410"/>
                    </a:xfrm>
                    <a:prstGeom prst="rect">
                      <a:avLst/>
                    </a:prstGeom>
                  </pic:spPr>
                </pic:pic>
              </a:graphicData>
            </a:graphic>
          </wp:anchor>
        </w:drawing>
      </w:r>
      <w:r>
        <w:rPr>
          <w:rFonts w:hint="eastAsia"/>
          <w:color w:val="auto"/>
          <w:spacing w:val="-10"/>
          <w:sz w:val="24"/>
          <w:szCs w:val="24"/>
          <w:highlight w:val="none"/>
          <w:lang w:val="en-US" w:eastAsia="zh-CN"/>
        </w:rPr>
        <w:drawing>
          <wp:anchor distT="0" distB="0" distL="114300" distR="114300" simplePos="0" relativeHeight="251673600" behindDoc="0" locked="0" layoutInCell="1" allowOverlap="1">
            <wp:simplePos x="0" y="0"/>
            <wp:positionH relativeFrom="column">
              <wp:posOffset>883285</wp:posOffset>
            </wp:positionH>
            <wp:positionV relativeFrom="paragraph">
              <wp:posOffset>259080</wp:posOffset>
            </wp:positionV>
            <wp:extent cx="1746885" cy="693420"/>
            <wp:effectExtent l="0" t="0" r="5715" b="11430"/>
            <wp:wrapNone/>
            <wp:docPr id="19" name="图片 19" descr="168627666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86276660825"/>
                    <pic:cNvPicPr>
                      <a:picLocks noChangeAspect="1"/>
                    </pic:cNvPicPr>
                  </pic:nvPicPr>
                  <pic:blipFill>
                    <a:blip r:embed="rId25"/>
                    <a:stretch>
                      <a:fillRect/>
                    </a:stretch>
                  </pic:blipFill>
                  <pic:spPr>
                    <a:xfrm>
                      <a:off x="0" y="0"/>
                      <a:ext cx="1746885" cy="693420"/>
                    </a:xfrm>
                    <a:prstGeom prst="rect">
                      <a:avLst/>
                    </a:prstGeom>
                  </pic:spPr>
                </pic:pic>
              </a:graphicData>
            </a:graphic>
          </wp:anchor>
        </w:drawing>
      </w:r>
      <w:r>
        <w:rPr>
          <w:rFonts w:hint="eastAsia" w:ascii="宋体" w:hAnsi="宋体" w:eastAsia="宋体" w:cs="宋体"/>
          <w:color w:val="000000"/>
          <w:kern w:val="0"/>
          <w:sz w:val="24"/>
          <w:szCs w:val="24"/>
          <w:highlight w:val="none"/>
          <w:lang w:val="en-US" w:eastAsia="zh-CN" w:bidi="ar"/>
        </w:rPr>
        <w:t>各导线对地电压分量为：</w:t>
      </w:r>
    </w:p>
    <w:p w14:paraId="6A7BC806">
      <w:pPr>
        <w:pStyle w:val="9"/>
        <w:keepNext w:val="0"/>
        <w:keepLines w:val="0"/>
        <w:pageBreakBefore w:val="0"/>
        <w:widowControl w:val="0"/>
        <w:kinsoku/>
        <w:wordWrap/>
        <w:overflowPunct/>
        <w:topLinePunct w:val="0"/>
        <w:autoSpaceDE/>
        <w:autoSpaceDN/>
        <w:bidi w:val="0"/>
        <w:adjustRightInd w:val="0"/>
        <w:snapToGrid w:val="0"/>
        <w:spacing w:line="360" w:lineRule="auto"/>
        <w:ind w:right="0" w:firstLine="440" w:firstLineChars="200"/>
        <w:jc w:val="both"/>
        <w:textAlignment w:val="auto"/>
        <w:rPr>
          <w:rFonts w:hint="eastAsia"/>
          <w:color w:val="auto"/>
          <w:spacing w:val="-10"/>
          <w:sz w:val="24"/>
          <w:szCs w:val="24"/>
          <w:highlight w:val="none"/>
          <w:lang w:val="en-US" w:eastAsia="zh-CN"/>
        </w:rPr>
      </w:pPr>
    </w:p>
    <w:p w14:paraId="0FF0AF49">
      <w:pPr>
        <w:pStyle w:val="10"/>
        <w:spacing w:line="360" w:lineRule="auto"/>
        <w:rPr>
          <w:rFonts w:hint="eastAsia"/>
          <w:color w:val="auto"/>
          <w:spacing w:val="-10"/>
          <w:sz w:val="24"/>
          <w:szCs w:val="24"/>
          <w:highlight w:val="none"/>
          <w:lang w:val="en-US" w:eastAsia="zh-CN"/>
        </w:rPr>
      </w:pPr>
    </w:p>
    <w:p w14:paraId="780F9A29">
      <w:pPr>
        <w:spacing w:line="360" w:lineRule="auto"/>
        <w:rPr>
          <w:rFonts w:hint="eastAsia"/>
          <w:color w:val="auto"/>
          <w:spacing w:val="-10"/>
          <w:sz w:val="24"/>
          <w:szCs w:val="24"/>
          <w:highlight w:val="none"/>
          <w:lang w:val="en-US" w:eastAsia="zh-CN"/>
        </w:rPr>
      </w:pPr>
    </w:p>
    <w:p w14:paraId="63EA26C5">
      <w:pPr>
        <w:spacing w:line="360" w:lineRule="auto"/>
        <w:rPr>
          <w:rFonts w:hint="eastAsia"/>
          <w:sz w:val="24"/>
          <w:szCs w:val="24"/>
          <w:highlight w:val="none"/>
          <w:lang w:val="en-US" w:eastAsia="zh-CN"/>
        </w:rPr>
      </w:pPr>
    </w:p>
    <w:p w14:paraId="6113E687">
      <w:pPr>
        <w:pStyle w:val="16"/>
        <w:rPr>
          <w:rFonts w:hint="eastAsia"/>
          <w:sz w:val="24"/>
          <w:szCs w:val="24"/>
          <w:highlight w:val="none"/>
          <w:lang w:val="en-US" w:eastAsia="zh-CN"/>
        </w:rPr>
      </w:pPr>
    </w:p>
    <w:p w14:paraId="184B0090">
      <w:pPr>
        <w:pStyle w:val="16"/>
        <w:ind w:left="0" w:leftChars="0" w:firstLine="0" w:firstLineChars="0"/>
        <w:rPr>
          <w:rFonts w:hint="eastAsia"/>
          <w:highlight w:val="none"/>
          <w:lang w:val="en-US" w:eastAsia="zh-CN"/>
        </w:rPr>
      </w:pPr>
    </w:p>
    <w:p w14:paraId="4A39520E">
      <w:pPr>
        <w:pStyle w:val="9"/>
        <w:keepNext w:val="0"/>
        <w:keepLines w:val="0"/>
        <w:pageBreakBefore w:val="0"/>
        <w:widowControl w:val="0"/>
        <w:kinsoku/>
        <w:wordWrap/>
        <w:overflowPunct/>
        <w:topLinePunct w:val="0"/>
        <w:autoSpaceDE/>
        <w:autoSpaceDN/>
        <w:bidi w:val="0"/>
        <w:adjustRightInd w:val="0"/>
        <w:snapToGrid w:val="0"/>
        <w:spacing w:line="360" w:lineRule="auto"/>
        <w:ind w:right="0" w:firstLine="440" w:firstLineChars="200"/>
        <w:jc w:val="both"/>
        <w:textAlignment w:val="auto"/>
        <w:rPr>
          <w:rFonts w:hint="eastAsia"/>
          <w:color w:val="auto"/>
          <w:spacing w:val="-10"/>
          <w:sz w:val="24"/>
          <w:szCs w:val="24"/>
          <w:highlight w:val="none"/>
          <w:lang w:val="en-US" w:eastAsia="zh-CN"/>
        </w:rPr>
      </w:pPr>
    </w:p>
    <w:p w14:paraId="17286DB2">
      <w:pPr>
        <w:keepNext w:val="0"/>
        <w:keepLines w:val="0"/>
        <w:widowControl/>
        <w:suppressLineNumbers w:val="0"/>
        <w:spacing w:line="360" w:lineRule="auto"/>
        <w:jc w:val="center"/>
        <w:rPr>
          <w:sz w:val="24"/>
          <w:szCs w:val="24"/>
          <w:highlight w:val="none"/>
        </w:rPr>
      </w:pPr>
      <w:r>
        <w:rPr>
          <w:rFonts w:hint="eastAsia" w:ascii="宋体" w:hAnsi="宋体" w:eastAsia="宋体" w:cs="宋体"/>
          <w:b/>
          <w:bCs/>
          <w:color w:val="000000"/>
          <w:kern w:val="0"/>
          <w:sz w:val="24"/>
          <w:szCs w:val="24"/>
          <w:highlight w:val="none"/>
          <w:lang w:val="en-US" w:eastAsia="zh-CN" w:bidi="ar"/>
        </w:rPr>
        <w:t>图</w:t>
      </w:r>
      <w:r>
        <w:rPr>
          <w:rFonts w:hint="default" w:ascii="Times New Roman" w:hAnsi="Times New Roman" w:eastAsia="宋体" w:cs="Times New Roman"/>
          <w:b/>
          <w:bCs/>
          <w:color w:val="000000"/>
          <w:kern w:val="0"/>
          <w:sz w:val="24"/>
          <w:szCs w:val="24"/>
          <w:highlight w:val="none"/>
          <w:lang w:val="en-US" w:eastAsia="zh-CN" w:bidi="ar"/>
        </w:rPr>
        <w:t>1</w:t>
      </w:r>
      <w:r>
        <w:rPr>
          <w:rFonts w:hint="eastAsia" w:ascii="宋体" w:hAnsi="宋体" w:eastAsia="宋体" w:cs="宋体"/>
          <w:b/>
          <w:bCs/>
          <w:color w:val="000000"/>
          <w:kern w:val="0"/>
          <w:sz w:val="24"/>
          <w:szCs w:val="24"/>
          <w:highlight w:val="none"/>
          <w:lang w:val="en-US" w:eastAsia="zh-CN" w:bidi="ar"/>
        </w:rPr>
        <w:t>对地电压计算图</w:t>
      </w:r>
    </w:p>
    <w:p w14:paraId="781230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式（</w:t>
      </w:r>
      <w:r>
        <w:rPr>
          <w:rFonts w:hint="default" w:eastAsia="宋体" w:cs="Times New Roman"/>
          <w:color w:val="auto"/>
          <w:kern w:val="0"/>
          <w:sz w:val="24"/>
          <w:szCs w:val="24"/>
          <w:highlight w:val="none"/>
          <w:lang w:val="en-US" w:eastAsia="zh-CN" w:bidi="ar-SA"/>
        </w:rPr>
        <w:t>1</w:t>
      </w:r>
      <w:r>
        <w:rPr>
          <w:rFonts w:hint="eastAsia" w:eastAsia="宋体" w:cs="Times New Roman"/>
          <w:color w:val="auto"/>
          <w:kern w:val="0"/>
          <w:sz w:val="24"/>
          <w:szCs w:val="24"/>
          <w:highlight w:val="none"/>
          <w:lang w:val="en-US" w:eastAsia="zh-CN" w:bidi="ar-SA"/>
        </w:rPr>
        <w:t>）中，</w:t>
      </w:r>
      <w:r>
        <w:rPr>
          <w:rFonts w:hint="default" w:eastAsia="宋体" w:cs="Times New Roman"/>
          <w:color w:val="auto"/>
          <w:kern w:val="0"/>
          <w:sz w:val="24"/>
          <w:szCs w:val="24"/>
          <w:highlight w:val="none"/>
          <w:lang w:val="en-US" w:eastAsia="zh-CN" w:bidi="ar-SA"/>
        </w:rPr>
        <w:t>[λ]</w:t>
      </w:r>
      <w:r>
        <w:rPr>
          <w:rFonts w:hint="eastAsia" w:eastAsia="宋体" w:cs="Times New Roman"/>
          <w:color w:val="auto"/>
          <w:kern w:val="0"/>
          <w:sz w:val="24"/>
          <w:szCs w:val="24"/>
          <w:highlight w:val="none"/>
          <w:lang w:val="en-US" w:eastAsia="zh-CN" w:bidi="ar-SA"/>
        </w:rPr>
        <w:t>矩阵由镜像原理求得。地面为电位等于零的平面，地面的感应电荷可由对应地面导线的镜像电荷代替，用</w:t>
      </w:r>
      <w:r>
        <w:rPr>
          <w:rFonts w:hint="default" w:eastAsia="宋体" w:cs="Times New Roman"/>
          <w:color w:val="auto"/>
          <w:kern w:val="0"/>
          <w:sz w:val="24"/>
          <w:szCs w:val="24"/>
          <w:highlight w:val="none"/>
          <w:lang w:val="en-US" w:eastAsia="zh-CN" w:bidi="ar-SA"/>
        </w:rPr>
        <w:t>i</w:t>
      </w:r>
      <w:r>
        <w:rPr>
          <w:rFonts w:hint="eastAsia" w:eastAsia="宋体" w:cs="Times New Roman"/>
          <w:color w:val="auto"/>
          <w:kern w:val="0"/>
          <w:sz w:val="24"/>
          <w:szCs w:val="24"/>
          <w:highlight w:val="none"/>
          <w:lang w:val="en-US" w:eastAsia="zh-CN" w:bidi="ar-SA"/>
        </w:rPr>
        <w:t>，</w:t>
      </w:r>
      <w:r>
        <w:rPr>
          <w:rFonts w:hint="default" w:eastAsia="宋体" w:cs="Times New Roman"/>
          <w:color w:val="auto"/>
          <w:kern w:val="0"/>
          <w:sz w:val="24"/>
          <w:szCs w:val="24"/>
          <w:highlight w:val="none"/>
          <w:lang w:val="en-US" w:eastAsia="zh-CN" w:bidi="ar-SA"/>
        </w:rPr>
        <w:t>j……</w:t>
      </w:r>
      <w:r>
        <w:rPr>
          <w:rFonts w:hint="eastAsia" w:eastAsia="宋体" w:cs="Times New Roman"/>
          <w:color w:val="auto"/>
          <w:kern w:val="0"/>
          <w:sz w:val="24"/>
          <w:szCs w:val="24"/>
          <w:highlight w:val="none"/>
          <w:lang w:val="en-US" w:eastAsia="zh-CN" w:bidi="ar-SA"/>
        </w:rPr>
        <w:t>表示相互平行的实际导线，用</w:t>
      </w:r>
      <w:r>
        <w:rPr>
          <w:rFonts w:hint="default" w:eastAsia="宋体" w:cs="Times New Roman"/>
          <w:color w:val="auto"/>
          <w:kern w:val="0"/>
          <w:sz w:val="24"/>
          <w:szCs w:val="24"/>
          <w:highlight w:val="none"/>
          <w:lang w:val="en-US" w:eastAsia="zh-CN" w:bidi="ar-SA"/>
        </w:rPr>
        <w:t>i</w:t>
      </w:r>
      <w:r>
        <w:rPr>
          <w:rFonts w:hint="eastAsia" w:eastAsia="宋体" w:cs="Times New Roman"/>
          <w:color w:val="auto"/>
          <w:kern w:val="0"/>
          <w:sz w:val="24"/>
          <w:szCs w:val="24"/>
          <w:highlight w:val="none"/>
          <w:lang w:val="en-US" w:eastAsia="zh-CN" w:bidi="ar-SA"/>
        </w:rPr>
        <w:t>＇，</w:t>
      </w:r>
      <w:r>
        <w:rPr>
          <w:rFonts w:hint="default" w:eastAsia="宋体" w:cs="Times New Roman"/>
          <w:color w:val="auto"/>
          <w:kern w:val="0"/>
          <w:sz w:val="24"/>
          <w:szCs w:val="24"/>
          <w:highlight w:val="none"/>
          <w:lang w:val="en-US" w:eastAsia="zh-CN" w:bidi="ar-SA"/>
        </w:rPr>
        <w:t>j</w:t>
      </w:r>
      <w:r>
        <w:rPr>
          <w:rFonts w:hint="eastAsia" w:eastAsia="宋体" w:cs="Times New Roman"/>
          <w:color w:val="auto"/>
          <w:kern w:val="0"/>
          <w:sz w:val="24"/>
          <w:szCs w:val="24"/>
          <w:highlight w:val="none"/>
          <w:lang w:val="en-US" w:eastAsia="zh-CN" w:bidi="ar-SA"/>
        </w:rPr>
        <w:t>＇</w:t>
      </w:r>
      <w:r>
        <w:rPr>
          <w:rFonts w:hint="default" w:eastAsia="宋体" w:cs="Times New Roman"/>
          <w:color w:val="auto"/>
          <w:kern w:val="0"/>
          <w:sz w:val="24"/>
          <w:szCs w:val="24"/>
          <w:highlight w:val="none"/>
          <w:lang w:val="en-US" w:eastAsia="zh-CN" w:bidi="ar-SA"/>
        </w:rPr>
        <w:t>……</w:t>
      </w:r>
      <w:r>
        <w:rPr>
          <w:rFonts w:hint="eastAsia" w:eastAsia="宋体" w:cs="Times New Roman"/>
          <w:color w:val="auto"/>
          <w:kern w:val="0"/>
          <w:sz w:val="24"/>
          <w:szCs w:val="24"/>
          <w:highlight w:val="none"/>
          <w:lang w:val="en-US" w:eastAsia="zh-CN" w:bidi="ar-SA"/>
        </w:rPr>
        <w:t>表示它们的镜像，则电位系数为：</w:t>
      </w:r>
    </w:p>
    <w:p w14:paraId="7A8D0B10">
      <w:pPr>
        <w:pStyle w:val="16"/>
        <w:spacing w:line="360" w:lineRule="auto"/>
        <w:rPr>
          <w:rFonts w:hint="eastAsia"/>
          <w:highlight w:val="none"/>
          <w:lang w:val="en-US" w:eastAsia="zh-CN"/>
        </w:rPr>
      </w:pPr>
      <w:r>
        <w:rPr>
          <w:sz w:val="24"/>
          <w:szCs w:val="24"/>
          <w:highlight w:val="none"/>
        </w:rPr>
        <w:drawing>
          <wp:anchor distT="0" distB="0" distL="114300" distR="114300" simplePos="0" relativeHeight="251675648" behindDoc="0" locked="0" layoutInCell="1" allowOverlap="1">
            <wp:simplePos x="0" y="0"/>
            <wp:positionH relativeFrom="column">
              <wp:posOffset>1159510</wp:posOffset>
            </wp:positionH>
            <wp:positionV relativeFrom="paragraph">
              <wp:posOffset>-31115</wp:posOffset>
            </wp:positionV>
            <wp:extent cx="1753870" cy="1466850"/>
            <wp:effectExtent l="0" t="0" r="17780" b="0"/>
            <wp:wrapNone/>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6"/>
                    <a:stretch>
                      <a:fillRect/>
                    </a:stretch>
                  </pic:blipFill>
                  <pic:spPr>
                    <a:xfrm>
                      <a:off x="0" y="0"/>
                      <a:ext cx="1753870" cy="1466850"/>
                    </a:xfrm>
                    <a:prstGeom prst="rect">
                      <a:avLst/>
                    </a:prstGeom>
                    <a:noFill/>
                    <a:ln>
                      <a:noFill/>
                    </a:ln>
                  </pic:spPr>
                </pic:pic>
              </a:graphicData>
            </a:graphic>
          </wp:anchor>
        </w:drawing>
      </w:r>
    </w:p>
    <w:p w14:paraId="36C59C63">
      <w:pPr>
        <w:pStyle w:val="16"/>
        <w:spacing w:line="360" w:lineRule="auto"/>
        <w:rPr>
          <w:rFonts w:hint="eastAsia" w:eastAsia="宋体" w:cs="Times New Roman"/>
          <w:color w:val="auto"/>
          <w:kern w:val="0"/>
          <w:sz w:val="24"/>
          <w:szCs w:val="24"/>
          <w:highlight w:val="none"/>
          <w:lang w:val="en-US" w:eastAsia="zh-CN" w:bidi="ar-SA"/>
        </w:rPr>
      </w:pPr>
    </w:p>
    <w:p w14:paraId="2E357499">
      <w:pPr>
        <w:spacing w:line="360" w:lineRule="auto"/>
        <w:rPr>
          <w:rFonts w:hint="eastAsia" w:eastAsia="宋体" w:cs="Times New Roman"/>
          <w:color w:val="auto"/>
          <w:kern w:val="0"/>
          <w:sz w:val="24"/>
          <w:szCs w:val="24"/>
          <w:highlight w:val="none"/>
          <w:lang w:val="en-US" w:eastAsia="zh-CN" w:bidi="ar-SA"/>
        </w:rPr>
      </w:pPr>
    </w:p>
    <w:p w14:paraId="785C364A">
      <w:pPr>
        <w:pStyle w:val="16"/>
        <w:spacing w:line="360" w:lineRule="auto"/>
        <w:rPr>
          <w:rFonts w:hint="eastAsia"/>
          <w:highlight w:val="none"/>
          <w:lang w:val="en-US" w:eastAsia="zh-CN"/>
        </w:rPr>
      </w:pPr>
    </w:p>
    <w:p w14:paraId="3C40B179">
      <w:pPr>
        <w:pStyle w:val="16"/>
        <w:spacing w:line="360" w:lineRule="auto"/>
        <w:rPr>
          <w:rFonts w:hint="eastAsia" w:eastAsia="宋体" w:cs="Times New Roman"/>
          <w:color w:val="auto"/>
          <w:kern w:val="0"/>
          <w:sz w:val="24"/>
          <w:szCs w:val="24"/>
          <w:highlight w:val="none"/>
          <w:lang w:val="en-US" w:eastAsia="zh-CN" w:bidi="ar-SA"/>
        </w:rPr>
      </w:pPr>
    </w:p>
    <w:p w14:paraId="0363B660">
      <w:pPr>
        <w:keepNext w:val="0"/>
        <w:keepLines w:val="0"/>
        <w:widowControl/>
        <w:suppressLineNumbers w:val="0"/>
        <w:spacing w:line="360" w:lineRule="auto"/>
        <w:jc w:val="left"/>
        <w:rPr>
          <w:rFonts w:hint="eastAsia"/>
          <w:color w:val="auto"/>
          <w:spacing w:val="-10"/>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上式中：</w:t>
      </w:r>
      <w:r>
        <w:rPr>
          <w:rFonts w:hint="default" w:ascii="Times New Roman" w:hAnsi="Times New Roman" w:eastAsia="宋体" w:cs="Times New Roman"/>
          <w:color w:val="000000"/>
          <w:kern w:val="0"/>
          <w:sz w:val="24"/>
          <w:szCs w:val="24"/>
          <w:highlight w:val="none"/>
          <w:lang w:val="en-US" w:eastAsia="zh-CN" w:bidi="ar"/>
        </w:rPr>
        <w:t>εo---</w:t>
      </w:r>
      <w:r>
        <w:rPr>
          <w:rFonts w:hint="eastAsia" w:ascii="宋体" w:hAnsi="宋体" w:eastAsia="宋体" w:cs="宋体"/>
          <w:color w:val="000000"/>
          <w:kern w:val="0"/>
          <w:sz w:val="24"/>
          <w:szCs w:val="24"/>
          <w:highlight w:val="none"/>
          <w:lang w:val="en-US" w:eastAsia="zh-CN" w:bidi="ar"/>
        </w:rPr>
        <w:t>空气介电常数</w:t>
      </w:r>
    </w:p>
    <w:p w14:paraId="7864E7BF">
      <w:pPr>
        <w:keepNext w:val="0"/>
        <w:keepLines w:val="0"/>
        <w:widowControl/>
        <w:suppressLineNumbers w:val="0"/>
        <w:spacing w:line="360" w:lineRule="auto"/>
        <w:jc w:val="left"/>
        <w:rPr>
          <w:rFonts w:hint="eastAsia" w:ascii="宋体" w:hAnsi="宋体" w:eastAsia="宋体" w:cs="宋体"/>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Ri---</w:t>
      </w:r>
      <w:r>
        <w:rPr>
          <w:rFonts w:hint="eastAsia" w:ascii="宋体" w:hAnsi="宋体" w:eastAsia="宋体" w:cs="宋体"/>
          <w:color w:val="000000"/>
          <w:kern w:val="0"/>
          <w:sz w:val="24"/>
          <w:szCs w:val="24"/>
          <w:highlight w:val="none"/>
          <w:lang w:val="en-US" w:eastAsia="zh-CN" w:bidi="ar"/>
        </w:rPr>
        <w:t>导线半径，对于分裂导线用等效单根导线半径代入。</w:t>
      </w:r>
    </w:p>
    <w:p w14:paraId="4BC0802C">
      <w:pPr>
        <w:keepNext w:val="0"/>
        <w:keepLines w:val="0"/>
        <w:widowControl/>
        <w:suppressLineNumbers w:val="0"/>
        <w:spacing w:line="360" w:lineRule="auto"/>
        <w:jc w:val="left"/>
        <w:rPr>
          <w:rFonts w:hint="eastAsia" w:ascii="宋体" w:hAnsi="宋体" w:eastAsia="宋体" w:cs="宋体"/>
          <w:color w:val="000000"/>
          <w:kern w:val="0"/>
          <w:sz w:val="24"/>
          <w:szCs w:val="24"/>
          <w:highlight w:val="none"/>
          <w:lang w:val="en-US" w:eastAsia="zh-CN" w:bidi="ar"/>
        </w:rPr>
      </w:pPr>
    </w:p>
    <w:p w14:paraId="3CA0614D">
      <w:pPr>
        <w:pStyle w:val="9"/>
        <w:keepNext w:val="0"/>
        <w:keepLines w:val="0"/>
        <w:pageBreakBefore w:val="0"/>
        <w:widowControl w:val="0"/>
        <w:kinsoku/>
        <w:wordWrap/>
        <w:overflowPunct/>
        <w:topLinePunct w:val="0"/>
        <w:autoSpaceDE/>
        <w:autoSpaceDN/>
        <w:bidi w:val="0"/>
        <w:adjustRightInd w:val="0"/>
        <w:snapToGrid w:val="0"/>
        <w:spacing w:line="360" w:lineRule="auto"/>
        <w:ind w:right="0" w:firstLine="440" w:firstLineChars="200"/>
        <w:jc w:val="both"/>
        <w:textAlignment w:val="auto"/>
        <w:rPr>
          <w:rFonts w:hint="eastAsia"/>
          <w:color w:val="auto"/>
          <w:spacing w:val="-10"/>
          <w:sz w:val="24"/>
          <w:szCs w:val="24"/>
          <w:highlight w:val="none"/>
          <w:lang w:val="en-US" w:eastAsia="zh-CN"/>
        </w:rPr>
      </w:pPr>
      <w:r>
        <w:rPr>
          <w:rFonts w:hint="eastAsia"/>
          <w:color w:val="auto"/>
          <w:spacing w:val="-10"/>
          <w:sz w:val="24"/>
          <w:szCs w:val="24"/>
          <w:highlight w:val="none"/>
          <w:lang w:val="en-US" w:eastAsia="zh-CN"/>
        </w:rPr>
        <w:drawing>
          <wp:anchor distT="0" distB="0" distL="114300" distR="114300" simplePos="0" relativeHeight="251676672" behindDoc="0" locked="0" layoutInCell="1" allowOverlap="1">
            <wp:simplePos x="0" y="0"/>
            <wp:positionH relativeFrom="column">
              <wp:posOffset>620395</wp:posOffset>
            </wp:positionH>
            <wp:positionV relativeFrom="paragraph">
              <wp:posOffset>48895</wp:posOffset>
            </wp:positionV>
            <wp:extent cx="2202180" cy="586740"/>
            <wp:effectExtent l="0" t="0" r="7620" b="3810"/>
            <wp:wrapNone/>
            <wp:docPr id="21" name="图片 21" descr="168627681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6276813314"/>
                    <pic:cNvPicPr>
                      <a:picLocks noChangeAspect="1"/>
                    </pic:cNvPicPr>
                  </pic:nvPicPr>
                  <pic:blipFill>
                    <a:blip r:embed="rId27"/>
                    <a:stretch>
                      <a:fillRect/>
                    </a:stretch>
                  </pic:blipFill>
                  <pic:spPr>
                    <a:xfrm>
                      <a:off x="0" y="0"/>
                      <a:ext cx="2202180" cy="586740"/>
                    </a:xfrm>
                    <a:prstGeom prst="rect">
                      <a:avLst/>
                    </a:prstGeom>
                  </pic:spPr>
                </pic:pic>
              </a:graphicData>
            </a:graphic>
          </wp:anchor>
        </w:drawing>
      </w:r>
    </w:p>
    <w:p w14:paraId="50209FE6">
      <w:pPr>
        <w:pStyle w:val="9"/>
        <w:keepNext w:val="0"/>
        <w:keepLines w:val="0"/>
        <w:pageBreakBefore w:val="0"/>
        <w:widowControl w:val="0"/>
        <w:kinsoku/>
        <w:wordWrap/>
        <w:overflowPunct/>
        <w:topLinePunct w:val="0"/>
        <w:autoSpaceDE/>
        <w:autoSpaceDN/>
        <w:bidi w:val="0"/>
        <w:adjustRightInd w:val="0"/>
        <w:snapToGrid w:val="0"/>
        <w:spacing w:line="360" w:lineRule="auto"/>
        <w:ind w:right="0" w:firstLine="440" w:firstLineChars="200"/>
        <w:jc w:val="both"/>
        <w:textAlignment w:val="auto"/>
        <w:rPr>
          <w:rFonts w:hint="eastAsia"/>
          <w:color w:val="auto"/>
          <w:spacing w:val="-10"/>
          <w:sz w:val="24"/>
          <w:szCs w:val="24"/>
          <w:highlight w:val="none"/>
          <w:lang w:val="en-US" w:eastAsia="zh-CN"/>
        </w:rPr>
      </w:pPr>
    </w:p>
    <w:p w14:paraId="2B307122">
      <w:pPr>
        <w:keepNext w:val="0"/>
        <w:keepLines w:val="0"/>
        <w:widowControl/>
        <w:suppressLineNumbers w:val="0"/>
        <w:spacing w:line="360" w:lineRule="auto"/>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式（</w:t>
      </w:r>
      <w:r>
        <w:rPr>
          <w:rFonts w:hint="default" w:ascii="宋体" w:hAnsi="宋体" w:eastAsia="宋体" w:cs="宋体"/>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val="en-US" w:eastAsia="zh-CN" w:bidi="ar"/>
        </w:rPr>
        <w:t>）中，</w:t>
      </w:r>
      <w:r>
        <w:rPr>
          <w:rFonts w:hint="default" w:ascii="宋体" w:hAnsi="宋体" w:eastAsia="宋体" w:cs="宋体"/>
          <w:color w:val="000000"/>
          <w:kern w:val="0"/>
          <w:sz w:val="24"/>
          <w:szCs w:val="24"/>
          <w:highlight w:val="none"/>
          <w:lang w:val="en-US" w:eastAsia="zh-CN" w:bidi="ar"/>
        </w:rPr>
        <w:t>R---</w:t>
      </w:r>
      <w:r>
        <w:rPr>
          <w:rFonts w:hint="eastAsia" w:ascii="宋体" w:hAnsi="宋体" w:eastAsia="宋体" w:cs="宋体"/>
          <w:color w:val="000000"/>
          <w:kern w:val="0"/>
          <w:sz w:val="24"/>
          <w:szCs w:val="24"/>
          <w:highlight w:val="none"/>
          <w:lang w:val="en-US" w:eastAsia="zh-CN" w:bidi="ar"/>
        </w:rPr>
        <w:t>分裂导线半径；</w:t>
      </w:r>
    </w:p>
    <w:p w14:paraId="4DBA78EC">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highlight w:val="none"/>
          <w:lang w:val="en-US" w:eastAsia="zh-CN" w:bidi="ar"/>
        </w:rPr>
      </w:pPr>
      <w:r>
        <w:rPr>
          <w:rFonts w:hint="default" w:ascii="宋体" w:hAnsi="宋体" w:eastAsia="宋体" w:cs="宋体"/>
          <w:color w:val="000000"/>
          <w:kern w:val="0"/>
          <w:sz w:val="24"/>
          <w:szCs w:val="24"/>
          <w:highlight w:val="none"/>
          <w:lang w:val="en-US" w:eastAsia="zh-CN" w:bidi="ar"/>
        </w:rPr>
        <w:t>n---</w:t>
      </w:r>
      <w:r>
        <w:rPr>
          <w:rFonts w:hint="eastAsia" w:ascii="宋体" w:hAnsi="宋体" w:eastAsia="宋体" w:cs="宋体"/>
          <w:color w:val="000000"/>
          <w:kern w:val="0"/>
          <w:sz w:val="24"/>
          <w:szCs w:val="24"/>
          <w:highlight w:val="none"/>
          <w:lang w:val="en-US" w:eastAsia="zh-CN" w:bidi="ar"/>
        </w:rPr>
        <w:t>次导线根数；</w:t>
      </w:r>
    </w:p>
    <w:p w14:paraId="723057BD">
      <w:pPr>
        <w:keepNext w:val="0"/>
        <w:keepLines w:val="0"/>
        <w:widowControl/>
        <w:suppressLineNumbers w:val="0"/>
        <w:spacing w:line="360" w:lineRule="auto"/>
        <w:ind w:firstLine="440" w:firstLineChars="200"/>
        <w:jc w:val="left"/>
        <w:rPr>
          <w:rFonts w:hint="eastAsia" w:ascii="宋体" w:hAnsi="宋体" w:eastAsia="宋体" w:cs="宋体"/>
          <w:color w:val="000000"/>
          <w:kern w:val="0"/>
          <w:sz w:val="24"/>
          <w:szCs w:val="24"/>
          <w:highlight w:val="none"/>
          <w:lang w:val="en-US" w:eastAsia="zh-CN" w:bidi="ar"/>
        </w:rPr>
      </w:pPr>
      <w:r>
        <w:rPr>
          <w:rFonts w:hint="eastAsia"/>
          <w:color w:val="auto"/>
          <w:spacing w:val="-10"/>
          <w:sz w:val="24"/>
          <w:szCs w:val="24"/>
          <w:highlight w:val="none"/>
          <w:lang w:val="en-US" w:eastAsia="zh-CN"/>
        </w:rPr>
        <w:drawing>
          <wp:anchor distT="0" distB="0" distL="114300" distR="114300" simplePos="0" relativeHeight="251677696" behindDoc="0" locked="0" layoutInCell="1" allowOverlap="1">
            <wp:simplePos x="0" y="0"/>
            <wp:positionH relativeFrom="column">
              <wp:posOffset>1264920</wp:posOffset>
            </wp:positionH>
            <wp:positionV relativeFrom="paragraph">
              <wp:posOffset>253365</wp:posOffset>
            </wp:positionV>
            <wp:extent cx="2773680" cy="2820035"/>
            <wp:effectExtent l="0" t="0" r="7620" b="18415"/>
            <wp:wrapNone/>
            <wp:docPr id="22" name="图片 22" descr="168627689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86276892875"/>
                    <pic:cNvPicPr>
                      <a:picLocks noChangeAspect="1"/>
                    </pic:cNvPicPr>
                  </pic:nvPicPr>
                  <pic:blipFill>
                    <a:blip r:embed="rId28"/>
                    <a:stretch>
                      <a:fillRect/>
                    </a:stretch>
                  </pic:blipFill>
                  <pic:spPr>
                    <a:xfrm>
                      <a:off x="0" y="0"/>
                      <a:ext cx="2773680" cy="2820035"/>
                    </a:xfrm>
                    <a:prstGeom prst="rect">
                      <a:avLst/>
                    </a:prstGeom>
                  </pic:spPr>
                </pic:pic>
              </a:graphicData>
            </a:graphic>
          </wp:anchor>
        </w:drawing>
      </w:r>
      <w:r>
        <w:rPr>
          <w:rFonts w:hint="default" w:ascii="宋体" w:hAnsi="宋体" w:eastAsia="宋体" w:cs="宋体"/>
          <w:color w:val="000000"/>
          <w:kern w:val="0"/>
          <w:sz w:val="24"/>
          <w:szCs w:val="24"/>
          <w:highlight w:val="none"/>
          <w:lang w:val="en-US" w:eastAsia="zh-CN" w:bidi="ar"/>
        </w:rPr>
        <w:t>r---</w:t>
      </w:r>
      <w:r>
        <w:rPr>
          <w:rFonts w:hint="eastAsia" w:ascii="宋体" w:hAnsi="宋体" w:eastAsia="宋体" w:cs="宋体"/>
          <w:color w:val="000000"/>
          <w:kern w:val="0"/>
          <w:sz w:val="24"/>
          <w:szCs w:val="24"/>
          <w:highlight w:val="none"/>
          <w:lang w:val="en-US" w:eastAsia="zh-CN" w:bidi="ar"/>
        </w:rPr>
        <w:t>次导线半径。</w:t>
      </w:r>
    </w:p>
    <w:p w14:paraId="14415864">
      <w:pPr>
        <w:spacing w:line="360" w:lineRule="auto"/>
        <w:rPr>
          <w:rFonts w:hint="eastAsia"/>
          <w:color w:val="auto"/>
          <w:spacing w:val="-10"/>
          <w:sz w:val="24"/>
          <w:szCs w:val="24"/>
          <w:highlight w:val="none"/>
          <w:lang w:val="en-US" w:eastAsia="zh-CN"/>
        </w:rPr>
      </w:pPr>
    </w:p>
    <w:p w14:paraId="50344562">
      <w:pPr>
        <w:pStyle w:val="16"/>
        <w:spacing w:line="360" w:lineRule="auto"/>
        <w:rPr>
          <w:rFonts w:hint="eastAsia"/>
          <w:color w:val="auto"/>
          <w:spacing w:val="-10"/>
          <w:sz w:val="24"/>
          <w:szCs w:val="24"/>
          <w:highlight w:val="none"/>
          <w:lang w:val="en-US" w:eastAsia="zh-CN"/>
        </w:rPr>
      </w:pPr>
    </w:p>
    <w:p w14:paraId="6EF4B012">
      <w:pPr>
        <w:spacing w:line="360" w:lineRule="auto"/>
        <w:rPr>
          <w:rFonts w:hint="eastAsia"/>
          <w:color w:val="auto"/>
          <w:spacing w:val="-10"/>
          <w:sz w:val="24"/>
          <w:szCs w:val="24"/>
          <w:highlight w:val="none"/>
          <w:lang w:val="en-US" w:eastAsia="zh-CN"/>
        </w:rPr>
      </w:pPr>
    </w:p>
    <w:p w14:paraId="210EEA61">
      <w:pPr>
        <w:pStyle w:val="16"/>
        <w:spacing w:line="360" w:lineRule="auto"/>
        <w:rPr>
          <w:rFonts w:hint="eastAsia"/>
          <w:color w:val="auto"/>
          <w:spacing w:val="-10"/>
          <w:sz w:val="24"/>
          <w:szCs w:val="24"/>
          <w:highlight w:val="none"/>
          <w:lang w:val="en-US" w:eastAsia="zh-CN"/>
        </w:rPr>
      </w:pPr>
    </w:p>
    <w:p w14:paraId="2CBEC0F1">
      <w:pPr>
        <w:spacing w:line="360" w:lineRule="auto"/>
        <w:rPr>
          <w:rFonts w:hint="eastAsia"/>
          <w:color w:val="auto"/>
          <w:spacing w:val="-10"/>
          <w:sz w:val="24"/>
          <w:szCs w:val="24"/>
          <w:highlight w:val="none"/>
          <w:lang w:val="en-US" w:eastAsia="zh-CN"/>
        </w:rPr>
      </w:pPr>
    </w:p>
    <w:p w14:paraId="4B89FD4F">
      <w:pPr>
        <w:pStyle w:val="16"/>
        <w:spacing w:line="360" w:lineRule="auto"/>
        <w:rPr>
          <w:rFonts w:hint="eastAsia"/>
          <w:color w:val="auto"/>
          <w:spacing w:val="-10"/>
          <w:sz w:val="24"/>
          <w:szCs w:val="24"/>
          <w:highlight w:val="none"/>
          <w:lang w:val="en-US" w:eastAsia="zh-CN"/>
        </w:rPr>
      </w:pPr>
    </w:p>
    <w:p w14:paraId="5777E68B">
      <w:pPr>
        <w:spacing w:line="360" w:lineRule="auto"/>
        <w:rPr>
          <w:rFonts w:hint="eastAsia"/>
          <w:color w:val="auto"/>
          <w:spacing w:val="-10"/>
          <w:sz w:val="24"/>
          <w:szCs w:val="24"/>
          <w:highlight w:val="none"/>
          <w:lang w:val="en-US" w:eastAsia="zh-CN"/>
        </w:rPr>
      </w:pPr>
    </w:p>
    <w:p w14:paraId="1611B7DA">
      <w:pPr>
        <w:pStyle w:val="16"/>
        <w:spacing w:line="360" w:lineRule="auto"/>
        <w:rPr>
          <w:rFonts w:hint="eastAsia"/>
          <w:color w:val="auto"/>
          <w:spacing w:val="-10"/>
          <w:sz w:val="24"/>
          <w:szCs w:val="24"/>
          <w:highlight w:val="none"/>
          <w:lang w:val="en-US" w:eastAsia="zh-CN"/>
        </w:rPr>
      </w:pPr>
    </w:p>
    <w:p w14:paraId="4BE64D8A">
      <w:pPr>
        <w:spacing w:line="360" w:lineRule="auto"/>
        <w:rPr>
          <w:rFonts w:hint="eastAsia"/>
          <w:color w:val="auto"/>
          <w:spacing w:val="-10"/>
          <w:sz w:val="24"/>
          <w:szCs w:val="24"/>
          <w:highlight w:val="none"/>
          <w:lang w:val="en-US" w:eastAsia="zh-CN"/>
        </w:rPr>
      </w:pPr>
    </w:p>
    <w:p w14:paraId="79A81BA9">
      <w:pPr>
        <w:keepNext w:val="0"/>
        <w:keepLines w:val="0"/>
        <w:widowControl/>
        <w:suppressLineNumbers w:val="0"/>
        <w:spacing w:line="360" w:lineRule="auto"/>
        <w:jc w:val="center"/>
        <w:rPr>
          <w:sz w:val="24"/>
          <w:szCs w:val="24"/>
          <w:highlight w:val="none"/>
        </w:rPr>
      </w:pPr>
      <w:r>
        <w:rPr>
          <w:rFonts w:hint="eastAsia" w:ascii="宋体" w:hAnsi="宋体" w:eastAsia="宋体" w:cs="宋体"/>
          <w:b/>
          <w:bCs/>
          <w:color w:val="000000"/>
          <w:kern w:val="0"/>
          <w:sz w:val="24"/>
          <w:szCs w:val="24"/>
          <w:highlight w:val="none"/>
          <w:lang w:val="en-US" w:eastAsia="zh-CN" w:bidi="ar"/>
        </w:rPr>
        <w:t>图</w:t>
      </w:r>
      <w:r>
        <w:rPr>
          <w:rFonts w:hint="default" w:ascii="Times New Roman" w:hAnsi="Times New Roman" w:eastAsia="宋体" w:cs="Times New Roman"/>
          <w:b/>
          <w:bCs/>
          <w:color w:val="000000"/>
          <w:kern w:val="0"/>
          <w:sz w:val="24"/>
          <w:szCs w:val="24"/>
          <w:highlight w:val="none"/>
          <w:lang w:val="en-US" w:eastAsia="zh-CN" w:bidi="ar"/>
        </w:rPr>
        <w:t>2</w:t>
      </w:r>
      <w:r>
        <w:rPr>
          <w:rFonts w:hint="eastAsia" w:ascii="宋体" w:hAnsi="宋体" w:eastAsia="宋体" w:cs="宋体"/>
          <w:b/>
          <w:bCs/>
          <w:color w:val="000000"/>
          <w:kern w:val="0"/>
          <w:sz w:val="24"/>
          <w:szCs w:val="24"/>
          <w:highlight w:val="none"/>
          <w:lang w:val="en-US" w:eastAsia="zh-CN" w:bidi="ar"/>
        </w:rPr>
        <w:t>电位系数计算图</w:t>
      </w:r>
    </w:p>
    <w:p w14:paraId="555D4767">
      <w:pPr>
        <w:keepNext w:val="0"/>
        <w:keepLines w:val="0"/>
        <w:widowControl/>
        <w:suppressLineNumbers w:val="0"/>
        <w:spacing w:line="360" w:lineRule="auto"/>
        <w:jc w:val="left"/>
        <w:rPr>
          <w:sz w:val="24"/>
          <w:szCs w:val="24"/>
          <w:highlight w:val="none"/>
        </w:rPr>
      </w:pPr>
      <w:r>
        <w:rPr>
          <w:rFonts w:hint="eastAsia" w:ascii="宋体" w:hAnsi="宋体" w:eastAsia="宋体" w:cs="宋体"/>
          <w:color w:val="000000"/>
          <w:kern w:val="0"/>
          <w:sz w:val="24"/>
          <w:szCs w:val="24"/>
          <w:highlight w:val="none"/>
          <w:lang w:val="en-US" w:eastAsia="zh-CN" w:bidi="ar"/>
        </w:rPr>
        <w:t>对于三相交流线路，由于电压为时间向量，计算各相导线的电压时用复数表示为：</w:t>
      </w:r>
    </w:p>
    <w:p w14:paraId="0BE44419">
      <w:pPr>
        <w:pStyle w:val="16"/>
        <w:spacing w:line="360" w:lineRule="auto"/>
        <w:rPr>
          <w:rFonts w:hint="eastAsia"/>
          <w:sz w:val="24"/>
          <w:szCs w:val="24"/>
          <w:highlight w:val="none"/>
          <w:lang w:val="en-US" w:eastAsia="zh-CN"/>
        </w:rPr>
      </w:pPr>
      <w:r>
        <w:rPr>
          <w:rFonts w:hint="eastAsia"/>
          <w:color w:val="auto"/>
          <w:spacing w:val="-10"/>
          <w:sz w:val="24"/>
          <w:szCs w:val="24"/>
          <w:highlight w:val="none"/>
          <w:lang w:val="en-US" w:eastAsia="zh-CN"/>
        </w:rPr>
        <w:drawing>
          <wp:anchor distT="0" distB="0" distL="114300" distR="114300" simplePos="0" relativeHeight="251678720" behindDoc="0" locked="0" layoutInCell="1" allowOverlap="1">
            <wp:simplePos x="0" y="0"/>
            <wp:positionH relativeFrom="column">
              <wp:posOffset>651510</wp:posOffset>
            </wp:positionH>
            <wp:positionV relativeFrom="paragraph">
              <wp:posOffset>98425</wp:posOffset>
            </wp:positionV>
            <wp:extent cx="2232660" cy="342900"/>
            <wp:effectExtent l="0" t="0" r="15240" b="0"/>
            <wp:wrapNone/>
            <wp:docPr id="23" name="图片 23" descr="168627697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86276979554"/>
                    <pic:cNvPicPr>
                      <a:picLocks noChangeAspect="1"/>
                    </pic:cNvPicPr>
                  </pic:nvPicPr>
                  <pic:blipFill>
                    <a:blip r:embed="rId29"/>
                    <a:stretch>
                      <a:fillRect/>
                    </a:stretch>
                  </pic:blipFill>
                  <pic:spPr>
                    <a:xfrm>
                      <a:off x="0" y="0"/>
                      <a:ext cx="2232660" cy="342900"/>
                    </a:xfrm>
                    <a:prstGeom prst="rect">
                      <a:avLst/>
                    </a:prstGeom>
                  </pic:spPr>
                </pic:pic>
              </a:graphicData>
            </a:graphic>
          </wp:anchor>
        </w:drawing>
      </w:r>
    </w:p>
    <w:p w14:paraId="16540844">
      <w:pPr>
        <w:spacing w:line="360" w:lineRule="auto"/>
        <w:rPr>
          <w:rFonts w:hint="eastAsia"/>
          <w:color w:val="auto"/>
          <w:spacing w:val="-10"/>
          <w:sz w:val="24"/>
          <w:szCs w:val="24"/>
          <w:highlight w:val="none"/>
          <w:lang w:val="en-US" w:eastAsia="zh-CN"/>
        </w:rPr>
      </w:pPr>
    </w:p>
    <w:p w14:paraId="3A54E985">
      <w:pPr>
        <w:keepNext w:val="0"/>
        <w:keepLines w:val="0"/>
        <w:widowControl/>
        <w:suppressLineNumbers w:val="0"/>
        <w:spacing w:line="360" w:lineRule="auto"/>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相应地电荷也是复数量：</w:t>
      </w:r>
    </w:p>
    <w:p w14:paraId="33B21B06">
      <w:pPr>
        <w:keepNext w:val="0"/>
        <w:keepLines w:val="0"/>
        <w:widowControl/>
        <w:suppressLineNumbers w:val="0"/>
        <w:spacing w:line="360" w:lineRule="auto"/>
        <w:jc w:val="left"/>
        <w:rPr>
          <w:rFonts w:hint="eastAsia"/>
          <w:color w:val="auto"/>
          <w:spacing w:val="-10"/>
          <w:sz w:val="24"/>
          <w:szCs w:val="24"/>
          <w:highlight w:val="none"/>
          <w:lang w:val="en-US" w:eastAsia="zh-CN"/>
        </w:rPr>
      </w:pPr>
      <w:r>
        <w:rPr>
          <w:rFonts w:hint="eastAsia"/>
          <w:color w:val="auto"/>
          <w:spacing w:val="-10"/>
          <w:sz w:val="24"/>
          <w:szCs w:val="24"/>
          <w:highlight w:val="none"/>
          <w:lang w:val="en-US" w:eastAsia="zh-CN"/>
        </w:rPr>
        <w:drawing>
          <wp:anchor distT="0" distB="0" distL="114300" distR="114300" simplePos="0" relativeHeight="251679744" behindDoc="0" locked="0" layoutInCell="1" allowOverlap="1">
            <wp:simplePos x="0" y="0"/>
            <wp:positionH relativeFrom="column">
              <wp:posOffset>519430</wp:posOffset>
            </wp:positionH>
            <wp:positionV relativeFrom="paragraph">
              <wp:posOffset>153035</wp:posOffset>
            </wp:positionV>
            <wp:extent cx="2186940" cy="342900"/>
            <wp:effectExtent l="0" t="0" r="3810" b="0"/>
            <wp:wrapNone/>
            <wp:docPr id="24" name="图片 24" descr="168627700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86277007185"/>
                    <pic:cNvPicPr>
                      <a:picLocks noChangeAspect="1"/>
                    </pic:cNvPicPr>
                  </pic:nvPicPr>
                  <pic:blipFill>
                    <a:blip r:embed="rId30"/>
                    <a:stretch>
                      <a:fillRect/>
                    </a:stretch>
                  </pic:blipFill>
                  <pic:spPr>
                    <a:xfrm>
                      <a:off x="0" y="0"/>
                      <a:ext cx="2186940" cy="342900"/>
                    </a:xfrm>
                    <a:prstGeom prst="rect">
                      <a:avLst/>
                    </a:prstGeom>
                  </pic:spPr>
                </pic:pic>
              </a:graphicData>
            </a:graphic>
          </wp:anchor>
        </w:drawing>
      </w:r>
    </w:p>
    <w:p w14:paraId="00FC70C4">
      <w:pPr>
        <w:spacing w:line="360" w:lineRule="auto"/>
        <w:rPr>
          <w:rFonts w:hint="eastAsia"/>
          <w:color w:val="auto"/>
          <w:spacing w:val="-10"/>
          <w:sz w:val="24"/>
          <w:szCs w:val="24"/>
          <w:highlight w:val="none"/>
          <w:lang w:val="en-US" w:eastAsia="zh-CN"/>
        </w:rPr>
      </w:pPr>
    </w:p>
    <w:p w14:paraId="29F2ABB4">
      <w:pPr>
        <w:keepNext w:val="0"/>
        <w:keepLines w:val="0"/>
        <w:widowControl/>
        <w:suppressLineNumbers w:val="0"/>
        <w:spacing w:line="360" w:lineRule="auto"/>
        <w:jc w:val="left"/>
        <w:rPr>
          <w:sz w:val="24"/>
          <w:szCs w:val="24"/>
          <w:highlight w:val="none"/>
        </w:rPr>
      </w:pPr>
      <w:r>
        <w:rPr>
          <w:rFonts w:hint="eastAsia" w:ascii="宋体" w:hAnsi="宋体" w:eastAsia="宋体" w:cs="宋体"/>
          <w:color w:val="000000"/>
          <w:kern w:val="0"/>
          <w:sz w:val="24"/>
          <w:szCs w:val="24"/>
          <w:highlight w:val="none"/>
          <w:lang w:val="en-US" w:eastAsia="zh-CN" w:bidi="ar"/>
        </w:rPr>
        <w:t>式</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矩阵关系即分别表示了复数量的实数和虚数两部分：</w:t>
      </w:r>
    </w:p>
    <w:p w14:paraId="768131B5">
      <w:pPr>
        <w:pStyle w:val="16"/>
        <w:spacing w:line="360" w:lineRule="auto"/>
        <w:ind w:left="0" w:leftChars="0" w:firstLine="0" w:firstLineChars="0"/>
        <w:rPr>
          <w:rFonts w:hint="eastAsia"/>
          <w:color w:val="auto"/>
          <w:spacing w:val="-10"/>
          <w:sz w:val="24"/>
          <w:szCs w:val="24"/>
          <w:highlight w:val="none"/>
          <w:lang w:val="en-US" w:eastAsia="zh-CN"/>
        </w:rPr>
      </w:pPr>
      <w:r>
        <w:rPr>
          <w:rFonts w:hint="eastAsia"/>
          <w:color w:val="auto"/>
          <w:spacing w:val="-10"/>
          <w:sz w:val="24"/>
          <w:szCs w:val="24"/>
          <w:highlight w:val="none"/>
          <w:lang w:val="en-US" w:eastAsia="zh-CN"/>
        </w:rPr>
        <w:drawing>
          <wp:anchor distT="0" distB="0" distL="114300" distR="114300" simplePos="0" relativeHeight="251680768" behindDoc="0" locked="0" layoutInCell="1" allowOverlap="1">
            <wp:simplePos x="0" y="0"/>
            <wp:positionH relativeFrom="column">
              <wp:posOffset>525780</wp:posOffset>
            </wp:positionH>
            <wp:positionV relativeFrom="paragraph">
              <wp:posOffset>117475</wp:posOffset>
            </wp:positionV>
            <wp:extent cx="1766570" cy="620395"/>
            <wp:effectExtent l="0" t="0" r="5080" b="8255"/>
            <wp:wrapNone/>
            <wp:docPr id="25" name="图片 25" descr="168627702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86277029617"/>
                    <pic:cNvPicPr>
                      <a:picLocks noChangeAspect="1"/>
                    </pic:cNvPicPr>
                  </pic:nvPicPr>
                  <pic:blipFill>
                    <a:blip r:embed="rId31"/>
                    <a:stretch>
                      <a:fillRect/>
                    </a:stretch>
                  </pic:blipFill>
                  <pic:spPr>
                    <a:xfrm>
                      <a:off x="0" y="0"/>
                      <a:ext cx="1766570" cy="620395"/>
                    </a:xfrm>
                    <a:prstGeom prst="rect">
                      <a:avLst/>
                    </a:prstGeom>
                  </pic:spPr>
                </pic:pic>
              </a:graphicData>
            </a:graphic>
          </wp:anchor>
        </w:drawing>
      </w:r>
    </w:p>
    <w:p w14:paraId="19A88496">
      <w:pPr>
        <w:spacing w:line="360" w:lineRule="auto"/>
        <w:rPr>
          <w:rFonts w:hint="eastAsia"/>
          <w:color w:val="auto"/>
          <w:spacing w:val="-10"/>
          <w:sz w:val="24"/>
          <w:szCs w:val="24"/>
          <w:highlight w:val="none"/>
          <w:lang w:val="en-US" w:eastAsia="zh-CN"/>
        </w:rPr>
      </w:pPr>
    </w:p>
    <w:p w14:paraId="5987D5A6">
      <w:pPr>
        <w:pStyle w:val="16"/>
        <w:spacing w:line="360" w:lineRule="auto"/>
        <w:rPr>
          <w:rFonts w:hint="eastAsia"/>
          <w:color w:val="auto"/>
          <w:spacing w:val="-10"/>
          <w:sz w:val="24"/>
          <w:szCs w:val="24"/>
          <w:highlight w:val="none"/>
          <w:lang w:val="en-US" w:eastAsia="zh-CN"/>
        </w:rPr>
      </w:pPr>
    </w:p>
    <w:p w14:paraId="233E627C">
      <w:pPr>
        <w:keepNext w:val="0"/>
        <w:keepLines w:val="0"/>
        <w:widowControl/>
        <w:suppressLineNumbers w:val="0"/>
        <w:spacing w:line="360" w:lineRule="auto"/>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②等效电荷产生的电场计算</w:t>
      </w:r>
    </w:p>
    <w:p w14:paraId="0DC99099">
      <w:pPr>
        <w:keepNext w:val="0"/>
        <w:keepLines w:val="0"/>
        <w:widowControl/>
        <w:suppressLineNumbers w:val="0"/>
        <w:spacing w:line="360" w:lineRule="auto"/>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空间任意一点（档距中央）的电场强度根据叠加原理求得，在（</w:t>
      </w:r>
      <w:r>
        <w:rPr>
          <w:rFonts w:hint="default" w:ascii="宋体" w:hAnsi="宋体" w:eastAsia="宋体" w:cs="宋体"/>
          <w:color w:val="000000"/>
          <w:kern w:val="0"/>
          <w:sz w:val="24"/>
          <w:szCs w:val="24"/>
          <w:highlight w:val="none"/>
          <w:lang w:val="en-US" w:eastAsia="zh-CN" w:bidi="ar"/>
        </w:rPr>
        <w:t>x,y</w:t>
      </w:r>
      <w:r>
        <w:rPr>
          <w:rFonts w:hint="eastAsia" w:ascii="宋体" w:hAnsi="宋体" w:eastAsia="宋体" w:cs="宋体"/>
          <w:color w:val="000000"/>
          <w:kern w:val="0"/>
          <w:sz w:val="24"/>
          <w:szCs w:val="24"/>
          <w:highlight w:val="none"/>
          <w:lang w:val="en-US" w:eastAsia="zh-CN" w:bidi="ar"/>
        </w:rPr>
        <w:t>）点的电场强度</w:t>
      </w:r>
      <w:r>
        <w:rPr>
          <w:rFonts w:hint="default" w:ascii="宋体" w:hAnsi="宋体" w:eastAsia="宋体" w:cs="宋体"/>
          <w:color w:val="000000"/>
          <w:kern w:val="0"/>
          <w:sz w:val="24"/>
          <w:szCs w:val="24"/>
          <w:highlight w:val="none"/>
          <w:lang w:val="en-US" w:eastAsia="zh-CN" w:bidi="ar"/>
        </w:rPr>
        <w:t>Ex</w:t>
      </w:r>
      <w:r>
        <w:rPr>
          <w:rFonts w:hint="eastAsia" w:ascii="宋体" w:hAnsi="宋体" w:eastAsia="宋体" w:cs="宋体"/>
          <w:color w:val="000000"/>
          <w:kern w:val="0"/>
          <w:sz w:val="24"/>
          <w:szCs w:val="24"/>
          <w:highlight w:val="none"/>
          <w:lang w:val="en-US" w:eastAsia="zh-CN" w:bidi="ar"/>
        </w:rPr>
        <w:t>和</w:t>
      </w:r>
      <w:r>
        <w:rPr>
          <w:rFonts w:hint="default" w:ascii="宋体" w:hAnsi="宋体" w:eastAsia="宋体" w:cs="宋体"/>
          <w:color w:val="000000"/>
          <w:kern w:val="0"/>
          <w:sz w:val="24"/>
          <w:szCs w:val="24"/>
          <w:highlight w:val="none"/>
          <w:lang w:val="en-US" w:eastAsia="zh-CN" w:bidi="ar"/>
        </w:rPr>
        <w:t>Ey</w:t>
      </w:r>
      <w:r>
        <w:rPr>
          <w:rFonts w:hint="eastAsia" w:ascii="宋体" w:hAnsi="宋体" w:eastAsia="宋体" w:cs="宋体"/>
          <w:color w:val="000000"/>
          <w:kern w:val="0"/>
          <w:sz w:val="24"/>
          <w:szCs w:val="24"/>
          <w:highlight w:val="none"/>
          <w:lang w:val="en-US" w:eastAsia="zh-CN" w:bidi="ar"/>
        </w:rPr>
        <w:t>分别为：</w:t>
      </w:r>
    </w:p>
    <w:p w14:paraId="27F85925">
      <w:pPr>
        <w:keepNext w:val="0"/>
        <w:keepLines w:val="0"/>
        <w:widowControl/>
        <w:suppressLineNumbers w:val="0"/>
        <w:spacing w:line="360" w:lineRule="auto"/>
        <w:jc w:val="left"/>
        <w:rPr>
          <w:rFonts w:hint="eastAsia" w:ascii="宋体" w:hAnsi="宋体" w:eastAsia="宋体" w:cs="宋体"/>
          <w:color w:val="000000"/>
          <w:kern w:val="0"/>
          <w:sz w:val="24"/>
          <w:szCs w:val="24"/>
          <w:highlight w:val="none"/>
          <w:lang w:val="en-US" w:eastAsia="zh-CN" w:bidi="ar"/>
        </w:rPr>
      </w:pPr>
    </w:p>
    <w:p w14:paraId="59DED414">
      <w:pPr>
        <w:pStyle w:val="16"/>
        <w:spacing w:line="360" w:lineRule="auto"/>
        <w:rPr>
          <w:rFonts w:hint="eastAsia"/>
          <w:color w:val="auto"/>
          <w:spacing w:val="-10"/>
          <w:sz w:val="24"/>
          <w:szCs w:val="24"/>
          <w:highlight w:val="none"/>
          <w:lang w:val="en-US" w:eastAsia="zh-CN"/>
        </w:rPr>
      </w:pPr>
      <w:r>
        <w:rPr>
          <w:rFonts w:hint="eastAsia"/>
          <w:color w:val="auto"/>
          <w:spacing w:val="-10"/>
          <w:sz w:val="24"/>
          <w:szCs w:val="24"/>
          <w:highlight w:val="none"/>
          <w:lang w:val="en-US" w:eastAsia="zh-CN"/>
        </w:rPr>
        <w:drawing>
          <wp:anchor distT="0" distB="0" distL="114300" distR="114300" simplePos="0" relativeHeight="251681792" behindDoc="0" locked="0" layoutInCell="1" allowOverlap="1">
            <wp:simplePos x="0" y="0"/>
            <wp:positionH relativeFrom="column">
              <wp:posOffset>506095</wp:posOffset>
            </wp:positionH>
            <wp:positionV relativeFrom="paragraph">
              <wp:posOffset>84455</wp:posOffset>
            </wp:positionV>
            <wp:extent cx="2767330" cy="937895"/>
            <wp:effectExtent l="0" t="0" r="13970" b="14605"/>
            <wp:wrapNone/>
            <wp:docPr id="26" name="图片 26" descr="168627706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86277069773"/>
                    <pic:cNvPicPr>
                      <a:picLocks noChangeAspect="1"/>
                    </pic:cNvPicPr>
                  </pic:nvPicPr>
                  <pic:blipFill>
                    <a:blip r:embed="rId32"/>
                    <a:stretch>
                      <a:fillRect/>
                    </a:stretch>
                  </pic:blipFill>
                  <pic:spPr>
                    <a:xfrm>
                      <a:off x="0" y="0"/>
                      <a:ext cx="2767330" cy="937895"/>
                    </a:xfrm>
                    <a:prstGeom prst="rect">
                      <a:avLst/>
                    </a:prstGeom>
                  </pic:spPr>
                </pic:pic>
              </a:graphicData>
            </a:graphic>
          </wp:anchor>
        </w:drawing>
      </w:r>
    </w:p>
    <w:p w14:paraId="72588D56">
      <w:pPr>
        <w:spacing w:line="360" w:lineRule="auto"/>
        <w:rPr>
          <w:rFonts w:hint="eastAsia"/>
          <w:color w:val="auto"/>
          <w:spacing w:val="-10"/>
          <w:sz w:val="24"/>
          <w:szCs w:val="24"/>
          <w:highlight w:val="none"/>
          <w:lang w:val="en-US" w:eastAsia="zh-CN"/>
        </w:rPr>
      </w:pPr>
    </w:p>
    <w:p w14:paraId="6353C4D6">
      <w:pPr>
        <w:pStyle w:val="16"/>
        <w:spacing w:line="360" w:lineRule="auto"/>
        <w:rPr>
          <w:rFonts w:hint="eastAsia"/>
          <w:color w:val="auto"/>
          <w:spacing w:val="-10"/>
          <w:sz w:val="24"/>
          <w:szCs w:val="24"/>
          <w:highlight w:val="none"/>
          <w:lang w:val="en-US" w:eastAsia="zh-CN"/>
        </w:rPr>
      </w:pPr>
    </w:p>
    <w:p w14:paraId="244298D3">
      <w:pPr>
        <w:pStyle w:val="16"/>
        <w:spacing w:line="360" w:lineRule="auto"/>
        <w:ind w:left="0" w:leftChars="0" w:firstLine="0" w:firstLineChars="0"/>
        <w:rPr>
          <w:rFonts w:hint="eastAsia"/>
          <w:color w:val="auto"/>
          <w:spacing w:val="-10"/>
          <w:sz w:val="24"/>
          <w:szCs w:val="24"/>
          <w:highlight w:val="none"/>
          <w:lang w:val="en-US" w:eastAsia="zh-CN"/>
        </w:rPr>
      </w:pPr>
    </w:p>
    <w:p w14:paraId="23B7E8A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式中：</w:t>
      </w:r>
      <w:r>
        <w:rPr>
          <w:rFonts w:hint="default" w:ascii="Times New Roman" w:hAnsi="Times New Roman" w:eastAsia="宋体" w:cs="Times New Roman"/>
          <w:color w:val="auto"/>
          <w:kern w:val="0"/>
          <w:sz w:val="24"/>
          <w:szCs w:val="24"/>
          <w:highlight w:val="none"/>
          <w:lang w:val="en-US" w:eastAsia="zh-CN" w:bidi="ar-SA"/>
        </w:rPr>
        <w:t>xi</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yj---</w:t>
      </w:r>
      <w:r>
        <w:rPr>
          <w:rFonts w:hint="eastAsia" w:ascii="Times New Roman" w:hAnsi="Times New Roman" w:eastAsia="宋体" w:cs="Times New Roman"/>
          <w:color w:val="auto"/>
          <w:kern w:val="0"/>
          <w:sz w:val="24"/>
          <w:szCs w:val="24"/>
          <w:highlight w:val="none"/>
          <w:lang w:val="en-US" w:eastAsia="zh-CN" w:bidi="ar-SA"/>
        </w:rPr>
        <w:t>导线</w:t>
      </w:r>
      <w:r>
        <w:rPr>
          <w:rFonts w:hint="default" w:ascii="Times New Roman" w:hAnsi="Times New Roman" w:eastAsia="宋体" w:cs="Times New Roman"/>
          <w:color w:val="auto"/>
          <w:kern w:val="0"/>
          <w:sz w:val="24"/>
          <w:szCs w:val="24"/>
          <w:highlight w:val="none"/>
          <w:lang w:val="en-US" w:eastAsia="zh-CN" w:bidi="ar-SA"/>
        </w:rPr>
        <w:t>i</w:t>
      </w:r>
      <w:r>
        <w:rPr>
          <w:rFonts w:hint="eastAsia" w:ascii="Times New Roman" w:hAnsi="Times New Roman" w:eastAsia="宋体" w:cs="Times New Roman"/>
          <w:color w:val="auto"/>
          <w:kern w:val="0"/>
          <w:sz w:val="24"/>
          <w:szCs w:val="24"/>
          <w:highlight w:val="none"/>
          <w:lang w:val="en-US" w:eastAsia="zh-CN" w:bidi="ar-SA"/>
        </w:rPr>
        <w:t>的坐标（</w:t>
      </w:r>
      <w:r>
        <w:rPr>
          <w:rFonts w:hint="default" w:ascii="Times New Roman" w:hAnsi="Times New Roman" w:eastAsia="宋体" w:cs="Times New Roman"/>
          <w:color w:val="auto"/>
          <w:kern w:val="0"/>
          <w:sz w:val="24"/>
          <w:szCs w:val="24"/>
          <w:highlight w:val="none"/>
          <w:lang w:val="en-US" w:eastAsia="zh-CN" w:bidi="ar-SA"/>
        </w:rPr>
        <w:t>i=1,2,......m</w:t>
      </w:r>
      <w:r>
        <w:rPr>
          <w:rFonts w:hint="eastAsia" w:ascii="Times New Roman" w:hAnsi="Times New Roman" w:eastAsia="宋体" w:cs="Times New Roman"/>
          <w:color w:val="auto"/>
          <w:kern w:val="0"/>
          <w:sz w:val="24"/>
          <w:szCs w:val="24"/>
          <w:highlight w:val="none"/>
          <w:lang w:val="en-US" w:eastAsia="zh-CN" w:bidi="ar-SA"/>
        </w:rPr>
        <w:t>）；</w:t>
      </w:r>
    </w:p>
    <w:p w14:paraId="582D777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m---</w:t>
      </w:r>
      <w:r>
        <w:rPr>
          <w:rFonts w:hint="eastAsia" w:ascii="Times New Roman" w:hAnsi="Times New Roman" w:eastAsia="宋体" w:cs="Times New Roman"/>
          <w:color w:val="auto"/>
          <w:kern w:val="0"/>
          <w:sz w:val="24"/>
          <w:szCs w:val="24"/>
          <w:highlight w:val="none"/>
          <w:lang w:val="en-US" w:eastAsia="zh-CN" w:bidi="ar-SA"/>
        </w:rPr>
        <w:t>导线数目；</w:t>
      </w:r>
    </w:p>
    <w:p w14:paraId="53F17CC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Li</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L</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i---</w:t>
      </w:r>
      <w:r>
        <w:rPr>
          <w:rFonts w:hint="eastAsia" w:ascii="Times New Roman" w:hAnsi="Times New Roman" w:eastAsia="宋体" w:cs="Times New Roman"/>
          <w:color w:val="auto"/>
          <w:kern w:val="0"/>
          <w:sz w:val="24"/>
          <w:szCs w:val="24"/>
          <w:highlight w:val="none"/>
          <w:lang w:val="en-US" w:eastAsia="zh-CN" w:bidi="ar-SA"/>
        </w:rPr>
        <w:t>分别为导线</w:t>
      </w:r>
      <w:r>
        <w:rPr>
          <w:rFonts w:hint="default" w:ascii="Times New Roman" w:hAnsi="Times New Roman" w:eastAsia="宋体" w:cs="Times New Roman"/>
          <w:color w:val="auto"/>
          <w:kern w:val="0"/>
          <w:sz w:val="24"/>
          <w:szCs w:val="24"/>
          <w:highlight w:val="none"/>
          <w:lang w:val="en-US" w:eastAsia="zh-CN" w:bidi="ar-SA"/>
        </w:rPr>
        <w:t>i</w:t>
      </w:r>
      <w:r>
        <w:rPr>
          <w:rFonts w:hint="eastAsia" w:ascii="Times New Roman" w:hAnsi="Times New Roman" w:eastAsia="宋体" w:cs="Times New Roman"/>
          <w:color w:val="auto"/>
          <w:kern w:val="0"/>
          <w:sz w:val="24"/>
          <w:szCs w:val="24"/>
          <w:highlight w:val="none"/>
          <w:lang w:val="en-US" w:eastAsia="zh-CN" w:bidi="ar-SA"/>
        </w:rPr>
        <w:t>及其镜像至计算点的距离。</w:t>
      </w:r>
    </w:p>
    <w:p w14:paraId="6FAC1E7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对于本项目</w:t>
      </w:r>
      <w:r>
        <w:rPr>
          <w:rFonts w:hint="default" w:ascii="Times New Roman" w:hAnsi="Times New Roman" w:eastAsia="宋体" w:cs="Times New Roman"/>
          <w:color w:val="auto"/>
          <w:kern w:val="0"/>
          <w:sz w:val="24"/>
          <w:szCs w:val="24"/>
          <w:highlight w:val="none"/>
          <w:lang w:val="en-US" w:eastAsia="zh-CN" w:bidi="ar-SA"/>
        </w:rPr>
        <w:t>220kV</w:t>
      </w:r>
      <w:r>
        <w:rPr>
          <w:rFonts w:hint="eastAsia" w:ascii="Times New Roman" w:hAnsi="Times New Roman" w:eastAsia="宋体" w:cs="Times New Roman"/>
          <w:color w:val="auto"/>
          <w:kern w:val="0"/>
          <w:sz w:val="24"/>
          <w:szCs w:val="24"/>
          <w:highlight w:val="none"/>
          <w:lang w:val="en-US" w:eastAsia="zh-CN" w:bidi="ar-SA"/>
        </w:rPr>
        <w:t>三相交流线路，根据式（</w:t>
      </w:r>
      <w:r>
        <w:rPr>
          <w:rFonts w:hint="default" w:ascii="Times New Roman" w:hAnsi="Times New Roman" w:eastAsia="宋体" w:cs="Times New Roman"/>
          <w:color w:val="auto"/>
          <w:kern w:val="0"/>
          <w:sz w:val="24"/>
          <w:szCs w:val="24"/>
          <w:highlight w:val="none"/>
          <w:lang w:val="en-US" w:eastAsia="zh-CN" w:bidi="ar-SA"/>
        </w:rPr>
        <w:t>8</w:t>
      </w:r>
      <w:r>
        <w:rPr>
          <w:rFonts w:hint="eastAsia" w:ascii="Times New Roman" w:hAnsi="Times New Roman" w:eastAsia="宋体" w:cs="Times New Roman"/>
          <w:color w:val="auto"/>
          <w:kern w:val="0"/>
          <w:sz w:val="24"/>
          <w:szCs w:val="24"/>
          <w:highlight w:val="none"/>
          <w:lang w:val="en-US" w:eastAsia="zh-CN" w:bidi="ar-SA"/>
        </w:rPr>
        <w:t>）和（</w:t>
      </w:r>
      <w:r>
        <w:rPr>
          <w:rFonts w:hint="default" w:ascii="Times New Roman" w:hAnsi="Times New Roman" w:eastAsia="宋体" w:cs="Times New Roman"/>
          <w:color w:val="auto"/>
          <w:kern w:val="0"/>
          <w:sz w:val="24"/>
          <w:szCs w:val="24"/>
          <w:highlight w:val="none"/>
          <w:lang w:val="en-US" w:eastAsia="zh-CN" w:bidi="ar-SA"/>
        </w:rPr>
        <w:t>9</w:t>
      </w:r>
      <w:r>
        <w:rPr>
          <w:rFonts w:hint="eastAsia" w:ascii="Times New Roman" w:hAnsi="Times New Roman" w:eastAsia="宋体" w:cs="Times New Roman"/>
          <w:color w:val="auto"/>
          <w:kern w:val="0"/>
          <w:sz w:val="24"/>
          <w:szCs w:val="24"/>
          <w:highlight w:val="none"/>
          <w:lang w:val="en-US" w:eastAsia="zh-CN" w:bidi="ar-SA"/>
        </w:rPr>
        <w:t>）求得的电荷计算空间任一点电场强度的水平和垂直分量为：</w:t>
      </w:r>
    </w:p>
    <w:p w14:paraId="7609FAE6">
      <w:pPr>
        <w:pStyle w:val="16"/>
        <w:spacing w:line="360" w:lineRule="auto"/>
        <w:rPr>
          <w:rFonts w:hint="eastAsia"/>
          <w:color w:val="auto"/>
          <w:spacing w:val="-10"/>
          <w:sz w:val="24"/>
          <w:szCs w:val="24"/>
          <w:highlight w:val="none"/>
          <w:lang w:val="en-US" w:eastAsia="zh-CN"/>
        </w:rPr>
      </w:pPr>
      <w:r>
        <w:rPr>
          <w:rFonts w:hint="eastAsia"/>
          <w:color w:val="auto"/>
          <w:spacing w:val="-10"/>
          <w:sz w:val="24"/>
          <w:szCs w:val="24"/>
          <w:highlight w:val="none"/>
          <w:lang w:val="en-US" w:eastAsia="zh-CN"/>
        </w:rPr>
        <w:drawing>
          <wp:anchor distT="0" distB="0" distL="114300" distR="114300" simplePos="0" relativeHeight="251682816" behindDoc="0" locked="0" layoutInCell="1" allowOverlap="1">
            <wp:simplePos x="0" y="0"/>
            <wp:positionH relativeFrom="column">
              <wp:posOffset>629920</wp:posOffset>
            </wp:positionH>
            <wp:positionV relativeFrom="paragraph">
              <wp:posOffset>25400</wp:posOffset>
            </wp:positionV>
            <wp:extent cx="2736850" cy="1707515"/>
            <wp:effectExtent l="0" t="0" r="6350" b="6985"/>
            <wp:wrapNone/>
            <wp:docPr id="27" name="图片 27" descr="168627712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86277123325"/>
                    <pic:cNvPicPr>
                      <a:picLocks noChangeAspect="1"/>
                    </pic:cNvPicPr>
                  </pic:nvPicPr>
                  <pic:blipFill>
                    <a:blip r:embed="rId33"/>
                    <a:stretch>
                      <a:fillRect/>
                    </a:stretch>
                  </pic:blipFill>
                  <pic:spPr>
                    <a:xfrm>
                      <a:off x="0" y="0"/>
                      <a:ext cx="2736850" cy="1707515"/>
                    </a:xfrm>
                    <a:prstGeom prst="rect">
                      <a:avLst/>
                    </a:prstGeom>
                  </pic:spPr>
                </pic:pic>
              </a:graphicData>
            </a:graphic>
          </wp:anchor>
        </w:drawing>
      </w:r>
    </w:p>
    <w:p w14:paraId="52107F2C">
      <w:pPr>
        <w:spacing w:line="360" w:lineRule="auto"/>
        <w:rPr>
          <w:rFonts w:hint="eastAsia"/>
          <w:color w:val="auto"/>
          <w:spacing w:val="-10"/>
          <w:sz w:val="24"/>
          <w:szCs w:val="24"/>
          <w:highlight w:val="none"/>
          <w:lang w:val="en-US" w:eastAsia="zh-CN"/>
        </w:rPr>
      </w:pPr>
    </w:p>
    <w:p w14:paraId="387B0621">
      <w:pPr>
        <w:pStyle w:val="16"/>
        <w:spacing w:line="360" w:lineRule="auto"/>
        <w:rPr>
          <w:rFonts w:hint="eastAsia"/>
          <w:color w:val="auto"/>
          <w:spacing w:val="-10"/>
          <w:sz w:val="24"/>
          <w:szCs w:val="24"/>
          <w:highlight w:val="none"/>
          <w:lang w:val="en-US" w:eastAsia="zh-CN"/>
        </w:rPr>
      </w:pPr>
    </w:p>
    <w:p w14:paraId="3A993B96">
      <w:pPr>
        <w:spacing w:line="360" w:lineRule="auto"/>
        <w:rPr>
          <w:rFonts w:hint="eastAsia"/>
          <w:color w:val="auto"/>
          <w:spacing w:val="-10"/>
          <w:sz w:val="24"/>
          <w:szCs w:val="24"/>
          <w:highlight w:val="none"/>
          <w:lang w:val="en-US" w:eastAsia="zh-CN"/>
        </w:rPr>
      </w:pPr>
    </w:p>
    <w:p w14:paraId="524F0EF5">
      <w:pPr>
        <w:pStyle w:val="16"/>
        <w:spacing w:line="360" w:lineRule="auto"/>
        <w:rPr>
          <w:rFonts w:hint="eastAsia"/>
          <w:sz w:val="24"/>
          <w:szCs w:val="24"/>
          <w:highlight w:val="none"/>
          <w:lang w:val="en-US" w:eastAsia="zh-CN"/>
        </w:rPr>
      </w:pPr>
    </w:p>
    <w:p w14:paraId="7D7D515E">
      <w:pPr>
        <w:pStyle w:val="16"/>
        <w:spacing w:line="360" w:lineRule="auto"/>
        <w:rPr>
          <w:rFonts w:hint="eastAsia"/>
          <w:color w:val="auto"/>
          <w:spacing w:val="-10"/>
          <w:sz w:val="24"/>
          <w:szCs w:val="24"/>
          <w:highlight w:val="none"/>
          <w:lang w:val="en-US" w:eastAsia="zh-CN"/>
        </w:rPr>
      </w:pPr>
    </w:p>
    <w:p w14:paraId="30B2F8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式中：</w:t>
      </w:r>
      <w:r>
        <w:rPr>
          <w:rFonts w:hint="default" w:ascii="Times New Roman" w:hAnsi="Times New Roman" w:eastAsia="宋体" w:cs="Times New Roman"/>
          <w:color w:val="auto"/>
          <w:kern w:val="0"/>
          <w:sz w:val="24"/>
          <w:szCs w:val="24"/>
          <w:highlight w:val="none"/>
          <w:lang w:val="en-US" w:eastAsia="zh-CN" w:bidi="ar-SA"/>
        </w:rPr>
        <w:t>EXR---</w:t>
      </w:r>
      <w:r>
        <w:rPr>
          <w:rFonts w:hint="eastAsia" w:ascii="Times New Roman" w:hAnsi="Times New Roman" w:eastAsia="宋体" w:cs="Times New Roman"/>
          <w:color w:val="auto"/>
          <w:kern w:val="0"/>
          <w:sz w:val="24"/>
          <w:szCs w:val="24"/>
          <w:highlight w:val="none"/>
          <w:lang w:val="en-US" w:eastAsia="zh-CN" w:bidi="ar-SA"/>
        </w:rPr>
        <w:t>由各导线的实部电荷在该点产生的场强的水平分量；</w:t>
      </w:r>
    </w:p>
    <w:p w14:paraId="154C13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EXI---</w:t>
      </w:r>
      <w:r>
        <w:rPr>
          <w:rFonts w:hint="eastAsia" w:ascii="Times New Roman" w:hAnsi="Times New Roman" w:eastAsia="宋体" w:cs="Times New Roman"/>
          <w:color w:val="auto"/>
          <w:kern w:val="0"/>
          <w:sz w:val="24"/>
          <w:szCs w:val="24"/>
          <w:highlight w:val="none"/>
          <w:lang w:val="en-US" w:eastAsia="zh-CN" w:bidi="ar-SA"/>
        </w:rPr>
        <w:t>由各导线的虚部电荷在该点产生的场强的水平分量；</w:t>
      </w:r>
    </w:p>
    <w:p w14:paraId="368A91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EYR---</w:t>
      </w:r>
      <w:r>
        <w:rPr>
          <w:rFonts w:hint="eastAsia" w:ascii="Times New Roman" w:hAnsi="Times New Roman" w:eastAsia="宋体" w:cs="Times New Roman"/>
          <w:color w:val="auto"/>
          <w:kern w:val="0"/>
          <w:sz w:val="24"/>
          <w:szCs w:val="24"/>
          <w:highlight w:val="none"/>
          <w:lang w:val="en-US" w:eastAsia="zh-CN" w:bidi="ar-SA"/>
        </w:rPr>
        <w:t>由各导线的实部电荷在该点产生场强的垂直分量；</w:t>
      </w:r>
    </w:p>
    <w:p w14:paraId="1F4AE07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EYI---</w:t>
      </w:r>
      <w:r>
        <w:rPr>
          <w:rFonts w:hint="eastAsia" w:ascii="Times New Roman" w:hAnsi="Times New Roman" w:eastAsia="宋体" w:cs="Times New Roman"/>
          <w:color w:val="auto"/>
          <w:kern w:val="0"/>
          <w:sz w:val="24"/>
          <w:szCs w:val="24"/>
          <w:highlight w:val="none"/>
          <w:lang w:val="en-US" w:eastAsia="zh-CN" w:bidi="ar-SA"/>
        </w:rPr>
        <w:t>由各导线的虚部电荷在该点产生场强的垂直分量。</w:t>
      </w:r>
    </w:p>
    <w:p w14:paraId="2F394D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x,y</w:t>
      </w:r>
      <w:r>
        <w:rPr>
          <w:rFonts w:hint="eastAsia" w:ascii="Times New Roman" w:hAnsi="Times New Roman" w:eastAsia="宋体" w:cs="Times New Roman"/>
          <w:color w:val="auto"/>
          <w:kern w:val="0"/>
          <w:sz w:val="24"/>
          <w:szCs w:val="24"/>
          <w:highlight w:val="none"/>
          <w:lang w:val="en-US" w:eastAsia="zh-CN" w:bidi="ar-SA"/>
        </w:rPr>
        <w:t>）点的合成场强为：</w:t>
      </w:r>
    </w:p>
    <w:p w14:paraId="314E69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drawing>
          <wp:anchor distT="0" distB="0" distL="114300" distR="114300" simplePos="0" relativeHeight="251683840" behindDoc="0" locked="0" layoutInCell="1" allowOverlap="1">
            <wp:simplePos x="0" y="0"/>
            <wp:positionH relativeFrom="column">
              <wp:posOffset>612775</wp:posOffset>
            </wp:positionH>
            <wp:positionV relativeFrom="paragraph">
              <wp:posOffset>74295</wp:posOffset>
            </wp:positionV>
            <wp:extent cx="3514090" cy="1160780"/>
            <wp:effectExtent l="0" t="0" r="10160" b="1270"/>
            <wp:wrapNone/>
            <wp:docPr id="28" name="图片 28" descr="168627716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86277169207"/>
                    <pic:cNvPicPr>
                      <a:picLocks noChangeAspect="1"/>
                    </pic:cNvPicPr>
                  </pic:nvPicPr>
                  <pic:blipFill>
                    <a:blip r:embed="rId34"/>
                    <a:stretch>
                      <a:fillRect/>
                    </a:stretch>
                  </pic:blipFill>
                  <pic:spPr>
                    <a:xfrm>
                      <a:off x="0" y="0"/>
                      <a:ext cx="3514090" cy="1160780"/>
                    </a:xfrm>
                    <a:prstGeom prst="rect">
                      <a:avLst/>
                    </a:prstGeom>
                  </pic:spPr>
                </pic:pic>
              </a:graphicData>
            </a:graphic>
          </wp:anchor>
        </w:drawing>
      </w:r>
    </w:p>
    <w:p w14:paraId="78C036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bidi="ar-SA"/>
        </w:rPr>
      </w:pPr>
    </w:p>
    <w:p w14:paraId="6CFAAA8D">
      <w:pPr>
        <w:pStyle w:val="16"/>
        <w:spacing w:line="360" w:lineRule="auto"/>
        <w:rPr>
          <w:rFonts w:hint="eastAsia"/>
          <w:color w:val="auto"/>
          <w:spacing w:val="-10"/>
          <w:sz w:val="24"/>
          <w:szCs w:val="24"/>
          <w:highlight w:val="none"/>
          <w:lang w:val="en-US" w:eastAsia="zh-CN"/>
        </w:rPr>
      </w:pPr>
    </w:p>
    <w:p w14:paraId="6BF7DD9E">
      <w:pPr>
        <w:spacing w:line="360" w:lineRule="auto"/>
        <w:rPr>
          <w:rFonts w:hint="eastAsia"/>
          <w:color w:val="auto"/>
          <w:spacing w:val="-10"/>
          <w:sz w:val="24"/>
          <w:szCs w:val="24"/>
          <w:highlight w:val="none"/>
          <w:lang w:val="en-US" w:eastAsia="zh-CN"/>
        </w:rPr>
      </w:pPr>
    </w:p>
    <w:p w14:paraId="702089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在地面处（</w:t>
      </w:r>
      <w:r>
        <w:rPr>
          <w:rFonts w:hint="default" w:ascii="Times New Roman" w:hAnsi="Times New Roman" w:eastAsia="宋体" w:cs="Times New Roman"/>
          <w:color w:val="auto"/>
          <w:kern w:val="0"/>
          <w:sz w:val="24"/>
          <w:szCs w:val="24"/>
          <w:highlight w:val="none"/>
          <w:lang w:val="en-US" w:eastAsia="zh-CN" w:bidi="ar-SA"/>
        </w:rPr>
        <w:t>y=0</w:t>
      </w:r>
      <w:r>
        <w:rPr>
          <w:rFonts w:hint="eastAsia" w:ascii="Times New Roman" w:hAnsi="Times New Roman" w:eastAsia="宋体" w:cs="Times New Roman"/>
          <w:color w:val="auto"/>
          <w:kern w:val="0"/>
          <w:sz w:val="24"/>
          <w:szCs w:val="24"/>
          <w:highlight w:val="none"/>
          <w:lang w:val="en-US" w:eastAsia="zh-CN" w:bidi="ar-SA"/>
        </w:rPr>
        <w:t>时）电场强度的水平分量取</w:t>
      </w:r>
      <w:r>
        <w:rPr>
          <w:rFonts w:hint="default" w:ascii="Times New Roman" w:hAnsi="Times New Roman" w:eastAsia="宋体" w:cs="Times New Roman"/>
          <w:color w:val="auto"/>
          <w:kern w:val="0"/>
          <w:sz w:val="24"/>
          <w:szCs w:val="24"/>
          <w:highlight w:val="none"/>
          <w:lang w:val="en-US" w:eastAsia="zh-CN" w:bidi="ar-SA"/>
        </w:rPr>
        <w:t>EX=0</w:t>
      </w:r>
      <w:r>
        <w:rPr>
          <w:rFonts w:hint="eastAsia" w:ascii="Times New Roman" w:hAnsi="Times New Roman" w:eastAsia="宋体" w:cs="Times New Roman"/>
          <w:color w:val="auto"/>
          <w:kern w:val="0"/>
          <w:sz w:val="24"/>
          <w:szCs w:val="24"/>
          <w:highlight w:val="none"/>
          <w:lang w:val="en-US" w:eastAsia="zh-CN" w:bidi="ar-SA"/>
        </w:rPr>
        <w:t>。</w:t>
      </w:r>
    </w:p>
    <w:p w14:paraId="0A7EEDF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color w:val="auto"/>
          <w:spacing w:val="-10"/>
          <w:sz w:val="24"/>
          <w:szCs w:val="24"/>
          <w:highlight w:val="none"/>
          <w:lang w:val="en-US" w:eastAsia="zh-CN"/>
        </w:rPr>
      </w:pPr>
      <w:r>
        <w:rPr>
          <w:rFonts w:hint="eastAsia" w:cs="Times New Roman"/>
          <w:color w:val="auto"/>
          <w:kern w:val="0"/>
          <w:sz w:val="24"/>
          <w:szCs w:val="24"/>
          <w:highlight w:val="none"/>
          <w:lang w:val="en-US" w:eastAsia="zh-CN" w:bidi="ar-SA"/>
        </w:rPr>
        <w:t>本工程</w:t>
      </w:r>
      <w:r>
        <w:rPr>
          <w:rFonts w:hint="eastAsia" w:ascii="Times New Roman" w:hAnsi="Times New Roman" w:eastAsia="宋体" w:cs="Times New Roman"/>
          <w:color w:val="auto"/>
          <w:kern w:val="0"/>
          <w:sz w:val="24"/>
          <w:szCs w:val="24"/>
          <w:highlight w:val="none"/>
          <w:lang w:val="en-US" w:eastAsia="zh-CN" w:bidi="ar-SA"/>
        </w:rPr>
        <w:t>电场强度计算结果见表</w:t>
      </w:r>
      <w:r>
        <w:rPr>
          <w:rFonts w:hint="eastAsia" w:cs="Times New Roman"/>
          <w:color w:val="auto"/>
          <w:kern w:val="0"/>
          <w:sz w:val="24"/>
          <w:szCs w:val="24"/>
          <w:highlight w:val="none"/>
          <w:lang w:val="en-US" w:eastAsia="zh-CN" w:bidi="ar-SA"/>
        </w:rPr>
        <w:t>5-2</w:t>
      </w:r>
      <w:r>
        <w:rPr>
          <w:rFonts w:hint="eastAsia" w:ascii="Times New Roman" w:hAnsi="Times New Roman" w:eastAsia="宋体" w:cs="Times New Roman"/>
          <w:color w:val="auto"/>
          <w:kern w:val="0"/>
          <w:sz w:val="24"/>
          <w:szCs w:val="24"/>
          <w:highlight w:val="none"/>
          <w:lang w:val="en-US" w:eastAsia="zh-CN" w:bidi="ar-SA"/>
        </w:rPr>
        <w:t>，电场强度分布图见图</w:t>
      </w:r>
      <w:r>
        <w:rPr>
          <w:rFonts w:hint="eastAsia" w:cs="Times New Roman"/>
          <w:color w:val="auto"/>
          <w:kern w:val="0"/>
          <w:sz w:val="24"/>
          <w:szCs w:val="24"/>
          <w:highlight w:val="none"/>
          <w:lang w:val="en-US" w:eastAsia="zh-CN" w:bidi="ar-SA"/>
        </w:rPr>
        <w:t>5-2</w:t>
      </w:r>
      <w:r>
        <w:rPr>
          <w:rFonts w:hint="eastAsia" w:ascii="Times New Roman" w:hAnsi="Times New Roman" w:eastAsia="宋体" w:cs="Times New Roman"/>
          <w:color w:val="auto"/>
          <w:kern w:val="0"/>
          <w:sz w:val="24"/>
          <w:szCs w:val="24"/>
          <w:highlight w:val="none"/>
          <w:lang w:val="en-US" w:eastAsia="zh-CN" w:bidi="ar-SA"/>
        </w:rPr>
        <w:t>。</w:t>
      </w:r>
    </w:p>
    <w:p w14:paraId="58A78D8B">
      <w:pPr>
        <w:keepNext w:val="0"/>
        <w:keepLines w:val="0"/>
        <w:widowControl/>
        <w:suppressLineNumbers w:val="0"/>
        <w:spacing w:line="360" w:lineRule="auto"/>
        <w:jc w:val="center"/>
        <w:rPr>
          <w:rFonts w:hint="eastAsia"/>
          <w:color w:val="auto"/>
          <w:spacing w:val="-10"/>
          <w:sz w:val="24"/>
          <w:szCs w:val="24"/>
          <w:highlight w:val="none"/>
          <w:lang w:val="en-US" w:eastAsia="zh-CN"/>
        </w:rPr>
      </w:pPr>
      <w:r>
        <w:rPr>
          <w:rFonts w:hint="eastAsia" w:ascii="宋体" w:hAnsi="宋体" w:eastAsia="宋体" w:cs="宋体"/>
          <w:b/>
          <w:bCs/>
          <w:color w:val="000000"/>
          <w:kern w:val="0"/>
          <w:sz w:val="24"/>
          <w:szCs w:val="24"/>
          <w:highlight w:val="none"/>
          <w:lang w:val="en-US" w:eastAsia="zh-CN" w:bidi="ar"/>
        </w:rPr>
        <w:t>表</w:t>
      </w:r>
      <w:r>
        <w:rPr>
          <w:rFonts w:hint="eastAsia" w:ascii="宋体" w:hAnsi="宋体" w:cs="宋体"/>
          <w:b/>
          <w:bCs/>
          <w:color w:val="000000"/>
          <w:kern w:val="0"/>
          <w:sz w:val="24"/>
          <w:szCs w:val="24"/>
          <w:highlight w:val="none"/>
          <w:lang w:val="en-US" w:eastAsia="zh-CN" w:bidi="ar"/>
        </w:rPr>
        <w:t>5-2单</w:t>
      </w:r>
      <w:r>
        <w:rPr>
          <w:rFonts w:hint="eastAsia" w:ascii="宋体" w:hAnsi="宋体" w:eastAsia="宋体" w:cs="宋体"/>
          <w:b/>
          <w:bCs/>
          <w:color w:val="000000"/>
          <w:kern w:val="0"/>
          <w:sz w:val="24"/>
          <w:szCs w:val="24"/>
          <w:highlight w:val="none"/>
          <w:lang w:val="en-US" w:eastAsia="zh-CN" w:bidi="ar"/>
        </w:rPr>
        <w:t>回路电场强度计算结果</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7"/>
        <w:gridCol w:w="2295"/>
        <w:gridCol w:w="2232"/>
        <w:gridCol w:w="2296"/>
      </w:tblGrid>
      <w:tr w14:paraId="4E19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7" w:type="dxa"/>
            <w:vAlign w:val="top"/>
          </w:tcPr>
          <w:p w14:paraId="58175D3C">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到线路中心线投影距离m</w:t>
            </w:r>
          </w:p>
        </w:tc>
        <w:tc>
          <w:tcPr>
            <w:tcW w:w="2295" w:type="dxa"/>
            <w:shd w:val="clear" w:color="auto" w:fill="auto"/>
            <w:vAlign w:val="top"/>
          </w:tcPr>
          <w:p w14:paraId="499D4E52">
            <w:pPr>
              <w:jc w:val="center"/>
              <w:rPr>
                <w:rFonts w:hint="eastAsia"/>
                <w:highlight w:val="none"/>
              </w:rPr>
            </w:pPr>
            <w:r>
              <w:rPr>
                <w:rFonts w:hint="eastAsia"/>
                <w:highlight w:val="none"/>
              </w:rPr>
              <w:t xml:space="preserve">1.5米高处电场    </w:t>
            </w:r>
          </w:p>
          <w:p w14:paraId="43B79E16">
            <w:pPr>
              <w:jc w:val="center"/>
              <w:rPr>
                <w:rFonts w:hint="default" w:ascii="Times New Roman" w:hAnsi="Times New Roman" w:eastAsia="宋体" w:cs="Times New Roman"/>
                <w:kern w:val="2"/>
                <w:sz w:val="21"/>
                <w:szCs w:val="24"/>
                <w:highlight w:val="none"/>
                <w:lang w:val="en-US" w:eastAsia="zh-CN" w:bidi="ar-SA"/>
              </w:rPr>
            </w:pPr>
            <w:r>
              <w:rPr>
                <w:rFonts w:hint="eastAsia"/>
                <w:highlight w:val="none"/>
              </w:rPr>
              <w:t xml:space="preserve">水平分量(kV/m)  </w:t>
            </w:r>
          </w:p>
        </w:tc>
        <w:tc>
          <w:tcPr>
            <w:tcW w:w="2232" w:type="dxa"/>
            <w:shd w:val="clear" w:color="auto" w:fill="auto"/>
            <w:vAlign w:val="top"/>
          </w:tcPr>
          <w:p w14:paraId="25386727">
            <w:pPr>
              <w:jc w:val="center"/>
              <w:rPr>
                <w:rFonts w:hint="eastAsia"/>
                <w:highlight w:val="none"/>
              </w:rPr>
            </w:pPr>
            <w:r>
              <w:rPr>
                <w:rFonts w:hint="eastAsia"/>
                <w:highlight w:val="none"/>
              </w:rPr>
              <w:t xml:space="preserve">1.5米高处电场    </w:t>
            </w:r>
          </w:p>
          <w:p w14:paraId="01AA24F8">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rPr>
              <w:t xml:space="preserve">垂直分量(kV/m)  </w:t>
            </w:r>
          </w:p>
        </w:tc>
        <w:tc>
          <w:tcPr>
            <w:tcW w:w="2296" w:type="dxa"/>
            <w:shd w:val="clear" w:color="auto" w:fill="auto"/>
            <w:vAlign w:val="top"/>
          </w:tcPr>
          <w:p w14:paraId="459BDF03">
            <w:pPr>
              <w:jc w:val="center"/>
              <w:rPr>
                <w:rFonts w:hint="eastAsia"/>
                <w:highlight w:val="none"/>
              </w:rPr>
            </w:pPr>
            <w:r>
              <w:rPr>
                <w:rFonts w:hint="eastAsia"/>
                <w:highlight w:val="none"/>
              </w:rPr>
              <w:t xml:space="preserve">1.5米高处电场    </w:t>
            </w:r>
          </w:p>
          <w:p w14:paraId="20718AA1">
            <w:pPr>
              <w:jc w:val="center"/>
              <w:rPr>
                <w:rFonts w:hint="eastAsia" w:ascii="Times New Roman" w:hAnsi="Times New Roman" w:eastAsia="宋体" w:cs="Times New Roman"/>
                <w:kern w:val="2"/>
                <w:sz w:val="21"/>
                <w:szCs w:val="24"/>
                <w:highlight w:val="none"/>
                <w:lang w:val="en-US" w:eastAsia="zh-CN" w:bidi="ar-SA"/>
              </w:rPr>
            </w:pPr>
            <w:r>
              <w:rPr>
                <w:rFonts w:hint="eastAsia"/>
                <w:highlight w:val="none"/>
              </w:rPr>
              <w:t xml:space="preserve">的综合量(kV/m)  </w:t>
            </w:r>
          </w:p>
        </w:tc>
      </w:tr>
      <w:tr w14:paraId="17BB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54AC6852">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-50</w:t>
            </w:r>
          </w:p>
        </w:tc>
        <w:tc>
          <w:tcPr>
            <w:tcW w:w="2295" w:type="dxa"/>
            <w:shd w:val="clear" w:color="auto" w:fill="auto"/>
            <w:vAlign w:val="top"/>
          </w:tcPr>
          <w:p w14:paraId="532990B0">
            <w:pPr>
              <w:jc w:val="center"/>
              <w:rPr>
                <w:rFonts w:hint="default" w:ascii="Times New Roman" w:hAnsi="Times New Roman" w:eastAsia="宋体" w:cs="Times New Roman"/>
                <w:kern w:val="2"/>
                <w:sz w:val="21"/>
                <w:szCs w:val="24"/>
                <w:highlight w:val="none"/>
                <w:lang w:val="en-US" w:eastAsia="zh-CN" w:bidi="ar-SA"/>
              </w:rPr>
            </w:pPr>
            <w:r>
              <w:rPr>
                <w:highlight w:val="none"/>
              </w:rPr>
              <w:t>0.0086</w:t>
            </w:r>
          </w:p>
        </w:tc>
        <w:tc>
          <w:tcPr>
            <w:tcW w:w="2232" w:type="dxa"/>
            <w:shd w:val="clear" w:color="auto" w:fill="auto"/>
            <w:vAlign w:val="top"/>
          </w:tcPr>
          <w:p w14:paraId="5936012A">
            <w:pPr>
              <w:jc w:val="center"/>
              <w:rPr>
                <w:rFonts w:hint="eastAsia" w:ascii="Times New Roman" w:hAnsi="Times New Roman" w:eastAsia="宋体" w:cs="Times New Roman"/>
                <w:kern w:val="2"/>
                <w:sz w:val="21"/>
                <w:szCs w:val="24"/>
                <w:highlight w:val="none"/>
                <w:lang w:val="en-US" w:eastAsia="zh-CN" w:bidi="ar-SA"/>
              </w:rPr>
            </w:pPr>
            <w:r>
              <w:rPr>
                <w:highlight w:val="none"/>
              </w:rPr>
              <w:t>0.0937</w:t>
            </w:r>
          </w:p>
        </w:tc>
        <w:tc>
          <w:tcPr>
            <w:tcW w:w="2296" w:type="dxa"/>
            <w:shd w:val="clear" w:color="auto" w:fill="auto"/>
            <w:vAlign w:val="top"/>
          </w:tcPr>
          <w:p w14:paraId="487E96BB">
            <w:pPr>
              <w:jc w:val="center"/>
              <w:rPr>
                <w:rFonts w:hint="default" w:ascii="Times New Roman" w:hAnsi="Times New Roman" w:eastAsia="宋体" w:cs="Times New Roman"/>
                <w:kern w:val="2"/>
                <w:sz w:val="21"/>
                <w:szCs w:val="24"/>
                <w:highlight w:val="none"/>
                <w:lang w:val="en-US" w:eastAsia="zh-CN" w:bidi="ar-SA"/>
              </w:rPr>
            </w:pPr>
            <w:r>
              <w:rPr>
                <w:highlight w:val="none"/>
              </w:rPr>
              <w:t>0.0941</w:t>
            </w:r>
          </w:p>
        </w:tc>
      </w:tr>
      <w:tr w14:paraId="5480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501D2224">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-49</w:t>
            </w:r>
          </w:p>
        </w:tc>
        <w:tc>
          <w:tcPr>
            <w:tcW w:w="2295" w:type="dxa"/>
            <w:shd w:val="clear" w:color="auto" w:fill="auto"/>
            <w:vAlign w:val="top"/>
          </w:tcPr>
          <w:p w14:paraId="1C7074F6">
            <w:pPr>
              <w:jc w:val="center"/>
              <w:rPr>
                <w:rFonts w:hint="default" w:ascii="Times New Roman" w:hAnsi="Times New Roman" w:eastAsia="宋体" w:cs="Times New Roman"/>
                <w:kern w:val="2"/>
                <w:sz w:val="21"/>
                <w:szCs w:val="24"/>
                <w:highlight w:val="none"/>
                <w:lang w:val="en-US" w:eastAsia="zh-CN" w:bidi="ar-SA"/>
              </w:rPr>
            </w:pPr>
            <w:r>
              <w:rPr>
                <w:highlight w:val="none"/>
              </w:rPr>
              <w:t>0.0094</w:t>
            </w:r>
          </w:p>
        </w:tc>
        <w:tc>
          <w:tcPr>
            <w:tcW w:w="2232" w:type="dxa"/>
            <w:shd w:val="clear" w:color="auto" w:fill="auto"/>
            <w:vAlign w:val="top"/>
          </w:tcPr>
          <w:p w14:paraId="312C7ADB">
            <w:pPr>
              <w:jc w:val="center"/>
              <w:rPr>
                <w:rFonts w:hint="eastAsia" w:ascii="Times New Roman" w:hAnsi="Times New Roman" w:eastAsia="宋体" w:cs="Times New Roman"/>
                <w:kern w:val="2"/>
                <w:sz w:val="21"/>
                <w:szCs w:val="24"/>
                <w:highlight w:val="none"/>
                <w:lang w:val="en-US" w:eastAsia="zh-CN" w:bidi="ar-SA"/>
              </w:rPr>
            </w:pPr>
            <w:r>
              <w:rPr>
                <w:highlight w:val="none"/>
              </w:rPr>
              <w:t>0.0997</w:t>
            </w:r>
          </w:p>
        </w:tc>
        <w:tc>
          <w:tcPr>
            <w:tcW w:w="2296" w:type="dxa"/>
            <w:shd w:val="clear" w:color="auto" w:fill="auto"/>
            <w:vAlign w:val="top"/>
          </w:tcPr>
          <w:p w14:paraId="70AEFE4A">
            <w:pPr>
              <w:jc w:val="center"/>
              <w:rPr>
                <w:rFonts w:hint="default" w:ascii="Times New Roman" w:hAnsi="Times New Roman" w:eastAsia="宋体" w:cs="Times New Roman"/>
                <w:kern w:val="2"/>
                <w:sz w:val="21"/>
                <w:szCs w:val="24"/>
                <w:highlight w:val="none"/>
                <w:lang w:val="en-US" w:eastAsia="zh-CN" w:bidi="ar-SA"/>
              </w:rPr>
            </w:pPr>
            <w:r>
              <w:rPr>
                <w:highlight w:val="none"/>
              </w:rPr>
              <w:t>0.1001</w:t>
            </w:r>
          </w:p>
        </w:tc>
      </w:tr>
      <w:tr w14:paraId="45D9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0D8FC43D">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-48</w:t>
            </w:r>
          </w:p>
        </w:tc>
        <w:tc>
          <w:tcPr>
            <w:tcW w:w="2295" w:type="dxa"/>
            <w:shd w:val="clear" w:color="auto" w:fill="auto"/>
            <w:vAlign w:val="top"/>
          </w:tcPr>
          <w:p w14:paraId="218CC3C6">
            <w:pPr>
              <w:jc w:val="center"/>
              <w:rPr>
                <w:rFonts w:hint="default" w:ascii="Times New Roman" w:hAnsi="Times New Roman" w:eastAsia="宋体" w:cs="Times New Roman"/>
                <w:kern w:val="2"/>
                <w:sz w:val="21"/>
                <w:szCs w:val="24"/>
                <w:highlight w:val="none"/>
                <w:lang w:val="en-US" w:eastAsia="zh-CN" w:bidi="ar-SA"/>
              </w:rPr>
            </w:pPr>
            <w:r>
              <w:rPr>
                <w:highlight w:val="none"/>
              </w:rPr>
              <w:t>0.0102</w:t>
            </w:r>
          </w:p>
        </w:tc>
        <w:tc>
          <w:tcPr>
            <w:tcW w:w="2232" w:type="dxa"/>
            <w:shd w:val="clear" w:color="auto" w:fill="auto"/>
            <w:vAlign w:val="top"/>
          </w:tcPr>
          <w:p w14:paraId="181E3D7C">
            <w:pPr>
              <w:jc w:val="center"/>
              <w:rPr>
                <w:rFonts w:hint="eastAsia" w:ascii="Times New Roman" w:hAnsi="Times New Roman" w:eastAsia="宋体" w:cs="Times New Roman"/>
                <w:kern w:val="2"/>
                <w:sz w:val="21"/>
                <w:szCs w:val="24"/>
                <w:highlight w:val="none"/>
                <w:lang w:val="en-US" w:eastAsia="zh-CN" w:bidi="ar-SA"/>
              </w:rPr>
            </w:pPr>
            <w:r>
              <w:rPr>
                <w:highlight w:val="none"/>
              </w:rPr>
              <w:t>0.1062</w:t>
            </w:r>
          </w:p>
        </w:tc>
        <w:tc>
          <w:tcPr>
            <w:tcW w:w="2296" w:type="dxa"/>
            <w:shd w:val="clear" w:color="auto" w:fill="auto"/>
            <w:vAlign w:val="top"/>
          </w:tcPr>
          <w:p w14:paraId="2F666CE2">
            <w:pPr>
              <w:jc w:val="center"/>
              <w:rPr>
                <w:rFonts w:hint="default" w:ascii="Times New Roman" w:hAnsi="Times New Roman" w:eastAsia="宋体" w:cs="Times New Roman"/>
                <w:kern w:val="2"/>
                <w:sz w:val="21"/>
                <w:szCs w:val="24"/>
                <w:highlight w:val="none"/>
                <w:lang w:val="en-US" w:eastAsia="zh-CN" w:bidi="ar-SA"/>
              </w:rPr>
            </w:pPr>
            <w:r>
              <w:rPr>
                <w:highlight w:val="none"/>
              </w:rPr>
              <w:t>0.1066</w:t>
            </w:r>
          </w:p>
        </w:tc>
      </w:tr>
      <w:tr w14:paraId="409EE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055D649B">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-47</w:t>
            </w:r>
          </w:p>
        </w:tc>
        <w:tc>
          <w:tcPr>
            <w:tcW w:w="2295" w:type="dxa"/>
            <w:shd w:val="clear" w:color="auto" w:fill="auto"/>
            <w:vAlign w:val="top"/>
          </w:tcPr>
          <w:p w14:paraId="149F20F4">
            <w:pPr>
              <w:jc w:val="center"/>
              <w:rPr>
                <w:rFonts w:hint="default" w:ascii="Times New Roman" w:hAnsi="Times New Roman" w:eastAsia="宋体" w:cs="Times New Roman"/>
                <w:kern w:val="2"/>
                <w:sz w:val="21"/>
                <w:szCs w:val="24"/>
                <w:highlight w:val="none"/>
                <w:lang w:val="en-US" w:eastAsia="zh-CN" w:bidi="ar-SA"/>
              </w:rPr>
            </w:pPr>
            <w:r>
              <w:rPr>
                <w:highlight w:val="none"/>
              </w:rPr>
              <w:t>0.0111</w:t>
            </w:r>
          </w:p>
        </w:tc>
        <w:tc>
          <w:tcPr>
            <w:tcW w:w="2232" w:type="dxa"/>
            <w:shd w:val="clear" w:color="auto" w:fill="auto"/>
            <w:vAlign w:val="top"/>
          </w:tcPr>
          <w:p w14:paraId="61CFA9D6">
            <w:pPr>
              <w:jc w:val="center"/>
              <w:rPr>
                <w:rFonts w:hint="eastAsia" w:ascii="Times New Roman" w:hAnsi="Times New Roman" w:eastAsia="宋体" w:cs="Times New Roman"/>
                <w:kern w:val="2"/>
                <w:sz w:val="21"/>
                <w:szCs w:val="24"/>
                <w:highlight w:val="none"/>
                <w:lang w:val="en-US" w:eastAsia="zh-CN" w:bidi="ar-SA"/>
              </w:rPr>
            </w:pPr>
            <w:r>
              <w:rPr>
                <w:highlight w:val="none"/>
              </w:rPr>
              <w:t>0.1132</w:t>
            </w:r>
          </w:p>
        </w:tc>
        <w:tc>
          <w:tcPr>
            <w:tcW w:w="2296" w:type="dxa"/>
            <w:shd w:val="clear" w:color="auto" w:fill="auto"/>
            <w:vAlign w:val="top"/>
          </w:tcPr>
          <w:p w14:paraId="6C55B238">
            <w:pPr>
              <w:jc w:val="center"/>
              <w:rPr>
                <w:rFonts w:hint="default" w:ascii="Times New Roman" w:hAnsi="Times New Roman" w:eastAsia="宋体" w:cs="Times New Roman"/>
                <w:kern w:val="2"/>
                <w:sz w:val="21"/>
                <w:szCs w:val="24"/>
                <w:highlight w:val="none"/>
                <w:lang w:val="en-US" w:eastAsia="zh-CN" w:bidi="ar-SA"/>
              </w:rPr>
            </w:pPr>
            <w:r>
              <w:rPr>
                <w:highlight w:val="none"/>
              </w:rPr>
              <w:t>0.1138</w:t>
            </w:r>
          </w:p>
        </w:tc>
      </w:tr>
      <w:tr w14:paraId="3E6A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441628BF">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-46</w:t>
            </w:r>
          </w:p>
        </w:tc>
        <w:tc>
          <w:tcPr>
            <w:tcW w:w="2295" w:type="dxa"/>
            <w:shd w:val="clear" w:color="auto" w:fill="auto"/>
            <w:vAlign w:val="top"/>
          </w:tcPr>
          <w:p w14:paraId="103F0D9D">
            <w:pPr>
              <w:jc w:val="center"/>
              <w:rPr>
                <w:rFonts w:hint="default" w:ascii="Times New Roman" w:hAnsi="Times New Roman" w:eastAsia="宋体" w:cs="Times New Roman"/>
                <w:kern w:val="2"/>
                <w:sz w:val="21"/>
                <w:szCs w:val="24"/>
                <w:highlight w:val="none"/>
                <w:lang w:val="en-US" w:eastAsia="zh-CN" w:bidi="ar-SA"/>
              </w:rPr>
            </w:pPr>
            <w:r>
              <w:rPr>
                <w:highlight w:val="none"/>
              </w:rPr>
              <w:t>0.0121</w:t>
            </w:r>
          </w:p>
        </w:tc>
        <w:tc>
          <w:tcPr>
            <w:tcW w:w="2232" w:type="dxa"/>
            <w:shd w:val="clear" w:color="auto" w:fill="auto"/>
            <w:vAlign w:val="top"/>
          </w:tcPr>
          <w:p w14:paraId="2B3A665F">
            <w:pPr>
              <w:jc w:val="center"/>
              <w:rPr>
                <w:rFonts w:hint="eastAsia" w:ascii="Times New Roman" w:hAnsi="Times New Roman" w:eastAsia="宋体" w:cs="Times New Roman"/>
                <w:kern w:val="2"/>
                <w:sz w:val="21"/>
                <w:szCs w:val="24"/>
                <w:highlight w:val="none"/>
                <w:lang w:val="en-US" w:eastAsia="zh-CN" w:bidi="ar-SA"/>
              </w:rPr>
            </w:pPr>
            <w:r>
              <w:rPr>
                <w:highlight w:val="none"/>
              </w:rPr>
              <w:t>0.1209</w:t>
            </w:r>
          </w:p>
        </w:tc>
        <w:tc>
          <w:tcPr>
            <w:tcW w:w="2296" w:type="dxa"/>
            <w:shd w:val="clear" w:color="auto" w:fill="auto"/>
            <w:vAlign w:val="top"/>
          </w:tcPr>
          <w:p w14:paraId="6C6E0BAA">
            <w:pPr>
              <w:jc w:val="center"/>
              <w:rPr>
                <w:rFonts w:hint="default" w:ascii="Times New Roman" w:hAnsi="Times New Roman" w:eastAsia="宋体" w:cs="Times New Roman"/>
                <w:kern w:val="2"/>
                <w:sz w:val="21"/>
                <w:szCs w:val="24"/>
                <w:highlight w:val="none"/>
                <w:lang w:val="en-US" w:eastAsia="zh-CN" w:bidi="ar-SA"/>
              </w:rPr>
            </w:pPr>
            <w:r>
              <w:rPr>
                <w:highlight w:val="none"/>
              </w:rPr>
              <w:t>0.1215</w:t>
            </w:r>
          </w:p>
        </w:tc>
      </w:tr>
      <w:tr w14:paraId="58DEF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5BA52517">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-45</w:t>
            </w:r>
          </w:p>
        </w:tc>
        <w:tc>
          <w:tcPr>
            <w:tcW w:w="2295" w:type="dxa"/>
            <w:shd w:val="clear" w:color="auto" w:fill="auto"/>
            <w:vAlign w:val="top"/>
          </w:tcPr>
          <w:p w14:paraId="39E57327">
            <w:pPr>
              <w:jc w:val="center"/>
              <w:rPr>
                <w:rFonts w:hint="default" w:ascii="Times New Roman" w:hAnsi="Times New Roman" w:eastAsia="宋体" w:cs="Times New Roman"/>
                <w:kern w:val="2"/>
                <w:sz w:val="21"/>
                <w:szCs w:val="24"/>
                <w:highlight w:val="none"/>
                <w:lang w:val="en-US" w:eastAsia="zh-CN" w:bidi="ar-SA"/>
              </w:rPr>
            </w:pPr>
            <w:r>
              <w:rPr>
                <w:highlight w:val="none"/>
              </w:rPr>
              <w:t>0.0133</w:t>
            </w:r>
          </w:p>
        </w:tc>
        <w:tc>
          <w:tcPr>
            <w:tcW w:w="2232" w:type="dxa"/>
            <w:shd w:val="clear" w:color="auto" w:fill="auto"/>
            <w:vAlign w:val="top"/>
          </w:tcPr>
          <w:p w14:paraId="6689B7EB">
            <w:pPr>
              <w:jc w:val="center"/>
              <w:rPr>
                <w:rFonts w:hint="eastAsia" w:ascii="Times New Roman" w:hAnsi="Times New Roman" w:eastAsia="宋体" w:cs="Times New Roman"/>
                <w:kern w:val="2"/>
                <w:sz w:val="21"/>
                <w:szCs w:val="24"/>
                <w:highlight w:val="none"/>
                <w:lang w:val="en-US" w:eastAsia="zh-CN" w:bidi="ar-SA"/>
              </w:rPr>
            </w:pPr>
            <w:r>
              <w:rPr>
                <w:highlight w:val="none"/>
              </w:rPr>
              <w:t>0.1293</w:t>
            </w:r>
          </w:p>
        </w:tc>
        <w:tc>
          <w:tcPr>
            <w:tcW w:w="2296" w:type="dxa"/>
            <w:shd w:val="clear" w:color="auto" w:fill="auto"/>
            <w:vAlign w:val="top"/>
          </w:tcPr>
          <w:p w14:paraId="11B0FC04">
            <w:pPr>
              <w:jc w:val="center"/>
              <w:rPr>
                <w:rFonts w:hint="default" w:ascii="Times New Roman" w:hAnsi="Times New Roman" w:eastAsia="宋体" w:cs="Times New Roman"/>
                <w:kern w:val="2"/>
                <w:sz w:val="21"/>
                <w:szCs w:val="24"/>
                <w:highlight w:val="none"/>
                <w:lang w:val="en-US" w:eastAsia="zh-CN" w:bidi="ar-SA"/>
              </w:rPr>
            </w:pPr>
            <w:r>
              <w:rPr>
                <w:highlight w:val="none"/>
              </w:rPr>
              <w:t>0.1300</w:t>
            </w:r>
          </w:p>
        </w:tc>
      </w:tr>
      <w:tr w14:paraId="1D04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55EFA9BA">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-44</w:t>
            </w:r>
          </w:p>
        </w:tc>
        <w:tc>
          <w:tcPr>
            <w:tcW w:w="2295" w:type="dxa"/>
            <w:shd w:val="clear" w:color="auto" w:fill="auto"/>
            <w:vAlign w:val="top"/>
          </w:tcPr>
          <w:p w14:paraId="5D30E928">
            <w:pPr>
              <w:jc w:val="center"/>
              <w:rPr>
                <w:rFonts w:hint="default" w:ascii="Times New Roman" w:hAnsi="Times New Roman" w:eastAsia="宋体" w:cs="Times New Roman"/>
                <w:kern w:val="2"/>
                <w:sz w:val="21"/>
                <w:szCs w:val="24"/>
                <w:highlight w:val="none"/>
                <w:lang w:val="en-US" w:eastAsia="zh-CN" w:bidi="ar-SA"/>
              </w:rPr>
            </w:pPr>
            <w:r>
              <w:rPr>
                <w:highlight w:val="none"/>
              </w:rPr>
              <w:t>0.0146</w:t>
            </w:r>
          </w:p>
        </w:tc>
        <w:tc>
          <w:tcPr>
            <w:tcW w:w="2232" w:type="dxa"/>
            <w:shd w:val="clear" w:color="auto" w:fill="auto"/>
            <w:vAlign w:val="top"/>
          </w:tcPr>
          <w:p w14:paraId="3EADF930">
            <w:pPr>
              <w:jc w:val="center"/>
              <w:rPr>
                <w:rFonts w:hint="eastAsia" w:ascii="Times New Roman" w:hAnsi="Times New Roman" w:eastAsia="宋体" w:cs="Times New Roman"/>
                <w:kern w:val="2"/>
                <w:sz w:val="21"/>
                <w:szCs w:val="24"/>
                <w:highlight w:val="none"/>
                <w:lang w:val="en-US" w:eastAsia="zh-CN" w:bidi="ar-SA"/>
              </w:rPr>
            </w:pPr>
            <w:r>
              <w:rPr>
                <w:highlight w:val="none"/>
              </w:rPr>
              <w:t>0.1385</w:t>
            </w:r>
          </w:p>
        </w:tc>
        <w:tc>
          <w:tcPr>
            <w:tcW w:w="2296" w:type="dxa"/>
            <w:shd w:val="clear" w:color="auto" w:fill="auto"/>
            <w:vAlign w:val="top"/>
          </w:tcPr>
          <w:p w14:paraId="09E56C65">
            <w:pPr>
              <w:jc w:val="center"/>
              <w:rPr>
                <w:rFonts w:hint="default" w:ascii="Times New Roman" w:hAnsi="Times New Roman" w:eastAsia="宋体" w:cs="Times New Roman"/>
                <w:kern w:val="2"/>
                <w:sz w:val="21"/>
                <w:szCs w:val="24"/>
                <w:highlight w:val="none"/>
                <w:lang w:val="en-US" w:eastAsia="zh-CN" w:bidi="ar-SA"/>
              </w:rPr>
            </w:pPr>
            <w:r>
              <w:rPr>
                <w:highlight w:val="none"/>
              </w:rPr>
              <w:t>0.1393</w:t>
            </w:r>
          </w:p>
        </w:tc>
      </w:tr>
      <w:tr w14:paraId="2FB3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5EF2C274">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-43</w:t>
            </w:r>
          </w:p>
        </w:tc>
        <w:tc>
          <w:tcPr>
            <w:tcW w:w="2295" w:type="dxa"/>
            <w:shd w:val="clear" w:color="auto" w:fill="auto"/>
            <w:vAlign w:val="top"/>
          </w:tcPr>
          <w:p w14:paraId="5EBC579E">
            <w:pPr>
              <w:jc w:val="center"/>
              <w:rPr>
                <w:rFonts w:hint="default" w:ascii="Times New Roman" w:hAnsi="Times New Roman" w:eastAsia="宋体" w:cs="Times New Roman"/>
                <w:kern w:val="2"/>
                <w:sz w:val="21"/>
                <w:szCs w:val="24"/>
                <w:highlight w:val="none"/>
                <w:lang w:val="en-US" w:eastAsia="zh-CN" w:bidi="ar-SA"/>
              </w:rPr>
            </w:pPr>
            <w:r>
              <w:rPr>
                <w:highlight w:val="none"/>
              </w:rPr>
              <w:t>0.0160</w:t>
            </w:r>
          </w:p>
        </w:tc>
        <w:tc>
          <w:tcPr>
            <w:tcW w:w="2232" w:type="dxa"/>
            <w:shd w:val="clear" w:color="auto" w:fill="auto"/>
            <w:vAlign w:val="top"/>
          </w:tcPr>
          <w:p w14:paraId="2C1B1942">
            <w:pPr>
              <w:jc w:val="center"/>
              <w:rPr>
                <w:rFonts w:hint="eastAsia" w:ascii="Times New Roman" w:hAnsi="Times New Roman" w:eastAsia="宋体" w:cs="Times New Roman"/>
                <w:kern w:val="2"/>
                <w:sz w:val="21"/>
                <w:szCs w:val="24"/>
                <w:highlight w:val="none"/>
                <w:lang w:val="en-US" w:eastAsia="zh-CN" w:bidi="ar-SA"/>
              </w:rPr>
            </w:pPr>
            <w:r>
              <w:rPr>
                <w:highlight w:val="none"/>
              </w:rPr>
              <w:t>0.1486</w:t>
            </w:r>
          </w:p>
        </w:tc>
        <w:tc>
          <w:tcPr>
            <w:tcW w:w="2296" w:type="dxa"/>
            <w:shd w:val="clear" w:color="auto" w:fill="auto"/>
            <w:vAlign w:val="top"/>
          </w:tcPr>
          <w:p w14:paraId="6136189E">
            <w:pPr>
              <w:jc w:val="center"/>
              <w:rPr>
                <w:rFonts w:hint="default" w:ascii="Times New Roman" w:hAnsi="Times New Roman" w:eastAsia="宋体" w:cs="Times New Roman"/>
                <w:kern w:val="2"/>
                <w:sz w:val="21"/>
                <w:szCs w:val="24"/>
                <w:highlight w:val="none"/>
                <w:lang w:val="en-US" w:eastAsia="zh-CN" w:bidi="ar-SA"/>
              </w:rPr>
            </w:pPr>
            <w:r>
              <w:rPr>
                <w:highlight w:val="none"/>
              </w:rPr>
              <w:t>0.1495</w:t>
            </w:r>
          </w:p>
        </w:tc>
      </w:tr>
      <w:tr w14:paraId="2EEC8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4E111D19">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-42</w:t>
            </w:r>
          </w:p>
        </w:tc>
        <w:tc>
          <w:tcPr>
            <w:tcW w:w="2295" w:type="dxa"/>
            <w:shd w:val="clear" w:color="auto" w:fill="auto"/>
            <w:vAlign w:val="top"/>
          </w:tcPr>
          <w:p w14:paraId="086AE358">
            <w:pPr>
              <w:jc w:val="center"/>
              <w:rPr>
                <w:rFonts w:hint="default" w:ascii="Times New Roman" w:hAnsi="Times New Roman" w:eastAsia="宋体" w:cs="Times New Roman"/>
                <w:kern w:val="2"/>
                <w:sz w:val="21"/>
                <w:szCs w:val="24"/>
                <w:highlight w:val="none"/>
                <w:lang w:val="en-US" w:eastAsia="zh-CN" w:bidi="ar-SA"/>
              </w:rPr>
            </w:pPr>
            <w:r>
              <w:rPr>
                <w:highlight w:val="none"/>
              </w:rPr>
              <w:t>0.0177</w:t>
            </w:r>
          </w:p>
        </w:tc>
        <w:tc>
          <w:tcPr>
            <w:tcW w:w="2232" w:type="dxa"/>
            <w:shd w:val="clear" w:color="auto" w:fill="auto"/>
            <w:vAlign w:val="top"/>
          </w:tcPr>
          <w:p w14:paraId="26BB1BE9">
            <w:pPr>
              <w:jc w:val="center"/>
              <w:rPr>
                <w:rFonts w:hint="eastAsia" w:ascii="Times New Roman" w:hAnsi="Times New Roman" w:eastAsia="宋体" w:cs="Times New Roman"/>
                <w:kern w:val="2"/>
                <w:sz w:val="21"/>
                <w:szCs w:val="24"/>
                <w:highlight w:val="none"/>
                <w:lang w:val="en-US" w:eastAsia="zh-CN" w:bidi="ar-SA"/>
              </w:rPr>
            </w:pPr>
            <w:r>
              <w:rPr>
                <w:highlight w:val="none"/>
              </w:rPr>
              <w:t>0.1598</w:t>
            </w:r>
          </w:p>
        </w:tc>
        <w:tc>
          <w:tcPr>
            <w:tcW w:w="2296" w:type="dxa"/>
            <w:shd w:val="clear" w:color="auto" w:fill="auto"/>
            <w:vAlign w:val="top"/>
          </w:tcPr>
          <w:p w14:paraId="06087F94">
            <w:pPr>
              <w:jc w:val="center"/>
              <w:rPr>
                <w:rFonts w:hint="default" w:ascii="Times New Roman" w:hAnsi="Times New Roman" w:eastAsia="宋体" w:cs="Times New Roman"/>
                <w:kern w:val="2"/>
                <w:sz w:val="21"/>
                <w:szCs w:val="24"/>
                <w:highlight w:val="none"/>
                <w:lang w:val="en-US" w:eastAsia="zh-CN" w:bidi="ar-SA"/>
              </w:rPr>
            </w:pPr>
            <w:r>
              <w:rPr>
                <w:highlight w:val="none"/>
              </w:rPr>
              <w:t>0.1607</w:t>
            </w:r>
          </w:p>
        </w:tc>
      </w:tr>
      <w:tr w14:paraId="79960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4FEBF7E9">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-41</w:t>
            </w:r>
          </w:p>
        </w:tc>
        <w:tc>
          <w:tcPr>
            <w:tcW w:w="2295" w:type="dxa"/>
            <w:shd w:val="clear" w:color="auto" w:fill="auto"/>
            <w:vAlign w:val="top"/>
          </w:tcPr>
          <w:p w14:paraId="060B06DA">
            <w:pPr>
              <w:jc w:val="center"/>
              <w:rPr>
                <w:rFonts w:hint="default" w:ascii="Times New Roman" w:hAnsi="Times New Roman" w:eastAsia="宋体" w:cs="Times New Roman"/>
                <w:kern w:val="2"/>
                <w:sz w:val="21"/>
                <w:szCs w:val="24"/>
                <w:highlight w:val="none"/>
                <w:lang w:val="en-US" w:eastAsia="zh-CN" w:bidi="ar-SA"/>
              </w:rPr>
            </w:pPr>
            <w:r>
              <w:rPr>
                <w:highlight w:val="none"/>
              </w:rPr>
              <w:t>0.0195</w:t>
            </w:r>
          </w:p>
        </w:tc>
        <w:tc>
          <w:tcPr>
            <w:tcW w:w="2232" w:type="dxa"/>
            <w:shd w:val="clear" w:color="auto" w:fill="auto"/>
            <w:vAlign w:val="top"/>
          </w:tcPr>
          <w:p w14:paraId="616AE5F8">
            <w:pPr>
              <w:jc w:val="center"/>
              <w:rPr>
                <w:rFonts w:hint="eastAsia" w:ascii="Times New Roman" w:hAnsi="Times New Roman" w:eastAsia="宋体" w:cs="Times New Roman"/>
                <w:kern w:val="2"/>
                <w:sz w:val="21"/>
                <w:szCs w:val="24"/>
                <w:highlight w:val="none"/>
                <w:lang w:val="en-US" w:eastAsia="zh-CN" w:bidi="ar-SA"/>
              </w:rPr>
            </w:pPr>
            <w:r>
              <w:rPr>
                <w:highlight w:val="none"/>
              </w:rPr>
              <w:t>0.1720</w:t>
            </w:r>
          </w:p>
        </w:tc>
        <w:tc>
          <w:tcPr>
            <w:tcW w:w="2296" w:type="dxa"/>
            <w:shd w:val="clear" w:color="auto" w:fill="auto"/>
            <w:vAlign w:val="top"/>
          </w:tcPr>
          <w:p w14:paraId="47B588C0">
            <w:pPr>
              <w:jc w:val="center"/>
              <w:rPr>
                <w:rFonts w:hint="default" w:ascii="Times New Roman" w:hAnsi="Times New Roman" w:eastAsia="宋体" w:cs="Times New Roman"/>
                <w:kern w:val="2"/>
                <w:sz w:val="21"/>
                <w:szCs w:val="24"/>
                <w:highlight w:val="none"/>
                <w:lang w:val="en-US" w:eastAsia="zh-CN" w:bidi="ar-SA"/>
              </w:rPr>
            </w:pPr>
            <w:r>
              <w:rPr>
                <w:highlight w:val="none"/>
              </w:rPr>
              <w:t>0.1731</w:t>
            </w:r>
          </w:p>
        </w:tc>
      </w:tr>
      <w:tr w14:paraId="6D75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439F651B">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-40</w:t>
            </w:r>
          </w:p>
        </w:tc>
        <w:tc>
          <w:tcPr>
            <w:tcW w:w="2295" w:type="dxa"/>
            <w:shd w:val="clear" w:color="auto" w:fill="auto"/>
            <w:vAlign w:val="top"/>
          </w:tcPr>
          <w:p w14:paraId="5FD9642D">
            <w:pPr>
              <w:jc w:val="center"/>
              <w:rPr>
                <w:rFonts w:hint="default" w:ascii="Times New Roman" w:hAnsi="Times New Roman" w:eastAsia="宋体" w:cs="Times New Roman"/>
                <w:kern w:val="2"/>
                <w:sz w:val="21"/>
                <w:szCs w:val="24"/>
                <w:highlight w:val="none"/>
                <w:lang w:val="en-US" w:eastAsia="zh-CN" w:bidi="ar-SA"/>
              </w:rPr>
            </w:pPr>
            <w:r>
              <w:rPr>
                <w:highlight w:val="none"/>
              </w:rPr>
              <w:t>0.0216</w:t>
            </w:r>
          </w:p>
        </w:tc>
        <w:tc>
          <w:tcPr>
            <w:tcW w:w="2232" w:type="dxa"/>
            <w:shd w:val="clear" w:color="auto" w:fill="auto"/>
            <w:vAlign w:val="top"/>
          </w:tcPr>
          <w:p w14:paraId="2D7C7B71">
            <w:pPr>
              <w:jc w:val="center"/>
              <w:rPr>
                <w:rFonts w:hint="eastAsia" w:ascii="Times New Roman" w:hAnsi="Times New Roman" w:eastAsia="宋体" w:cs="Times New Roman"/>
                <w:kern w:val="2"/>
                <w:sz w:val="21"/>
                <w:szCs w:val="24"/>
                <w:highlight w:val="none"/>
                <w:lang w:val="en-US" w:eastAsia="zh-CN" w:bidi="ar-SA"/>
              </w:rPr>
            </w:pPr>
            <w:r>
              <w:rPr>
                <w:highlight w:val="none"/>
              </w:rPr>
              <w:t>0.1856</w:t>
            </w:r>
          </w:p>
        </w:tc>
        <w:tc>
          <w:tcPr>
            <w:tcW w:w="2296" w:type="dxa"/>
            <w:shd w:val="clear" w:color="auto" w:fill="auto"/>
            <w:vAlign w:val="top"/>
          </w:tcPr>
          <w:p w14:paraId="097F6DD7">
            <w:pPr>
              <w:jc w:val="center"/>
              <w:rPr>
                <w:rFonts w:hint="default" w:ascii="Times New Roman" w:hAnsi="Times New Roman" w:eastAsia="宋体" w:cs="Times New Roman"/>
                <w:kern w:val="2"/>
                <w:sz w:val="21"/>
                <w:szCs w:val="24"/>
                <w:highlight w:val="none"/>
                <w:lang w:val="en-US" w:eastAsia="zh-CN" w:bidi="ar-SA"/>
              </w:rPr>
            </w:pPr>
            <w:r>
              <w:rPr>
                <w:highlight w:val="none"/>
              </w:rPr>
              <w:t>0.1868</w:t>
            </w:r>
          </w:p>
        </w:tc>
      </w:tr>
      <w:tr w14:paraId="74BD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791B8510">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w:t>
            </w:r>
          </w:p>
        </w:tc>
        <w:tc>
          <w:tcPr>
            <w:tcW w:w="2295" w:type="dxa"/>
            <w:shd w:val="clear" w:color="auto" w:fill="auto"/>
            <w:vAlign w:val="top"/>
          </w:tcPr>
          <w:p w14:paraId="621AF396">
            <w:pPr>
              <w:jc w:val="center"/>
              <w:rPr>
                <w:rFonts w:hint="default" w:ascii="Times New Roman" w:hAnsi="Times New Roman" w:eastAsia="宋体" w:cs="Times New Roman"/>
                <w:kern w:val="2"/>
                <w:sz w:val="21"/>
                <w:szCs w:val="24"/>
                <w:highlight w:val="none"/>
                <w:lang w:val="en-US" w:eastAsia="zh-CN" w:bidi="ar-SA"/>
              </w:rPr>
            </w:pPr>
            <w:r>
              <w:rPr>
                <w:highlight w:val="none"/>
              </w:rPr>
              <w:t>0.0240</w:t>
            </w:r>
          </w:p>
        </w:tc>
        <w:tc>
          <w:tcPr>
            <w:tcW w:w="2232" w:type="dxa"/>
            <w:shd w:val="clear" w:color="auto" w:fill="auto"/>
            <w:vAlign w:val="top"/>
          </w:tcPr>
          <w:p w14:paraId="20658F98">
            <w:pPr>
              <w:jc w:val="center"/>
              <w:rPr>
                <w:rFonts w:hint="eastAsia" w:ascii="Times New Roman" w:hAnsi="Times New Roman" w:eastAsia="宋体" w:cs="Times New Roman"/>
                <w:kern w:val="2"/>
                <w:sz w:val="21"/>
                <w:szCs w:val="24"/>
                <w:highlight w:val="none"/>
                <w:lang w:val="en-US" w:eastAsia="zh-CN" w:bidi="ar-SA"/>
              </w:rPr>
            </w:pPr>
            <w:r>
              <w:rPr>
                <w:highlight w:val="none"/>
              </w:rPr>
              <w:t>0.2006</w:t>
            </w:r>
          </w:p>
        </w:tc>
        <w:tc>
          <w:tcPr>
            <w:tcW w:w="2296" w:type="dxa"/>
            <w:shd w:val="clear" w:color="auto" w:fill="auto"/>
            <w:vAlign w:val="top"/>
          </w:tcPr>
          <w:p w14:paraId="0029ACCA">
            <w:pPr>
              <w:jc w:val="center"/>
              <w:rPr>
                <w:rFonts w:hint="default" w:ascii="Times New Roman" w:hAnsi="Times New Roman" w:eastAsia="宋体" w:cs="Times New Roman"/>
                <w:kern w:val="2"/>
                <w:sz w:val="21"/>
                <w:szCs w:val="24"/>
                <w:highlight w:val="none"/>
                <w:lang w:val="en-US" w:eastAsia="zh-CN" w:bidi="ar-SA"/>
              </w:rPr>
            </w:pPr>
            <w:r>
              <w:rPr>
                <w:highlight w:val="none"/>
              </w:rPr>
              <w:t>0.2021</w:t>
            </w:r>
          </w:p>
        </w:tc>
      </w:tr>
      <w:tr w14:paraId="1070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030B1114">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w:t>
            </w:r>
          </w:p>
        </w:tc>
        <w:tc>
          <w:tcPr>
            <w:tcW w:w="2295" w:type="dxa"/>
            <w:shd w:val="clear" w:color="auto" w:fill="auto"/>
            <w:vAlign w:val="top"/>
          </w:tcPr>
          <w:p w14:paraId="00A58035">
            <w:pPr>
              <w:jc w:val="center"/>
              <w:rPr>
                <w:rFonts w:hint="default" w:ascii="Times New Roman" w:hAnsi="Times New Roman" w:eastAsia="宋体" w:cs="Times New Roman"/>
                <w:kern w:val="2"/>
                <w:sz w:val="21"/>
                <w:szCs w:val="24"/>
                <w:highlight w:val="none"/>
                <w:lang w:val="en-US" w:eastAsia="zh-CN" w:bidi="ar-SA"/>
              </w:rPr>
            </w:pPr>
            <w:r>
              <w:rPr>
                <w:highlight w:val="none"/>
              </w:rPr>
              <w:t>0.0267</w:t>
            </w:r>
          </w:p>
        </w:tc>
        <w:tc>
          <w:tcPr>
            <w:tcW w:w="2232" w:type="dxa"/>
            <w:shd w:val="clear" w:color="auto" w:fill="auto"/>
            <w:vAlign w:val="top"/>
          </w:tcPr>
          <w:p w14:paraId="194B4D5F">
            <w:pPr>
              <w:jc w:val="center"/>
              <w:rPr>
                <w:rFonts w:hint="eastAsia" w:ascii="Times New Roman" w:hAnsi="Times New Roman" w:eastAsia="宋体" w:cs="Times New Roman"/>
                <w:kern w:val="2"/>
                <w:sz w:val="21"/>
                <w:szCs w:val="24"/>
                <w:highlight w:val="none"/>
                <w:lang w:val="en-US" w:eastAsia="zh-CN" w:bidi="ar-SA"/>
              </w:rPr>
            </w:pPr>
            <w:r>
              <w:rPr>
                <w:highlight w:val="none"/>
              </w:rPr>
              <w:t>0.2173</w:t>
            </w:r>
          </w:p>
        </w:tc>
        <w:tc>
          <w:tcPr>
            <w:tcW w:w="2296" w:type="dxa"/>
            <w:shd w:val="clear" w:color="auto" w:fill="auto"/>
            <w:vAlign w:val="top"/>
          </w:tcPr>
          <w:p w14:paraId="5CC57F6E">
            <w:pPr>
              <w:jc w:val="center"/>
              <w:rPr>
                <w:rFonts w:hint="default" w:ascii="Times New Roman" w:hAnsi="Times New Roman" w:eastAsia="宋体" w:cs="Times New Roman"/>
                <w:kern w:val="2"/>
                <w:sz w:val="21"/>
                <w:szCs w:val="24"/>
                <w:highlight w:val="none"/>
                <w:lang w:val="en-US" w:eastAsia="zh-CN" w:bidi="ar-SA"/>
              </w:rPr>
            </w:pPr>
            <w:r>
              <w:rPr>
                <w:highlight w:val="none"/>
              </w:rPr>
              <w:t>0.2190</w:t>
            </w:r>
          </w:p>
        </w:tc>
      </w:tr>
      <w:tr w14:paraId="2781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07F787D3">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-37</w:t>
            </w:r>
          </w:p>
        </w:tc>
        <w:tc>
          <w:tcPr>
            <w:tcW w:w="2295" w:type="dxa"/>
            <w:shd w:val="clear" w:color="auto" w:fill="auto"/>
            <w:vAlign w:val="top"/>
          </w:tcPr>
          <w:p w14:paraId="294585A4">
            <w:pPr>
              <w:jc w:val="center"/>
              <w:rPr>
                <w:rFonts w:hint="default" w:ascii="Times New Roman" w:hAnsi="Times New Roman" w:eastAsia="宋体" w:cs="Times New Roman"/>
                <w:kern w:val="2"/>
                <w:sz w:val="21"/>
                <w:szCs w:val="24"/>
                <w:highlight w:val="none"/>
                <w:lang w:val="en-US" w:eastAsia="zh-CN" w:bidi="ar-SA"/>
              </w:rPr>
            </w:pPr>
            <w:r>
              <w:rPr>
                <w:highlight w:val="none"/>
              </w:rPr>
              <w:t>0.0299</w:t>
            </w:r>
          </w:p>
        </w:tc>
        <w:tc>
          <w:tcPr>
            <w:tcW w:w="2232" w:type="dxa"/>
            <w:shd w:val="clear" w:color="auto" w:fill="auto"/>
            <w:vAlign w:val="top"/>
          </w:tcPr>
          <w:p w14:paraId="77AAAB84">
            <w:pPr>
              <w:jc w:val="center"/>
              <w:rPr>
                <w:rFonts w:hint="eastAsia" w:ascii="Times New Roman" w:hAnsi="Times New Roman" w:eastAsia="宋体" w:cs="Times New Roman"/>
                <w:kern w:val="2"/>
                <w:sz w:val="21"/>
                <w:szCs w:val="24"/>
                <w:highlight w:val="none"/>
                <w:lang w:val="en-US" w:eastAsia="zh-CN" w:bidi="ar-SA"/>
              </w:rPr>
            </w:pPr>
            <w:r>
              <w:rPr>
                <w:highlight w:val="none"/>
              </w:rPr>
              <w:t>0.2360</w:t>
            </w:r>
          </w:p>
        </w:tc>
        <w:tc>
          <w:tcPr>
            <w:tcW w:w="2296" w:type="dxa"/>
            <w:shd w:val="clear" w:color="auto" w:fill="auto"/>
            <w:vAlign w:val="top"/>
          </w:tcPr>
          <w:p w14:paraId="2B876ABC">
            <w:pPr>
              <w:jc w:val="center"/>
              <w:rPr>
                <w:rFonts w:hint="default" w:ascii="Times New Roman" w:hAnsi="Times New Roman" w:eastAsia="宋体" w:cs="Times New Roman"/>
                <w:kern w:val="2"/>
                <w:sz w:val="21"/>
                <w:szCs w:val="24"/>
                <w:highlight w:val="none"/>
                <w:lang w:val="en-US" w:eastAsia="zh-CN" w:bidi="ar-SA"/>
              </w:rPr>
            </w:pPr>
            <w:r>
              <w:rPr>
                <w:highlight w:val="none"/>
              </w:rPr>
              <w:t>0.2378</w:t>
            </w:r>
          </w:p>
        </w:tc>
      </w:tr>
      <w:tr w14:paraId="2957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07189866">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-36</w:t>
            </w:r>
          </w:p>
        </w:tc>
        <w:tc>
          <w:tcPr>
            <w:tcW w:w="2295" w:type="dxa"/>
            <w:shd w:val="clear" w:color="auto" w:fill="auto"/>
            <w:vAlign w:val="top"/>
          </w:tcPr>
          <w:p w14:paraId="527B1AA3">
            <w:pPr>
              <w:jc w:val="center"/>
              <w:rPr>
                <w:rFonts w:hint="default" w:ascii="Times New Roman" w:hAnsi="Times New Roman" w:eastAsia="宋体" w:cs="Times New Roman"/>
                <w:kern w:val="2"/>
                <w:sz w:val="21"/>
                <w:szCs w:val="24"/>
                <w:highlight w:val="none"/>
                <w:lang w:val="en-US" w:eastAsia="zh-CN" w:bidi="ar-SA"/>
              </w:rPr>
            </w:pPr>
            <w:r>
              <w:rPr>
                <w:highlight w:val="none"/>
              </w:rPr>
              <w:t>0.0335</w:t>
            </w:r>
          </w:p>
        </w:tc>
        <w:tc>
          <w:tcPr>
            <w:tcW w:w="2232" w:type="dxa"/>
            <w:shd w:val="clear" w:color="auto" w:fill="auto"/>
            <w:vAlign w:val="top"/>
          </w:tcPr>
          <w:p w14:paraId="0FD0430E">
            <w:pPr>
              <w:jc w:val="center"/>
              <w:rPr>
                <w:rFonts w:hint="eastAsia" w:ascii="Times New Roman" w:hAnsi="Times New Roman" w:eastAsia="宋体" w:cs="Times New Roman"/>
                <w:kern w:val="2"/>
                <w:sz w:val="21"/>
                <w:szCs w:val="24"/>
                <w:highlight w:val="none"/>
                <w:lang w:val="en-US" w:eastAsia="zh-CN" w:bidi="ar-SA"/>
              </w:rPr>
            </w:pPr>
            <w:r>
              <w:rPr>
                <w:highlight w:val="none"/>
              </w:rPr>
              <w:t>0.2568</w:t>
            </w:r>
          </w:p>
        </w:tc>
        <w:tc>
          <w:tcPr>
            <w:tcW w:w="2296" w:type="dxa"/>
            <w:shd w:val="clear" w:color="auto" w:fill="auto"/>
            <w:vAlign w:val="top"/>
          </w:tcPr>
          <w:p w14:paraId="7972EE66">
            <w:pPr>
              <w:jc w:val="center"/>
              <w:rPr>
                <w:rFonts w:hint="default" w:ascii="Times New Roman" w:hAnsi="Times New Roman" w:eastAsia="宋体" w:cs="Times New Roman"/>
                <w:kern w:val="2"/>
                <w:sz w:val="21"/>
                <w:szCs w:val="24"/>
                <w:highlight w:val="none"/>
                <w:lang w:val="en-US" w:eastAsia="zh-CN" w:bidi="ar-SA"/>
              </w:rPr>
            </w:pPr>
            <w:r>
              <w:rPr>
                <w:highlight w:val="none"/>
              </w:rPr>
              <w:t>0.2589</w:t>
            </w:r>
          </w:p>
        </w:tc>
      </w:tr>
      <w:tr w14:paraId="2086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3DCF0E06">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-35</w:t>
            </w:r>
          </w:p>
        </w:tc>
        <w:tc>
          <w:tcPr>
            <w:tcW w:w="2295" w:type="dxa"/>
            <w:shd w:val="clear" w:color="auto" w:fill="auto"/>
            <w:vAlign w:val="top"/>
          </w:tcPr>
          <w:p w14:paraId="0C44E991">
            <w:pPr>
              <w:jc w:val="center"/>
              <w:rPr>
                <w:rFonts w:hint="default" w:ascii="Times New Roman" w:hAnsi="Times New Roman" w:eastAsia="宋体" w:cs="Times New Roman"/>
                <w:kern w:val="2"/>
                <w:sz w:val="21"/>
                <w:szCs w:val="24"/>
                <w:highlight w:val="none"/>
                <w:lang w:val="en-US" w:eastAsia="zh-CN" w:bidi="ar-SA"/>
              </w:rPr>
            </w:pPr>
            <w:r>
              <w:rPr>
                <w:highlight w:val="none"/>
              </w:rPr>
              <w:t>0.0376</w:t>
            </w:r>
          </w:p>
        </w:tc>
        <w:tc>
          <w:tcPr>
            <w:tcW w:w="2232" w:type="dxa"/>
            <w:shd w:val="clear" w:color="auto" w:fill="auto"/>
            <w:vAlign w:val="top"/>
          </w:tcPr>
          <w:p w14:paraId="47720502">
            <w:pPr>
              <w:jc w:val="center"/>
              <w:rPr>
                <w:rFonts w:hint="eastAsia" w:ascii="Times New Roman" w:hAnsi="Times New Roman" w:eastAsia="宋体" w:cs="Times New Roman"/>
                <w:kern w:val="2"/>
                <w:sz w:val="21"/>
                <w:szCs w:val="24"/>
                <w:highlight w:val="none"/>
                <w:lang w:val="en-US" w:eastAsia="zh-CN" w:bidi="ar-SA"/>
              </w:rPr>
            </w:pPr>
            <w:r>
              <w:rPr>
                <w:highlight w:val="none"/>
              </w:rPr>
              <w:t>0.2801</w:t>
            </w:r>
          </w:p>
        </w:tc>
        <w:tc>
          <w:tcPr>
            <w:tcW w:w="2296" w:type="dxa"/>
            <w:shd w:val="clear" w:color="auto" w:fill="auto"/>
            <w:vAlign w:val="top"/>
          </w:tcPr>
          <w:p w14:paraId="02827635">
            <w:pPr>
              <w:jc w:val="center"/>
              <w:rPr>
                <w:rFonts w:hint="default" w:ascii="Times New Roman" w:hAnsi="Times New Roman" w:eastAsia="宋体" w:cs="Times New Roman"/>
                <w:kern w:val="2"/>
                <w:sz w:val="21"/>
                <w:szCs w:val="24"/>
                <w:highlight w:val="none"/>
                <w:lang w:val="en-US" w:eastAsia="zh-CN" w:bidi="ar-SA"/>
              </w:rPr>
            </w:pPr>
            <w:r>
              <w:rPr>
                <w:highlight w:val="none"/>
              </w:rPr>
              <w:t>0.2826</w:t>
            </w:r>
          </w:p>
        </w:tc>
      </w:tr>
      <w:tr w14:paraId="56E85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584D6017">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-34</w:t>
            </w:r>
          </w:p>
        </w:tc>
        <w:tc>
          <w:tcPr>
            <w:tcW w:w="2295" w:type="dxa"/>
            <w:shd w:val="clear" w:color="auto" w:fill="auto"/>
            <w:vAlign w:val="top"/>
          </w:tcPr>
          <w:p w14:paraId="6441A808">
            <w:pPr>
              <w:jc w:val="center"/>
              <w:rPr>
                <w:rFonts w:hint="default" w:ascii="Times New Roman" w:hAnsi="Times New Roman" w:eastAsia="宋体" w:cs="Times New Roman"/>
                <w:kern w:val="2"/>
                <w:sz w:val="21"/>
                <w:szCs w:val="24"/>
                <w:highlight w:val="none"/>
                <w:lang w:val="en-US" w:eastAsia="zh-CN" w:bidi="ar-SA"/>
              </w:rPr>
            </w:pPr>
            <w:r>
              <w:rPr>
                <w:highlight w:val="none"/>
              </w:rPr>
              <w:t>0.0424</w:t>
            </w:r>
          </w:p>
        </w:tc>
        <w:tc>
          <w:tcPr>
            <w:tcW w:w="2232" w:type="dxa"/>
            <w:shd w:val="clear" w:color="auto" w:fill="auto"/>
            <w:vAlign w:val="top"/>
          </w:tcPr>
          <w:p w14:paraId="437387E9">
            <w:pPr>
              <w:jc w:val="center"/>
              <w:rPr>
                <w:rFonts w:hint="eastAsia" w:ascii="Times New Roman" w:hAnsi="Times New Roman" w:eastAsia="宋体" w:cs="Times New Roman"/>
                <w:kern w:val="2"/>
                <w:sz w:val="21"/>
                <w:szCs w:val="24"/>
                <w:highlight w:val="none"/>
                <w:lang w:val="en-US" w:eastAsia="zh-CN" w:bidi="ar-SA"/>
              </w:rPr>
            </w:pPr>
            <w:r>
              <w:rPr>
                <w:highlight w:val="none"/>
              </w:rPr>
              <w:t>0.3064</w:t>
            </w:r>
          </w:p>
        </w:tc>
        <w:tc>
          <w:tcPr>
            <w:tcW w:w="2296" w:type="dxa"/>
            <w:shd w:val="clear" w:color="auto" w:fill="auto"/>
            <w:vAlign w:val="top"/>
          </w:tcPr>
          <w:p w14:paraId="5218B3A0">
            <w:pPr>
              <w:jc w:val="center"/>
              <w:rPr>
                <w:rFonts w:hint="default" w:ascii="Times New Roman" w:hAnsi="Times New Roman" w:eastAsia="宋体" w:cs="Times New Roman"/>
                <w:kern w:val="2"/>
                <w:sz w:val="21"/>
                <w:szCs w:val="24"/>
                <w:highlight w:val="none"/>
                <w:lang w:val="en-US" w:eastAsia="zh-CN" w:bidi="ar-SA"/>
              </w:rPr>
            </w:pPr>
            <w:r>
              <w:rPr>
                <w:highlight w:val="none"/>
              </w:rPr>
              <w:t>0.3093</w:t>
            </w:r>
          </w:p>
        </w:tc>
      </w:tr>
      <w:tr w14:paraId="4FB3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721D8383">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-33</w:t>
            </w:r>
          </w:p>
        </w:tc>
        <w:tc>
          <w:tcPr>
            <w:tcW w:w="2295" w:type="dxa"/>
            <w:shd w:val="clear" w:color="auto" w:fill="auto"/>
            <w:vAlign w:val="top"/>
          </w:tcPr>
          <w:p w14:paraId="0121F156">
            <w:pPr>
              <w:jc w:val="center"/>
              <w:rPr>
                <w:rFonts w:hint="default" w:ascii="Times New Roman" w:hAnsi="Times New Roman" w:eastAsia="宋体" w:cs="Times New Roman"/>
                <w:kern w:val="2"/>
                <w:sz w:val="21"/>
                <w:szCs w:val="24"/>
                <w:highlight w:val="none"/>
                <w:lang w:val="en-US" w:eastAsia="zh-CN" w:bidi="ar-SA"/>
              </w:rPr>
            </w:pPr>
            <w:r>
              <w:rPr>
                <w:highlight w:val="none"/>
              </w:rPr>
              <w:t>0.0480</w:t>
            </w:r>
          </w:p>
        </w:tc>
        <w:tc>
          <w:tcPr>
            <w:tcW w:w="2232" w:type="dxa"/>
            <w:shd w:val="clear" w:color="auto" w:fill="auto"/>
            <w:vAlign w:val="top"/>
          </w:tcPr>
          <w:p w14:paraId="7DA6D48C">
            <w:pPr>
              <w:jc w:val="center"/>
              <w:rPr>
                <w:rFonts w:hint="eastAsia" w:ascii="Times New Roman" w:hAnsi="Times New Roman" w:eastAsia="宋体" w:cs="Times New Roman"/>
                <w:kern w:val="2"/>
                <w:sz w:val="21"/>
                <w:szCs w:val="24"/>
                <w:highlight w:val="none"/>
                <w:lang w:val="en-US" w:eastAsia="zh-CN" w:bidi="ar-SA"/>
              </w:rPr>
            </w:pPr>
            <w:r>
              <w:rPr>
                <w:highlight w:val="none"/>
              </w:rPr>
              <w:t>0.3360</w:t>
            </w:r>
          </w:p>
        </w:tc>
        <w:tc>
          <w:tcPr>
            <w:tcW w:w="2296" w:type="dxa"/>
            <w:shd w:val="clear" w:color="auto" w:fill="auto"/>
            <w:vAlign w:val="top"/>
          </w:tcPr>
          <w:p w14:paraId="7A4AB16C">
            <w:pPr>
              <w:jc w:val="center"/>
              <w:rPr>
                <w:rFonts w:hint="default" w:ascii="Times New Roman" w:hAnsi="Times New Roman" w:eastAsia="宋体" w:cs="Times New Roman"/>
                <w:kern w:val="2"/>
                <w:sz w:val="21"/>
                <w:szCs w:val="24"/>
                <w:highlight w:val="none"/>
                <w:lang w:val="en-US" w:eastAsia="zh-CN" w:bidi="ar-SA"/>
              </w:rPr>
            </w:pPr>
            <w:r>
              <w:rPr>
                <w:highlight w:val="none"/>
              </w:rPr>
              <w:t>0.3394</w:t>
            </w:r>
          </w:p>
        </w:tc>
      </w:tr>
      <w:tr w14:paraId="2EBC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1C0C5256">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-32</w:t>
            </w:r>
          </w:p>
        </w:tc>
        <w:tc>
          <w:tcPr>
            <w:tcW w:w="2295" w:type="dxa"/>
            <w:shd w:val="clear" w:color="auto" w:fill="auto"/>
            <w:vAlign w:val="top"/>
          </w:tcPr>
          <w:p w14:paraId="679913ED">
            <w:pPr>
              <w:jc w:val="center"/>
              <w:rPr>
                <w:rFonts w:hint="default" w:ascii="Times New Roman" w:hAnsi="Times New Roman" w:eastAsia="宋体" w:cs="Times New Roman"/>
                <w:kern w:val="2"/>
                <w:sz w:val="21"/>
                <w:szCs w:val="24"/>
                <w:highlight w:val="none"/>
                <w:lang w:val="en-US" w:eastAsia="zh-CN" w:bidi="ar-SA"/>
              </w:rPr>
            </w:pPr>
            <w:r>
              <w:rPr>
                <w:highlight w:val="none"/>
              </w:rPr>
              <w:t>0.0546</w:t>
            </w:r>
          </w:p>
        </w:tc>
        <w:tc>
          <w:tcPr>
            <w:tcW w:w="2232" w:type="dxa"/>
            <w:shd w:val="clear" w:color="auto" w:fill="auto"/>
            <w:vAlign w:val="top"/>
          </w:tcPr>
          <w:p w14:paraId="77EFD998">
            <w:pPr>
              <w:jc w:val="center"/>
              <w:rPr>
                <w:rFonts w:hint="eastAsia" w:ascii="Times New Roman" w:hAnsi="Times New Roman" w:eastAsia="宋体" w:cs="Times New Roman"/>
                <w:kern w:val="2"/>
                <w:sz w:val="21"/>
                <w:szCs w:val="24"/>
                <w:highlight w:val="none"/>
                <w:lang w:val="en-US" w:eastAsia="zh-CN" w:bidi="ar-SA"/>
              </w:rPr>
            </w:pPr>
            <w:r>
              <w:rPr>
                <w:highlight w:val="none"/>
              </w:rPr>
              <w:t>0.3696</w:t>
            </w:r>
          </w:p>
        </w:tc>
        <w:tc>
          <w:tcPr>
            <w:tcW w:w="2296" w:type="dxa"/>
            <w:shd w:val="clear" w:color="auto" w:fill="auto"/>
            <w:vAlign w:val="top"/>
          </w:tcPr>
          <w:p w14:paraId="57D97A2B">
            <w:pPr>
              <w:jc w:val="center"/>
              <w:rPr>
                <w:rFonts w:hint="default" w:ascii="Times New Roman" w:hAnsi="Times New Roman" w:eastAsia="宋体" w:cs="Times New Roman"/>
                <w:kern w:val="2"/>
                <w:sz w:val="21"/>
                <w:szCs w:val="24"/>
                <w:highlight w:val="none"/>
                <w:lang w:val="en-US" w:eastAsia="zh-CN" w:bidi="ar-SA"/>
              </w:rPr>
            </w:pPr>
            <w:r>
              <w:rPr>
                <w:highlight w:val="none"/>
              </w:rPr>
              <w:t>0.3736</w:t>
            </w:r>
          </w:p>
        </w:tc>
      </w:tr>
      <w:tr w14:paraId="4B38D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61345F82">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-31</w:t>
            </w:r>
          </w:p>
        </w:tc>
        <w:tc>
          <w:tcPr>
            <w:tcW w:w="2295" w:type="dxa"/>
            <w:shd w:val="clear" w:color="auto" w:fill="auto"/>
            <w:vAlign w:val="top"/>
          </w:tcPr>
          <w:p w14:paraId="613CBEB2">
            <w:pPr>
              <w:jc w:val="center"/>
              <w:rPr>
                <w:rFonts w:hint="default" w:ascii="Times New Roman" w:hAnsi="Times New Roman" w:eastAsia="宋体" w:cs="Times New Roman"/>
                <w:kern w:val="2"/>
                <w:sz w:val="21"/>
                <w:szCs w:val="24"/>
                <w:highlight w:val="none"/>
                <w:lang w:val="en-US" w:eastAsia="zh-CN" w:bidi="ar-SA"/>
              </w:rPr>
            </w:pPr>
            <w:r>
              <w:rPr>
                <w:highlight w:val="none"/>
              </w:rPr>
              <w:t>0.0623</w:t>
            </w:r>
          </w:p>
        </w:tc>
        <w:tc>
          <w:tcPr>
            <w:tcW w:w="2232" w:type="dxa"/>
            <w:shd w:val="clear" w:color="auto" w:fill="auto"/>
            <w:vAlign w:val="top"/>
          </w:tcPr>
          <w:p w14:paraId="403F91F8">
            <w:pPr>
              <w:jc w:val="center"/>
              <w:rPr>
                <w:rFonts w:hint="eastAsia" w:ascii="Times New Roman" w:hAnsi="Times New Roman" w:eastAsia="宋体" w:cs="Times New Roman"/>
                <w:kern w:val="2"/>
                <w:sz w:val="21"/>
                <w:szCs w:val="24"/>
                <w:highlight w:val="none"/>
                <w:lang w:val="en-US" w:eastAsia="zh-CN" w:bidi="ar-SA"/>
              </w:rPr>
            </w:pPr>
            <w:r>
              <w:rPr>
                <w:highlight w:val="none"/>
              </w:rPr>
              <w:t>0.4078</w:t>
            </w:r>
          </w:p>
        </w:tc>
        <w:tc>
          <w:tcPr>
            <w:tcW w:w="2296" w:type="dxa"/>
            <w:shd w:val="clear" w:color="auto" w:fill="auto"/>
            <w:vAlign w:val="top"/>
          </w:tcPr>
          <w:p w14:paraId="09838C66">
            <w:pPr>
              <w:jc w:val="center"/>
              <w:rPr>
                <w:rFonts w:hint="default" w:ascii="Times New Roman" w:hAnsi="Times New Roman" w:eastAsia="宋体" w:cs="Times New Roman"/>
                <w:kern w:val="2"/>
                <w:sz w:val="21"/>
                <w:szCs w:val="24"/>
                <w:highlight w:val="none"/>
                <w:lang w:val="en-US" w:eastAsia="zh-CN" w:bidi="ar-SA"/>
              </w:rPr>
            </w:pPr>
            <w:r>
              <w:rPr>
                <w:highlight w:val="none"/>
              </w:rPr>
              <w:t>0.4126</w:t>
            </w:r>
          </w:p>
        </w:tc>
      </w:tr>
      <w:tr w14:paraId="1533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7D670AB8">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-30</w:t>
            </w:r>
          </w:p>
        </w:tc>
        <w:tc>
          <w:tcPr>
            <w:tcW w:w="2295" w:type="dxa"/>
            <w:shd w:val="clear" w:color="auto" w:fill="auto"/>
            <w:vAlign w:val="top"/>
          </w:tcPr>
          <w:p w14:paraId="3EC0EE82">
            <w:pPr>
              <w:jc w:val="center"/>
              <w:rPr>
                <w:rFonts w:hint="default" w:ascii="Times New Roman" w:hAnsi="Times New Roman" w:eastAsia="宋体" w:cs="Times New Roman"/>
                <w:kern w:val="2"/>
                <w:sz w:val="21"/>
                <w:szCs w:val="24"/>
                <w:highlight w:val="none"/>
                <w:lang w:val="en-US" w:eastAsia="zh-CN" w:bidi="ar-SA"/>
              </w:rPr>
            </w:pPr>
            <w:r>
              <w:rPr>
                <w:highlight w:val="none"/>
              </w:rPr>
              <w:t>0.0714</w:t>
            </w:r>
          </w:p>
        </w:tc>
        <w:tc>
          <w:tcPr>
            <w:tcW w:w="2232" w:type="dxa"/>
            <w:shd w:val="clear" w:color="auto" w:fill="auto"/>
            <w:vAlign w:val="top"/>
          </w:tcPr>
          <w:p w14:paraId="5BDF4415">
            <w:pPr>
              <w:jc w:val="center"/>
              <w:rPr>
                <w:rFonts w:hint="eastAsia" w:ascii="Times New Roman" w:hAnsi="Times New Roman" w:eastAsia="宋体" w:cs="Times New Roman"/>
                <w:kern w:val="2"/>
                <w:sz w:val="21"/>
                <w:szCs w:val="24"/>
                <w:highlight w:val="none"/>
                <w:lang w:val="en-US" w:eastAsia="zh-CN" w:bidi="ar-SA"/>
              </w:rPr>
            </w:pPr>
            <w:r>
              <w:rPr>
                <w:highlight w:val="none"/>
              </w:rPr>
              <w:t>0.4515</w:t>
            </w:r>
          </w:p>
        </w:tc>
        <w:tc>
          <w:tcPr>
            <w:tcW w:w="2296" w:type="dxa"/>
            <w:shd w:val="clear" w:color="auto" w:fill="auto"/>
            <w:vAlign w:val="top"/>
          </w:tcPr>
          <w:p w14:paraId="1FE70ED7">
            <w:pPr>
              <w:jc w:val="center"/>
              <w:rPr>
                <w:rFonts w:hint="default" w:ascii="Times New Roman" w:hAnsi="Times New Roman" w:eastAsia="宋体" w:cs="Times New Roman"/>
                <w:kern w:val="2"/>
                <w:sz w:val="21"/>
                <w:szCs w:val="24"/>
                <w:highlight w:val="none"/>
                <w:lang w:val="en-US" w:eastAsia="zh-CN" w:bidi="ar-SA"/>
              </w:rPr>
            </w:pPr>
            <w:r>
              <w:rPr>
                <w:highlight w:val="none"/>
              </w:rPr>
              <w:t>0.4571</w:t>
            </w:r>
          </w:p>
        </w:tc>
      </w:tr>
      <w:tr w14:paraId="2279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1747537B">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-29</w:t>
            </w:r>
          </w:p>
        </w:tc>
        <w:tc>
          <w:tcPr>
            <w:tcW w:w="2295" w:type="dxa"/>
            <w:shd w:val="clear" w:color="auto" w:fill="auto"/>
            <w:vAlign w:val="top"/>
          </w:tcPr>
          <w:p w14:paraId="39CB74D2">
            <w:pPr>
              <w:jc w:val="center"/>
              <w:rPr>
                <w:rFonts w:hint="default" w:ascii="Times New Roman" w:hAnsi="Times New Roman" w:eastAsia="宋体" w:cs="Times New Roman"/>
                <w:kern w:val="2"/>
                <w:sz w:val="21"/>
                <w:szCs w:val="24"/>
                <w:highlight w:val="none"/>
                <w:lang w:val="en-US" w:eastAsia="zh-CN" w:bidi="ar-SA"/>
              </w:rPr>
            </w:pPr>
            <w:r>
              <w:rPr>
                <w:highlight w:val="none"/>
              </w:rPr>
              <w:t>0.0822</w:t>
            </w:r>
          </w:p>
        </w:tc>
        <w:tc>
          <w:tcPr>
            <w:tcW w:w="2232" w:type="dxa"/>
            <w:shd w:val="clear" w:color="auto" w:fill="auto"/>
            <w:vAlign w:val="top"/>
          </w:tcPr>
          <w:p w14:paraId="1F7FC25A">
            <w:pPr>
              <w:jc w:val="center"/>
              <w:rPr>
                <w:rFonts w:hint="eastAsia" w:ascii="Times New Roman" w:hAnsi="Times New Roman" w:eastAsia="宋体" w:cs="Times New Roman"/>
                <w:kern w:val="2"/>
                <w:sz w:val="21"/>
                <w:szCs w:val="24"/>
                <w:highlight w:val="none"/>
                <w:lang w:val="en-US" w:eastAsia="zh-CN" w:bidi="ar-SA"/>
              </w:rPr>
            </w:pPr>
            <w:r>
              <w:rPr>
                <w:highlight w:val="none"/>
              </w:rPr>
              <w:t>0.5016</w:t>
            </w:r>
          </w:p>
        </w:tc>
        <w:tc>
          <w:tcPr>
            <w:tcW w:w="2296" w:type="dxa"/>
            <w:shd w:val="clear" w:color="auto" w:fill="auto"/>
            <w:vAlign w:val="top"/>
          </w:tcPr>
          <w:p w14:paraId="70B31C7B">
            <w:pPr>
              <w:jc w:val="center"/>
              <w:rPr>
                <w:rFonts w:hint="default" w:ascii="Times New Roman" w:hAnsi="Times New Roman" w:eastAsia="宋体" w:cs="Times New Roman"/>
                <w:kern w:val="2"/>
                <w:sz w:val="21"/>
                <w:szCs w:val="24"/>
                <w:highlight w:val="none"/>
                <w:lang w:val="en-US" w:eastAsia="zh-CN" w:bidi="ar-SA"/>
              </w:rPr>
            </w:pPr>
            <w:r>
              <w:rPr>
                <w:highlight w:val="none"/>
              </w:rPr>
              <w:t>0.5083</w:t>
            </w:r>
          </w:p>
        </w:tc>
      </w:tr>
      <w:tr w14:paraId="3075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2826EF1E">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-28</w:t>
            </w:r>
          </w:p>
        </w:tc>
        <w:tc>
          <w:tcPr>
            <w:tcW w:w="2295" w:type="dxa"/>
            <w:shd w:val="clear" w:color="auto" w:fill="auto"/>
            <w:vAlign w:val="top"/>
          </w:tcPr>
          <w:p w14:paraId="550C2557">
            <w:pPr>
              <w:jc w:val="center"/>
              <w:rPr>
                <w:rFonts w:hint="default" w:ascii="Times New Roman" w:hAnsi="Times New Roman" w:eastAsia="宋体" w:cs="Times New Roman"/>
                <w:kern w:val="2"/>
                <w:sz w:val="21"/>
                <w:szCs w:val="24"/>
                <w:highlight w:val="none"/>
                <w:lang w:val="en-US" w:eastAsia="zh-CN" w:bidi="ar-SA"/>
              </w:rPr>
            </w:pPr>
            <w:r>
              <w:rPr>
                <w:highlight w:val="none"/>
              </w:rPr>
              <w:t>0.0950</w:t>
            </w:r>
          </w:p>
        </w:tc>
        <w:tc>
          <w:tcPr>
            <w:tcW w:w="2232" w:type="dxa"/>
            <w:shd w:val="clear" w:color="auto" w:fill="auto"/>
            <w:vAlign w:val="top"/>
          </w:tcPr>
          <w:p w14:paraId="4FEEC565">
            <w:pPr>
              <w:jc w:val="center"/>
              <w:rPr>
                <w:rFonts w:hint="eastAsia" w:ascii="Times New Roman" w:hAnsi="Times New Roman" w:eastAsia="宋体" w:cs="Times New Roman"/>
                <w:kern w:val="2"/>
                <w:sz w:val="21"/>
                <w:szCs w:val="24"/>
                <w:highlight w:val="none"/>
                <w:lang w:val="en-US" w:eastAsia="zh-CN" w:bidi="ar-SA"/>
              </w:rPr>
            </w:pPr>
            <w:r>
              <w:rPr>
                <w:highlight w:val="none"/>
              </w:rPr>
              <w:t>0.5593</w:t>
            </w:r>
          </w:p>
        </w:tc>
        <w:tc>
          <w:tcPr>
            <w:tcW w:w="2296" w:type="dxa"/>
            <w:shd w:val="clear" w:color="auto" w:fill="auto"/>
            <w:vAlign w:val="top"/>
          </w:tcPr>
          <w:p w14:paraId="48504C90">
            <w:pPr>
              <w:jc w:val="center"/>
              <w:rPr>
                <w:rFonts w:hint="default" w:ascii="Times New Roman" w:hAnsi="Times New Roman" w:eastAsia="宋体" w:cs="Times New Roman"/>
                <w:kern w:val="2"/>
                <w:sz w:val="21"/>
                <w:szCs w:val="24"/>
                <w:highlight w:val="none"/>
                <w:lang w:val="en-US" w:eastAsia="zh-CN" w:bidi="ar-SA"/>
              </w:rPr>
            </w:pPr>
            <w:r>
              <w:rPr>
                <w:highlight w:val="none"/>
              </w:rPr>
              <w:t>0.5673</w:t>
            </w:r>
          </w:p>
        </w:tc>
      </w:tr>
      <w:tr w14:paraId="3BBF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2FFCB600">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-27</w:t>
            </w:r>
          </w:p>
        </w:tc>
        <w:tc>
          <w:tcPr>
            <w:tcW w:w="2295" w:type="dxa"/>
            <w:shd w:val="clear" w:color="auto" w:fill="auto"/>
            <w:vAlign w:val="top"/>
          </w:tcPr>
          <w:p w14:paraId="120C93A1">
            <w:pPr>
              <w:jc w:val="center"/>
              <w:rPr>
                <w:rFonts w:hint="default" w:ascii="Times New Roman" w:hAnsi="Times New Roman" w:eastAsia="宋体" w:cs="Times New Roman"/>
                <w:kern w:val="2"/>
                <w:sz w:val="21"/>
                <w:szCs w:val="24"/>
                <w:highlight w:val="none"/>
                <w:lang w:val="en-US" w:eastAsia="zh-CN" w:bidi="ar-SA"/>
              </w:rPr>
            </w:pPr>
            <w:r>
              <w:rPr>
                <w:highlight w:val="none"/>
              </w:rPr>
              <w:t>0.1104</w:t>
            </w:r>
          </w:p>
        </w:tc>
        <w:tc>
          <w:tcPr>
            <w:tcW w:w="2232" w:type="dxa"/>
            <w:shd w:val="clear" w:color="auto" w:fill="auto"/>
            <w:vAlign w:val="top"/>
          </w:tcPr>
          <w:p w14:paraId="34B32C2D">
            <w:pPr>
              <w:jc w:val="center"/>
              <w:rPr>
                <w:rFonts w:hint="eastAsia" w:ascii="Times New Roman" w:hAnsi="Times New Roman" w:eastAsia="宋体" w:cs="Times New Roman"/>
                <w:kern w:val="2"/>
                <w:sz w:val="21"/>
                <w:szCs w:val="24"/>
                <w:highlight w:val="none"/>
                <w:lang w:val="en-US" w:eastAsia="zh-CN" w:bidi="ar-SA"/>
              </w:rPr>
            </w:pPr>
            <w:r>
              <w:rPr>
                <w:highlight w:val="none"/>
              </w:rPr>
              <w:t>0.6261</w:t>
            </w:r>
          </w:p>
        </w:tc>
        <w:tc>
          <w:tcPr>
            <w:tcW w:w="2296" w:type="dxa"/>
            <w:shd w:val="clear" w:color="auto" w:fill="auto"/>
            <w:vAlign w:val="top"/>
          </w:tcPr>
          <w:p w14:paraId="09D610EB">
            <w:pPr>
              <w:jc w:val="center"/>
              <w:rPr>
                <w:rFonts w:hint="default" w:ascii="Times New Roman" w:hAnsi="Times New Roman" w:eastAsia="宋体" w:cs="Times New Roman"/>
                <w:kern w:val="2"/>
                <w:sz w:val="21"/>
                <w:szCs w:val="24"/>
                <w:highlight w:val="none"/>
                <w:lang w:val="en-US" w:eastAsia="zh-CN" w:bidi="ar-SA"/>
              </w:rPr>
            </w:pPr>
            <w:r>
              <w:rPr>
                <w:highlight w:val="none"/>
              </w:rPr>
              <w:t>0.6358</w:t>
            </w:r>
          </w:p>
        </w:tc>
      </w:tr>
      <w:tr w14:paraId="4C24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38D17EBD">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-26</w:t>
            </w:r>
          </w:p>
        </w:tc>
        <w:tc>
          <w:tcPr>
            <w:tcW w:w="2295" w:type="dxa"/>
            <w:shd w:val="clear" w:color="auto" w:fill="auto"/>
            <w:vAlign w:val="top"/>
          </w:tcPr>
          <w:p w14:paraId="461B3167">
            <w:pPr>
              <w:jc w:val="center"/>
              <w:rPr>
                <w:rFonts w:hint="default" w:ascii="Times New Roman" w:hAnsi="Times New Roman" w:eastAsia="宋体" w:cs="Times New Roman"/>
                <w:kern w:val="2"/>
                <w:sz w:val="21"/>
                <w:szCs w:val="24"/>
                <w:highlight w:val="none"/>
                <w:lang w:val="en-US" w:eastAsia="zh-CN" w:bidi="ar-SA"/>
              </w:rPr>
            </w:pPr>
            <w:r>
              <w:rPr>
                <w:highlight w:val="none"/>
              </w:rPr>
              <w:t>0.1290</w:t>
            </w:r>
          </w:p>
        </w:tc>
        <w:tc>
          <w:tcPr>
            <w:tcW w:w="2232" w:type="dxa"/>
            <w:shd w:val="clear" w:color="auto" w:fill="auto"/>
            <w:vAlign w:val="top"/>
          </w:tcPr>
          <w:p w14:paraId="42CA7948">
            <w:pPr>
              <w:jc w:val="center"/>
              <w:rPr>
                <w:rFonts w:hint="eastAsia" w:ascii="Times New Roman" w:hAnsi="Times New Roman" w:eastAsia="宋体" w:cs="Times New Roman"/>
                <w:kern w:val="2"/>
                <w:sz w:val="21"/>
                <w:szCs w:val="24"/>
                <w:highlight w:val="none"/>
                <w:lang w:val="en-US" w:eastAsia="zh-CN" w:bidi="ar-SA"/>
              </w:rPr>
            </w:pPr>
            <w:r>
              <w:rPr>
                <w:highlight w:val="none"/>
              </w:rPr>
              <w:t>0.7039</w:t>
            </w:r>
          </w:p>
        </w:tc>
        <w:tc>
          <w:tcPr>
            <w:tcW w:w="2296" w:type="dxa"/>
            <w:shd w:val="clear" w:color="auto" w:fill="auto"/>
            <w:vAlign w:val="top"/>
          </w:tcPr>
          <w:p w14:paraId="3BB0B510">
            <w:pPr>
              <w:jc w:val="center"/>
              <w:rPr>
                <w:rFonts w:hint="default" w:ascii="Times New Roman" w:hAnsi="Times New Roman" w:eastAsia="宋体" w:cs="Times New Roman"/>
                <w:kern w:val="2"/>
                <w:sz w:val="21"/>
                <w:szCs w:val="24"/>
                <w:highlight w:val="none"/>
                <w:lang w:val="en-US" w:eastAsia="zh-CN" w:bidi="ar-SA"/>
              </w:rPr>
            </w:pPr>
            <w:r>
              <w:rPr>
                <w:highlight w:val="none"/>
              </w:rPr>
              <w:t>0.7156</w:t>
            </w:r>
          </w:p>
        </w:tc>
      </w:tr>
      <w:tr w14:paraId="4542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1155AB6E">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-25</w:t>
            </w:r>
          </w:p>
        </w:tc>
        <w:tc>
          <w:tcPr>
            <w:tcW w:w="2295" w:type="dxa"/>
            <w:shd w:val="clear" w:color="auto" w:fill="auto"/>
            <w:vAlign w:val="top"/>
          </w:tcPr>
          <w:p w14:paraId="58007153">
            <w:pPr>
              <w:jc w:val="center"/>
              <w:rPr>
                <w:rFonts w:hint="default" w:ascii="Times New Roman" w:hAnsi="Times New Roman" w:eastAsia="宋体" w:cs="Times New Roman"/>
                <w:kern w:val="2"/>
                <w:sz w:val="21"/>
                <w:szCs w:val="24"/>
                <w:highlight w:val="none"/>
                <w:lang w:val="en-US" w:eastAsia="zh-CN" w:bidi="ar-SA"/>
              </w:rPr>
            </w:pPr>
            <w:r>
              <w:rPr>
                <w:highlight w:val="none"/>
              </w:rPr>
              <w:t>0.1515</w:t>
            </w:r>
          </w:p>
        </w:tc>
        <w:tc>
          <w:tcPr>
            <w:tcW w:w="2232" w:type="dxa"/>
            <w:shd w:val="clear" w:color="auto" w:fill="auto"/>
            <w:vAlign w:val="top"/>
          </w:tcPr>
          <w:p w14:paraId="11D90CD9">
            <w:pPr>
              <w:jc w:val="center"/>
              <w:rPr>
                <w:rFonts w:hint="eastAsia" w:ascii="Times New Roman" w:hAnsi="Times New Roman" w:eastAsia="宋体" w:cs="Times New Roman"/>
                <w:kern w:val="2"/>
                <w:sz w:val="21"/>
                <w:szCs w:val="24"/>
                <w:highlight w:val="none"/>
                <w:lang w:val="en-US" w:eastAsia="zh-CN" w:bidi="ar-SA"/>
              </w:rPr>
            </w:pPr>
            <w:r>
              <w:rPr>
                <w:highlight w:val="none"/>
              </w:rPr>
              <w:t>0.7949</w:t>
            </w:r>
          </w:p>
        </w:tc>
        <w:tc>
          <w:tcPr>
            <w:tcW w:w="2296" w:type="dxa"/>
            <w:shd w:val="clear" w:color="auto" w:fill="auto"/>
            <w:vAlign w:val="top"/>
          </w:tcPr>
          <w:p w14:paraId="31E46CA3">
            <w:pPr>
              <w:jc w:val="center"/>
              <w:rPr>
                <w:rFonts w:hint="default" w:ascii="Times New Roman" w:hAnsi="Times New Roman" w:eastAsia="宋体" w:cs="Times New Roman"/>
                <w:kern w:val="2"/>
                <w:sz w:val="21"/>
                <w:szCs w:val="24"/>
                <w:highlight w:val="none"/>
                <w:lang w:val="en-US" w:eastAsia="zh-CN" w:bidi="ar-SA"/>
              </w:rPr>
            </w:pPr>
            <w:r>
              <w:rPr>
                <w:highlight w:val="none"/>
              </w:rPr>
              <w:t>0.8092</w:t>
            </w:r>
          </w:p>
        </w:tc>
      </w:tr>
      <w:tr w14:paraId="5CD1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7246AE84">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-24</w:t>
            </w:r>
          </w:p>
        </w:tc>
        <w:tc>
          <w:tcPr>
            <w:tcW w:w="2295" w:type="dxa"/>
            <w:shd w:val="clear" w:color="auto" w:fill="auto"/>
            <w:vAlign w:val="top"/>
          </w:tcPr>
          <w:p w14:paraId="0A727141">
            <w:pPr>
              <w:jc w:val="center"/>
              <w:rPr>
                <w:rFonts w:hint="default" w:ascii="Times New Roman" w:hAnsi="Times New Roman" w:eastAsia="宋体" w:cs="Times New Roman"/>
                <w:kern w:val="2"/>
                <w:sz w:val="21"/>
                <w:szCs w:val="24"/>
                <w:highlight w:val="none"/>
                <w:lang w:val="en-US" w:eastAsia="zh-CN" w:bidi="ar-SA"/>
              </w:rPr>
            </w:pPr>
            <w:r>
              <w:rPr>
                <w:highlight w:val="none"/>
              </w:rPr>
              <w:t>0.1790</w:t>
            </w:r>
          </w:p>
        </w:tc>
        <w:tc>
          <w:tcPr>
            <w:tcW w:w="2232" w:type="dxa"/>
            <w:shd w:val="clear" w:color="auto" w:fill="auto"/>
            <w:vAlign w:val="top"/>
          </w:tcPr>
          <w:p w14:paraId="004A5580">
            <w:pPr>
              <w:jc w:val="center"/>
              <w:rPr>
                <w:rFonts w:hint="eastAsia" w:ascii="Times New Roman" w:hAnsi="Times New Roman" w:eastAsia="宋体" w:cs="Times New Roman"/>
                <w:kern w:val="2"/>
                <w:sz w:val="21"/>
                <w:szCs w:val="24"/>
                <w:highlight w:val="none"/>
                <w:lang w:val="en-US" w:eastAsia="zh-CN" w:bidi="ar-SA"/>
              </w:rPr>
            </w:pPr>
            <w:r>
              <w:rPr>
                <w:highlight w:val="none"/>
              </w:rPr>
              <w:t>0.9019</w:t>
            </w:r>
          </w:p>
        </w:tc>
        <w:tc>
          <w:tcPr>
            <w:tcW w:w="2296" w:type="dxa"/>
            <w:shd w:val="clear" w:color="auto" w:fill="auto"/>
            <w:vAlign w:val="top"/>
          </w:tcPr>
          <w:p w14:paraId="463D6526">
            <w:pPr>
              <w:jc w:val="center"/>
              <w:rPr>
                <w:rFonts w:hint="default" w:ascii="Times New Roman" w:hAnsi="Times New Roman" w:eastAsia="宋体" w:cs="Times New Roman"/>
                <w:kern w:val="2"/>
                <w:sz w:val="21"/>
                <w:szCs w:val="24"/>
                <w:highlight w:val="none"/>
                <w:lang w:val="en-US" w:eastAsia="zh-CN" w:bidi="ar-SA"/>
              </w:rPr>
            </w:pPr>
            <w:r>
              <w:rPr>
                <w:highlight w:val="none"/>
              </w:rPr>
              <w:t>0.9194</w:t>
            </w:r>
          </w:p>
        </w:tc>
      </w:tr>
      <w:tr w14:paraId="4E72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3A87014D">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-23</w:t>
            </w:r>
          </w:p>
        </w:tc>
        <w:tc>
          <w:tcPr>
            <w:tcW w:w="2295" w:type="dxa"/>
            <w:shd w:val="clear" w:color="auto" w:fill="auto"/>
            <w:vAlign w:val="top"/>
          </w:tcPr>
          <w:p w14:paraId="51FE1005">
            <w:pPr>
              <w:jc w:val="center"/>
              <w:rPr>
                <w:rFonts w:hint="default" w:ascii="Times New Roman" w:hAnsi="Times New Roman" w:eastAsia="宋体" w:cs="Times New Roman"/>
                <w:kern w:val="2"/>
                <w:sz w:val="21"/>
                <w:szCs w:val="24"/>
                <w:highlight w:val="none"/>
                <w:lang w:val="en-US" w:eastAsia="zh-CN" w:bidi="ar-SA"/>
              </w:rPr>
            </w:pPr>
            <w:r>
              <w:rPr>
                <w:highlight w:val="none"/>
              </w:rPr>
              <w:t>0.2125</w:t>
            </w:r>
          </w:p>
        </w:tc>
        <w:tc>
          <w:tcPr>
            <w:tcW w:w="2232" w:type="dxa"/>
            <w:shd w:val="clear" w:color="auto" w:fill="auto"/>
            <w:vAlign w:val="top"/>
          </w:tcPr>
          <w:p w14:paraId="61487BFE">
            <w:pPr>
              <w:jc w:val="center"/>
              <w:rPr>
                <w:rFonts w:hint="eastAsia" w:ascii="Times New Roman" w:hAnsi="Times New Roman" w:eastAsia="宋体" w:cs="Times New Roman"/>
                <w:kern w:val="2"/>
                <w:sz w:val="21"/>
                <w:szCs w:val="24"/>
                <w:highlight w:val="none"/>
                <w:lang w:val="en-US" w:eastAsia="zh-CN" w:bidi="ar-SA"/>
              </w:rPr>
            </w:pPr>
            <w:r>
              <w:rPr>
                <w:highlight w:val="none"/>
              </w:rPr>
              <w:t>1.0284</w:t>
            </w:r>
          </w:p>
        </w:tc>
        <w:tc>
          <w:tcPr>
            <w:tcW w:w="2296" w:type="dxa"/>
            <w:shd w:val="clear" w:color="auto" w:fill="auto"/>
            <w:vAlign w:val="top"/>
          </w:tcPr>
          <w:p w14:paraId="5661D036">
            <w:pPr>
              <w:jc w:val="center"/>
              <w:rPr>
                <w:rFonts w:hint="default" w:ascii="Times New Roman" w:hAnsi="Times New Roman" w:eastAsia="宋体" w:cs="Times New Roman"/>
                <w:kern w:val="2"/>
                <w:sz w:val="21"/>
                <w:szCs w:val="24"/>
                <w:highlight w:val="none"/>
                <w:lang w:val="en-US" w:eastAsia="zh-CN" w:bidi="ar-SA"/>
              </w:rPr>
            </w:pPr>
            <w:r>
              <w:rPr>
                <w:highlight w:val="none"/>
              </w:rPr>
              <w:t>1.0501</w:t>
            </w:r>
          </w:p>
        </w:tc>
      </w:tr>
      <w:tr w14:paraId="1672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6367966B">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-22</w:t>
            </w:r>
          </w:p>
        </w:tc>
        <w:tc>
          <w:tcPr>
            <w:tcW w:w="2295" w:type="dxa"/>
            <w:shd w:val="clear" w:color="auto" w:fill="auto"/>
            <w:vAlign w:val="top"/>
          </w:tcPr>
          <w:p w14:paraId="1442823F">
            <w:pPr>
              <w:jc w:val="center"/>
              <w:rPr>
                <w:rFonts w:hint="default" w:ascii="Times New Roman" w:hAnsi="Times New Roman" w:eastAsia="宋体" w:cs="Times New Roman"/>
                <w:kern w:val="2"/>
                <w:sz w:val="21"/>
                <w:szCs w:val="24"/>
                <w:highlight w:val="none"/>
                <w:lang w:val="en-US" w:eastAsia="zh-CN" w:bidi="ar-SA"/>
              </w:rPr>
            </w:pPr>
            <w:r>
              <w:rPr>
                <w:highlight w:val="none"/>
              </w:rPr>
              <w:t>0.2538</w:t>
            </w:r>
          </w:p>
        </w:tc>
        <w:tc>
          <w:tcPr>
            <w:tcW w:w="2232" w:type="dxa"/>
            <w:shd w:val="clear" w:color="auto" w:fill="auto"/>
            <w:vAlign w:val="top"/>
          </w:tcPr>
          <w:p w14:paraId="25A7ADB2">
            <w:pPr>
              <w:jc w:val="center"/>
              <w:rPr>
                <w:rFonts w:hint="eastAsia" w:ascii="Times New Roman" w:hAnsi="Times New Roman" w:eastAsia="宋体" w:cs="Times New Roman"/>
                <w:kern w:val="2"/>
                <w:sz w:val="21"/>
                <w:szCs w:val="24"/>
                <w:highlight w:val="none"/>
                <w:lang w:val="en-US" w:eastAsia="zh-CN" w:bidi="ar-SA"/>
              </w:rPr>
            </w:pPr>
            <w:r>
              <w:rPr>
                <w:highlight w:val="none"/>
              </w:rPr>
              <w:t>1.1789</w:t>
            </w:r>
          </w:p>
        </w:tc>
        <w:tc>
          <w:tcPr>
            <w:tcW w:w="2296" w:type="dxa"/>
            <w:shd w:val="clear" w:color="auto" w:fill="auto"/>
            <w:vAlign w:val="top"/>
          </w:tcPr>
          <w:p w14:paraId="21B0EF25">
            <w:pPr>
              <w:jc w:val="center"/>
              <w:rPr>
                <w:rFonts w:hint="default" w:ascii="Times New Roman" w:hAnsi="Times New Roman" w:eastAsia="宋体" w:cs="Times New Roman"/>
                <w:kern w:val="2"/>
                <w:sz w:val="21"/>
                <w:szCs w:val="24"/>
                <w:highlight w:val="none"/>
                <w:lang w:val="en-US" w:eastAsia="zh-CN" w:bidi="ar-SA"/>
              </w:rPr>
            </w:pPr>
            <w:r>
              <w:rPr>
                <w:highlight w:val="none"/>
              </w:rPr>
              <w:t>1.2059</w:t>
            </w:r>
          </w:p>
        </w:tc>
      </w:tr>
      <w:tr w14:paraId="382C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1C8AF55A">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-21</w:t>
            </w:r>
          </w:p>
        </w:tc>
        <w:tc>
          <w:tcPr>
            <w:tcW w:w="2295" w:type="dxa"/>
            <w:shd w:val="clear" w:color="auto" w:fill="auto"/>
            <w:vAlign w:val="top"/>
          </w:tcPr>
          <w:p w14:paraId="44B261AD">
            <w:pPr>
              <w:jc w:val="center"/>
              <w:rPr>
                <w:rFonts w:hint="default" w:ascii="Times New Roman" w:hAnsi="Times New Roman" w:eastAsia="宋体" w:cs="Times New Roman"/>
                <w:kern w:val="2"/>
                <w:sz w:val="21"/>
                <w:szCs w:val="24"/>
                <w:highlight w:val="none"/>
                <w:lang w:val="en-US" w:eastAsia="zh-CN" w:bidi="ar-SA"/>
              </w:rPr>
            </w:pPr>
            <w:r>
              <w:rPr>
                <w:highlight w:val="none"/>
              </w:rPr>
              <w:t>0.3047</w:t>
            </w:r>
          </w:p>
        </w:tc>
        <w:tc>
          <w:tcPr>
            <w:tcW w:w="2232" w:type="dxa"/>
            <w:shd w:val="clear" w:color="auto" w:fill="auto"/>
            <w:vAlign w:val="top"/>
          </w:tcPr>
          <w:p w14:paraId="583B2674">
            <w:pPr>
              <w:jc w:val="center"/>
              <w:rPr>
                <w:rFonts w:hint="eastAsia" w:ascii="Times New Roman" w:hAnsi="Times New Roman" w:eastAsia="宋体" w:cs="Times New Roman"/>
                <w:kern w:val="2"/>
                <w:sz w:val="21"/>
                <w:szCs w:val="24"/>
                <w:highlight w:val="none"/>
                <w:lang w:val="en-US" w:eastAsia="zh-CN" w:bidi="ar-SA"/>
              </w:rPr>
            </w:pPr>
            <w:r>
              <w:rPr>
                <w:highlight w:val="none"/>
              </w:rPr>
              <w:t>1.3589</w:t>
            </w:r>
          </w:p>
        </w:tc>
        <w:tc>
          <w:tcPr>
            <w:tcW w:w="2296" w:type="dxa"/>
            <w:shd w:val="clear" w:color="auto" w:fill="auto"/>
            <w:vAlign w:val="top"/>
          </w:tcPr>
          <w:p w14:paraId="43E73D6E">
            <w:pPr>
              <w:jc w:val="center"/>
              <w:rPr>
                <w:rFonts w:hint="default" w:ascii="Times New Roman" w:hAnsi="Times New Roman" w:eastAsia="宋体" w:cs="Times New Roman"/>
                <w:kern w:val="2"/>
                <w:sz w:val="21"/>
                <w:szCs w:val="24"/>
                <w:highlight w:val="none"/>
                <w:lang w:val="en-US" w:eastAsia="zh-CN" w:bidi="ar-SA"/>
              </w:rPr>
            </w:pPr>
            <w:r>
              <w:rPr>
                <w:highlight w:val="none"/>
              </w:rPr>
              <w:t>1.3926</w:t>
            </w:r>
          </w:p>
        </w:tc>
      </w:tr>
      <w:tr w14:paraId="23BD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3006D1FF">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-20</w:t>
            </w:r>
          </w:p>
        </w:tc>
        <w:tc>
          <w:tcPr>
            <w:tcW w:w="2295" w:type="dxa"/>
            <w:shd w:val="clear" w:color="auto" w:fill="auto"/>
            <w:vAlign w:val="top"/>
          </w:tcPr>
          <w:p w14:paraId="6FA28662">
            <w:pPr>
              <w:jc w:val="center"/>
              <w:rPr>
                <w:rFonts w:hint="default" w:ascii="Times New Roman" w:hAnsi="Times New Roman" w:eastAsia="宋体" w:cs="Times New Roman"/>
                <w:kern w:val="2"/>
                <w:sz w:val="21"/>
                <w:szCs w:val="24"/>
                <w:highlight w:val="none"/>
                <w:lang w:val="en-US" w:eastAsia="zh-CN" w:bidi="ar-SA"/>
              </w:rPr>
            </w:pPr>
            <w:r>
              <w:rPr>
                <w:highlight w:val="none"/>
              </w:rPr>
              <w:t>0.3674</w:t>
            </w:r>
          </w:p>
        </w:tc>
        <w:tc>
          <w:tcPr>
            <w:tcW w:w="2232" w:type="dxa"/>
            <w:shd w:val="clear" w:color="auto" w:fill="auto"/>
            <w:vAlign w:val="top"/>
          </w:tcPr>
          <w:p w14:paraId="459D8A58">
            <w:pPr>
              <w:jc w:val="center"/>
              <w:rPr>
                <w:rFonts w:hint="eastAsia" w:ascii="Times New Roman" w:hAnsi="Times New Roman" w:eastAsia="宋体" w:cs="Times New Roman"/>
                <w:kern w:val="2"/>
                <w:sz w:val="21"/>
                <w:szCs w:val="24"/>
                <w:highlight w:val="none"/>
                <w:lang w:val="en-US" w:eastAsia="zh-CN" w:bidi="ar-SA"/>
              </w:rPr>
            </w:pPr>
            <w:r>
              <w:rPr>
                <w:highlight w:val="none"/>
              </w:rPr>
              <w:t>1.5753</w:t>
            </w:r>
          </w:p>
        </w:tc>
        <w:tc>
          <w:tcPr>
            <w:tcW w:w="2296" w:type="dxa"/>
            <w:shd w:val="clear" w:color="auto" w:fill="auto"/>
            <w:vAlign w:val="top"/>
          </w:tcPr>
          <w:p w14:paraId="4CB10247">
            <w:pPr>
              <w:jc w:val="center"/>
              <w:rPr>
                <w:rFonts w:hint="default" w:ascii="Times New Roman" w:hAnsi="Times New Roman" w:eastAsia="宋体" w:cs="Times New Roman"/>
                <w:kern w:val="2"/>
                <w:sz w:val="21"/>
                <w:szCs w:val="24"/>
                <w:highlight w:val="none"/>
                <w:lang w:val="en-US" w:eastAsia="zh-CN" w:bidi="ar-SA"/>
              </w:rPr>
            </w:pPr>
            <w:r>
              <w:rPr>
                <w:highlight w:val="none"/>
              </w:rPr>
              <w:t>1.6176</w:t>
            </w:r>
          </w:p>
        </w:tc>
      </w:tr>
      <w:tr w14:paraId="295D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09494E99">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-19</w:t>
            </w:r>
          </w:p>
        </w:tc>
        <w:tc>
          <w:tcPr>
            <w:tcW w:w="2295" w:type="dxa"/>
            <w:shd w:val="clear" w:color="auto" w:fill="auto"/>
            <w:vAlign w:val="top"/>
          </w:tcPr>
          <w:p w14:paraId="57314A32">
            <w:pPr>
              <w:jc w:val="center"/>
              <w:rPr>
                <w:rFonts w:hint="default" w:ascii="Times New Roman" w:hAnsi="Times New Roman" w:eastAsia="宋体" w:cs="Times New Roman"/>
                <w:kern w:val="2"/>
                <w:sz w:val="21"/>
                <w:szCs w:val="24"/>
                <w:highlight w:val="none"/>
                <w:lang w:val="en-US" w:eastAsia="zh-CN" w:bidi="ar-SA"/>
              </w:rPr>
            </w:pPr>
            <w:r>
              <w:rPr>
                <w:highlight w:val="none"/>
              </w:rPr>
              <w:t>0.4446</w:t>
            </w:r>
          </w:p>
        </w:tc>
        <w:tc>
          <w:tcPr>
            <w:tcW w:w="2232" w:type="dxa"/>
            <w:shd w:val="clear" w:color="auto" w:fill="auto"/>
            <w:vAlign w:val="top"/>
          </w:tcPr>
          <w:p w14:paraId="58587C18">
            <w:pPr>
              <w:jc w:val="center"/>
              <w:rPr>
                <w:rFonts w:hint="eastAsia" w:ascii="Times New Roman" w:hAnsi="Times New Roman" w:eastAsia="宋体" w:cs="Times New Roman"/>
                <w:kern w:val="2"/>
                <w:sz w:val="21"/>
                <w:szCs w:val="24"/>
                <w:highlight w:val="none"/>
                <w:lang w:val="en-US" w:eastAsia="zh-CN" w:bidi="ar-SA"/>
              </w:rPr>
            </w:pPr>
            <w:r>
              <w:rPr>
                <w:highlight w:val="none"/>
              </w:rPr>
              <w:t>1.8370</w:t>
            </w:r>
          </w:p>
        </w:tc>
        <w:tc>
          <w:tcPr>
            <w:tcW w:w="2296" w:type="dxa"/>
            <w:shd w:val="clear" w:color="auto" w:fill="auto"/>
            <w:vAlign w:val="top"/>
          </w:tcPr>
          <w:p w14:paraId="60A58B3A">
            <w:pPr>
              <w:jc w:val="center"/>
              <w:rPr>
                <w:rFonts w:hint="default" w:ascii="Times New Roman" w:hAnsi="Times New Roman" w:eastAsia="宋体" w:cs="Times New Roman"/>
                <w:kern w:val="2"/>
                <w:sz w:val="21"/>
                <w:szCs w:val="24"/>
                <w:highlight w:val="none"/>
                <w:lang w:val="en-US" w:eastAsia="zh-CN" w:bidi="ar-SA"/>
              </w:rPr>
            </w:pPr>
            <w:r>
              <w:rPr>
                <w:highlight w:val="none"/>
              </w:rPr>
              <w:t>1.8900</w:t>
            </w:r>
          </w:p>
        </w:tc>
      </w:tr>
      <w:tr w14:paraId="6AC1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7A9CD794">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-18</w:t>
            </w:r>
          </w:p>
        </w:tc>
        <w:tc>
          <w:tcPr>
            <w:tcW w:w="2295" w:type="dxa"/>
            <w:shd w:val="clear" w:color="auto" w:fill="auto"/>
            <w:vAlign w:val="top"/>
          </w:tcPr>
          <w:p w14:paraId="1B0556FC">
            <w:pPr>
              <w:jc w:val="center"/>
              <w:rPr>
                <w:rFonts w:hint="default" w:ascii="Times New Roman" w:hAnsi="Times New Roman" w:eastAsia="宋体" w:cs="Times New Roman"/>
                <w:kern w:val="2"/>
                <w:sz w:val="21"/>
                <w:szCs w:val="24"/>
                <w:highlight w:val="none"/>
                <w:lang w:val="en-US" w:eastAsia="zh-CN" w:bidi="ar-SA"/>
              </w:rPr>
            </w:pPr>
            <w:r>
              <w:rPr>
                <w:highlight w:val="none"/>
              </w:rPr>
              <w:t>0.5389</w:t>
            </w:r>
          </w:p>
        </w:tc>
        <w:tc>
          <w:tcPr>
            <w:tcW w:w="2232" w:type="dxa"/>
            <w:shd w:val="clear" w:color="auto" w:fill="auto"/>
            <w:vAlign w:val="top"/>
          </w:tcPr>
          <w:p w14:paraId="59DEB0ED">
            <w:pPr>
              <w:jc w:val="center"/>
              <w:rPr>
                <w:rFonts w:hint="eastAsia" w:ascii="Times New Roman" w:hAnsi="Times New Roman" w:eastAsia="宋体" w:cs="Times New Roman"/>
                <w:kern w:val="2"/>
                <w:sz w:val="21"/>
                <w:szCs w:val="24"/>
                <w:highlight w:val="none"/>
                <w:lang w:val="en-US" w:eastAsia="zh-CN" w:bidi="ar-SA"/>
              </w:rPr>
            </w:pPr>
            <w:r>
              <w:rPr>
                <w:highlight w:val="none"/>
              </w:rPr>
              <w:t>2.1545</w:t>
            </w:r>
          </w:p>
        </w:tc>
        <w:tc>
          <w:tcPr>
            <w:tcW w:w="2296" w:type="dxa"/>
            <w:shd w:val="clear" w:color="auto" w:fill="auto"/>
            <w:vAlign w:val="top"/>
          </w:tcPr>
          <w:p w14:paraId="4E9ABFD9">
            <w:pPr>
              <w:jc w:val="center"/>
              <w:rPr>
                <w:rFonts w:hint="default" w:ascii="Times New Roman" w:hAnsi="Times New Roman" w:eastAsia="宋体" w:cs="Times New Roman"/>
                <w:kern w:val="2"/>
                <w:sz w:val="21"/>
                <w:szCs w:val="24"/>
                <w:highlight w:val="none"/>
                <w:lang w:val="en-US" w:eastAsia="zh-CN" w:bidi="ar-SA"/>
              </w:rPr>
            </w:pPr>
            <w:r>
              <w:rPr>
                <w:highlight w:val="none"/>
              </w:rPr>
              <w:t>2.2208</w:t>
            </w:r>
          </w:p>
        </w:tc>
      </w:tr>
      <w:tr w14:paraId="1C7D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23D8C5A0">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-17</w:t>
            </w:r>
          </w:p>
        </w:tc>
        <w:tc>
          <w:tcPr>
            <w:tcW w:w="2295" w:type="dxa"/>
            <w:shd w:val="clear" w:color="auto" w:fill="auto"/>
            <w:vAlign w:val="top"/>
          </w:tcPr>
          <w:p w14:paraId="4957C111">
            <w:pPr>
              <w:jc w:val="center"/>
              <w:rPr>
                <w:rFonts w:hint="default" w:ascii="Times New Roman" w:hAnsi="Times New Roman" w:eastAsia="宋体" w:cs="Times New Roman"/>
                <w:kern w:val="2"/>
                <w:sz w:val="21"/>
                <w:szCs w:val="24"/>
                <w:highlight w:val="none"/>
                <w:lang w:val="en-US" w:eastAsia="zh-CN" w:bidi="ar-SA"/>
              </w:rPr>
            </w:pPr>
            <w:r>
              <w:rPr>
                <w:highlight w:val="none"/>
              </w:rPr>
              <w:t>0.6521</w:t>
            </w:r>
          </w:p>
        </w:tc>
        <w:tc>
          <w:tcPr>
            <w:tcW w:w="2232" w:type="dxa"/>
            <w:shd w:val="clear" w:color="auto" w:fill="auto"/>
            <w:vAlign w:val="top"/>
          </w:tcPr>
          <w:p w14:paraId="50642A23">
            <w:pPr>
              <w:jc w:val="center"/>
              <w:rPr>
                <w:rFonts w:hint="eastAsia" w:ascii="Times New Roman" w:hAnsi="Times New Roman" w:eastAsia="宋体" w:cs="Times New Roman"/>
                <w:kern w:val="2"/>
                <w:sz w:val="21"/>
                <w:szCs w:val="24"/>
                <w:highlight w:val="none"/>
                <w:lang w:val="en-US" w:eastAsia="zh-CN" w:bidi="ar-SA"/>
              </w:rPr>
            </w:pPr>
            <w:r>
              <w:rPr>
                <w:highlight w:val="none"/>
              </w:rPr>
              <w:t>2.5407</w:t>
            </w:r>
          </w:p>
        </w:tc>
        <w:tc>
          <w:tcPr>
            <w:tcW w:w="2296" w:type="dxa"/>
            <w:shd w:val="clear" w:color="auto" w:fill="auto"/>
            <w:vAlign w:val="top"/>
          </w:tcPr>
          <w:p w14:paraId="5B3AFF18">
            <w:pPr>
              <w:jc w:val="center"/>
              <w:rPr>
                <w:rFonts w:hint="default" w:ascii="Times New Roman" w:hAnsi="Times New Roman" w:eastAsia="宋体" w:cs="Times New Roman"/>
                <w:kern w:val="2"/>
                <w:sz w:val="21"/>
                <w:szCs w:val="24"/>
                <w:highlight w:val="none"/>
                <w:lang w:val="en-US" w:eastAsia="zh-CN" w:bidi="ar-SA"/>
              </w:rPr>
            </w:pPr>
            <w:r>
              <w:rPr>
                <w:highlight w:val="none"/>
              </w:rPr>
              <w:t>2.6230</w:t>
            </w:r>
          </w:p>
        </w:tc>
      </w:tr>
      <w:tr w14:paraId="4E9D9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174B5501">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-16</w:t>
            </w:r>
          </w:p>
        </w:tc>
        <w:tc>
          <w:tcPr>
            <w:tcW w:w="2295" w:type="dxa"/>
            <w:shd w:val="clear" w:color="auto" w:fill="auto"/>
            <w:vAlign w:val="top"/>
          </w:tcPr>
          <w:p w14:paraId="51CCCDDF">
            <w:pPr>
              <w:jc w:val="center"/>
              <w:rPr>
                <w:rFonts w:hint="default" w:ascii="Times New Roman" w:hAnsi="Times New Roman" w:eastAsia="宋体" w:cs="Times New Roman"/>
                <w:kern w:val="2"/>
                <w:sz w:val="21"/>
                <w:szCs w:val="24"/>
                <w:highlight w:val="none"/>
                <w:lang w:val="en-US" w:eastAsia="zh-CN" w:bidi="ar-SA"/>
              </w:rPr>
            </w:pPr>
            <w:r>
              <w:rPr>
                <w:highlight w:val="none"/>
              </w:rPr>
              <w:t>0.7837</w:t>
            </w:r>
          </w:p>
        </w:tc>
        <w:tc>
          <w:tcPr>
            <w:tcW w:w="2232" w:type="dxa"/>
            <w:shd w:val="clear" w:color="auto" w:fill="auto"/>
            <w:vAlign w:val="top"/>
          </w:tcPr>
          <w:p w14:paraId="553947FA">
            <w:pPr>
              <w:jc w:val="center"/>
              <w:rPr>
                <w:rFonts w:hint="eastAsia" w:ascii="Times New Roman" w:hAnsi="Times New Roman" w:eastAsia="宋体" w:cs="Times New Roman"/>
                <w:kern w:val="2"/>
                <w:sz w:val="21"/>
                <w:szCs w:val="24"/>
                <w:highlight w:val="none"/>
                <w:lang w:val="en-US" w:eastAsia="zh-CN" w:bidi="ar-SA"/>
              </w:rPr>
            </w:pPr>
            <w:r>
              <w:rPr>
                <w:highlight w:val="none"/>
              </w:rPr>
              <w:t>3.0103</w:t>
            </w:r>
          </w:p>
        </w:tc>
        <w:tc>
          <w:tcPr>
            <w:tcW w:w="2296" w:type="dxa"/>
            <w:shd w:val="clear" w:color="auto" w:fill="auto"/>
            <w:vAlign w:val="top"/>
          </w:tcPr>
          <w:p w14:paraId="4074F479">
            <w:pPr>
              <w:jc w:val="center"/>
              <w:rPr>
                <w:rFonts w:hint="default" w:ascii="Times New Roman" w:hAnsi="Times New Roman" w:eastAsia="宋体" w:cs="Times New Roman"/>
                <w:kern w:val="2"/>
                <w:sz w:val="21"/>
                <w:szCs w:val="24"/>
                <w:highlight w:val="none"/>
                <w:lang w:val="en-US" w:eastAsia="zh-CN" w:bidi="ar-SA"/>
              </w:rPr>
            </w:pPr>
            <w:r>
              <w:rPr>
                <w:highlight w:val="none"/>
              </w:rPr>
              <w:t>3.1106</w:t>
            </w:r>
          </w:p>
        </w:tc>
      </w:tr>
      <w:tr w14:paraId="595C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39F5E50E">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-15</w:t>
            </w:r>
          </w:p>
        </w:tc>
        <w:tc>
          <w:tcPr>
            <w:tcW w:w="2295" w:type="dxa"/>
            <w:shd w:val="clear" w:color="auto" w:fill="auto"/>
            <w:vAlign w:val="top"/>
          </w:tcPr>
          <w:p w14:paraId="5E029EEF">
            <w:pPr>
              <w:jc w:val="center"/>
              <w:rPr>
                <w:rFonts w:hint="default" w:ascii="Times New Roman" w:hAnsi="Times New Roman" w:eastAsia="宋体" w:cs="Times New Roman"/>
                <w:kern w:val="2"/>
                <w:sz w:val="21"/>
                <w:szCs w:val="24"/>
                <w:highlight w:val="none"/>
                <w:lang w:val="en-US" w:eastAsia="zh-CN" w:bidi="ar-SA"/>
              </w:rPr>
            </w:pPr>
            <w:r>
              <w:rPr>
                <w:highlight w:val="none"/>
              </w:rPr>
              <w:t>0.9275</w:t>
            </w:r>
          </w:p>
        </w:tc>
        <w:tc>
          <w:tcPr>
            <w:tcW w:w="2232" w:type="dxa"/>
            <w:shd w:val="clear" w:color="auto" w:fill="auto"/>
            <w:vAlign w:val="top"/>
          </w:tcPr>
          <w:p w14:paraId="56283A36">
            <w:pPr>
              <w:jc w:val="center"/>
              <w:rPr>
                <w:rFonts w:hint="eastAsia" w:ascii="Times New Roman" w:hAnsi="Times New Roman" w:eastAsia="宋体" w:cs="Times New Roman"/>
                <w:kern w:val="2"/>
                <w:sz w:val="21"/>
                <w:szCs w:val="24"/>
                <w:highlight w:val="none"/>
                <w:lang w:val="en-US" w:eastAsia="zh-CN" w:bidi="ar-SA"/>
              </w:rPr>
            </w:pPr>
            <w:r>
              <w:rPr>
                <w:highlight w:val="none"/>
              </w:rPr>
              <w:t>3.5782</w:t>
            </w:r>
          </w:p>
        </w:tc>
        <w:tc>
          <w:tcPr>
            <w:tcW w:w="2296" w:type="dxa"/>
            <w:shd w:val="clear" w:color="auto" w:fill="auto"/>
            <w:vAlign w:val="top"/>
          </w:tcPr>
          <w:p w14:paraId="33CAB671">
            <w:pPr>
              <w:jc w:val="center"/>
              <w:rPr>
                <w:rFonts w:hint="default" w:ascii="Times New Roman" w:hAnsi="Times New Roman" w:eastAsia="宋体" w:cs="Times New Roman"/>
                <w:kern w:val="2"/>
                <w:sz w:val="21"/>
                <w:szCs w:val="24"/>
                <w:highlight w:val="none"/>
                <w:lang w:val="en-US" w:eastAsia="zh-CN" w:bidi="ar-SA"/>
              </w:rPr>
            </w:pPr>
            <w:r>
              <w:rPr>
                <w:highlight w:val="none"/>
              </w:rPr>
              <w:t>3.6965</w:t>
            </w:r>
          </w:p>
        </w:tc>
      </w:tr>
      <w:tr w14:paraId="03DA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237" w:type="dxa"/>
            <w:vAlign w:val="top"/>
          </w:tcPr>
          <w:p w14:paraId="123B8D7C">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-14</w:t>
            </w:r>
          </w:p>
        </w:tc>
        <w:tc>
          <w:tcPr>
            <w:tcW w:w="2295" w:type="dxa"/>
            <w:shd w:val="clear" w:color="auto" w:fill="auto"/>
            <w:vAlign w:val="top"/>
          </w:tcPr>
          <w:p w14:paraId="10B24DB2">
            <w:pPr>
              <w:jc w:val="center"/>
              <w:rPr>
                <w:rFonts w:hint="default" w:ascii="Times New Roman" w:hAnsi="Times New Roman" w:eastAsia="宋体" w:cs="Times New Roman"/>
                <w:kern w:val="2"/>
                <w:sz w:val="21"/>
                <w:szCs w:val="24"/>
                <w:highlight w:val="none"/>
                <w:lang w:val="en-US" w:eastAsia="zh-CN" w:bidi="ar-SA"/>
              </w:rPr>
            </w:pPr>
            <w:r>
              <w:rPr>
                <w:highlight w:val="none"/>
              </w:rPr>
              <w:t>1.0657</w:t>
            </w:r>
          </w:p>
        </w:tc>
        <w:tc>
          <w:tcPr>
            <w:tcW w:w="2232" w:type="dxa"/>
            <w:shd w:val="clear" w:color="auto" w:fill="auto"/>
            <w:vAlign w:val="top"/>
          </w:tcPr>
          <w:p w14:paraId="142B130B">
            <w:pPr>
              <w:jc w:val="center"/>
              <w:rPr>
                <w:rFonts w:hint="eastAsia" w:ascii="Times New Roman" w:hAnsi="Times New Roman" w:eastAsia="宋体" w:cs="Times New Roman"/>
                <w:kern w:val="2"/>
                <w:sz w:val="21"/>
                <w:szCs w:val="24"/>
                <w:highlight w:val="none"/>
                <w:lang w:val="en-US" w:eastAsia="zh-CN" w:bidi="ar-SA"/>
              </w:rPr>
            </w:pPr>
            <w:r>
              <w:rPr>
                <w:highlight w:val="none"/>
              </w:rPr>
              <w:t>4.2554</w:t>
            </w:r>
          </w:p>
        </w:tc>
        <w:tc>
          <w:tcPr>
            <w:tcW w:w="2296" w:type="dxa"/>
            <w:shd w:val="clear" w:color="auto" w:fill="auto"/>
            <w:vAlign w:val="top"/>
          </w:tcPr>
          <w:p w14:paraId="0DD9F811">
            <w:pPr>
              <w:jc w:val="center"/>
              <w:rPr>
                <w:rFonts w:hint="default" w:ascii="Times New Roman" w:hAnsi="Times New Roman" w:eastAsia="宋体" w:cs="Times New Roman"/>
                <w:kern w:val="2"/>
                <w:sz w:val="21"/>
                <w:szCs w:val="24"/>
                <w:highlight w:val="none"/>
                <w:lang w:val="en-US" w:eastAsia="zh-CN" w:bidi="ar-SA"/>
              </w:rPr>
            </w:pPr>
            <w:r>
              <w:rPr>
                <w:highlight w:val="none"/>
              </w:rPr>
              <w:t>4.3868</w:t>
            </w:r>
          </w:p>
        </w:tc>
      </w:tr>
      <w:tr w14:paraId="478B2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42412C81">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-13</w:t>
            </w:r>
          </w:p>
        </w:tc>
        <w:tc>
          <w:tcPr>
            <w:tcW w:w="2295" w:type="dxa"/>
            <w:shd w:val="clear" w:color="auto" w:fill="auto"/>
            <w:vAlign w:val="top"/>
          </w:tcPr>
          <w:p w14:paraId="6390A398">
            <w:pPr>
              <w:jc w:val="center"/>
              <w:rPr>
                <w:rFonts w:hint="default" w:ascii="Times New Roman" w:hAnsi="Times New Roman" w:eastAsia="宋体" w:cs="Times New Roman"/>
                <w:kern w:val="2"/>
                <w:sz w:val="21"/>
                <w:szCs w:val="24"/>
                <w:highlight w:val="none"/>
                <w:lang w:val="en-US" w:eastAsia="zh-CN" w:bidi="ar-SA"/>
              </w:rPr>
            </w:pPr>
            <w:r>
              <w:rPr>
                <w:highlight w:val="none"/>
              </w:rPr>
              <w:t>1.1606</w:t>
            </w:r>
          </w:p>
        </w:tc>
        <w:tc>
          <w:tcPr>
            <w:tcW w:w="2232" w:type="dxa"/>
            <w:shd w:val="clear" w:color="auto" w:fill="auto"/>
            <w:vAlign w:val="top"/>
          </w:tcPr>
          <w:p w14:paraId="4E03045A">
            <w:pPr>
              <w:jc w:val="center"/>
              <w:rPr>
                <w:rFonts w:hint="eastAsia" w:ascii="Times New Roman" w:hAnsi="Times New Roman" w:eastAsia="宋体" w:cs="Times New Roman"/>
                <w:kern w:val="2"/>
                <w:sz w:val="21"/>
                <w:szCs w:val="24"/>
                <w:highlight w:val="none"/>
                <w:lang w:val="en-US" w:eastAsia="zh-CN" w:bidi="ar-SA"/>
              </w:rPr>
            </w:pPr>
            <w:r>
              <w:rPr>
                <w:highlight w:val="none"/>
              </w:rPr>
              <w:t>5.0389</w:t>
            </w:r>
          </w:p>
        </w:tc>
        <w:tc>
          <w:tcPr>
            <w:tcW w:w="2296" w:type="dxa"/>
            <w:shd w:val="clear" w:color="auto" w:fill="auto"/>
            <w:vAlign w:val="top"/>
          </w:tcPr>
          <w:p w14:paraId="39AE4447">
            <w:pPr>
              <w:jc w:val="center"/>
              <w:rPr>
                <w:rFonts w:hint="default" w:ascii="Times New Roman" w:hAnsi="Times New Roman" w:eastAsia="宋体" w:cs="Times New Roman"/>
                <w:kern w:val="2"/>
                <w:sz w:val="21"/>
                <w:szCs w:val="24"/>
                <w:highlight w:val="none"/>
                <w:lang w:val="en-US" w:eastAsia="zh-CN" w:bidi="ar-SA"/>
              </w:rPr>
            </w:pPr>
            <w:r>
              <w:rPr>
                <w:highlight w:val="none"/>
              </w:rPr>
              <w:t>5.1708</w:t>
            </w:r>
          </w:p>
        </w:tc>
      </w:tr>
      <w:tr w14:paraId="0996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2B38374C">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-12</w:t>
            </w:r>
          </w:p>
        </w:tc>
        <w:tc>
          <w:tcPr>
            <w:tcW w:w="2295" w:type="dxa"/>
            <w:shd w:val="clear" w:color="auto" w:fill="auto"/>
            <w:vAlign w:val="top"/>
          </w:tcPr>
          <w:p w14:paraId="1093D8A5">
            <w:pPr>
              <w:jc w:val="center"/>
              <w:rPr>
                <w:rFonts w:hint="default" w:ascii="Times New Roman" w:hAnsi="Times New Roman" w:eastAsia="宋体" w:cs="Times New Roman"/>
                <w:kern w:val="2"/>
                <w:sz w:val="21"/>
                <w:szCs w:val="24"/>
                <w:highlight w:val="none"/>
                <w:lang w:val="en-US" w:eastAsia="zh-CN" w:bidi="ar-SA"/>
              </w:rPr>
            </w:pPr>
            <w:r>
              <w:rPr>
                <w:highlight w:val="none"/>
              </w:rPr>
              <w:t>1.1477</w:t>
            </w:r>
          </w:p>
        </w:tc>
        <w:tc>
          <w:tcPr>
            <w:tcW w:w="2232" w:type="dxa"/>
            <w:shd w:val="clear" w:color="auto" w:fill="auto"/>
            <w:vAlign w:val="top"/>
          </w:tcPr>
          <w:p w14:paraId="526F177C">
            <w:pPr>
              <w:jc w:val="center"/>
              <w:rPr>
                <w:rFonts w:hint="eastAsia" w:ascii="Times New Roman" w:hAnsi="Times New Roman" w:eastAsia="宋体" w:cs="Times New Roman"/>
                <w:kern w:val="2"/>
                <w:sz w:val="21"/>
                <w:szCs w:val="24"/>
                <w:highlight w:val="none"/>
                <w:lang w:val="en-US" w:eastAsia="zh-CN" w:bidi="ar-SA"/>
              </w:rPr>
            </w:pPr>
            <w:r>
              <w:rPr>
                <w:highlight w:val="none"/>
              </w:rPr>
              <w:t>5.8919</w:t>
            </w:r>
          </w:p>
        </w:tc>
        <w:tc>
          <w:tcPr>
            <w:tcW w:w="2296" w:type="dxa"/>
            <w:shd w:val="clear" w:color="auto" w:fill="auto"/>
            <w:vAlign w:val="top"/>
          </w:tcPr>
          <w:p w14:paraId="090CBE16">
            <w:pPr>
              <w:jc w:val="center"/>
              <w:rPr>
                <w:rFonts w:hint="default" w:ascii="Times New Roman" w:hAnsi="Times New Roman" w:eastAsia="宋体" w:cs="Times New Roman"/>
                <w:kern w:val="2"/>
                <w:sz w:val="21"/>
                <w:szCs w:val="24"/>
                <w:highlight w:val="none"/>
                <w:lang w:val="en-US" w:eastAsia="zh-CN" w:bidi="ar-SA"/>
              </w:rPr>
            </w:pPr>
            <w:r>
              <w:rPr>
                <w:highlight w:val="none"/>
              </w:rPr>
              <w:t>6.0026</w:t>
            </w:r>
          </w:p>
        </w:tc>
      </w:tr>
      <w:tr w14:paraId="49096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5767C368">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-11</w:t>
            </w:r>
          </w:p>
        </w:tc>
        <w:tc>
          <w:tcPr>
            <w:tcW w:w="2295" w:type="dxa"/>
            <w:shd w:val="clear" w:color="auto" w:fill="auto"/>
            <w:vAlign w:val="top"/>
          </w:tcPr>
          <w:p w14:paraId="00B75DBA">
            <w:pPr>
              <w:jc w:val="center"/>
              <w:rPr>
                <w:rFonts w:hint="default" w:ascii="Times New Roman" w:hAnsi="Times New Roman" w:eastAsia="宋体" w:cs="Times New Roman"/>
                <w:kern w:val="2"/>
                <w:sz w:val="21"/>
                <w:szCs w:val="24"/>
                <w:highlight w:val="none"/>
                <w:lang w:val="en-US" w:eastAsia="zh-CN" w:bidi="ar-SA"/>
              </w:rPr>
            </w:pPr>
            <w:r>
              <w:rPr>
                <w:highlight w:val="none"/>
              </w:rPr>
              <w:t>0.9470</w:t>
            </w:r>
          </w:p>
        </w:tc>
        <w:tc>
          <w:tcPr>
            <w:tcW w:w="2232" w:type="dxa"/>
            <w:shd w:val="clear" w:color="auto" w:fill="auto"/>
            <w:vAlign w:val="top"/>
          </w:tcPr>
          <w:p w14:paraId="0C8CD908">
            <w:pPr>
              <w:jc w:val="center"/>
              <w:rPr>
                <w:rFonts w:hint="eastAsia" w:ascii="Times New Roman" w:hAnsi="Times New Roman" w:eastAsia="宋体" w:cs="Times New Roman"/>
                <w:kern w:val="2"/>
                <w:sz w:val="21"/>
                <w:szCs w:val="24"/>
                <w:highlight w:val="none"/>
                <w:lang w:val="en-US" w:eastAsia="zh-CN" w:bidi="ar-SA"/>
              </w:rPr>
            </w:pPr>
            <w:r>
              <w:rPr>
                <w:highlight w:val="none"/>
              </w:rPr>
              <w:t>6.7142</w:t>
            </w:r>
          </w:p>
        </w:tc>
        <w:tc>
          <w:tcPr>
            <w:tcW w:w="2296" w:type="dxa"/>
            <w:shd w:val="clear" w:color="auto" w:fill="auto"/>
            <w:vAlign w:val="top"/>
          </w:tcPr>
          <w:p w14:paraId="38D6F4FD">
            <w:pPr>
              <w:jc w:val="center"/>
              <w:rPr>
                <w:rFonts w:hint="default" w:ascii="Times New Roman" w:hAnsi="Times New Roman" w:eastAsia="宋体" w:cs="Times New Roman"/>
                <w:kern w:val="2"/>
                <w:sz w:val="21"/>
                <w:szCs w:val="24"/>
                <w:highlight w:val="none"/>
                <w:lang w:val="en-US" w:eastAsia="zh-CN" w:bidi="ar-SA"/>
              </w:rPr>
            </w:pPr>
            <w:r>
              <w:rPr>
                <w:highlight w:val="none"/>
              </w:rPr>
              <w:t>6.7807</w:t>
            </w:r>
          </w:p>
        </w:tc>
      </w:tr>
      <w:tr w14:paraId="6C72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2A56BD20">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-10</w:t>
            </w:r>
          </w:p>
        </w:tc>
        <w:tc>
          <w:tcPr>
            <w:tcW w:w="2295" w:type="dxa"/>
            <w:shd w:val="clear" w:color="auto" w:fill="auto"/>
            <w:vAlign w:val="top"/>
          </w:tcPr>
          <w:p w14:paraId="597A7664">
            <w:pPr>
              <w:jc w:val="center"/>
              <w:rPr>
                <w:rFonts w:hint="default" w:ascii="Times New Roman" w:hAnsi="Times New Roman" w:eastAsia="宋体" w:cs="Times New Roman"/>
                <w:kern w:val="2"/>
                <w:sz w:val="21"/>
                <w:szCs w:val="24"/>
                <w:highlight w:val="none"/>
                <w:lang w:val="en-US" w:eastAsia="zh-CN" w:bidi="ar-SA"/>
              </w:rPr>
            </w:pPr>
            <w:r>
              <w:rPr>
                <w:highlight w:val="none"/>
              </w:rPr>
              <w:t>0.5456</w:t>
            </w:r>
          </w:p>
        </w:tc>
        <w:tc>
          <w:tcPr>
            <w:tcW w:w="2232" w:type="dxa"/>
            <w:shd w:val="clear" w:color="auto" w:fill="auto"/>
            <w:vAlign w:val="top"/>
          </w:tcPr>
          <w:p w14:paraId="0B584152">
            <w:pPr>
              <w:jc w:val="center"/>
              <w:rPr>
                <w:rFonts w:hint="eastAsia" w:ascii="Times New Roman" w:hAnsi="Times New Roman" w:eastAsia="宋体" w:cs="Times New Roman"/>
                <w:kern w:val="2"/>
                <w:sz w:val="21"/>
                <w:szCs w:val="24"/>
                <w:highlight w:val="none"/>
                <w:lang w:val="en-US" w:eastAsia="zh-CN" w:bidi="ar-SA"/>
              </w:rPr>
            </w:pPr>
            <w:r>
              <w:rPr>
                <w:highlight w:val="none"/>
              </w:rPr>
              <w:t>7.3220</w:t>
            </w:r>
          </w:p>
        </w:tc>
        <w:tc>
          <w:tcPr>
            <w:tcW w:w="2296" w:type="dxa"/>
            <w:shd w:val="clear" w:color="auto" w:fill="auto"/>
            <w:vAlign w:val="top"/>
          </w:tcPr>
          <w:p w14:paraId="414323A7">
            <w:pPr>
              <w:jc w:val="center"/>
              <w:rPr>
                <w:rFonts w:hint="default" w:ascii="Times New Roman" w:hAnsi="Times New Roman" w:eastAsia="宋体" w:cs="Times New Roman"/>
                <w:kern w:val="2"/>
                <w:sz w:val="21"/>
                <w:szCs w:val="24"/>
                <w:highlight w:val="none"/>
                <w:lang w:val="en-US" w:eastAsia="zh-CN" w:bidi="ar-SA"/>
              </w:rPr>
            </w:pPr>
            <w:r>
              <w:rPr>
                <w:highlight w:val="none"/>
              </w:rPr>
              <w:t>7.3423</w:t>
            </w:r>
          </w:p>
        </w:tc>
      </w:tr>
      <w:tr w14:paraId="4AA97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48A680EE">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-9</w:t>
            </w:r>
          </w:p>
        </w:tc>
        <w:tc>
          <w:tcPr>
            <w:tcW w:w="2295" w:type="dxa"/>
            <w:shd w:val="clear" w:color="auto" w:fill="auto"/>
            <w:vAlign w:val="top"/>
          </w:tcPr>
          <w:p w14:paraId="68EB7AA9">
            <w:pPr>
              <w:jc w:val="center"/>
              <w:rPr>
                <w:rFonts w:hint="default" w:ascii="Times New Roman" w:hAnsi="Times New Roman" w:eastAsia="宋体" w:cs="Times New Roman"/>
                <w:kern w:val="2"/>
                <w:sz w:val="21"/>
                <w:szCs w:val="24"/>
                <w:highlight w:val="none"/>
                <w:lang w:val="en-US" w:eastAsia="zh-CN" w:bidi="ar-SA"/>
              </w:rPr>
            </w:pPr>
            <w:r>
              <w:rPr>
                <w:highlight w:val="none"/>
              </w:rPr>
              <w:t>0.5303</w:t>
            </w:r>
          </w:p>
        </w:tc>
        <w:tc>
          <w:tcPr>
            <w:tcW w:w="2232" w:type="dxa"/>
            <w:shd w:val="clear" w:color="auto" w:fill="auto"/>
            <w:vAlign w:val="top"/>
          </w:tcPr>
          <w:p w14:paraId="6D1A25C5">
            <w:pPr>
              <w:jc w:val="center"/>
              <w:rPr>
                <w:rFonts w:hint="eastAsia" w:ascii="Times New Roman" w:hAnsi="Times New Roman" w:eastAsia="宋体" w:cs="Times New Roman"/>
                <w:kern w:val="2"/>
                <w:sz w:val="21"/>
                <w:szCs w:val="24"/>
                <w:highlight w:val="none"/>
                <w:lang w:val="en-US" w:eastAsia="zh-CN" w:bidi="ar-SA"/>
              </w:rPr>
            </w:pPr>
            <w:r>
              <w:rPr>
                <w:highlight w:val="none"/>
              </w:rPr>
              <w:t>7.4909</w:t>
            </w:r>
          </w:p>
        </w:tc>
        <w:tc>
          <w:tcPr>
            <w:tcW w:w="2296" w:type="dxa"/>
            <w:shd w:val="clear" w:color="auto" w:fill="auto"/>
            <w:vAlign w:val="top"/>
          </w:tcPr>
          <w:p w14:paraId="18F657D0">
            <w:pPr>
              <w:jc w:val="center"/>
              <w:rPr>
                <w:rFonts w:hint="default" w:ascii="Times New Roman" w:hAnsi="Times New Roman" w:eastAsia="宋体" w:cs="Times New Roman"/>
                <w:kern w:val="2"/>
                <w:sz w:val="21"/>
                <w:szCs w:val="24"/>
                <w:highlight w:val="none"/>
                <w:lang w:val="en-US" w:eastAsia="zh-CN" w:bidi="ar-SA"/>
              </w:rPr>
            </w:pPr>
            <w:r>
              <w:rPr>
                <w:highlight w:val="none"/>
              </w:rPr>
              <w:t>7.5096</w:t>
            </w:r>
          </w:p>
        </w:tc>
      </w:tr>
      <w:tr w14:paraId="7BCB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583B9B2A">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-8</w:t>
            </w:r>
          </w:p>
        </w:tc>
        <w:tc>
          <w:tcPr>
            <w:tcW w:w="2295" w:type="dxa"/>
            <w:shd w:val="clear" w:color="auto" w:fill="auto"/>
            <w:vAlign w:val="top"/>
          </w:tcPr>
          <w:p w14:paraId="0CB868B0">
            <w:pPr>
              <w:jc w:val="center"/>
              <w:rPr>
                <w:rFonts w:hint="default" w:ascii="Times New Roman" w:hAnsi="Times New Roman" w:eastAsia="宋体" w:cs="Times New Roman"/>
                <w:kern w:val="2"/>
                <w:sz w:val="21"/>
                <w:szCs w:val="24"/>
                <w:highlight w:val="none"/>
                <w:lang w:val="en-US" w:eastAsia="zh-CN" w:bidi="ar-SA"/>
              </w:rPr>
            </w:pPr>
            <w:r>
              <w:rPr>
                <w:highlight w:val="none"/>
              </w:rPr>
              <w:t>1.2012</w:t>
            </w:r>
          </w:p>
        </w:tc>
        <w:tc>
          <w:tcPr>
            <w:tcW w:w="2232" w:type="dxa"/>
            <w:shd w:val="clear" w:color="auto" w:fill="auto"/>
            <w:vAlign w:val="top"/>
          </w:tcPr>
          <w:p w14:paraId="1E61EFE2">
            <w:pPr>
              <w:jc w:val="center"/>
              <w:rPr>
                <w:rFonts w:hint="eastAsia" w:ascii="Times New Roman" w:hAnsi="Times New Roman" w:eastAsia="宋体" w:cs="Times New Roman"/>
                <w:kern w:val="2"/>
                <w:sz w:val="21"/>
                <w:szCs w:val="24"/>
                <w:highlight w:val="none"/>
                <w:lang w:val="en-US" w:eastAsia="zh-CN" w:bidi="ar-SA"/>
              </w:rPr>
            </w:pPr>
            <w:r>
              <w:rPr>
                <w:highlight w:val="none"/>
              </w:rPr>
              <w:t>7.0949</w:t>
            </w:r>
          </w:p>
        </w:tc>
        <w:tc>
          <w:tcPr>
            <w:tcW w:w="2296" w:type="dxa"/>
            <w:shd w:val="clear" w:color="auto" w:fill="auto"/>
            <w:vAlign w:val="top"/>
          </w:tcPr>
          <w:p w14:paraId="3AAE930C">
            <w:pPr>
              <w:jc w:val="center"/>
              <w:rPr>
                <w:rFonts w:hint="default" w:ascii="Times New Roman" w:hAnsi="Times New Roman" w:eastAsia="宋体" w:cs="Times New Roman"/>
                <w:kern w:val="2"/>
                <w:sz w:val="21"/>
                <w:szCs w:val="24"/>
                <w:highlight w:val="none"/>
                <w:lang w:val="en-US" w:eastAsia="zh-CN" w:bidi="ar-SA"/>
              </w:rPr>
            </w:pPr>
            <w:r>
              <w:rPr>
                <w:highlight w:val="none"/>
              </w:rPr>
              <w:t>7.1959</w:t>
            </w:r>
          </w:p>
        </w:tc>
      </w:tr>
      <w:tr w14:paraId="3A8F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39B219AC">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-7</w:t>
            </w:r>
          </w:p>
        </w:tc>
        <w:tc>
          <w:tcPr>
            <w:tcW w:w="2295" w:type="dxa"/>
            <w:shd w:val="clear" w:color="auto" w:fill="auto"/>
            <w:vAlign w:val="top"/>
          </w:tcPr>
          <w:p w14:paraId="30579F7D">
            <w:pPr>
              <w:jc w:val="center"/>
              <w:rPr>
                <w:rFonts w:hint="default" w:ascii="Times New Roman" w:hAnsi="Times New Roman" w:eastAsia="宋体" w:cs="Times New Roman"/>
                <w:kern w:val="2"/>
                <w:sz w:val="21"/>
                <w:szCs w:val="24"/>
                <w:highlight w:val="none"/>
                <w:lang w:val="en-US" w:eastAsia="zh-CN" w:bidi="ar-SA"/>
              </w:rPr>
            </w:pPr>
            <w:r>
              <w:rPr>
                <w:highlight w:val="none"/>
              </w:rPr>
              <w:t>1.8207</w:t>
            </w:r>
          </w:p>
        </w:tc>
        <w:tc>
          <w:tcPr>
            <w:tcW w:w="2232" w:type="dxa"/>
            <w:shd w:val="clear" w:color="auto" w:fill="auto"/>
            <w:vAlign w:val="top"/>
          </w:tcPr>
          <w:p w14:paraId="280E928B">
            <w:pPr>
              <w:jc w:val="center"/>
              <w:rPr>
                <w:rFonts w:hint="eastAsia" w:ascii="Times New Roman" w:hAnsi="Times New Roman" w:eastAsia="宋体" w:cs="Times New Roman"/>
                <w:kern w:val="2"/>
                <w:sz w:val="21"/>
                <w:szCs w:val="24"/>
                <w:highlight w:val="none"/>
                <w:lang w:val="en-US" w:eastAsia="zh-CN" w:bidi="ar-SA"/>
              </w:rPr>
            </w:pPr>
            <w:r>
              <w:rPr>
                <w:highlight w:val="none"/>
              </w:rPr>
              <w:t>6.2312</w:t>
            </w:r>
          </w:p>
        </w:tc>
        <w:tc>
          <w:tcPr>
            <w:tcW w:w="2296" w:type="dxa"/>
            <w:shd w:val="clear" w:color="auto" w:fill="auto"/>
            <w:vAlign w:val="top"/>
          </w:tcPr>
          <w:p w14:paraId="525742DE">
            <w:pPr>
              <w:jc w:val="center"/>
              <w:rPr>
                <w:rFonts w:hint="default" w:ascii="Times New Roman" w:hAnsi="Times New Roman" w:eastAsia="宋体" w:cs="Times New Roman"/>
                <w:kern w:val="2"/>
                <w:sz w:val="21"/>
                <w:szCs w:val="24"/>
                <w:highlight w:val="none"/>
                <w:lang w:val="en-US" w:eastAsia="zh-CN" w:bidi="ar-SA"/>
              </w:rPr>
            </w:pPr>
            <w:r>
              <w:rPr>
                <w:highlight w:val="none"/>
              </w:rPr>
              <w:t>6.4918</w:t>
            </w:r>
          </w:p>
        </w:tc>
      </w:tr>
      <w:tr w14:paraId="7BCF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589A62BD">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-6</w:t>
            </w:r>
          </w:p>
        </w:tc>
        <w:tc>
          <w:tcPr>
            <w:tcW w:w="2295" w:type="dxa"/>
            <w:shd w:val="clear" w:color="auto" w:fill="auto"/>
            <w:vAlign w:val="top"/>
          </w:tcPr>
          <w:p w14:paraId="4D57C0E1">
            <w:pPr>
              <w:jc w:val="center"/>
              <w:rPr>
                <w:rFonts w:hint="default" w:ascii="Times New Roman" w:hAnsi="Times New Roman" w:eastAsia="宋体" w:cs="Times New Roman"/>
                <w:kern w:val="2"/>
                <w:sz w:val="21"/>
                <w:szCs w:val="24"/>
                <w:highlight w:val="none"/>
                <w:lang w:val="en-US" w:eastAsia="zh-CN" w:bidi="ar-SA"/>
              </w:rPr>
            </w:pPr>
            <w:r>
              <w:rPr>
                <w:highlight w:val="none"/>
              </w:rPr>
              <w:t>2.2170</w:t>
            </w:r>
          </w:p>
        </w:tc>
        <w:tc>
          <w:tcPr>
            <w:tcW w:w="2232" w:type="dxa"/>
            <w:shd w:val="clear" w:color="auto" w:fill="auto"/>
            <w:vAlign w:val="top"/>
          </w:tcPr>
          <w:p w14:paraId="5457EEBD">
            <w:pPr>
              <w:jc w:val="center"/>
              <w:rPr>
                <w:rFonts w:hint="eastAsia" w:ascii="Times New Roman" w:hAnsi="Times New Roman" w:eastAsia="宋体" w:cs="Times New Roman"/>
                <w:kern w:val="2"/>
                <w:sz w:val="21"/>
                <w:szCs w:val="24"/>
                <w:highlight w:val="none"/>
                <w:lang w:val="en-US" w:eastAsia="zh-CN" w:bidi="ar-SA"/>
              </w:rPr>
            </w:pPr>
            <w:r>
              <w:rPr>
                <w:highlight w:val="none"/>
              </w:rPr>
              <w:t>5.1941</w:t>
            </w:r>
          </w:p>
        </w:tc>
        <w:tc>
          <w:tcPr>
            <w:tcW w:w="2296" w:type="dxa"/>
            <w:shd w:val="clear" w:color="auto" w:fill="auto"/>
            <w:vAlign w:val="top"/>
          </w:tcPr>
          <w:p w14:paraId="2629CE6E">
            <w:pPr>
              <w:jc w:val="center"/>
              <w:rPr>
                <w:rFonts w:hint="default" w:ascii="Times New Roman" w:hAnsi="Times New Roman" w:eastAsia="宋体" w:cs="Times New Roman"/>
                <w:kern w:val="2"/>
                <w:sz w:val="21"/>
                <w:szCs w:val="24"/>
                <w:highlight w:val="none"/>
                <w:lang w:val="en-US" w:eastAsia="zh-CN" w:bidi="ar-SA"/>
              </w:rPr>
            </w:pPr>
            <w:r>
              <w:rPr>
                <w:highlight w:val="none"/>
              </w:rPr>
              <w:t>5.6475</w:t>
            </w:r>
          </w:p>
        </w:tc>
      </w:tr>
      <w:tr w14:paraId="400D3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4A69A848">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-5</w:t>
            </w:r>
          </w:p>
        </w:tc>
        <w:tc>
          <w:tcPr>
            <w:tcW w:w="2295" w:type="dxa"/>
            <w:shd w:val="clear" w:color="auto" w:fill="auto"/>
            <w:vAlign w:val="top"/>
          </w:tcPr>
          <w:p w14:paraId="35F56327">
            <w:pPr>
              <w:jc w:val="center"/>
              <w:rPr>
                <w:rFonts w:hint="default" w:ascii="Times New Roman" w:hAnsi="Times New Roman" w:eastAsia="宋体" w:cs="Times New Roman"/>
                <w:kern w:val="2"/>
                <w:sz w:val="21"/>
                <w:szCs w:val="24"/>
                <w:highlight w:val="none"/>
                <w:lang w:val="en-US" w:eastAsia="zh-CN" w:bidi="ar-SA"/>
              </w:rPr>
            </w:pPr>
            <w:r>
              <w:rPr>
                <w:highlight w:val="none"/>
              </w:rPr>
              <w:t>2.3972</w:t>
            </w:r>
          </w:p>
        </w:tc>
        <w:tc>
          <w:tcPr>
            <w:tcW w:w="2232" w:type="dxa"/>
            <w:shd w:val="clear" w:color="auto" w:fill="auto"/>
            <w:vAlign w:val="top"/>
          </w:tcPr>
          <w:p w14:paraId="2782F048">
            <w:pPr>
              <w:jc w:val="center"/>
              <w:rPr>
                <w:rFonts w:hint="eastAsia" w:ascii="Times New Roman" w:hAnsi="Times New Roman" w:eastAsia="宋体" w:cs="Times New Roman"/>
                <w:kern w:val="2"/>
                <w:sz w:val="21"/>
                <w:szCs w:val="24"/>
                <w:highlight w:val="none"/>
                <w:lang w:val="en-US" w:eastAsia="zh-CN" w:bidi="ar-SA"/>
              </w:rPr>
            </w:pPr>
            <w:r>
              <w:rPr>
                <w:highlight w:val="none"/>
              </w:rPr>
              <w:t>4.3751</w:t>
            </w:r>
          </w:p>
        </w:tc>
        <w:tc>
          <w:tcPr>
            <w:tcW w:w="2296" w:type="dxa"/>
            <w:shd w:val="clear" w:color="auto" w:fill="auto"/>
            <w:vAlign w:val="top"/>
          </w:tcPr>
          <w:p w14:paraId="7DCACAD5">
            <w:pPr>
              <w:jc w:val="center"/>
              <w:rPr>
                <w:rFonts w:hint="default" w:ascii="Times New Roman" w:hAnsi="Times New Roman" w:eastAsia="宋体" w:cs="Times New Roman"/>
                <w:kern w:val="2"/>
                <w:sz w:val="21"/>
                <w:szCs w:val="24"/>
                <w:highlight w:val="none"/>
                <w:lang w:val="en-US" w:eastAsia="zh-CN" w:bidi="ar-SA"/>
              </w:rPr>
            </w:pPr>
            <w:r>
              <w:rPr>
                <w:highlight w:val="none"/>
              </w:rPr>
              <w:t>4.9888</w:t>
            </w:r>
          </w:p>
        </w:tc>
      </w:tr>
      <w:tr w14:paraId="5807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719594F5">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w:t>
            </w:r>
          </w:p>
        </w:tc>
        <w:tc>
          <w:tcPr>
            <w:tcW w:w="2295" w:type="dxa"/>
            <w:shd w:val="clear" w:color="auto" w:fill="auto"/>
            <w:vAlign w:val="top"/>
          </w:tcPr>
          <w:p w14:paraId="531E4C79">
            <w:pPr>
              <w:jc w:val="center"/>
              <w:rPr>
                <w:rFonts w:hint="default" w:ascii="Times New Roman" w:hAnsi="Times New Roman" w:eastAsia="宋体" w:cs="Times New Roman"/>
                <w:kern w:val="2"/>
                <w:sz w:val="21"/>
                <w:szCs w:val="24"/>
                <w:highlight w:val="none"/>
                <w:lang w:val="en-US" w:eastAsia="zh-CN" w:bidi="ar-SA"/>
              </w:rPr>
            </w:pPr>
            <w:r>
              <w:rPr>
                <w:highlight w:val="none"/>
              </w:rPr>
              <w:t>2.4066</w:t>
            </w:r>
          </w:p>
        </w:tc>
        <w:tc>
          <w:tcPr>
            <w:tcW w:w="2232" w:type="dxa"/>
            <w:shd w:val="clear" w:color="auto" w:fill="auto"/>
            <w:vAlign w:val="top"/>
          </w:tcPr>
          <w:p w14:paraId="74BEFEE2">
            <w:pPr>
              <w:jc w:val="center"/>
              <w:rPr>
                <w:rFonts w:hint="eastAsia" w:ascii="Times New Roman" w:hAnsi="Times New Roman" w:eastAsia="宋体" w:cs="Times New Roman"/>
                <w:kern w:val="2"/>
                <w:sz w:val="21"/>
                <w:szCs w:val="24"/>
                <w:highlight w:val="none"/>
                <w:lang w:val="en-US" w:eastAsia="zh-CN" w:bidi="ar-SA"/>
              </w:rPr>
            </w:pPr>
            <w:r>
              <w:rPr>
                <w:highlight w:val="none"/>
              </w:rPr>
              <w:t>4.1551</w:t>
            </w:r>
          </w:p>
        </w:tc>
        <w:tc>
          <w:tcPr>
            <w:tcW w:w="2296" w:type="dxa"/>
            <w:shd w:val="clear" w:color="auto" w:fill="auto"/>
            <w:vAlign w:val="top"/>
          </w:tcPr>
          <w:p w14:paraId="511ACACA">
            <w:pPr>
              <w:jc w:val="center"/>
              <w:rPr>
                <w:rFonts w:hint="default" w:ascii="Times New Roman" w:hAnsi="Times New Roman" w:eastAsia="宋体" w:cs="Times New Roman"/>
                <w:kern w:val="2"/>
                <w:sz w:val="21"/>
                <w:szCs w:val="24"/>
                <w:highlight w:val="none"/>
                <w:lang w:val="en-US" w:eastAsia="zh-CN" w:bidi="ar-SA"/>
              </w:rPr>
            </w:pPr>
            <w:r>
              <w:rPr>
                <w:highlight w:val="none"/>
              </w:rPr>
              <w:t>4.8018</w:t>
            </w:r>
          </w:p>
        </w:tc>
      </w:tr>
      <w:tr w14:paraId="6F18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5B756ABD">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w:t>
            </w:r>
          </w:p>
        </w:tc>
        <w:tc>
          <w:tcPr>
            <w:tcW w:w="2295" w:type="dxa"/>
            <w:shd w:val="clear" w:color="auto" w:fill="auto"/>
            <w:vAlign w:val="top"/>
          </w:tcPr>
          <w:p w14:paraId="1E267D6B">
            <w:pPr>
              <w:jc w:val="center"/>
              <w:rPr>
                <w:rFonts w:hint="default" w:ascii="Times New Roman" w:hAnsi="Times New Roman" w:eastAsia="宋体" w:cs="Times New Roman"/>
                <w:kern w:val="2"/>
                <w:sz w:val="21"/>
                <w:szCs w:val="24"/>
                <w:highlight w:val="none"/>
                <w:lang w:val="en-US" w:eastAsia="zh-CN" w:bidi="ar-SA"/>
              </w:rPr>
            </w:pPr>
            <w:r>
              <w:rPr>
                <w:highlight w:val="none"/>
              </w:rPr>
              <w:t>2.2547</w:t>
            </w:r>
          </w:p>
        </w:tc>
        <w:tc>
          <w:tcPr>
            <w:tcW w:w="2232" w:type="dxa"/>
            <w:shd w:val="clear" w:color="auto" w:fill="auto"/>
            <w:vAlign w:val="top"/>
          </w:tcPr>
          <w:p w14:paraId="528B33EC">
            <w:pPr>
              <w:jc w:val="center"/>
              <w:rPr>
                <w:rFonts w:hint="eastAsia" w:ascii="Times New Roman" w:hAnsi="Times New Roman" w:eastAsia="宋体" w:cs="Times New Roman"/>
                <w:kern w:val="2"/>
                <w:sz w:val="21"/>
                <w:szCs w:val="24"/>
                <w:highlight w:val="none"/>
                <w:lang w:val="en-US" w:eastAsia="zh-CN" w:bidi="ar-SA"/>
              </w:rPr>
            </w:pPr>
            <w:r>
              <w:rPr>
                <w:highlight w:val="none"/>
              </w:rPr>
              <w:t>4.6238</w:t>
            </w:r>
          </w:p>
        </w:tc>
        <w:tc>
          <w:tcPr>
            <w:tcW w:w="2296" w:type="dxa"/>
            <w:shd w:val="clear" w:color="auto" w:fill="auto"/>
            <w:vAlign w:val="top"/>
          </w:tcPr>
          <w:p w14:paraId="3F6EAF16">
            <w:pPr>
              <w:jc w:val="center"/>
              <w:rPr>
                <w:rFonts w:hint="default" w:ascii="Times New Roman" w:hAnsi="Times New Roman" w:eastAsia="宋体" w:cs="Times New Roman"/>
                <w:kern w:val="2"/>
                <w:sz w:val="21"/>
                <w:szCs w:val="24"/>
                <w:highlight w:val="none"/>
                <w:lang w:val="en-US" w:eastAsia="zh-CN" w:bidi="ar-SA"/>
              </w:rPr>
            </w:pPr>
            <w:r>
              <w:rPr>
                <w:highlight w:val="none"/>
              </w:rPr>
              <w:t>5.1443</w:t>
            </w:r>
          </w:p>
        </w:tc>
      </w:tr>
      <w:tr w14:paraId="5F7B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7FB5580F">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w:t>
            </w:r>
          </w:p>
        </w:tc>
        <w:tc>
          <w:tcPr>
            <w:tcW w:w="2295" w:type="dxa"/>
            <w:shd w:val="clear" w:color="auto" w:fill="auto"/>
            <w:vAlign w:val="top"/>
          </w:tcPr>
          <w:p w14:paraId="42949A25">
            <w:pPr>
              <w:jc w:val="center"/>
              <w:rPr>
                <w:rFonts w:hint="default" w:ascii="Times New Roman" w:hAnsi="Times New Roman" w:eastAsia="宋体" w:cs="Times New Roman"/>
                <w:kern w:val="2"/>
                <w:sz w:val="21"/>
                <w:szCs w:val="24"/>
                <w:highlight w:val="none"/>
                <w:lang w:val="en-US" w:eastAsia="zh-CN" w:bidi="ar-SA"/>
              </w:rPr>
            </w:pPr>
            <w:r>
              <w:rPr>
                <w:highlight w:val="none"/>
              </w:rPr>
              <w:t>1.9170</w:t>
            </w:r>
          </w:p>
        </w:tc>
        <w:tc>
          <w:tcPr>
            <w:tcW w:w="2232" w:type="dxa"/>
            <w:shd w:val="clear" w:color="auto" w:fill="auto"/>
            <w:vAlign w:val="top"/>
          </w:tcPr>
          <w:p w14:paraId="0FD163D5">
            <w:pPr>
              <w:jc w:val="center"/>
              <w:rPr>
                <w:rFonts w:hint="eastAsia" w:ascii="Times New Roman" w:hAnsi="Times New Roman" w:eastAsia="宋体" w:cs="Times New Roman"/>
                <w:kern w:val="2"/>
                <w:sz w:val="21"/>
                <w:szCs w:val="24"/>
                <w:highlight w:val="none"/>
                <w:lang w:val="en-US" w:eastAsia="zh-CN" w:bidi="ar-SA"/>
              </w:rPr>
            </w:pPr>
            <w:r>
              <w:rPr>
                <w:highlight w:val="none"/>
              </w:rPr>
              <w:t>5.4520</w:t>
            </w:r>
          </w:p>
        </w:tc>
        <w:tc>
          <w:tcPr>
            <w:tcW w:w="2296" w:type="dxa"/>
            <w:shd w:val="clear" w:color="auto" w:fill="auto"/>
            <w:vAlign w:val="top"/>
          </w:tcPr>
          <w:p w14:paraId="70F75BDA">
            <w:pPr>
              <w:jc w:val="center"/>
              <w:rPr>
                <w:rFonts w:hint="default" w:ascii="Times New Roman" w:hAnsi="Times New Roman" w:eastAsia="宋体" w:cs="Times New Roman"/>
                <w:kern w:val="2"/>
                <w:sz w:val="21"/>
                <w:szCs w:val="24"/>
                <w:highlight w:val="none"/>
                <w:lang w:val="en-US" w:eastAsia="zh-CN" w:bidi="ar-SA"/>
              </w:rPr>
            </w:pPr>
            <w:r>
              <w:rPr>
                <w:highlight w:val="none"/>
              </w:rPr>
              <w:t>5.7792</w:t>
            </w:r>
          </w:p>
        </w:tc>
      </w:tr>
      <w:tr w14:paraId="10DC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top"/>
          </w:tcPr>
          <w:p w14:paraId="64A901DD">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w:t>
            </w:r>
          </w:p>
        </w:tc>
        <w:tc>
          <w:tcPr>
            <w:tcW w:w="2295" w:type="dxa"/>
            <w:shd w:val="clear" w:color="auto" w:fill="auto"/>
            <w:vAlign w:val="top"/>
          </w:tcPr>
          <w:p w14:paraId="344C4BAB">
            <w:pPr>
              <w:jc w:val="center"/>
              <w:rPr>
                <w:rFonts w:hint="default" w:ascii="Times New Roman" w:hAnsi="Times New Roman" w:eastAsia="宋体" w:cs="Times New Roman"/>
                <w:kern w:val="2"/>
                <w:sz w:val="21"/>
                <w:szCs w:val="24"/>
                <w:highlight w:val="none"/>
                <w:lang w:val="en-US" w:eastAsia="zh-CN" w:bidi="ar-SA"/>
              </w:rPr>
            </w:pPr>
            <w:r>
              <w:rPr>
                <w:highlight w:val="none"/>
              </w:rPr>
              <w:t>1.4359</w:t>
            </w:r>
          </w:p>
        </w:tc>
        <w:tc>
          <w:tcPr>
            <w:tcW w:w="2232" w:type="dxa"/>
            <w:shd w:val="clear" w:color="auto" w:fill="auto"/>
            <w:vAlign w:val="top"/>
          </w:tcPr>
          <w:p w14:paraId="70B72AE7">
            <w:pPr>
              <w:jc w:val="center"/>
              <w:rPr>
                <w:rFonts w:hint="eastAsia" w:ascii="Times New Roman" w:hAnsi="Times New Roman" w:eastAsia="宋体" w:cs="Times New Roman"/>
                <w:kern w:val="2"/>
                <w:sz w:val="21"/>
                <w:szCs w:val="24"/>
                <w:highlight w:val="none"/>
                <w:lang w:val="en-US" w:eastAsia="zh-CN" w:bidi="ar-SA"/>
              </w:rPr>
            </w:pPr>
            <w:r>
              <w:rPr>
                <w:highlight w:val="none"/>
              </w:rPr>
              <w:t>6.1912</w:t>
            </w:r>
          </w:p>
        </w:tc>
        <w:tc>
          <w:tcPr>
            <w:tcW w:w="2296" w:type="dxa"/>
            <w:shd w:val="clear" w:color="auto" w:fill="auto"/>
            <w:vAlign w:val="top"/>
          </w:tcPr>
          <w:p w14:paraId="3CC11B6A">
            <w:pPr>
              <w:jc w:val="center"/>
              <w:rPr>
                <w:rFonts w:hint="default" w:ascii="Times New Roman" w:hAnsi="Times New Roman" w:eastAsia="宋体" w:cs="Times New Roman"/>
                <w:kern w:val="2"/>
                <w:sz w:val="21"/>
                <w:szCs w:val="24"/>
                <w:highlight w:val="none"/>
                <w:lang w:val="en-US" w:eastAsia="zh-CN" w:bidi="ar-SA"/>
              </w:rPr>
            </w:pPr>
            <w:r>
              <w:rPr>
                <w:highlight w:val="none"/>
              </w:rPr>
              <w:t>6.3555</w:t>
            </w:r>
          </w:p>
        </w:tc>
      </w:tr>
      <w:tr w14:paraId="345A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237" w:type="dxa"/>
            <w:vAlign w:val="top"/>
          </w:tcPr>
          <w:p w14:paraId="65B35F56">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0</w:t>
            </w:r>
          </w:p>
        </w:tc>
        <w:tc>
          <w:tcPr>
            <w:tcW w:w="2295" w:type="dxa"/>
            <w:shd w:val="clear" w:color="auto" w:fill="auto"/>
            <w:vAlign w:val="top"/>
          </w:tcPr>
          <w:p w14:paraId="42EFD20D">
            <w:pPr>
              <w:jc w:val="center"/>
              <w:rPr>
                <w:rFonts w:hint="default" w:ascii="Times New Roman" w:hAnsi="Times New Roman" w:eastAsia="宋体" w:cs="Times New Roman"/>
                <w:kern w:val="2"/>
                <w:sz w:val="21"/>
                <w:szCs w:val="24"/>
                <w:highlight w:val="none"/>
                <w:lang w:val="en-US" w:eastAsia="zh-CN" w:bidi="ar-SA"/>
              </w:rPr>
            </w:pPr>
            <w:r>
              <w:rPr>
                <w:highlight w:val="none"/>
              </w:rPr>
              <w:t>1.1449</w:t>
            </w:r>
          </w:p>
        </w:tc>
        <w:tc>
          <w:tcPr>
            <w:tcW w:w="2232" w:type="dxa"/>
            <w:shd w:val="clear" w:color="auto" w:fill="auto"/>
            <w:vAlign w:val="top"/>
          </w:tcPr>
          <w:p w14:paraId="402528DC">
            <w:pPr>
              <w:jc w:val="center"/>
              <w:rPr>
                <w:rFonts w:hint="eastAsia" w:ascii="Times New Roman" w:hAnsi="Times New Roman" w:eastAsia="宋体" w:cs="Times New Roman"/>
                <w:kern w:val="2"/>
                <w:sz w:val="21"/>
                <w:szCs w:val="24"/>
                <w:highlight w:val="none"/>
                <w:lang w:val="en-US" w:eastAsia="zh-CN" w:bidi="ar-SA"/>
              </w:rPr>
            </w:pPr>
            <w:r>
              <w:rPr>
                <w:highlight w:val="none"/>
              </w:rPr>
              <w:t>6.4849</w:t>
            </w:r>
          </w:p>
        </w:tc>
        <w:tc>
          <w:tcPr>
            <w:tcW w:w="2296" w:type="dxa"/>
            <w:shd w:val="clear" w:color="auto" w:fill="auto"/>
            <w:vAlign w:val="top"/>
          </w:tcPr>
          <w:p w14:paraId="7138DA29">
            <w:pPr>
              <w:jc w:val="center"/>
              <w:rPr>
                <w:rFonts w:hint="default" w:ascii="Times New Roman" w:hAnsi="Times New Roman" w:eastAsia="宋体" w:cs="Times New Roman"/>
                <w:kern w:val="2"/>
                <w:sz w:val="21"/>
                <w:szCs w:val="24"/>
                <w:highlight w:val="none"/>
                <w:lang w:val="en-US" w:eastAsia="zh-CN" w:bidi="ar-SA"/>
              </w:rPr>
            </w:pPr>
            <w:r>
              <w:rPr>
                <w:highlight w:val="none"/>
              </w:rPr>
              <w:t>6.5852</w:t>
            </w:r>
          </w:p>
        </w:tc>
      </w:tr>
      <w:tr w14:paraId="2EE5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79EACED3">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w:t>
            </w:r>
          </w:p>
        </w:tc>
        <w:tc>
          <w:tcPr>
            <w:tcW w:w="0" w:type="auto"/>
            <w:shd w:val="clear" w:color="auto" w:fill="auto"/>
            <w:vAlign w:val="top"/>
          </w:tcPr>
          <w:p w14:paraId="24FB2E50">
            <w:pPr>
              <w:jc w:val="center"/>
              <w:rPr>
                <w:rFonts w:hint="default" w:ascii="Times New Roman" w:hAnsi="Times New Roman" w:eastAsia="宋体" w:cs="Times New Roman"/>
                <w:kern w:val="2"/>
                <w:sz w:val="21"/>
                <w:szCs w:val="24"/>
                <w:highlight w:val="none"/>
                <w:lang w:val="en-US" w:eastAsia="zh-CN" w:bidi="ar-SA"/>
              </w:rPr>
            </w:pPr>
            <w:r>
              <w:rPr>
                <w:highlight w:val="none"/>
              </w:rPr>
              <w:t>1.4359</w:t>
            </w:r>
          </w:p>
        </w:tc>
        <w:tc>
          <w:tcPr>
            <w:tcW w:w="0" w:type="auto"/>
            <w:shd w:val="clear" w:color="auto" w:fill="auto"/>
            <w:vAlign w:val="top"/>
          </w:tcPr>
          <w:p w14:paraId="48411720">
            <w:pPr>
              <w:jc w:val="center"/>
              <w:rPr>
                <w:rFonts w:hint="eastAsia" w:ascii="Times New Roman" w:hAnsi="Times New Roman" w:eastAsia="宋体" w:cs="Times New Roman"/>
                <w:kern w:val="2"/>
                <w:sz w:val="21"/>
                <w:szCs w:val="24"/>
                <w:highlight w:val="none"/>
                <w:lang w:val="en-US" w:eastAsia="zh-CN" w:bidi="ar-SA"/>
              </w:rPr>
            </w:pPr>
            <w:r>
              <w:rPr>
                <w:highlight w:val="none"/>
              </w:rPr>
              <w:t>6.1912</w:t>
            </w:r>
          </w:p>
        </w:tc>
        <w:tc>
          <w:tcPr>
            <w:tcW w:w="0" w:type="auto"/>
            <w:shd w:val="clear" w:color="auto" w:fill="auto"/>
            <w:vAlign w:val="top"/>
          </w:tcPr>
          <w:p w14:paraId="66AFE91E">
            <w:pPr>
              <w:jc w:val="center"/>
              <w:rPr>
                <w:rFonts w:hint="default" w:ascii="Times New Roman" w:hAnsi="Times New Roman" w:eastAsia="宋体" w:cs="Times New Roman"/>
                <w:kern w:val="2"/>
                <w:sz w:val="21"/>
                <w:szCs w:val="24"/>
                <w:highlight w:val="none"/>
                <w:lang w:val="en-US" w:eastAsia="zh-CN" w:bidi="ar-SA"/>
              </w:rPr>
            </w:pPr>
            <w:r>
              <w:rPr>
                <w:highlight w:val="none"/>
              </w:rPr>
              <w:t>6.3555</w:t>
            </w:r>
          </w:p>
        </w:tc>
      </w:tr>
      <w:tr w14:paraId="30055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0A2CCB43">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w:t>
            </w:r>
          </w:p>
        </w:tc>
        <w:tc>
          <w:tcPr>
            <w:tcW w:w="0" w:type="auto"/>
            <w:shd w:val="clear" w:color="auto" w:fill="auto"/>
            <w:vAlign w:val="top"/>
          </w:tcPr>
          <w:p w14:paraId="39C05C39">
            <w:pPr>
              <w:jc w:val="center"/>
              <w:rPr>
                <w:rFonts w:hint="default" w:ascii="Times New Roman" w:hAnsi="Times New Roman" w:eastAsia="宋体" w:cs="Times New Roman"/>
                <w:kern w:val="2"/>
                <w:sz w:val="21"/>
                <w:szCs w:val="24"/>
                <w:highlight w:val="none"/>
                <w:lang w:val="en-US" w:eastAsia="zh-CN" w:bidi="ar-SA"/>
              </w:rPr>
            </w:pPr>
            <w:r>
              <w:rPr>
                <w:highlight w:val="none"/>
              </w:rPr>
              <w:t>1.9170</w:t>
            </w:r>
          </w:p>
        </w:tc>
        <w:tc>
          <w:tcPr>
            <w:tcW w:w="0" w:type="auto"/>
            <w:shd w:val="clear" w:color="auto" w:fill="auto"/>
            <w:vAlign w:val="top"/>
          </w:tcPr>
          <w:p w14:paraId="0AF69C62">
            <w:pPr>
              <w:jc w:val="center"/>
              <w:rPr>
                <w:rFonts w:hint="eastAsia" w:ascii="Times New Roman" w:hAnsi="Times New Roman" w:eastAsia="宋体" w:cs="Times New Roman"/>
                <w:kern w:val="2"/>
                <w:sz w:val="21"/>
                <w:szCs w:val="24"/>
                <w:highlight w:val="none"/>
                <w:lang w:val="en-US" w:eastAsia="zh-CN" w:bidi="ar-SA"/>
              </w:rPr>
            </w:pPr>
            <w:r>
              <w:rPr>
                <w:highlight w:val="none"/>
              </w:rPr>
              <w:t>5.4520</w:t>
            </w:r>
          </w:p>
        </w:tc>
        <w:tc>
          <w:tcPr>
            <w:tcW w:w="0" w:type="auto"/>
            <w:shd w:val="clear" w:color="auto" w:fill="auto"/>
            <w:vAlign w:val="top"/>
          </w:tcPr>
          <w:p w14:paraId="29CB7445">
            <w:pPr>
              <w:jc w:val="center"/>
              <w:rPr>
                <w:rFonts w:hint="default" w:ascii="Times New Roman" w:hAnsi="Times New Roman" w:eastAsia="宋体" w:cs="Times New Roman"/>
                <w:kern w:val="2"/>
                <w:sz w:val="21"/>
                <w:szCs w:val="24"/>
                <w:highlight w:val="none"/>
                <w:lang w:val="en-US" w:eastAsia="zh-CN" w:bidi="ar-SA"/>
              </w:rPr>
            </w:pPr>
            <w:r>
              <w:rPr>
                <w:highlight w:val="none"/>
              </w:rPr>
              <w:t>5.7792</w:t>
            </w:r>
          </w:p>
        </w:tc>
      </w:tr>
      <w:tr w14:paraId="4C45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7BBD6DA6">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w:t>
            </w:r>
          </w:p>
        </w:tc>
        <w:tc>
          <w:tcPr>
            <w:tcW w:w="0" w:type="auto"/>
            <w:shd w:val="clear" w:color="auto" w:fill="auto"/>
            <w:vAlign w:val="top"/>
          </w:tcPr>
          <w:p w14:paraId="5A5AC941">
            <w:pPr>
              <w:jc w:val="center"/>
              <w:rPr>
                <w:rFonts w:hint="default" w:ascii="Times New Roman" w:hAnsi="Times New Roman" w:eastAsia="宋体" w:cs="Times New Roman"/>
                <w:kern w:val="2"/>
                <w:sz w:val="21"/>
                <w:szCs w:val="24"/>
                <w:highlight w:val="none"/>
                <w:lang w:val="en-US" w:eastAsia="zh-CN" w:bidi="ar-SA"/>
              </w:rPr>
            </w:pPr>
            <w:r>
              <w:rPr>
                <w:highlight w:val="none"/>
              </w:rPr>
              <w:t>2.2547</w:t>
            </w:r>
          </w:p>
        </w:tc>
        <w:tc>
          <w:tcPr>
            <w:tcW w:w="0" w:type="auto"/>
            <w:shd w:val="clear" w:color="auto" w:fill="auto"/>
            <w:vAlign w:val="top"/>
          </w:tcPr>
          <w:p w14:paraId="62300C51">
            <w:pPr>
              <w:jc w:val="center"/>
              <w:rPr>
                <w:rFonts w:hint="eastAsia" w:ascii="Times New Roman" w:hAnsi="Times New Roman" w:eastAsia="宋体" w:cs="Times New Roman"/>
                <w:kern w:val="2"/>
                <w:sz w:val="21"/>
                <w:szCs w:val="24"/>
                <w:highlight w:val="none"/>
                <w:lang w:val="en-US" w:eastAsia="zh-CN" w:bidi="ar-SA"/>
              </w:rPr>
            </w:pPr>
            <w:r>
              <w:rPr>
                <w:highlight w:val="none"/>
              </w:rPr>
              <w:t>4.6238</w:t>
            </w:r>
          </w:p>
        </w:tc>
        <w:tc>
          <w:tcPr>
            <w:tcW w:w="0" w:type="auto"/>
            <w:shd w:val="clear" w:color="auto" w:fill="auto"/>
            <w:vAlign w:val="top"/>
          </w:tcPr>
          <w:p w14:paraId="1FF7114D">
            <w:pPr>
              <w:jc w:val="center"/>
              <w:rPr>
                <w:rFonts w:hint="default" w:ascii="Times New Roman" w:hAnsi="Times New Roman" w:eastAsia="宋体" w:cs="Times New Roman"/>
                <w:kern w:val="2"/>
                <w:sz w:val="21"/>
                <w:szCs w:val="24"/>
                <w:highlight w:val="none"/>
                <w:lang w:val="en-US" w:eastAsia="zh-CN" w:bidi="ar-SA"/>
              </w:rPr>
            </w:pPr>
            <w:r>
              <w:rPr>
                <w:highlight w:val="none"/>
              </w:rPr>
              <w:t>5.1443</w:t>
            </w:r>
          </w:p>
        </w:tc>
      </w:tr>
      <w:tr w14:paraId="1D24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2F98BCF2">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w:t>
            </w:r>
          </w:p>
        </w:tc>
        <w:tc>
          <w:tcPr>
            <w:tcW w:w="0" w:type="auto"/>
            <w:shd w:val="clear" w:color="auto" w:fill="auto"/>
            <w:vAlign w:val="top"/>
          </w:tcPr>
          <w:p w14:paraId="7EA64B1C">
            <w:pPr>
              <w:jc w:val="center"/>
              <w:rPr>
                <w:rFonts w:hint="default" w:ascii="Times New Roman" w:hAnsi="Times New Roman" w:eastAsia="宋体" w:cs="Times New Roman"/>
                <w:kern w:val="2"/>
                <w:sz w:val="21"/>
                <w:szCs w:val="24"/>
                <w:highlight w:val="none"/>
                <w:lang w:val="en-US" w:eastAsia="zh-CN" w:bidi="ar-SA"/>
              </w:rPr>
            </w:pPr>
            <w:r>
              <w:rPr>
                <w:highlight w:val="none"/>
              </w:rPr>
              <w:t>2.4066</w:t>
            </w:r>
          </w:p>
        </w:tc>
        <w:tc>
          <w:tcPr>
            <w:tcW w:w="0" w:type="auto"/>
            <w:shd w:val="clear" w:color="auto" w:fill="auto"/>
            <w:vAlign w:val="top"/>
          </w:tcPr>
          <w:p w14:paraId="7E609936">
            <w:pPr>
              <w:jc w:val="center"/>
              <w:rPr>
                <w:rFonts w:hint="eastAsia" w:ascii="Times New Roman" w:hAnsi="Times New Roman" w:eastAsia="宋体" w:cs="Times New Roman"/>
                <w:kern w:val="2"/>
                <w:sz w:val="21"/>
                <w:szCs w:val="24"/>
                <w:highlight w:val="none"/>
                <w:lang w:val="en-US" w:eastAsia="zh-CN" w:bidi="ar-SA"/>
              </w:rPr>
            </w:pPr>
            <w:r>
              <w:rPr>
                <w:highlight w:val="none"/>
              </w:rPr>
              <w:t>4.1551</w:t>
            </w:r>
          </w:p>
        </w:tc>
        <w:tc>
          <w:tcPr>
            <w:tcW w:w="0" w:type="auto"/>
            <w:shd w:val="clear" w:color="auto" w:fill="auto"/>
            <w:vAlign w:val="top"/>
          </w:tcPr>
          <w:p w14:paraId="1FE186A1">
            <w:pPr>
              <w:jc w:val="center"/>
              <w:rPr>
                <w:rFonts w:hint="default" w:ascii="Times New Roman" w:hAnsi="Times New Roman" w:eastAsia="宋体" w:cs="Times New Roman"/>
                <w:kern w:val="2"/>
                <w:sz w:val="21"/>
                <w:szCs w:val="24"/>
                <w:highlight w:val="none"/>
                <w:lang w:val="en-US" w:eastAsia="zh-CN" w:bidi="ar-SA"/>
              </w:rPr>
            </w:pPr>
            <w:r>
              <w:rPr>
                <w:highlight w:val="none"/>
              </w:rPr>
              <w:t>4.8018</w:t>
            </w:r>
          </w:p>
        </w:tc>
      </w:tr>
      <w:tr w14:paraId="4C0C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30D6D5AF">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5</w:t>
            </w:r>
          </w:p>
        </w:tc>
        <w:tc>
          <w:tcPr>
            <w:tcW w:w="0" w:type="auto"/>
            <w:shd w:val="clear" w:color="auto" w:fill="auto"/>
            <w:vAlign w:val="top"/>
          </w:tcPr>
          <w:p w14:paraId="1EEC430A">
            <w:pPr>
              <w:jc w:val="center"/>
              <w:rPr>
                <w:rFonts w:hint="default" w:ascii="Times New Roman" w:hAnsi="Times New Roman" w:eastAsia="宋体" w:cs="Times New Roman"/>
                <w:kern w:val="2"/>
                <w:sz w:val="21"/>
                <w:szCs w:val="24"/>
                <w:highlight w:val="none"/>
                <w:lang w:val="en-US" w:eastAsia="zh-CN" w:bidi="ar-SA"/>
              </w:rPr>
            </w:pPr>
            <w:r>
              <w:rPr>
                <w:highlight w:val="none"/>
              </w:rPr>
              <w:t>2.3972</w:t>
            </w:r>
          </w:p>
        </w:tc>
        <w:tc>
          <w:tcPr>
            <w:tcW w:w="0" w:type="auto"/>
            <w:shd w:val="clear" w:color="auto" w:fill="auto"/>
            <w:vAlign w:val="top"/>
          </w:tcPr>
          <w:p w14:paraId="4311E26D">
            <w:pPr>
              <w:jc w:val="center"/>
              <w:rPr>
                <w:rFonts w:hint="eastAsia" w:ascii="Times New Roman" w:hAnsi="Times New Roman" w:eastAsia="宋体" w:cs="Times New Roman"/>
                <w:kern w:val="2"/>
                <w:sz w:val="21"/>
                <w:szCs w:val="24"/>
                <w:highlight w:val="none"/>
                <w:lang w:val="en-US" w:eastAsia="zh-CN" w:bidi="ar-SA"/>
              </w:rPr>
            </w:pPr>
            <w:r>
              <w:rPr>
                <w:highlight w:val="none"/>
              </w:rPr>
              <w:t>4.3751</w:t>
            </w:r>
          </w:p>
        </w:tc>
        <w:tc>
          <w:tcPr>
            <w:tcW w:w="0" w:type="auto"/>
            <w:shd w:val="clear" w:color="auto" w:fill="auto"/>
            <w:vAlign w:val="top"/>
          </w:tcPr>
          <w:p w14:paraId="28C37B37">
            <w:pPr>
              <w:jc w:val="center"/>
              <w:rPr>
                <w:rFonts w:hint="default" w:ascii="Times New Roman" w:hAnsi="Times New Roman" w:eastAsia="宋体" w:cs="Times New Roman"/>
                <w:kern w:val="2"/>
                <w:sz w:val="21"/>
                <w:szCs w:val="24"/>
                <w:highlight w:val="none"/>
                <w:lang w:val="en-US" w:eastAsia="zh-CN" w:bidi="ar-SA"/>
              </w:rPr>
            </w:pPr>
            <w:r>
              <w:rPr>
                <w:highlight w:val="none"/>
              </w:rPr>
              <w:t>4.9888</w:t>
            </w:r>
          </w:p>
        </w:tc>
      </w:tr>
      <w:tr w14:paraId="1BDB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7C79CEDA">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6</w:t>
            </w:r>
          </w:p>
        </w:tc>
        <w:tc>
          <w:tcPr>
            <w:tcW w:w="0" w:type="auto"/>
            <w:shd w:val="clear" w:color="auto" w:fill="auto"/>
            <w:vAlign w:val="top"/>
          </w:tcPr>
          <w:p w14:paraId="0AC9DCE2">
            <w:pPr>
              <w:jc w:val="center"/>
              <w:rPr>
                <w:rFonts w:hint="default" w:ascii="Times New Roman" w:hAnsi="Times New Roman" w:eastAsia="宋体" w:cs="Times New Roman"/>
                <w:kern w:val="2"/>
                <w:sz w:val="21"/>
                <w:szCs w:val="24"/>
                <w:highlight w:val="none"/>
                <w:lang w:val="en-US" w:eastAsia="zh-CN" w:bidi="ar-SA"/>
              </w:rPr>
            </w:pPr>
            <w:r>
              <w:rPr>
                <w:highlight w:val="none"/>
              </w:rPr>
              <w:t>2.2170</w:t>
            </w:r>
          </w:p>
        </w:tc>
        <w:tc>
          <w:tcPr>
            <w:tcW w:w="0" w:type="auto"/>
            <w:shd w:val="clear" w:color="auto" w:fill="auto"/>
            <w:vAlign w:val="top"/>
          </w:tcPr>
          <w:p w14:paraId="584EE92F">
            <w:pPr>
              <w:jc w:val="center"/>
              <w:rPr>
                <w:rFonts w:hint="eastAsia" w:ascii="Times New Roman" w:hAnsi="Times New Roman" w:eastAsia="宋体" w:cs="Times New Roman"/>
                <w:kern w:val="2"/>
                <w:sz w:val="21"/>
                <w:szCs w:val="24"/>
                <w:highlight w:val="none"/>
                <w:lang w:val="en-US" w:eastAsia="zh-CN" w:bidi="ar-SA"/>
              </w:rPr>
            </w:pPr>
            <w:r>
              <w:rPr>
                <w:highlight w:val="none"/>
              </w:rPr>
              <w:t>5.1941</w:t>
            </w:r>
          </w:p>
        </w:tc>
        <w:tc>
          <w:tcPr>
            <w:tcW w:w="0" w:type="auto"/>
            <w:shd w:val="clear" w:color="auto" w:fill="auto"/>
            <w:vAlign w:val="top"/>
          </w:tcPr>
          <w:p w14:paraId="382C7E79">
            <w:pPr>
              <w:jc w:val="center"/>
              <w:rPr>
                <w:rFonts w:hint="default" w:ascii="Times New Roman" w:hAnsi="Times New Roman" w:eastAsia="宋体" w:cs="Times New Roman"/>
                <w:kern w:val="2"/>
                <w:sz w:val="21"/>
                <w:szCs w:val="24"/>
                <w:highlight w:val="none"/>
                <w:lang w:val="en-US" w:eastAsia="zh-CN" w:bidi="ar-SA"/>
              </w:rPr>
            </w:pPr>
            <w:r>
              <w:rPr>
                <w:highlight w:val="none"/>
              </w:rPr>
              <w:t>5.6475</w:t>
            </w:r>
          </w:p>
        </w:tc>
      </w:tr>
      <w:tr w14:paraId="42D0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4A7F899E">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7</w:t>
            </w:r>
          </w:p>
        </w:tc>
        <w:tc>
          <w:tcPr>
            <w:tcW w:w="0" w:type="auto"/>
            <w:shd w:val="clear" w:color="auto" w:fill="auto"/>
            <w:vAlign w:val="top"/>
          </w:tcPr>
          <w:p w14:paraId="1987EB94">
            <w:pPr>
              <w:jc w:val="center"/>
              <w:rPr>
                <w:rFonts w:hint="default" w:ascii="Times New Roman" w:hAnsi="Times New Roman" w:eastAsia="宋体" w:cs="Times New Roman"/>
                <w:kern w:val="2"/>
                <w:sz w:val="21"/>
                <w:szCs w:val="24"/>
                <w:highlight w:val="none"/>
                <w:lang w:val="en-US" w:eastAsia="zh-CN" w:bidi="ar-SA"/>
              </w:rPr>
            </w:pPr>
            <w:r>
              <w:rPr>
                <w:highlight w:val="none"/>
              </w:rPr>
              <w:t>1.8207</w:t>
            </w:r>
          </w:p>
        </w:tc>
        <w:tc>
          <w:tcPr>
            <w:tcW w:w="0" w:type="auto"/>
            <w:shd w:val="clear" w:color="auto" w:fill="auto"/>
            <w:vAlign w:val="top"/>
          </w:tcPr>
          <w:p w14:paraId="52FFBAFE">
            <w:pPr>
              <w:jc w:val="center"/>
              <w:rPr>
                <w:rFonts w:hint="eastAsia" w:ascii="Times New Roman" w:hAnsi="Times New Roman" w:eastAsia="宋体" w:cs="Times New Roman"/>
                <w:kern w:val="2"/>
                <w:sz w:val="21"/>
                <w:szCs w:val="24"/>
                <w:highlight w:val="none"/>
                <w:lang w:val="en-US" w:eastAsia="zh-CN" w:bidi="ar-SA"/>
              </w:rPr>
            </w:pPr>
            <w:r>
              <w:rPr>
                <w:highlight w:val="none"/>
              </w:rPr>
              <w:t>6.2312</w:t>
            </w:r>
          </w:p>
        </w:tc>
        <w:tc>
          <w:tcPr>
            <w:tcW w:w="0" w:type="auto"/>
            <w:shd w:val="clear" w:color="auto" w:fill="auto"/>
            <w:vAlign w:val="top"/>
          </w:tcPr>
          <w:p w14:paraId="31139553">
            <w:pPr>
              <w:jc w:val="center"/>
              <w:rPr>
                <w:rFonts w:hint="default" w:ascii="Times New Roman" w:hAnsi="Times New Roman" w:eastAsia="宋体" w:cs="Times New Roman"/>
                <w:kern w:val="2"/>
                <w:sz w:val="21"/>
                <w:szCs w:val="24"/>
                <w:highlight w:val="none"/>
                <w:lang w:val="en-US" w:eastAsia="zh-CN" w:bidi="ar-SA"/>
              </w:rPr>
            </w:pPr>
            <w:r>
              <w:rPr>
                <w:highlight w:val="none"/>
              </w:rPr>
              <w:t>6.4918</w:t>
            </w:r>
          </w:p>
        </w:tc>
      </w:tr>
      <w:tr w14:paraId="669A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29E9C403">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8</w:t>
            </w:r>
          </w:p>
        </w:tc>
        <w:tc>
          <w:tcPr>
            <w:tcW w:w="0" w:type="auto"/>
            <w:shd w:val="clear" w:color="auto" w:fill="auto"/>
            <w:vAlign w:val="top"/>
          </w:tcPr>
          <w:p w14:paraId="5350189A">
            <w:pPr>
              <w:jc w:val="center"/>
              <w:rPr>
                <w:rFonts w:hint="default" w:ascii="Times New Roman" w:hAnsi="Times New Roman" w:eastAsia="宋体" w:cs="Times New Roman"/>
                <w:kern w:val="2"/>
                <w:sz w:val="21"/>
                <w:szCs w:val="24"/>
                <w:highlight w:val="none"/>
                <w:lang w:val="en-US" w:eastAsia="zh-CN" w:bidi="ar-SA"/>
              </w:rPr>
            </w:pPr>
            <w:r>
              <w:rPr>
                <w:highlight w:val="none"/>
              </w:rPr>
              <w:t>1.2012</w:t>
            </w:r>
          </w:p>
        </w:tc>
        <w:tc>
          <w:tcPr>
            <w:tcW w:w="0" w:type="auto"/>
            <w:shd w:val="clear" w:color="auto" w:fill="auto"/>
            <w:vAlign w:val="top"/>
          </w:tcPr>
          <w:p w14:paraId="4C3CA1EF">
            <w:pPr>
              <w:jc w:val="center"/>
              <w:rPr>
                <w:rFonts w:hint="eastAsia" w:ascii="Times New Roman" w:hAnsi="Times New Roman" w:eastAsia="宋体" w:cs="Times New Roman"/>
                <w:kern w:val="2"/>
                <w:sz w:val="21"/>
                <w:szCs w:val="24"/>
                <w:highlight w:val="none"/>
                <w:lang w:val="en-US" w:eastAsia="zh-CN" w:bidi="ar-SA"/>
              </w:rPr>
            </w:pPr>
            <w:r>
              <w:rPr>
                <w:highlight w:val="none"/>
              </w:rPr>
              <w:t>7.0949</w:t>
            </w:r>
          </w:p>
        </w:tc>
        <w:tc>
          <w:tcPr>
            <w:tcW w:w="0" w:type="auto"/>
            <w:shd w:val="clear" w:color="auto" w:fill="auto"/>
            <w:vAlign w:val="top"/>
          </w:tcPr>
          <w:p w14:paraId="2D030970">
            <w:pPr>
              <w:jc w:val="center"/>
              <w:rPr>
                <w:rFonts w:hint="default" w:ascii="Times New Roman" w:hAnsi="Times New Roman" w:eastAsia="宋体" w:cs="Times New Roman"/>
                <w:kern w:val="2"/>
                <w:sz w:val="21"/>
                <w:szCs w:val="24"/>
                <w:highlight w:val="none"/>
                <w:lang w:val="en-US" w:eastAsia="zh-CN" w:bidi="ar-SA"/>
              </w:rPr>
            </w:pPr>
            <w:r>
              <w:rPr>
                <w:highlight w:val="none"/>
              </w:rPr>
              <w:t>7.1959</w:t>
            </w:r>
          </w:p>
        </w:tc>
      </w:tr>
      <w:tr w14:paraId="6CE5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182187B0">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9</w:t>
            </w:r>
          </w:p>
        </w:tc>
        <w:tc>
          <w:tcPr>
            <w:tcW w:w="0" w:type="auto"/>
            <w:shd w:val="clear" w:color="auto" w:fill="auto"/>
            <w:vAlign w:val="top"/>
          </w:tcPr>
          <w:p w14:paraId="24532A89">
            <w:pPr>
              <w:jc w:val="center"/>
              <w:rPr>
                <w:rFonts w:hint="default" w:ascii="Times New Roman" w:hAnsi="Times New Roman" w:eastAsia="宋体" w:cs="Times New Roman"/>
                <w:kern w:val="2"/>
                <w:sz w:val="21"/>
                <w:szCs w:val="24"/>
                <w:highlight w:val="none"/>
                <w:lang w:val="en-US" w:eastAsia="zh-CN" w:bidi="ar-SA"/>
              </w:rPr>
            </w:pPr>
            <w:r>
              <w:rPr>
                <w:highlight w:val="none"/>
              </w:rPr>
              <w:t>0.5303</w:t>
            </w:r>
          </w:p>
        </w:tc>
        <w:tc>
          <w:tcPr>
            <w:tcW w:w="0" w:type="auto"/>
            <w:shd w:val="clear" w:color="auto" w:fill="auto"/>
            <w:vAlign w:val="top"/>
          </w:tcPr>
          <w:p w14:paraId="61FD4C61">
            <w:pPr>
              <w:jc w:val="center"/>
              <w:rPr>
                <w:rFonts w:hint="eastAsia" w:ascii="Times New Roman" w:hAnsi="Times New Roman" w:eastAsia="宋体" w:cs="Times New Roman"/>
                <w:kern w:val="2"/>
                <w:sz w:val="21"/>
                <w:szCs w:val="24"/>
                <w:highlight w:val="none"/>
                <w:lang w:val="en-US" w:eastAsia="zh-CN" w:bidi="ar-SA"/>
              </w:rPr>
            </w:pPr>
            <w:r>
              <w:rPr>
                <w:highlight w:val="none"/>
              </w:rPr>
              <w:t>7.4909</w:t>
            </w:r>
          </w:p>
        </w:tc>
        <w:tc>
          <w:tcPr>
            <w:tcW w:w="0" w:type="auto"/>
            <w:shd w:val="clear" w:color="auto" w:fill="auto"/>
            <w:vAlign w:val="top"/>
          </w:tcPr>
          <w:p w14:paraId="6826D7DC">
            <w:pPr>
              <w:jc w:val="center"/>
              <w:rPr>
                <w:rFonts w:hint="default" w:ascii="Times New Roman" w:hAnsi="Times New Roman" w:eastAsia="宋体" w:cs="Times New Roman"/>
                <w:kern w:val="2"/>
                <w:sz w:val="21"/>
                <w:szCs w:val="24"/>
                <w:highlight w:val="none"/>
                <w:lang w:val="en-US" w:eastAsia="zh-CN" w:bidi="ar-SA"/>
              </w:rPr>
            </w:pPr>
            <w:r>
              <w:rPr>
                <w:highlight w:val="none"/>
              </w:rPr>
              <w:t>7.5096</w:t>
            </w:r>
          </w:p>
        </w:tc>
      </w:tr>
      <w:tr w14:paraId="04BA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286C2B9E">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10</w:t>
            </w:r>
          </w:p>
        </w:tc>
        <w:tc>
          <w:tcPr>
            <w:tcW w:w="0" w:type="auto"/>
            <w:shd w:val="clear" w:color="auto" w:fill="auto"/>
            <w:vAlign w:val="top"/>
          </w:tcPr>
          <w:p w14:paraId="633D21A2">
            <w:pPr>
              <w:jc w:val="center"/>
              <w:rPr>
                <w:rFonts w:hint="default" w:ascii="Times New Roman" w:hAnsi="Times New Roman" w:eastAsia="宋体" w:cs="Times New Roman"/>
                <w:kern w:val="2"/>
                <w:sz w:val="21"/>
                <w:szCs w:val="24"/>
                <w:highlight w:val="none"/>
                <w:lang w:val="en-US" w:eastAsia="zh-CN" w:bidi="ar-SA"/>
              </w:rPr>
            </w:pPr>
            <w:r>
              <w:rPr>
                <w:highlight w:val="none"/>
              </w:rPr>
              <w:t>0.5456</w:t>
            </w:r>
          </w:p>
        </w:tc>
        <w:tc>
          <w:tcPr>
            <w:tcW w:w="0" w:type="auto"/>
            <w:shd w:val="clear" w:color="auto" w:fill="auto"/>
            <w:vAlign w:val="top"/>
          </w:tcPr>
          <w:p w14:paraId="042905C7">
            <w:pPr>
              <w:jc w:val="center"/>
              <w:rPr>
                <w:rFonts w:hint="eastAsia" w:ascii="Times New Roman" w:hAnsi="Times New Roman" w:eastAsia="宋体" w:cs="Times New Roman"/>
                <w:kern w:val="2"/>
                <w:sz w:val="21"/>
                <w:szCs w:val="24"/>
                <w:highlight w:val="none"/>
                <w:lang w:val="en-US" w:eastAsia="zh-CN" w:bidi="ar-SA"/>
              </w:rPr>
            </w:pPr>
            <w:r>
              <w:rPr>
                <w:highlight w:val="none"/>
              </w:rPr>
              <w:t>7.3220</w:t>
            </w:r>
          </w:p>
        </w:tc>
        <w:tc>
          <w:tcPr>
            <w:tcW w:w="0" w:type="auto"/>
            <w:shd w:val="clear" w:color="auto" w:fill="auto"/>
            <w:vAlign w:val="top"/>
          </w:tcPr>
          <w:p w14:paraId="29AA1630">
            <w:pPr>
              <w:jc w:val="center"/>
              <w:rPr>
                <w:rFonts w:hint="default" w:ascii="Times New Roman" w:hAnsi="Times New Roman" w:eastAsia="宋体" w:cs="Times New Roman"/>
                <w:kern w:val="2"/>
                <w:sz w:val="21"/>
                <w:szCs w:val="24"/>
                <w:highlight w:val="none"/>
                <w:lang w:val="en-US" w:eastAsia="zh-CN" w:bidi="ar-SA"/>
              </w:rPr>
            </w:pPr>
            <w:r>
              <w:rPr>
                <w:highlight w:val="none"/>
              </w:rPr>
              <w:t>7.3423</w:t>
            </w:r>
          </w:p>
        </w:tc>
      </w:tr>
      <w:tr w14:paraId="0C4E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0217B4C2">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11</w:t>
            </w:r>
          </w:p>
        </w:tc>
        <w:tc>
          <w:tcPr>
            <w:tcW w:w="0" w:type="auto"/>
            <w:shd w:val="clear" w:color="auto" w:fill="auto"/>
            <w:vAlign w:val="top"/>
          </w:tcPr>
          <w:p w14:paraId="43EAB6CD">
            <w:pPr>
              <w:jc w:val="center"/>
              <w:rPr>
                <w:rFonts w:hint="default" w:ascii="Times New Roman" w:hAnsi="Times New Roman" w:eastAsia="宋体" w:cs="Times New Roman"/>
                <w:kern w:val="2"/>
                <w:sz w:val="21"/>
                <w:szCs w:val="24"/>
                <w:highlight w:val="none"/>
                <w:lang w:val="en-US" w:eastAsia="zh-CN" w:bidi="ar-SA"/>
              </w:rPr>
            </w:pPr>
            <w:r>
              <w:rPr>
                <w:highlight w:val="none"/>
              </w:rPr>
              <w:t>0.9470</w:t>
            </w:r>
          </w:p>
        </w:tc>
        <w:tc>
          <w:tcPr>
            <w:tcW w:w="0" w:type="auto"/>
            <w:shd w:val="clear" w:color="auto" w:fill="auto"/>
            <w:vAlign w:val="top"/>
          </w:tcPr>
          <w:p w14:paraId="11C1F77B">
            <w:pPr>
              <w:jc w:val="center"/>
              <w:rPr>
                <w:rFonts w:hint="eastAsia" w:ascii="Times New Roman" w:hAnsi="Times New Roman" w:eastAsia="宋体" w:cs="Times New Roman"/>
                <w:kern w:val="2"/>
                <w:sz w:val="21"/>
                <w:szCs w:val="24"/>
                <w:highlight w:val="none"/>
                <w:lang w:val="en-US" w:eastAsia="zh-CN" w:bidi="ar-SA"/>
              </w:rPr>
            </w:pPr>
            <w:r>
              <w:rPr>
                <w:highlight w:val="none"/>
              </w:rPr>
              <w:t>6.7142</w:t>
            </w:r>
          </w:p>
        </w:tc>
        <w:tc>
          <w:tcPr>
            <w:tcW w:w="0" w:type="auto"/>
            <w:shd w:val="clear" w:color="auto" w:fill="auto"/>
            <w:vAlign w:val="top"/>
          </w:tcPr>
          <w:p w14:paraId="2A906E29">
            <w:pPr>
              <w:jc w:val="center"/>
              <w:rPr>
                <w:rFonts w:hint="default" w:ascii="Times New Roman" w:hAnsi="Times New Roman" w:eastAsia="宋体" w:cs="Times New Roman"/>
                <w:kern w:val="2"/>
                <w:sz w:val="21"/>
                <w:szCs w:val="24"/>
                <w:highlight w:val="none"/>
                <w:lang w:val="en-US" w:eastAsia="zh-CN" w:bidi="ar-SA"/>
              </w:rPr>
            </w:pPr>
            <w:r>
              <w:rPr>
                <w:highlight w:val="none"/>
              </w:rPr>
              <w:t>6.7807</w:t>
            </w:r>
          </w:p>
        </w:tc>
      </w:tr>
      <w:tr w14:paraId="4E84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623DE999">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12</w:t>
            </w:r>
          </w:p>
        </w:tc>
        <w:tc>
          <w:tcPr>
            <w:tcW w:w="0" w:type="auto"/>
            <w:shd w:val="clear" w:color="auto" w:fill="auto"/>
            <w:vAlign w:val="top"/>
          </w:tcPr>
          <w:p w14:paraId="529FCE58">
            <w:pPr>
              <w:jc w:val="center"/>
              <w:rPr>
                <w:rFonts w:hint="default" w:ascii="Times New Roman" w:hAnsi="Times New Roman" w:eastAsia="宋体" w:cs="Times New Roman"/>
                <w:kern w:val="2"/>
                <w:sz w:val="21"/>
                <w:szCs w:val="24"/>
                <w:highlight w:val="none"/>
                <w:lang w:val="en-US" w:eastAsia="zh-CN" w:bidi="ar-SA"/>
              </w:rPr>
            </w:pPr>
            <w:r>
              <w:rPr>
                <w:highlight w:val="none"/>
              </w:rPr>
              <w:t>1.1477</w:t>
            </w:r>
          </w:p>
        </w:tc>
        <w:tc>
          <w:tcPr>
            <w:tcW w:w="0" w:type="auto"/>
            <w:shd w:val="clear" w:color="auto" w:fill="auto"/>
            <w:vAlign w:val="top"/>
          </w:tcPr>
          <w:p w14:paraId="7C98CD90">
            <w:pPr>
              <w:jc w:val="center"/>
              <w:rPr>
                <w:rFonts w:hint="eastAsia" w:ascii="Times New Roman" w:hAnsi="Times New Roman" w:eastAsia="宋体" w:cs="Times New Roman"/>
                <w:kern w:val="2"/>
                <w:sz w:val="21"/>
                <w:szCs w:val="24"/>
                <w:highlight w:val="none"/>
                <w:lang w:val="en-US" w:eastAsia="zh-CN" w:bidi="ar-SA"/>
              </w:rPr>
            </w:pPr>
            <w:r>
              <w:rPr>
                <w:highlight w:val="none"/>
              </w:rPr>
              <w:t>5.8919</w:t>
            </w:r>
          </w:p>
        </w:tc>
        <w:tc>
          <w:tcPr>
            <w:tcW w:w="0" w:type="auto"/>
            <w:shd w:val="clear" w:color="auto" w:fill="auto"/>
            <w:vAlign w:val="top"/>
          </w:tcPr>
          <w:p w14:paraId="4B088096">
            <w:pPr>
              <w:jc w:val="center"/>
              <w:rPr>
                <w:rFonts w:hint="default" w:ascii="Times New Roman" w:hAnsi="Times New Roman" w:eastAsia="宋体" w:cs="Times New Roman"/>
                <w:kern w:val="2"/>
                <w:sz w:val="21"/>
                <w:szCs w:val="24"/>
                <w:highlight w:val="none"/>
                <w:lang w:val="en-US" w:eastAsia="zh-CN" w:bidi="ar-SA"/>
              </w:rPr>
            </w:pPr>
            <w:r>
              <w:rPr>
                <w:highlight w:val="none"/>
              </w:rPr>
              <w:t>6.0026</w:t>
            </w:r>
          </w:p>
        </w:tc>
      </w:tr>
      <w:tr w14:paraId="43101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34858DBD">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13</w:t>
            </w:r>
          </w:p>
        </w:tc>
        <w:tc>
          <w:tcPr>
            <w:tcW w:w="0" w:type="auto"/>
            <w:shd w:val="clear" w:color="auto" w:fill="auto"/>
            <w:vAlign w:val="top"/>
          </w:tcPr>
          <w:p w14:paraId="4562E5DC">
            <w:pPr>
              <w:jc w:val="center"/>
              <w:rPr>
                <w:rFonts w:hint="default" w:ascii="Times New Roman" w:hAnsi="Times New Roman" w:eastAsia="宋体" w:cs="Times New Roman"/>
                <w:kern w:val="2"/>
                <w:sz w:val="21"/>
                <w:szCs w:val="24"/>
                <w:highlight w:val="none"/>
                <w:lang w:val="en-US" w:eastAsia="zh-CN" w:bidi="ar-SA"/>
              </w:rPr>
            </w:pPr>
            <w:r>
              <w:rPr>
                <w:highlight w:val="none"/>
              </w:rPr>
              <w:t>1.1606</w:t>
            </w:r>
          </w:p>
        </w:tc>
        <w:tc>
          <w:tcPr>
            <w:tcW w:w="0" w:type="auto"/>
            <w:shd w:val="clear" w:color="auto" w:fill="auto"/>
            <w:vAlign w:val="top"/>
          </w:tcPr>
          <w:p w14:paraId="4C209311">
            <w:pPr>
              <w:jc w:val="center"/>
              <w:rPr>
                <w:rFonts w:hint="eastAsia" w:ascii="Times New Roman" w:hAnsi="Times New Roman" w:eastAsia="宋体" w:cs="Times New Roman"/>
                <w:kern w:val="2"/>
                <w:sz w:val="21"/>
                <w:szCs w:val="24"/>
                <w:highlight w:val="none"/>
                <w:lang w:val="en-US" w:eastAsia="zh-CN" w:bidi="ar-SA"/>
              </w:rPr>
            </w:pPr>
            <w:r>
              <w:rPr>
                <w:highlight w:val="none"/>
              </w:rPr>
              <w:t>5.0389</w:t>
            </w:r>
          </w:p>
        </w:tc>
        <w:tc>
          <w:tcPr>
            <w:tcW w:w="0" w:type="auto"/>
            <w:shd w:val="clear" w:color="auto" w:fill="auto"/>
            <w:vAlign w:val="top"/>
          </w:tcPr>
          <w:p w14:paraId="3BE44174">
            <w:pPr>
              <w:jc w:val="center"/>
              <w:rPr>
                <w:rFonts w:hint="default" w:ascii="Times New Roman" w:hAnsi="Times New Roman" w:eastAsia="宋体" w:cs="Times New Roman"/>
                <w:kern w:val="2"/>
                <w:sz w:val="21"/>
                <w:szCs w:val="24"/>
                <w:highlight w:val="none"/>
                <w:lang w:val="en-US" w:eastAsia="zh-CN" w:bidi="ar-SA"/>
              </w:rPr>
            </w:pPr>
            <w:r>
              <w:rPr>
                <w:highlight w:val="none"/>
              </w:rPr>
              <w:t>5.1708</w:t>
            </w:r>
          </w:p>
        </w:tc>
      </w:tr>
      <w:tr w14:paraId="779F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71A6BB66">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14</w:t>
            </w:r>
          </w:p>
        </w:tc>
        <w:tc>
          <w:tcPr>
            <w:tcW w:w="0" w:type="auto"/>
            <w:shd w:val="clear" w:color="auto" w:fill="auto"/>
            <w:vAlign w:val="top"/>
          </w:tcPr>
          <w:p w14:paraId="44B9CF00">
            <w:pPr>
              <w:jc w:val="center"/>
              <w:rPr>
                <w:rFonts w:hint="default" w:ascii="Times New Roman" w:hAnsi="Times New Roman" w:eastAsia="宋体" w:cs="Times New Roman"/>
                <w:kern w:val="2"/>
                <w:sz w:val="21"/>
                <w:szCs w:val="24"/>
                <w:highlight w:val="none"/>
                <w:lang w:val="en-US" w:eastAsia="zh-CN" w:bidi="ar-SA"/>
              </w:rPr>
            </w:pPr>
            <w:r>
              <w:rPr>
                <w:highlight w:val="none"/>
              </w:rPr>
              <w:t>1.0657</w:t>
            </w:r>
          </w:p>
        </w:tc>
        <w:tc>
          <w:tcPr>
            <w:tcW w:w="0" w:type="auto"/>
            <w:shd w:val="clear" w:color="auto" w:fill="auto"/>
            <w:vAlign w:val="top"/>
          </w:tcPr>
          <w:p w14:paraId="4FC89D7C">
            <w:pPr>
              <w:jc w:val="center"/>
              <w:rPr>
                <w:rFonts w:hint="eastAsia" w:ascii="Times New Roman" w:hAnsi="Times New Roman" w:eastAsia="宋体" w:cs="Times New Roman"/>
                <w:kern w:val="2"/>
                <w:sz w:val="21"/>
                <w:szCs w:val="24"/>
                <w:highlight w:val="none"/>
                <w:lang w:val="en-US" w:eastAsia="zh-CN" w:bidi="ar-SA"/>
              </w:rPr>
            </w:pPr>
            <w:r>
              <w:rPr>
                <w:highlight w:val="none"/>
              </w:rPr>
              <w:t>4.2554</w:t>
            </w:r>
          </w:p>
        </w:tc>
        <w:tc>
          <w:tcPr>
            <w:tcW w:w="0" w:type="auto"/>
            <w:shd w:val="clear" w:color="auto" w:fill="auto"/>
            <w:vAlign w:val="top"/>
          </w:tcPr>
          <w:p w14:paraId="6306E988">
            <w:pPr>
              <w:jc w:val="center"/>
              <w:rPr>
                <w:rFonts w:hint="default" w:ascii="Times New Roman" w:hAnsi="Times New Roman" w:eastAsia="宋体" w:cs="Times New Roman"/>
                <w:kern w:val="2"/>
                <w:sz w:val="21"/>
                <w:szCs w:val="24"/>
                <w:highlight w:val="none"/>
                <w:lang w:val="en-US" w:eastAsia="zh-CN" w:bidi="ar-SA"/>
              </w:rPr>
            </w:pPr>
            <w:r>
              <w:rPr>
                <w:highlight w:val="none"/>
              </w:rPr>
              <w:t>4.3868</w:t>
            </w:r>
          </w:p>
        </w:tc>
      </w:tr>
      <w:tr w14:paraId="3D3F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385EBDEF">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15</w:t>
            </w:r>
          </w:p>
        </w:tc>
        <w:tc>
          <w:tcPr>
            <w:tcW w:w="0" w:type="auto"/>
            <w:shd w:val="clear" w:color="auto" w:fill="auto"/>
            <w:vAlign w:val="top"/>
          </w:tcPr>
          <w:p w14:paraId="69D7C2C3">
            <w:pPr>
              <w:jc w:val="center"/>
              <w:rPr>
                <w:rFonts w:hint="default" w:ascii="Times New Roman" w:hAnsi="Times New Roman" w:eastAsia="宋体" w:cs="Times New Roman"/>
                <w:kern w:val="2"/>
                <w:sz w:val="21"/>
                <w:szCs w:val="24"/>
                <w:highlight w:val="none"/>
                <w:lang w:val="en-US" w:eastAsia="zh-CN" w:bidi="ar-SA"/>
              </w:rPr>
            </w:pPr>
            <w:r>
              <w:rPr>
                <w:highlight w:val="none"/>
              </w:rPr>
              <w:t>0.9275</w:t>
            </w:r>
          </w:p>
        </w:tc>
        <w:tc>
          <w:tcPr>
            <w:tcW w:w="0" w:type="auto"/>
            <w:shd w:val="clear" w:color="auto" w:fill="auto"/>
            <w:vAlign w:val="top"/>
          </w:tcPr>
          <w:p w14:paraId="148834C3">
            <w:pPr>
              <w:jc w:val="center"/>
              <w:rPr>
                <w:rFonts w:hint="eastAsia" w:ascii="Times New Roman" w:hAnsi="Times New Roman" w:eastAsia="宋体" w:cs="Times New Roman"/>
                <w:kern w:val="2"/>
                <w:sz w:val="21"/>
                <w:szCs w:val="24"/>
                <w:highlight w:val="none"/>
                <w:lang w:val="en-US" w:eastAsia="zh-CN" w:bidi="ar-SA"/>
              </w:rPr>
            </w:pPr>
            <w:r>
              <w:rPr>
                <w:highlight w:val="none"/>
              </w:rPr>
              <w:t>3.5782</w:t>
            </w:r>
          </w:p>
        </w:tc>
        <w:tc>
          <w:tcPr>
            <w:tcW w:w="0" w:type="auto"/>
            <w:shd w:val="clear" w:color="auto" w:fill="auto"/>
            <w:vAlign w:val="top"/>
          </w:tcPr>
          <w:p w14:paraId="1FE1F455">
            <w:pPr>
              <w:jc w:val="center"/>
              <w:rPr>
                <w:rFonts w:hint="default" w:ascii="Times New Roman" w:hAnsi="Times New Roman" w:eastAsia="宋体" w:cs="Times New Roman"/>
                <w:kern w:val="2"/>
                <w:sz w:val="21"/>
                <w:szCs w:val="24"/>
                <w:highlight w:val="none"/>
                <w:lang w:val="en-US" w:eastAsia="zh-CN" w:bidi="ar-SA"/>
              </w:rPr>
            </w:pPr>
            <w:r>
              <w:rPr>
                <w:highlight w:val="none"/>
              </w:rPr>
              <w:t>3.6965</w:t>
            </w:r>
          </w:p>
        </w:tc>
      </w:tr>
      <w:tr w14:paraId="671C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6E138172">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16</w:t>
            </w:r>
          </w:p>
        </w:tc>
        <w:tc>
          <w:tcPr>
            <w:tcW w:w="0" w:type="auto"/>
            <w:shd w:val="clear" w:color="auto" w:fill="auto"/>
            <w:vAlign w:val="top"/>
          </w:tcPr>
          <w:p w14:paraId="01E2ACF3">
            <w:pPr>
              <w:jc w:val="center"/>
              <w:rPr>
                <w:rFonts w:hint="default" w:ascii="Times New Roman" w:hAnsi="Times New Roman" w:eastAsia="宋体" w:cs="Times New Roman"/>
                <w:kern w:val="2"/>
                <w:sz w:val="21"/>
                <w:szCs w:val="24"/>
                <w:highlight w:val="none"/>
                <w:lang w:val="en-US" w:eastAsia="zh-CN" w:bidi="ar-SA"/>
              </w:rPr>
            </w:pPr>
            <w:r>
              <w:rPr>
                <w:highlight w:val="none"/>
              </w:rPr>
              <w:t>0.7837</w:t>
            </w:r>
          </w:p>
        </w:tc>
        <w:tc>
          <w:tcPr>
            <w:tcW w:w="0" w:type="auto"/>
            <w:shd w:val="clear" w:color="auto" w:fill="auto"/>
            <w:vAlign w:val="top"/>
          </w:tcPr>
          <w:p w14:paraId="0770DA46">
            <w:pPr>
              <w:jc w:val="center"/>
              <w:rPr>
                <w:rFonts w:hint="eastAsia" w:ascii="Times New Roman" w:hAnsi="Times New Roman" w:eastAsia="宋体" w:cs="Times New Roman"/>
                <w:kern w:val="2"/>
                <w:sz w:val="21"/>
                <w:szCs w:val="24"/>
                <w:highlight w:val="none"/>
                <w:lang w:val="en-US" w:eastAsia="zh-CN" w:bidi="ar-SA"/>
              </w:rPr>
            </w:pPr>
            <w:r>
              <w:rPr>
                <w:highlight w:val="none"/>
              </w:rPr>
              <w:t>3.0103</w:t>
            </w:r>
          </w:p>
        </w:tc>
        <w:tc>
          <w:tcPr>
            <w:tcW w:w="0" w:type="auto"/>
            <w:shd w:val="clear" w:color="auto" w:fill="auto"/>
            <w:vAlign w:val="top"/>
          </w:tcPr>
          <w:p w14:paraId="7E831C05">
            <w:pPr>
              <w:jc w:val="center"/>
              <w:rPr>
                <w:rFonts w:hint="default" w:ascii="Times New Roman" w:hAnsi="Times New Roman" w:eastAsia="宋体" w:cs="Times New Roman"/>
                <w:kern w:val="2"/>
                <w:sz w:val="21"/>
                <w:szCs w:val="24"/>
                <w:highlight w:val="none"/>
                <w:lang w:val="en-US" w:eastAsia="zh-CN" w:bidi="ar-SA"/>
              </w:rPr>
            </w:pPr>
            <w:r>
              <w:rPr>
                <w:highlight w:val="none"/>
              </w:rPr>
              <w:t>3.1106</w:t>
            </w:r>
          </w:p>
        </w:tc>
      </w:tr>
      <w:tr w14:paraId="7FD5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021E7F7B">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17</w:t>
            </w:r>
          </w:p>
        </w:tc>
        <w:tc>
          <w:tcPr>
            <w:tcW w:w="0" w:type="auto"/>
            <w:shd w:val="clear" w:color="auto" w:fill="auto"/>
            <w:vAlign w:val="top"/>
          </w:tcPr>
          <w:p w14:paraId="550378DA">
            <w:pPr>
              <w:jc w:val="center"/>
              <w:rPr>
                <w:rFonts w:hint="default" w:ascii="Times New Roman" w:hAnsi="Times New Roman" w:eastAsia="宋体" w:cs="Times New Roman"/>
                <w:kern w:val="2"/>
                <w:sz w:val="21"/>
                <w:szCs w:val="24"/>
                <w:highlight w:val="none"/>
                <w:lang w:val="en-US" w:eastAsia="zh-CN" w:bidi="ar-SA"/>
              </w:rPr>
            </w:pPr>
            <w:r>
              <w:rPr>
                <w:highlight w:val="none"/>
              </w:rPr>
              <w:t>0.6521</w:t>
            </w:r>
          </w:p>
        </w:tc>
        <w:tc>
          <w:tcPr>
            <w:tcW w:w="0" w:type="auto"/>
            <w:shd w:val="clear" w:color="auto" w:fill="auto"/>
            <w:vAlign w:val="top"/>
          </w:tcPr>
          <w:p w14:paraId="6BCB10D5">
            <w:pPr>
              <w:jc w:val="center"/>
              <w:rPr>
                <w:rFonts w:hint="eastAsia" w:ascii="Times New Roman" w:hAnsi="Times New Roman" w:eastAsia="宋体" w:cs="Times New Roman"/>
                <w:kern w:val="2"/>
                <w:sz w:val="21"/>
                <w:szCs w:val="24"/>
                <w:highlight w:val="none"/>
                <w:lang w:val="en-US" w:eastAsia="zh-CN" w:bidi="ar-SA"/>
              </w:rPr>
            </w:pPr>
            <w:r>
              <w:rPr>
                <w:highlight w:val="none"/>
              </w:rPr>
              <w:t>2.5407</w:t>
            </w:r>
          </w:p>
        </w:tc>
        <w:tc>
          <w:tcPr>
            <w:tcW w:w="0" w:type="auto"/>
            <w:shd w:val="clear" w:color="auto" w:fill="auto"/>
            <w:vAlign w:val="top"/>
          </w:tcPr>
          <w:p w14:paraId="7E2686A4">
            <w:pPr>
              <w:jc w:val="center"/>
              <w:rPr>
                <w:rFonts w:hint="default" w:ascii="Times New Roman" w:hAnsi="Times New Roman" w:eastAsia="宋体" w:cs="Times New Roman"/>
                <w:kern w:val="2"/>
                <w:sz w:val="21"/>
                <w:szCs w:val="24"/>
                <w:highlight w:val="none"/>
                <w:lang w:val="en-US" w:eastAsia="zh-CN" w:bidi="ar-SA"/>
              </w:rPr>
            </w:pPr>
            <w:r>
              <w:rPr>
                <w:highlight w:val="none"/>
              </w:rPr>
              <w:t>2.6230</w:t>
            </w:r>
          </w:p>
        </w:tc>
      </w:tr>
      <w:tr w14:paraId="687E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1ABF14D9">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18</w:t>
            </w:r>
          </w:p>
        </w:tc>
        <w:tc>
          <w:tcPr>
            <w:tcW w:w="0" w:type="auto"/>
            <w:shd w:val="clear" w:color="auto" w:fill="auto"/>
            <w:vAlign w:val="top"/>
          </w:tcPr>
          <w:p w14:paraId="40BB5780">
            <w:pPr>
              <w:jc w:val="center"/>
              <w:rPr>
                <w:rFonts w:hint="default" w:ascii="Times New Roman" w:hAnsi="Times New Roman" w:eastAsia="宋体" w:cs="Times New Roman"/>
                <w:kern w:val="2"/>
                <w:sz w:val="21"/>
                <w:szCs w:val="24"/>
                <w:highlight w:val="none"/>
                <w:lang w:val="en-US" w:eastAsia="zh-CN" w:bidi="ar-SA"/>
              </w:rPr>
            </w:pPr>
            <w:r>
              <w:rPr>
                <w:highlight w:val="none"/>
              </w:rPr>
              <w:t>0.5389</w:t>
            </w:r>
          </w:p>
        </w:tc>
        <w:tc>
          <w:tcPr>
            <w:tcW w:w="0" w:type="auto"/>
            <w:shd w:val="clear" w:color="auto" w:fill="auto"/>
            <w:vAlign w:val="top"/>
          </w:tcPr>
          <w:p w14:paraId="12D042BB">
            <w:pPr>
              <w:jc w:val="center"/>
              <w:rPr>
                <w:rFonts w:hint="eastAsia" w:ascii="Times New Roman" w:hAnsi="Times New Roman" w:eastAsia="宋体" w:cs="Times New Roman"/>
                <w:kern w:val="2"/>
                <w:sz w:val="21"/>
                <w:szCs w:val="24"/>
                <w:highlight w:val="none"/>
                <w:lang w:val="en-US" w:eastAsia="zh-CN" w:bidi="ar-SA"/>
              </w:rPr>
            </w:pPr>
            <w:r>
              <w:rPr>
                <w:highlight w:val="none"/>
              </w:rPr>
              <w:t>2.1545</w:t>
            </w:r>
          </w:p>
        </w:tc>
        <w:tc>
          <w:tcPr>
            <w:tcW w:w="0" w:type="auto"/>
            <w:shd w:val="clear" w:color="auto" w:fill="auto"/>
            <w:vAlign w:val="top"/>
          </w:tcPr>
          <w:p w14:paraId="1330E759">
            <w:pPr>
              <w:jc w:val="center"/>
              <w:rPr>
                <w:rFonts w:hint="default" w:ascii="Times New Roman" w:hAnsi="Times New Roman" w:eastAsia="宋体" w:cs="Times New Roman"/>
                <w:kern w:val="2"/>
                <w:sz w:val="21"/>
                <w:szCs w:val="24"/>
                <w:highlight w:val="none"/>
                <w:lang w:val="en-US" w:eastAsia="zh-CN" w:bidi="ar-SA"/>
              </w:rPr>
            </w:pPr>
            <w:r>
              <w:rPr>
                <w:highlight w:val="none"/>
              </w:rPr>
              <w:t>2.2208</w:t>
            </w:r>
          </w:p>
        </w:tc>
      </w:tr>
      <w:tr w14:paraId="5E96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036CA7A1">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19</w:t>
            </w:r>
          </w:p>
        </w:tc>
        <w:tc>
          <w:tcPr>
            <w:tcW w:w="0" w:type="auto"/>
            <w:shd w:val="clear" w:color="auto" w:fill="auto"/>
            <w:vAlign w:val="top"/>
          </w:tcPr>
          <w:p w14:paraId="79503E6C">
            <w:pPr>
              <w:jc w:val="center"/>
              <w:rPr>
                <w:rFonts w:hint="default" w:ascii="Times New Roman" w:hAnsi="Times New Roman" w:eastAsia="宋体" w:cs="Times New Roman"/>
                <w:kern w:val="2"/>
                <w:sz w:val="21"/>
                <w:szCs w:val="24"/>
                <w:highlight w:val="none"/>
                <w:lang w:val="en-US" w:eastAsia="zh-CN" w:bidi="ar-SA"/>
              </w:rPr>
            </w:pPr>
            <w:r>
              <w:rPr>
                <w:highlight w:val="none"/>
              </w:rPr>
              <w:t>0.4446</w:t>
            </w:r>
          </w:p>
        </w:tc>
        <w:tc>
          <w:tcPr>
            <w:tcW w:w="0" w:type="auto"/>
            <w:shd w:val="clear" w:color="auto" w:fill="auto"/>
            <w:vAlign w:val="top"/>
          </w:tcPr>
          <w:p w14:paraId="631978B0">
            <w:pPr>
              <w:jc w:val="center"/>
              <w:rPr>
                <w:rFonts w:hint="eastAsia" w:ascii="Times New Roman" w:hAnsi="Times New Roman" w:eastAsia="宋体" w:cs="Times New Roman"/>
                <w:kern w:val="2"/>
                <w:sz w:val="21"/>
                <w:szCs w:val="24"/>
                <w:highlight w:val="none"/>
                <w:lang w:val="en-US" w:eastAsia="zh-CN" w:bidi="ar-SA"/>
              </w:rPr>
            </w:pPr>
            <w:r>
              <w:rPr>
                <w:highlight w:val="none"/>
              </w:rPr>
              <w:t>1.8370</w:t>
            </w:r>
          </w:p>
        </w:tc>
        <w:tc>
          <w:tcPr>
            <w:tcW w:w="0" w:type="auto"/>
            <w:shd w:val="clear" w:color="auto" w:fill="auto"/>
            <w:vAlign w:val="top"/>
          </w:tcPr>
          <w:p w14:paraId="59E6A0A2">
            <w:pPr>
              <w:jc w:val="center"/>
              <w:rPr>
                <w:rFonts w:hint="default" w:ascii="Times New Roman" w:hAnsi="Times New Roman" w:eastAsia="宋体" w:cs="Times New Roman"/>
                <w:kern w:val="2"/>
                <w:sz w:val="21"/>
                <w:szCs w:val="24"/>
                <w:highlight w:val="none"/>
                <w:lang w:val="en-US" w:eastAsia="zh-CN" w:bidi="ar-SA"/>
              </w:rPr>
            </w:pPr>
            <w:r>
              <w:rPr>
                <w:highlight w:val="none"/>
              </w:rPr>
              <w:t>1.8900</w:t>
            </w:r>
          </w:p>
        </w:tc>
      </w:tr>
      <w:tr w14:paraId="7053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38A1F8E0">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20</w:t>
            </w:r>
          </w:p>
        </w:tc>
        <w:tc>
          <w:tcPr>
            <w:tcW w:w="0" w:type="auto"/>
            <w:shd w:val="clear" w:color="auto" w:fill="auto"/>
            <w:vAlign w:val="top"/>
          </w:tcPr>
          <w:p w14:paraId="0522A20F">
            <w:pPr>
              <w:jc w:val="center"/>
              <w:rPr>
                <w:rFonts w:hint="default" w:ascii="Times New Roman" w:hAnsi="Times New Roman" w:eastAsia="宋体" w:cs="Times New Roman"/>
                <w:kern w:val="2"/>
                <w:sz w:val="21"/>
                <w:szCs w:val="24"/>
                <w:highlight w:val="none"/>
                <w:lang w:val="en-US" w:eastAsia="zh-CN" w:bidi="ar-SA"/>
              </w:rPr>
            </w:pPr>
            <w:r>
              <w:rPr>
                <w:highlight w:val="none"/>
              </w:rPr>
              <w:t>0.3674</w:t>
            </w:r>
          </w:p>
        </w:tc>
        <w:tc>
          <w:tcPr>
            <w:tcW w:w="0" w:type="auto"/>
            <w:shd w:val="clear" w:color="auto" w:fill="auto"/>
            <w:vAlign w:val="top"/>
          </w:tcPr>
          <w:p w14:paraId="13FC99CD">
            <w:pPr>
              <w:jc w:val="center"/>
              <w:rPr>
                <w:rFonts w:hint="eastAsia" w:ascii="Times New Roman" w:hAnsi="Times New Roman" w:eastAsia="宋体" w:cs="Times New Roman"/>
                <w:kern w:val="2"/>
                <w:sz w:val="21"/>
                <w:szCs w:val="24"/>
                <w:highlight w:val="none"/>
                <w:lang w:val="en-US" w:eastAsia="zh-CN" w:bidi="ar-SA"/>
              </w:rPr>
            </w:pPr>
            <w:r>
              <w:rPr>
                <w:highlight w:val="none"/>
              </w:rPr>
              <w:t>1.5753</w:t>
            </w:r>
          </w:p>
        </w:tc>
        <w:tc>
          <w:tcPr>
            <w:tcW w:w="0" w:type="auto"/>
            <w:shd w:val="clear" w:color="auto" w:fill="auto"/>
            <w:vAlign w:val="top"/>
          </w:tcPr>
          <w:p w14:paraId="3D0F2DD4">
            <w:pPr>
              <w:jc w:val="center"/>
              <w:rPr>
                <w:rFonts w:hint="default" w:ascii="Times New Roman" w:hAnsi="Times New Roman" w:eastAsia="宋体" w:cs="Times New Roman"/>
                <w:kern w:val="2"/>
                <w:sz w:val="21"/>
                <w:szCs w:val="24"/>
                <w:highlight w:val="none"/>
                <w:lang w:val="en-US" w:eastAsia="zh-CN" w:bidi="ar-SA"/>
              </w:rPr>
            </w:pPr>
            <w:r>
              <w:rPr>
                <w:highlight w:val="none"/>
              </w:rPr>
              <w:t>1.6176</w:t>
            </w:r>
          </w:p>
        </w:tc>
      </w:tr>
      <w:tr w14:paraId="08D7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5F837E16">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21</w:t>
            </w:r>
          </w:p>
        </w:tc>
        <w:tc>
          <w:tcPr>
            <w:tcW w:w="0" w:type="auto"/>
            <w:shd w:val="clear" w:color="auto" w:fill="auto"/>
            <w:vAlign w:val="top"/>
          </w:tcPr>
          <w:p w14:paraId="7008C913">
            <w:pPr>
              <w:jc w:val="center"/>
              <w:rPr>
                <w:rFonts w:hint="default" w:ascii="Times New Roman" w:hAnsi="Times New Roman" w:eastAsia="宋体" w:cs="Times New Roman"/>
                <w:kern w:val="2"/>
                <w:sz w:val="21"/>
                <w:szCs w:val="24"/>
                <w:highlight w:val="none"/>
                <w:lang w:val="en-US" w:eastAsia="zh-CN" w:bidi="ar-SA"/>
              </w:rPr>
            </w:pPr>
            <w:r>
              <w:rPr>
                <w:highlight w:val="none"/>
              </w:rPr>
              <w:t>0.3047</w:t>
            </w:r>
          </w:p>
        </w:tc>
        <w:tc>
          <w:tcPr>
            <w:tcW w:w="0" w:type="auto"/>
            <w:shd w:val="clear" w:color="auto" w:fill="auto"/>
            <w:vAlign w:val="top"/>
          </w:tcPr>
          <w:p w14:paraId="071DFC69">
            <w:pPr>
              <w:jc w:val="center"/>
              <w:rPr>
                <w:rFonts w:hint="eastAsia" w:ascii="Times New Roman" w:hAnsi="Times New Roman" w:eastAsia="宋体" w:cs="Times New Roman"/>
                <w:kern w:val="2"/>
                <w:sz w:val="21"/>
                <w:szCs w:val="24"/>
                <w:highlight w:val="none"/>
                <w:lang w:val="en-US" w:eastAsia="zh-CN" w:bidi="ar-SA"/>
              </w:rPr>
            </w:pPr>
            <w:r>
              <w:rPr>
                <w:highlight w:val="none"/>
              </w:rPr>
              <w:t>1.3589</w:t>
            </w:r>
          </w:p>
        </w:tc>
        <w:tc>
          <w:tcPr>
            <w:tcW w:w="0" w:type="auto"/>
            <w:shd w:val="clear" w:color="auto" w:fill="auto"/>
            <w:vAlign w:val="top"/>
          </w:tcPr>
          <w:p w14:paraId="39BD5AED">
            <w:pPr>
              <w:jc w:val="center"/>
              <w:rPr>
                <w:rFonts w:hint="default" w:ascii="Times New Roman" w:hAnsi="Times New Roman" w:eastAsia="宋体" w:cs="Times New Roman"/>
                <w:kern w:val="2"/>
                <w:sz w:val="21"/>
                <w:szCs w:val="24"/>
                <w:highlight w:val="none"/>
                <w:lang w:val="en-US" w:eastAsia="zh-CN" w:bidi="ar-SA"/>
              </w:rPr>
            </w:pPr>
            <w:r>
              <w:rPr>
                <w:highlight w:val="none"/>
              </w:rPr>
              <w:t>1.3926</w:t>
            </w:r>
          </w:p>
        </w:tc>
      </w:tr>
      <w:tr w14:paraId="1C2F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5127F236">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22</w:t>
            </w:r>
          </w:p>
        </w:tc>
        <w:tc>
          <w:tcPr>
            <w:tcW w:w="0" w:type="auto"/>
            <w:shd w:val="clear" w:color="auto" w:fill="auto"/>
            <w:vAlign w:val="top"/>
          </w:tcPr>
          <w:p w14:paraId="3017E07B">
            <w:pPr>
              <w:jc w:val="center"/>
              <w:rPr>
                <w:rFonts w:hint="default" w:ascii="Times New Roman" w:hAnsi="Times New Roman" w:eastAsia="宋体" w:cs="Times New Roman"/>
                <w:kern w:val="2"/>
                <w:sz w:val="21"/>
                <w:szCs w:val="24"/>
                <w:highlight w:val="none"/>
                <w:lang w:val="en-US" w:eastAsia="zh-CN" w:bidi="ar-SA"/>
              </w:rPr>
            </w:pPr>
            <w:r>
              <w:rPr>
                <w:highlight w:val="none"/>
              </w:rPr>
              <w:t>0.2538</w:t>
            </w:r>
          </w:p>
        </w:tc>
        <w:tc>
          <w:tcPr>
            <w:tcW w:w="0" w:type="auto"/>
            <w:shd w:val="clear" w:color="auto" w:fill="auto"/>
            <w:vAlign w:val="top"/>
          </w:tcPr>
          <w:p w14:paraId="364BEED8">
            <w:pPr>
              <w:jc w:val="center"/>
              <w:rPr>
                <w:rFonts w:hint="eastAsia" w:ascii="Times New Roman" w:hAnsi="Times New Roman" w:eastAsia="宋体" w:cs="Times New Roman"/>
                <w:kern w:val="2"/>
                <w:sz w:val="21"/>
                <w:szCs w:val="24"/>
                <w:highlight w:val="none"/>
                <w:lang w:val="en-US" w:eastAsia="zh-CN" w:bidi="ar-SA"/>
              </w:rPr>
            </w:pPr>
            <w:r>
              <w:rPr>
                <w:highlight w:val="none"/>
              </w:rPr>
              <w:t>1.1789</w:t>
            </w:r>
          </w:p>
        </w:tc>
        <w:tc>
          <w:tcPr>
            <w:tcW w:w="0" w:type="auto"/>
            <w:shd w:val="clear" w:color="auto" w:fill="auto"/>
            <w:vAlign w:val="top"/>
          </w:tcPr>
          <w:p w14:paraId="019FDCD0">
            <w:pPr>
              <w:jc w:val="center"/>
              <w:rPr>
                <w:rFonts w:hint="default" w:ascii="Times New Roman" w:hAnsi="Times New Roman" w:eastAsia="宋体" w:cs="Times New Roman"/>
                <w:kern w:val="2"/>
                <w:sz w:val="21"/>
                <w:szCs w:val="24"/>
                <w:highlight w:val="none"/>
                <w:lang w:val="en-US" w:eastAsia="zh-CN" w:bidi="ar-SA"/>
              </w:rPr>
            </w:pPr>
            <w:r>
              <w:rPr>
                <w:highlight w:val="none"/>
              </w:rPr>
              <w:t>1.2059</w:t>
            </w:r>
          </w:p>
        </w:tc>
      </w:tr>
      <w:tr w14:paraId="333B7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563FB9C2">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23</w:t>
            </w:r>
          </w:p>
        </w:tc>
        <w:tc>
          <w:tcPr>
            <w:tcW w:w="0" w:type="auto"/>
            <w:shd w:val="clear" w:color="auto" w:fill="auto"/>
            <w:vAlign w:val="top"/>
          </w:tcPr>
          <w:p w14:paraId="281F0C78">
            <w:pPr>
              <w:jc w:val="center"/>
              <w:rPr>
                <w:rFonts w:hint="default" w:ascii="Times New Roman" w:hAnsi="Times New Roman" w:eastAsia="宋体" w:cs="Times New Roman"/>
                <w:kern w:val="2"/>
                <w:sz w:val="21"/>
                <w:szCs w:val="24"/>
                <w:highlight w:val="none"/>
                <w:lang w:val="en-US" w:eastAsia="zh-CN" w:bidi="ar-SA"/>
              </w:rPr>
            </w:pPr>
            <w:r>
              <w:rPr>
                <w:highlight w:val="none"/>
              </w:rPr>
              <w:t>0.2125</w:t>
            </w:r>
          </w:p>
        </w:tc>
        <w:tc>
          <w:tcPr>
            <w:tcW w:w="0" w:type="auto"/>
            <w:shd w:val="clear" w:color="auto" w:fill="auto"/>
            <w:vAlign w:val="top"/>
          </w:tcPr>
          <w:p w14:paraId="6DFF2947">
            <w:pPr>
              <w:jc w:val="center"/>
              <w:rPr>
                <w:rFonts w:hint="eastAsia" w:ascii="Times New Roman" w:hAnsi="Times New Roman" w:eastAsia="宋体" w:cs="Times New Roman"/>
                <w:kern w:val="2"/>
                <w:sz w:val="21"/>
                <w:szCs w:val="24"/>
                <w:highlight w:val="none"/>
                <w:lang w:val="en-US" w:eastAsia="zh-CN" w:bidi="ar-SA"/>
              </w:rPr>
            </w:pPr>
            <w:r>
              <w:rPr>
                <w:highlight w:val="none"/>
              </w:rPr>
              <w:t>1.0284</w:t>
            </w:r>
          </w:p>
        </w:tc>
        <w:tc>
          <w:tcPr>
            <w:tcW w:w="0" w:type="auto"/>
            <w:shd w:val="clear" w:color="auto" w:fill="auto"/>
            <w:vAlign w:val="top"/>
          </w:tcPr>
          <w:p w14:paraId="0CE0D702">
            <w:pPr>
              <w:jc w:val="center"/>
              <w:rPr>
                <w:rFonts w:hint="default" w:ascii="Times New Roman" w:hAnsi="Times New Roman" w:eastAsia="宋体" w:cs="Times New Roman"/>
                <w:kern w:val="2"/>
                <w:sz w:val="21"/>
                <w:szCs w:val="24"/>
                <w:highlight w:val="none"/>
                <w:lang w:val="en-US" w:eastAsia="zh-CN" w:bidi="ar-SA"/>
              </w:rPr>
            </w:pPr>
            <w:r>
              <w:rPr>
                <w:highlight w:val="none"/>
              </w:rPr>
              <w:t>1.0501</w:t>
            </w:r>
          </w:p>
        </w:tc>
      </w:tr>
      <w:tr w14:paraId="2F62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3DE68C47">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24</w:t>
            </w:r>
          </w:p>
        </w:tc>
        <w:tc>
          <w:tcPr>
            <w:tcW w:w="0" w:type="auto"/>
            <w:shd w:val="clear" w:color="auto" w:fill="auto"/>
            <w:vAlign w:val="top"/>
          </w:tcPr>
          <w:p w14:paraId="024F5152">
            <w:pPr>
              <w:jc w:val="center"/>
              <w:rPr>
                <w:rFonts w:hint="default" w:ascii="Times New Roman" w:hAnsi="Times New Roman" w:eastAsia="宋体" w:cs="Times New Roman"/>
                <w:kern w:val="2"/>
                <w:sz w:val="21"/>
                <w:szCs w:val="24"/>
                <w:highlight w:val="none"/>
                <w:lang w:val="en-US" w:eastAsia="zh-CN" w:bidi="ar-SA"/>
              </w:rPr>
            </w:pPr>
            <w:r>
              <w:rPr>
                <w:highlight w:val="none"/>
              </w:rPr>
              <w:t>0.1790</w:t>
            </w:r>
          </w:p>
        </w:tc>
        <w:tc>
          <w:tcPr>
            <w:tcW w:w="0" w:type="auto"/>
            <w:shd w:val="clear" w:color="auto" w:fill="auto"/>
            <w:vAlign w:val="top"/>
          </w:tcPr>
          <w:p w14:paraId="6E2363CA">
            <w:pPr>
              <w:jc w:val="center"/>
              <w:rPr>
                <w:rFonts w:hint="eastAsia" w:ascii="Times New Roman" w:hAnsi="Times New Roman" w:eastAsia="宋体" w:cs="Times New Roman"/>
                <w:kern w:val="2"/>
                <w:sz w:val="21"/>
                <w:szCs w:val="24"/>
                <w:highlight w:val="none"/>
                <w:lang w:val="en-US" w:eastAsia="zh-CN" w:bidi="ar-SA"/>
              </w:rPr>
            </w:pPr>
            <w:r>
              <w:rPr>
                <w:highlight w:val="none"/>
              </w:rPr>
              <w:t>0.9019</w:t>
            </w:r>
          </w:p>
        </w:tc>
        <w:tc>
          <w:tcPr>
            <w:tcW w:w="0" w:type="auto"/>
            <w:shd w:val="clear" w:color="auto" w:fill="auto"/>
            <w:vAlign w:val="top"/>
          </w:tcPr>
          <w:p w14:paraId="7657881A">
            <w:pPr>
              <w:jc w:val="center"/>
              <w:rPr>
                <w:rFonts w:hint="default" w:ascii="Times New Roman" w:hAnsi="Times New Roman" w:eastAsia="宋体" w:cs="Times New Roman"/>
                <w:kern w:val="2"/>
                <w:sz w:val="21"/>
                <w:szCs w:val="24"/>
                <w:highlight w:val="none"/>
                <w:lang w:val="en-US" w:eastAsia="zh-CN" w:bidi="ar-SA"/>
              </w:rPr>
            </w:pPr>
            <w:r>
              <w:rPr>
                <w:highlight w:val="none"/>
              </w:rPr>
              <w:t>0.9194</w:t>
            </w:r>
          </w:p>
        </w:tc>
      </w:tr>
      <w:tr w14:paraId="6EB8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651815A0">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25</w:t>
            </w:r>
          </w:p>
        </w:tc>
        <w:tc>
          <w:tcPr>
            <w:tcW w:w="0" w:type="auto"/>
            <w:shd w:val="clear" w:color="auto" w:fill="auto"/>
            <w:vAlign w:val="top"/>
          </w:tcPr>
          <w:p w14:paraId="60C12CB2">
            <w:pPr>
              <w:jc w:val="center"/>
              <w:rPr>
                <w:rFonts w:hint="default" w:ascii="Times New Roman" w:hAnsi="Times New Roman" w:eastAsia="宋体" w:cs="Times New Roman"/>
                <w:kern w:val="2"/>
                <w:sz w:val="21"/>
                <w:szCs w:val="24"/>
                <w:highlight w:val="none"/>
                <w:lang w:val="en-US" w:eastAsia="zh-CN" w:bidi="ar-SA"/>
              </w:rPr>
            </w:pPr>
            <w:r>
              <w:rPr>
                <w:highlight w:val="none"/>
              </w:rPr>
              <w:t>0.1515</w:t>
            </w:r>
          </w:p>
        </w:tc>
        <w:tc>
          <w:tcPr>
            <w:tcW w:w="0" w:type="auto"/>
            <w:shd w:val="clear" w:color="auto" w:fill="auto"/>
            <w:vAlign w:val="top"/>
          </w:tcPr>
          <w:p w14:paraId="22CB2461">
            <w:pPr>
              <w:jc w:val="center"/>
              <w:rPr>
                <w:rFonts w:hint="eastAsia" w:ascii="Times New Roman" w:hAnsi="Times New Roman" w:eastAsia="宋体" w:cs="Times New Roman"/>
                <w:kern w:val="2"/>
                <w:sz w:val="21"/>
                <w:szCs w:val="24"/>
                <w:highlight w:val="none"/>
                <w:lang w:val="en-US" w:eastAsia="zh-CN" w:bidi="ar-SA"/>
              </w:rPr>
            </w:pPr>
            <w:r>
              <w:rPr>
                <w:highlight w:val="none"/>
              </w:rPr>
              <w:t>0.7949</w:t>
            </w:r>
          </w:p>
        </w:tc>
        <w:tc>
          <w:tcPr>
            <w:tcW w:w="0" w:type="auto"/>
            <w:shd w:val="clear" w:color="auto" w:fill="auto"/>
            <w:vAlign w:val="top"/>
          </w:tcPr>
          <w:p w14:paraId="20682227">
            <w:pPr>
              <w:jc w:val="center"/>
              <w:rPr>
                <w:rFonts w:hint="default" w:ascii="Times New Roman" w:hAnsi="Times New Roman" w:eastAsia="宋体" w:cs="Times New Roman"/>
                <w:kern w:val="2"/>
                <w:sz w:val="21"/>
                <w:szCs w:val="24"/>
                <w:highlight w:val="none"/>
                <w:lang w:val="en-US" w:eastAsia="zh-CN" w:bidi="ar-SA"/>
              </w:rPr>
            </w:pPr>
            <w:r>
              <w:rPr>
                <w:highlight w:val="none"/>
              </w:rPr>
              <w:t>0.8092</w:t>
            </w:r>
          </w:p>
        </w:tc>
      </w:tr>
      <w:tr w14:paraId="1DFD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56F2C366">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26</w:t>
            </w:r>
          </w:p>
        </w:tc>
        <w:tc>
          <w:tcPr>
            <w:tcW w:w="0" w:type="auto"/>
            <w:shd w:val="clear" w:color="auto" w:fill="auto"/>
            <w:vAlign w:val="top"/>
          </w:tcPr>
          <w:p w14:paraId="35D55DD0">
            <w:pPr>
              <w:jc w:val="center"/>
              <w:rPr>
                <w:rFonts w:hint="default" w:ascii="Times New Roman" w:hAnsi="Times New Roman" w:eastAsia="宋体" w:cs="Times New Roman"/>
                <w:kern w:val="2"/>
                <w:sz w:val="21"/>
                <w:szCs w:val="24"/>
                <w:highlight w:val="none"/>
                <w:lang w:val="en-US" w:eastAsia="zh-CN" w:bidi="ar-SA"/>
              </w:rPr>
            </w:pPr>
            <w:r>
              <w:rPr>
                <w:highlight w:val="none"/>
              </w:rPr>
              <w:t>0.1290</w:t>
            </w:r>
          </w:p>
        </w:tc>
        <w:tc>
          <w:tcPr>
            <w:tcW w:w="0" w:type="auto"/>
            <w:shd w:val="clear" w:color="auto" w:fill="auto"/>
            <w:vAlign w:val="top"/>
          </w:tcPr>
          <w:p w14:paraId="3A84E0E0">
            <w:pPr>
              <w:jc w:val="center"/>
              <w:rPr>
                <w:rFonts w:hint="eastAsia" w:ascii="Times New Roman" w:hAnsi="Times New Roman" w:eastAsia="宋体" w:cs="Times New Roman"/>
                <w:kern w:val="2"/>
                <w:sz w:val="21"/>
                <w:szCs w:val="24"/>
                <w:highlight w:val="none"/>
                <w:lang w:val="en-US" w:eastAsia="zh-CN" w:bidi="ar-SA"/>
              </w:rPr>
            </w:pPr>
            <w:r>
              <w:rPr>
                <w:highlight w:val="none"/>
              </w:rPr>
              <w:t>0.7039</w:t>
            </w:r>
          </w:p>
        </w:tc>
        <w:tc>
          <w:tcPr>
            <w:tcW w:w="0" w:type="auto"/>
            <w:shd w:val="clear" w:color="auto" w:fill="auto"/>
            <w:vAlign w:val="top"/>
          </w:tcPr>
          <w:p w14:paraId="67A84848">
            <w:pPr>
              <w:jc w:val="center"/>
              <w:rPr>
                <w:rFonts w:hint="default" w:ascii="Times New Roman" w:hAnsi="Times New Roman" w:eastAsia="宋体" w:cs="Times New Roman"/>
                <w:kern w:val="2"/>
                <w:sz w:val="21"/>
                <w:szCs w:val="24"/>
                <w:highlight w:val="none"/>
                <w:lang w:val="en-US" w:eastAsia="zh-CN" w:bidi="ar-SA"/>
              </w:rPr>
            </w:pPr>
            <w:r>
              <w:rPr>
                <w:highlight w:val="none"/>
              </w:rPr>
              <w:t>0.7156</w:t>
            </w:r>
          </w:p>
        </w:tc>
      </w:tr>
      <w:tr w14:paraId="423A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78D55293">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27</w:t>
            </w:r>
          </w:p>
        </w:tc>
        <w:tc>
          <w:tcPr>
            <w:tcW w:w="0" w:type="auto"/>
            <w:shd w:val="clear" w:color="auto" w:fill="auto"/>
            <w:vAlign w:val="top"/>
          </w:tcPr>
          <w:p w14:paraId="2A963943">
            <w:pPr>
              <w:jc w:val="center"/>
              <w:rPr>
                <w:rFonts w:hint="default" w:ascii="Times New Roman" w:hAnsi="Times New Roman" w:eastAsia="宋体" w:cs="Times New Roman"/>
                <w:kern w:val="2"/>
                <w:sz w:val="21"/>
                <w:szCs w:val="24"/>
                <w:highlight w:val="none"/>
                <w:lang w:val="en-US" w:eastAsia="zh-CN" w:bidi="ar-SA"/>
              </w:rPr>
            </w:pPr>
            <w:r>
              <w:rPr>
                <w:highlight w:val="none"/>
              </w:rPr>
              <w:t>0.1104</w:t>
            </w:r>
          </w:p>
        </w:tc>
        <w:tc>
          <w:tcPr>
            <w:tcW w:w="0" w:type="auto"/>
            <w:shd w:val="clear" w:color="auto" w:fill="auto"/>
            <w:vAlign w:val="top"/>
          </w:tcPr>
          <w:p w14:paraId="05C9D9F5">
            <w:pPr>
              <w:jc w:val="center"/>
              <w:rPr>
                <w:rFonts w:hint="eastAsia" w:ascii="Times New Roman" w:hAnsi="Times New Roman" w:eastAsia="宋体" w:cs="Times New Roman"/>
                <w:kern w:val="2"/>
                <w:sz w:val="21"/>
                <w:szCs w:val="24"/>
                <w:highlight w:val="none"/>
                <w:lang w:val="en-US" w:eastAsia="zh-CN" w:bidi="ar-SA"/>
              </w:rPr>
            </w:pPr>
            <w:r>
              <w:rPr>
                <w:highlight w:val="none"/>
              </w:rPr>
              <w:t>0.6261</w:t>
            </w:r>
          </w:p>
        </w:tc>
        <w:tc>
          <w:tcPr>
            <w:tcW w:w="0" w:type="auto"/>
            <w:shd w:val="clear" w:color="auto" w:fill="auto"/>
            <w:vAlign w:val="top"/>
          </w:tcPr>
          <w:p w14:paraId="0F4F2DE6">
            <w:pPr>
              <w:jc w:val="center"/>
              <w:rPr>
                <w:rFonts w:hint="default" w:ascii="Times New Roman" w:hAnsi="Times New Roman" w:eastAsia="宋体" w:cs="Times New Roman"/>
                <w:kern w:val="2"/>
                <w:sz w:val="21"/>
                <w:szCs w:val="24"/>
                <w:highlight w:val="none"/>
                <w:lang w:val="en-US" w:eastAsia="zh-CN" w:bidi="ar-SA"/>
              </w:rPr>
            </w:pPr>
            <w:r>
              <w:rPr>
                <w:highlight w:val="none"/>
              </w:rPr>
              <w:t>0.6358</w:t>
            </w:r>
          </w:p>
        </w:tc>
      </w:tr>
      <w:tr w14:paraId="4F65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5D218C01">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28</w:t>
            </w:r>
          </w:p>
        </w:tc>
        <w:tc>
          <w:tcPr>
            <w:tcW w:w="0" w:type="auto"/>
            <w:shd w:val="clear" w:color="auto" w:fill="auto"/>
            <w:vAlign w:val="top"/>
          </w:tcPr>
          <w:p w14:paraId="37F083F4">
            <w:pPr>
              <w:jc w:val="center"/>
              <w:rPr>
                <w:rFonts w:hint="default" w:ascii="Times New Roman" w:hAnsi="Times New Roman" w:eastAsia="宋体" w:cs="Times New Roman"/>
                <w:kern w:val="2"/>
                <w:sz w:val="21"/>
                <w:szCs w:val="24"/>
                <w:highlight w:val="none"/>
                <w:lang w:val="en-US" w:eastAsia="zh-CN" w:bidi="ar-SA"/>
              </w:rPr>
            </w:pPr>
            <w:r>
              <w:rPr>
                <w:highlight w:val="none"/>
              </w:rPr>
              <w:t>0.0950</w:t>
            </w:r>
          </w:p>
        </w:tc>
        <w:tc>
          <w:tcPr>
            <w:tcW w:w="0" w:type="auto"/>
            <w:shd w:val="clear" w:color="auto" w:fill="auto"/>
            <w:vAlign w:val="top"/>
          </w:tcPr>
          <w:p w14:paraId="48BD2F56">
            <w:pPr>
              <w:jc w:val="center"/>
              <w:rPr>
                <w:rFonts w:hint="eastAsia" w:ascii="Times New Roman" w:hAnsi="Times New Roman" w:eastAsia="宋体" w:cs="Times New Roman"/>
                <w:kern w:val="2"/>
                <w:sz w:val="21"/>
                <w:szCs w:val="24"/>
                <w:highlight w:val="none"/>
                <w:lang w:val="en-US" w:eastAsia="zh-CN" w:bidi="ar-SA"/>
              </w:rPr>
            </w:pPr>
            <w:r>
              <w:rPr>
                <w:highlight w:val="none"/>
              </w:rPr>
              <w:t>0.5593</w:t>
            </w:r>
          </w:p>
        </w:tc>
        <w:tc>
          <w:tcPr>
            <w:tcW w:w="0" w:type="auto"/>
            <w:shd w:val="clear" w:color="auto" w:fill="auto"/>
            <w:vAlign w:val="top"/>
          </w:tcPr>
          <w:p w14:paraId="72585EE8">
            <w:pPr>
              <w:jc w:val="center"/>
              <w:rPr>
                <w:rFonts w:hint="default" w:ascii="Times New Roman" w:hAnsi="Times New Roman" w:eastAsia="宋体" w:cs="Times New Roman"/>
                <w:kern w:val="2"/>
                <w:sz w:val="21"/>
                <w:szCs w:val="24"/>
                <w:highlight w:val="none"/>
                <w:lang w:val="en-US" w:eastAsia="zh-CN" w:bidi="ar-SA"/>
              </w:rPr>
            </w:pPr>
            <w:r>
              <w:rPr>
                <w:highlight w:val="none"/>
              </w:rPr>
              <w:t>0.5673</w:t>
            </w:r>
          </w:p>
        </w:tc>
      </w:tr>
      <w:tr w14:paraId="12E5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16242CA7">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29</w:t>
            </w:r>
          </w:p>
        </w:tc>
        <w:tc>
          <w:tcPr>
            <w:tcW w:w="0" w:type="auto"/>
            <w:shd w:val="clear" w:color="auto" w:fill="auto"/>
            <w:vAlign w:val="top"/>
          </w:tcPr>
          <w:p w14:paraId="3212E1AF">
            <w:pPr>
              <w:jc w:val="center"/>
              <w:rPr>
                <w:rFonts w:hint="default" w:ascii="Times New Roman" w:hAnsi="Times New Roman" w:eastAsia="宋体" w:cs="Times New Roman"/>
                <w:kern w:val="2"/>
                <w:sz w:val="21"/>
                <w:szCs w:val="24"/>
                <w:highlight w:val="none"/>
                <w:lang w:val="en-US" w:eastAsia="zh-CN" w:bidi="ar-SA"/>
              </w:rPr>
            </w:pPr>
            <w:r>
              <w:rPr>
                <w:highlight w:val="none"/>
              </w:rPr>
              <w:t>0.0822</w:t>
            </w:r>
          </w:p>
        </w:tc>
        <w:tc>
          <w:tcPr>
            <w:tcW w:w="0" w:type="auto"/>
            <w:shd w:val="clear" w:color="auto" w:fill="auto"/>
            <w:vAlign w:val="top"/>
          </w:tcPr>
          <w:p w14:paraId="198520D6">
            <w:pPr>
              <w:jc w:val="center"/>
              <w:rPr>
                <w:rFonts w:hint="eastAsia" w:ascii="Times New Roman" w:hAnsi="Times New Roman" w:eastAsia="宋体" w:cs="Times New Roman"/>
                <w:kern w:val="2"/>
                <w:sz w:val="21"/>
                <w:szCs w:val="24"/>
                <w:highlight w:val="none"/>
                <w:lang w:val="en-US" w:eastAsia="zh-CN" w:bidi="ar-SA"/>
              </w:rPr>
            </w:pPr>
            <w:r>
              <w:rPr>
                <w:highlight w:val="none"/>
              </w:rPr>
              <w:t>0.5016</w:t>
            </w:r>
          </w:p>
        </w:tc>
        <w:tc>
          <w:tcPr>
            <w:tcW w:w="0" w:type="auto"/>
            <w:shd w:val="clear" w:color="auto" w:fill="auto"/>
            <w:vAlign w:val="top"/>
          </w:tcPr>
          <w:p w14:paraId="60C73E10">
            <w:pPr>
              <w:jc w:val="center"/>
              <w:rPr>
                <w:rFonts w:hint="default" w:ascii="Times New Roman" w:hAnsi="Times New Roman" w:eastAsia="宋体" w:cs="Times New Roman"/>
                <w:kern w:val="2"/>
                <w:sz w:val="21"/>
                <w:szCs w:val="24"/>
                <w:highlight w:val="none"/>
                <w:lang w:val="en-US" w:eastAsia="zh-CN" w:bidi="ar-SA"/>
              </w:rPr>
            </w:pPr>
            <w:r>
              <w:rPr>
                <w:highlight w:val="none"/>
              </w:rPr>
              <w:t>0.5083</w:t>
            </w:r>
          </w:p>
        </w:tc>
      </w:tr>
      <w:tr w14:paraId="1052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73BB46E9">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30</w:t>
            </w:r>
          </w:p>
        </w:tc>
        <w:tc>
          <w:tcPr>
            <w:tcW w:w="0" w:type="auto"/>
            <w:shd w:val="clear" w:color="auto" w:fill="auto"/>
            <w:vAlign w:val="top"/>
          </w:tcPr>
          <w:p w14:paraId="7737B6F4">
            <w:pPr>
              <w:jc w:val="center"/>
              <w:rPr>
                <w:rFonts w:hint="default" w:ascii="Times New Roman" w:hAnsi="Times New Roman" w:eastAsia="宋体" w:cs="Times New Roman"/>
                <w:kern w:val="2"/>
                <w:sz w:val="21"/>
                <w:szCs w:val="24"/>
                <w:highlight w:val="none"/>
                <w:lang w:val="en-US" w:eastAsia="zh-CN" w:bidi="ar-SA"/>
              </w:rPr>
            </w:pPr>
            <w:r>
              <w:rPr>
                <w:highlight w:val="none"/>
              </w:rPr>
              <w:t>0.0714</w:t>
            </w:r>
          </w:p>
        </w:tc>
        <w:tc>
          <w:tcPr>
            <w:tcW w:w="0" w:type="auto"/>
            <w:shd w:val="clear" w:color="auto" w:fill="auto"/>
            <w:vAlign w:val="top"/>
          </w:tcPr>
          <w:p w14:paraId="0FF2FFF2">
            <w:pPr>
              <w:jc w:val="center"/>
              <w:rPr>
                <w:rFonts w:hint="eastAsia" w:ascii="Times New Roman" w:hAnsi="Times New Roman" w:eastAsia="宋体" w:cs="Times New Roman"/>
                <w:kern w:val="2"/>
                <w:sz w:val="21"/>
                <w:szCs w:val="24"/>
                <w:highlight w:val="none"/>
                <w:lang w:val="en-US" w:eastAsia="zh-CN" w:bidi="ar-SA"/>
              </w:rPr>
            </w:pPr>
            <w:r>
              <w:rPr>
                <w:highlight w:val="none"/>
              </w:rPr>
              <w:t>0.4515</w:t>
            </w:r>
          </w:p>
        </w:tc>
        <w:tc>
          <w:tcPr>
            <w:tcW w:w="0" w:type="auto"/>
            <w:shd w:val="clear" w:color="auto" w:fill="auto"/>
            <w:vAlign w:val="top"/>
          </w:tcPr>
          <w:p w14:paraId="5D699CBF">
            <w:pPr>
              <w:jc w:val="center"/>
              <w:rPr>
                <w:rFonts w:hint="default" w:ascii="Times New Roman" w:hAnsi="Times New Roman" w:eastAsia="宋体" w:cs="Times New Roman"/>
                <w:kern w:val="2"/>
                <w:sz w:val="21"/>
                <w:szCs w:val="24"/>
                <w:highlight w:val="none"/>
                <w:lang w:val="en-US" w:eastAsia="zh-CN" w:bidi="ar-SA"/>
              </w:rPr>
            </w:pPr>
            <w:r>
              <w:rPr>
                <w:highlight w:val="none"/>
              </w:rPr>
              <w:t>0.4571</w:t>
            </w:r>
          </w:p>
        </w:tc>
      </w:tr>
      <w:tr w14:paraId="366C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5898EC95">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31</w:t>
            </w:r>
          </w:p>
        </w:tc>
        <w:tc>
          <w:tcPr>
            <w:tcW w:w="0" w:type="auto"/>
            <w:shd w:val="clear" w:color="auto" w:fill="auto"/>
            <w:vAlign w:val="top"/>
          </w:tcPr>
          <w:p w14:paraId="262E67B6">
            <w:pPr>
              <w:jc w:val="center"/>
              <w:rPr>
                <w:rFonts w:hint="default" w:ascii="Times New Roman" w:hAnsi="Times New Roman" w:eastAsia="宋体" w:cs="Times New Roman"/>
                <w:kern w:val="2"/>
                <w:sz w:val="21"/>
                <w:szCs w:val="24"/>
                <w:highlight w:val="none"/>
                <w:lang w:val="en-US" w:eastAsia="zh-CN" w:bidi="ar-SA"/>
              </w:rPr>
            </w:pPr>
            <w:r>
              <w:rPr>
                <w:highlight w:val="none"/>
              </w:rPr>
              <w:t>0.0623</w:t>
            </w:r>
          </w:p>
        </w:tc>
        <w:tc>
          <w:tcPr>
            <w:tcW w:w="0" w:type="auto"/>
            <w:shd w:val="clear" w:color="auto" w:fill="auto"/>
            <w:vAlign w:val="top"/>
          </w:tcPr>
          <w:p w14:paraId="4623E0A7">
            <w:pPr>
              <w:jc w:val="center"/>
              <w:rPr>
                <w:rFonts w:hint="eastAsia" w:ascii="Times New Roman" w:hAnsi="Times New Roman" w:eastAsia="宋体" w:cs="Times New Roman"/>
                <w:kern w:val="2"/>
                <w:sz w:val="21"/>
                <w:szCs w:val="24"/>
                <w:highlight w:val="none"/>
                <w:lang w:val="en-US" w:eastAsia="zh-CN" w:bidi="ar-SA"/>
              </w:rPr>
            </w:pPr>
            <w:r>
              <w:rPr>
                <w:highlight w:val="none"/>
              </w:rPr>
              <w:t>0.4078</w:t>
            </w:r>
          </w:p>
        </w:tc>
        <w:tc>
          <w:tcPr>
            <w:tcW w:w="0" w:type="auto"/>
            <w:shd w:val="clear" w:color="auto" w:fill="auto"/>
            <w:vAlign w:val="top"/>
          </w:tcPr>
          <w:p w14:paraId="606F4EBF">
            <w:pPr>
              <w:jc w:val="center"/>
              <w:rPr>
                <w:rFonts w:hint="default" w:ascii="Times New Roman" w:hAnsi="Times New Roman" w:eastAsia="宋体" w:cs="Times New Roman"/>
                <w:kern w:val="2"/>
                <w:sz w:val="21"/>
                <w:szCs w:val="24"/>
                <w:highlight w:val="none"/>
                <w:lang w:val="en-US" w:eastAsia="zh-CN" w:bidi="ar-SA"/>
              </w:rPr>
            </w:pPr>
            <w:r>
              <w:rPr>
                <w:highlight w:val="none"/>
              </w:rPr>
              <w:t>0.4126</w:t>
            </w:r>
          </w:p>
        </w:tc>
      </w:tr>
      <w:tr w14:paraId="37F1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69E0285D">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32</w:t>
            </w:r>
          </w:p>
        </w:tc>
        <w:tc>
          <w:tcPr>
            <w:tcW w:w="0" w:type="auto"/>
            <w:shd w:val="clear" w:color="auto" w:fill="auto"/>
            <w:vAlign w:val="top"/>
          </w:tcPr>
          <w:p w14:paraId="480F0792">
            <w:pPr>
              <w:jc w:val="center"/>
              <w:rPr>
                <w:rFonts w:hint="default" w:ascii="Times New Roman" w:hAnsi="Times New Roman" w:eastAsia="宋体" w:cs="Times New Roman"/>
                <w:kern w:val="2"/>
                <w:sz w:val="21"/>
                <w:szCs w:val="24"/>
                <w:highlight w:val="none"/>
                <w:lang w:val="en-US" w:eastAsia="zh-CN" w:bidi="ar-SA"/>
              </w:rPr>
            </w:pPr>
            <w:r>
              <w:rPr>
                <w:highlight w:val="none"/>
              </w:rPr>
              <w:t>0.0546</w:t>
            </w:r>
          </w:p>
        </w:tc>
        <w:tc>
          <w:tcPr>
            <w:tcW w:w="0" w:type="auto"/>
            <w:shd w:val="clear" w:color="auto" w:fill="auto"/>
            <w:vAlign w:val="top"/>
          </w:tcPr>
          <w:p w14:paraId="518861AB">
            <w:pPr>
              <w:jc w:val="center"/>
              <w:rPr>
                <w:rFonts w:hint="eastAsia" w:ascii="Times New Roman" w:hAnsi="Times New Roman" w:eastAsia="宋体" w:cs="Times New Roman"/>
                <w:kern w:val="2"/>
                <w:sz w:val="21"/>
                <w:szCs w:val="24"/>
                <w:highlight w:val="none"/>
                <w:lang w:val="en-US" w:eastAsia="zh-CN" w:bidi="ar-SA"/>
              </w:rPr>
            </w:pPr>
            <w:r>
              <w:rPr>
                <w:highlight w:val="none"/>
              </w:rPr>
              <w:t>0.3696</w:t>
            </w:r>
          </w:p>
        </w:tc>
        <w:tc>
          <w:tcPr>
            <w:tcW w:w="0" w:type="auto"/>
            <w:shd w:val="clear" w:color="auto" w:fill="auto"/>
            <w:vAlign w:val="top"/>
          </w:tcPr>
          <w:p w14:paraId="1CFC8356">
            <w:pPr>
              <w:jc w:val="center"/>
              <w:rPr>
                <w:rFonts w:hint="default" w:ascii="Times New Roman" w:hAnsi="Times New Roman" w:eastAsia="宋体" w:cs="Times New Roman"/>
                <w:kern w:val="2"/>
                <w:sz w:val="21"/>
                <w:szCs w:val="24"/>
                <w:highlight w:val="none"/>
                <w:lang w:val="en-US" w:eastAsia="zh-CN" w:bidi="ar-SA"/>
              </w:rPr>
            </w:pPr>
            <w:r>
              <w:rPr>
                <w:highlight w:val="none"/>
              </w:rPr>
              <w:t>0.3736</w:t>
            </w:r>
          </w:p>
        </w:tc>
      </w:tr>
      <w:tr w14:paraId="4CA8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32C0E08E">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33</w:t>
            </w:r>
          </w:p>
        </w:tc>
        <w:tc>
          <w:tcPr>
            <w:tcW w:w="0" w:type="auto"/>
            <w:shd w:val="clear" w:color="auto" w:fill="auto"/>
            <w:vAlign w:val="top"/>
          </w:tcPr>
          <w:p w14:paraId="5C1D3D72">
            <w:pPr>
              <w:jc w:val="center"/>
              <w:rPr>
                <w:rFonts w:hint="default" w:ascii="Times New Roman" w:hAnsi="Times New Roman" w:eastAsia="宋体" w:cs="Times New Roman"/>
                <w:kern w:val="2"/>
                <w:sz w:val="21"/>
                <w:szCs w:val="24"/>
                <w:highlight w:val="none"/>
                <w:lang w:val="en-US" w:eastAsia="zh-CN" w:bidi="ar-SA"/>
              </w:rPr>
            </w:pPr>
            <w:r>
              <w:rPr>
                <w:highlight w:val="none"/>
              </w:rPr>
              <w:t>0.0480</w:t>
            </w:r>
          </w:p>
        </w:tc>
        <w:tc>
          <w:tcPr>
            <w:tcW w:w="0" w:type="auto"/>
            <w:shd w:val="clear" w:color="auto" w:fill="auto"/>
            <w:vAlign w:val="top"/>
          </w:tcPr>
          <w:p w14:paraId="1A409021">
            <w:pPr>
              <w:jc w:val="center"/>
              <w:rPr>
                <w:rFonts w:hint="eastAsia" w:ascii="Times New Roman" w:hAnsi="Times New Roman" w:eastAsia="宋体" w:cs="Times New Roman"/>
                <w:kern w:val="2"/>
                <w:sz w:val="21"/>
                <w:szCs w:val="24"/>
                <w:highlight w:val="none"/>
                <w:lang w:val="en-US" w:eastAsia="zh-CN" w:bidi="ar-SA"/>
              </w:rPr>
            </w:pPr>
            <w:r>
              <w:rPr>
                <w:highlight w:val="none"/>
              </w:rPr>
              <w:t>0.3360</w:t>
            </w:r>
          </w:p>
        </w:tc>
        <w:tc>
          <w:tcPr>
            <w:tcW w:w="0" w:type="auto"/>
            <w:shd w:val="clear" w:color="auto" w:fill="auto"/>
            <w:vAlign w:val="top"/>
          </w:tcPr>
          <w:p w14:paraId="2757EB6A">
            <w:pPr>
              <w:jc w:val="center"/>
              <w:rPr>
                <w:rFonts w:hint="default" w:ascii="Times New Roman" w:hAnsi="Times New Roman" w:eastAsia="宋体" w:cs="Times New Roman"/>
                <w:kern w:val="2"/>
                <w:sz w:val="21"/>
                <w:szCs w:val="24"/>
                <w:highlight w:val="none"/>
                <w:lang w:val="en-US" w:eastAsia="zh-CN" w:bidi="ar-SA"/>
              </w:rPr>
            </w:pPr>
            <w:r>
              <w:rPr>
                <w:highlight w:val="none"/>
              </w:rPr>
              <w:t>0.3394</w:t>
            </w:r>
          </w:p>
        </w:tc>
      </w:tr>
      <w:tr w14:paraId="7D19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3F1891C3">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34</w:t>
            </w:r>
          </w:p>
        </w:tc>
        <w:tc>
          <w:tcPr>
            <w:tcW w:w="0" w:type="auto"/>
            <w:shd w:val="clear" w:color="auto" w:fill="auto"/>
            <w:vAlign w:val="top"/>
          </w:tcPr>
          <w:p w14:paraId="44D81951">
            <w:pPr>
              <w:jc w:val="center"/>
              <w:rPr>
                <w:rFonts w:hint="default" w:ascii="Times New Roman" w:hAnsi="Times New Roman" w:eastAsia="宋体" w:cs="Times New Roman"/>
                <w:kern w:val="2"/>
                <w:sz w:val="21"/>
                <w:szCs w:val="24"/>
                <w:highlight w:val="none"/>
                <w:lang w:val="en-US" w:eastAsia="zh-CN" w:bidi="ar-SA"/>
              </w:rPr>
            </w:pPr>
            <w:r>
              <w:rPr>
                <w:highlight w:val="none"/>
              </w:rPr>
              <w:t>0.0424</w:t>
            </w:r>
          </w:p>
        </w:tc>
        <w:tc>
          <w:tcPr>
            <w:tcW w:w="0" w:type="auto"/>
            <w:shd w:val="clear" w:color="auto" w:fill="auto"/>
            <w:vAlign w:val="top"/>
          </w:tcPr>
          <w:p w14:paraId="4BD85BB7">
            <w:pPr>
              <w:jc w:val="center"/>
              <w:rPr>
                <w:rFonts w:hint="eastAsia" w:ascii="Times New Roman" w:hAnsi="Times New Roman" w:eastAsia="宋体" w:cs="Times New Roman"/>
                <w:kern w:val="2"/>
                <w:sz w:val="21"/>
                <w:szCs w:val="24"/>
                <w:highlight w:val="none"/>
                <w:lang w:val="en-US" w:eastAsia="zh-CN" w:bidi="ar-SA"/>
              </w:rPr>
            </w:pPr>
            <w:r>
              <w:rPr>
                <w:highlight w:val="none"/>
              </w:rPr>
              <w:t>0.3064</w:t>
            </w:r>
          </w:p>
        </w:tc>
        <w:tc>
          <w:tcPr>
            <w:tcW w:w="0" w:type="auto"/>
            <w:shd w:val="clear" w:color="auto" w:fill="auto"/>
            <w:vAlign w:val="top"/>
          </w:tcPr>
          <w:p w14:paraId="5ABC01DD">
            <w:pPr>
              <w:jc w:val="center"/>
              <w:rPr>
                <w:rFonts w:hint="default" w:ascii="Times New Roman" w:hAnsi="Times New Roman" w:eastAsia="宋体" w:cs="Times New Roman"/>
                <w:kern w:val="2"/>
                <w:sz w:val="21"/>
                <w:szCs w:val="24"/>
                <w:highlight w:val="none"/>
                <w:lang w:val="en-US" w:eastAsia="zh-CN" w:bidi="ar-SA"/>
              </w:rPr>
            </w:pPr>
            <w:r>
              <w:rPr>
                <w:highlight w:val="none"/>
              </w:rPr>
              <w:t>0.3093</w:t>
            </w:r>
          </w:p>
        </w:tc>
      </w:tr>
      <w:tr w14:paraId="06A0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2BB2EE2B">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35</w:t>
            </w:r>
          </w:p>
        </w:tc>
        <w:tc>
          <w:tcPr>
            <w:tcW w:w="0" w:type="auto"/>
            <w:shd w:val="clear" w:color="auto" w:fill="auto"/>
            <w:vAlign w:val="top"/>
          </w:tcPr>
          <w:p w14:paraId="46104AAC">
            <w:pPr>
              <w:jc w:val="center"/>
              <w:rPr>
                <w:rFonts w:hint="default" w:ascii="Times New Roman" w:hAnsi="Times New Roman" w:eastAsia="宋体" w:cs="Times New Roman"/>
                <w:kern w:val="2"/>
                <w:sz w:val="21"/>
                <w:szCs w:val="24"/>
                <w:highlight w:val="none"/>
                <w:lang w:val="en-US" w:eastAsia="zh-CN" w:bidi="ar-SA"/>
              </w:rPr>
            </w:pPr>
            <w:r>
              <w:rPr>
                <w:highlight w:val="none"/>
              </w:rPr>
              <w:t>0.0376</w:t>
            </w:r>
          </w:p>
        </w:tc>
        <w:tc>
          <w:tcPr>
            <w:tcW w:w="0" w:type="auto"/>
            <w:shd w:val="clear" w:color="auto" w:fill="auto"/>
            <w:vAlign w:val="top"/>
          </w:tcPr>
          <w:p w14:paraId="5E5C9AEF">
            <w:pPr>
              <w:jc w:val="center"/>
              <w:rPr>
                <w:rFonts w:hint="eastAsia" w:ascii="Times New Roman" w:hAnsi="Times New Roman" w:eastAsia="宋体" w:cs="Times New Roman"/>
                <w:kern w:val="2"/>
                <w:sz w:val="21"/>
                <w:szCs w:val="24"/>
                <w:highlight w:val="none"/>
                <w:lang w:val="en-US" w:eastAsia="zh-CN" w:bidi="ar-SA"/>
              </w:rPr>
            </w:pPr>
            <w:r>
              <w:rPr>
                <w:highlight w:val="none"/>
              </w:rPr>
              <w:t>0.2801</w:t>
            </w:r>
          </w:p>
        </w:tc>
        <w:tc>
          <w:tcPr>
            <w:tcW w:w="0" w:type="auto"/>
            <w:shd w:val="clear" w:color="auto" w:fill="auto"/>
            <w:vAlign w:val="top"/>
          </w:tcPr>
          <w:p w14:paraId="39412A8A">
            <w:pPr>
              <w:jc w:val="center"/>
              <w:rPr>
                <w:rFonts w:hint="default" w:ascii="Times New Roman" w:hAnsi="Times New Roman" w:eastAsia="宋体" w:cs="Times New Roman"/>
                <w:kern w:val="2"/>
                <w:sz w:val="21"/>
                <w:szCs w:val="24"/>
                <w:highlight w:val="none"/>
                <w:lang w:val="en-US" w:eastAsia="zh-CN" w:bidi="ar-SA"/>
              </w:rPr>
            </w:pPr>
            <w:r>
              <w:rPr>
                <w:highlight w:val="none"/>
              </w:rPr>
              <w:t>0.2826</w:t>
            </w:r>
          </w:p>
        </w:tc>
      </w:tr>
      <w:tr w14:paraId="11EB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1A6C38BC">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36</w:t>
            </w:r>
          </w:p>
        </w:tc>
        <w:tc>
          <w:tcPr>
            <w:tcW w:w="0" w:type="auto"/>
            <w:shd w:val="clear" w:color="auto" w:fill="auto"/>
            <w:vAlign w:val="top"/>
          </w:tcPr>
          <w:p w14:paraId="0026CFBD">
            <w:pPr>
              <w:jc w:val="center"/>
              <w:rPr>
                <w:rFonts w:hint="default" w:ascii="Times New Roman" w:hAnsi="Times New Roman" w:eastAsia="宋体" w:cs="Times New Roman"/>
                <w:kern w:val="2"/>
                <w:sz w:val="21"/>
                <w:szCs w:val="24"/>
                <w:highlight w:val="none"/>
                <w:lang w:val="en-US" w:eastAsia="zh-CN" w:bidi="ar-SA"/>
              </w:rPr>
            </w:pPr>
            <w:r>
              <w:rPr>
                <w:highlight w:val="none"/>
              </w:rPr>
              <w:t>0.0335</w:t>
            </w:r>
          </w:p>
        </w:tc>
        <w:tc>
          <w:tcPr>
            <w:tcW w:w="0" w:type="auto"/>
            <w:shd w:val="clear" w:color="auto" w:fill="auto"/>
            <w:vAlign w:val="top"/>
          </w:tcPr>
          <w:p w14:paraId="59B9ECB7">
            <w:pPr>
              <w:jc w:val="center"/>
              <w:rPr>
                <w:rFonts w:hint="eastAsia" w:ascii="Times New Roman" w:hAnsi="Times New Roman" w:eastAsia="宋体" w:cs="Times New Roman"/>
                <w:kern w:val="2"/>
                <w:sz w:val="21"/>
                <w:szCs w:val="24"/>
                <w:highlight w:val="none"/>
                <w:lang w:val="en-US" w:eastAsia="zh-CN" w:bidi="ar-SA"/>
              </w:rPr>
            </w:pPr>
            <w:r>
              <w:rPr>
                <w:highlight w:val="none"/>
              </w:rPr>
              <w:t>0.2568</w:t>
            </w:r>
          </w:p>
        </w:tc>
        <w:tc>
          <w:tcPr>
            <w:tcW w:w="0" w:type="auto"/>
            <w:shd w:val="clear" w:color="auto" w:fill="auto"/>
            <w:vAlign w:val="top"/>
          </w:tcPr>
          <w:p w14:paraId="5F0D0978">
            <w:pPr>
              <w:jc w:val="center"/>
              <w:rPr>
                <w:rFonts w:hint="default" w:ascii="Times New Roman" w:hAnsi="Times New Roman" w:eastAsia="宋体" w:cs="Times New Roman"/>
                <w:kern w:val="2"/>
                <w:sz w:val="21"/>
                <w:szCs w:val="24"/>
                <w:highlight w:val="none"/>
                <w:lang w:val="en-US" w:eastAsia="zh-CN" w:bidi="ar-SA"/>
              </w:rPr>
            </w:pPr>
            <w:r>
              <w:rPr>
                <w:highlight w:val="none"/>
              </w:rPr>
              <w:t>0.2589</w:t>
            </w:r>
          </w:p>
        </w:tc>
      </w:tr>
      <w:tr w14:paraId="799E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79C4047D">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37</w:t>
            </w:r>
          </w:p>
        </w:tc>
        <w:tc>
          <w:tcPr>
            <w:tcW w:w="0" w:type="auto"/>
            <w:shd w:val="clear" w:color="auto" w:fill="auto"/>
            <w:vAlign w:val="top"/>
          </w:tcPr>
          <w:p w14:paraId="24762D47">
            <w:pPr>
              <w:jc w:val="center"/>
              <w:rPr>
                <w:rFonts w:hint="default" w:ascii="Times New Roman" w:hAnsi="Times New Roman" w:eastAsia="宋体" w:cs="Times New Roman"/>
                <w:kern w:val="2"/>
                <w:sz w:val="21"/>
                <w:szCs w:val="24"/>
                <w:highlight w:val="none"/>
                <w:lang w:val="en-US" w:eastAsia="zh-CN" w:bidi="ar-SA"/>
              </w:rPr>
            </w:pPr>
            <w:r>
              <w:rPr>
                <w:highlight w:val="none"/>
              </w:rPr>
              <w:t>0.0299</w:t>
            </w:r>
          </w:p>
        </w:tc>
        <w:tc>
          <w:tcPr>
            <w:tcW w:w="0" w:type="auto"/>
            <w:shd w:val="clear" w:color="auto" w:fill="auto"/>
            <w:vAlign w:val="top"/>
          </w:tcPr>
          <w:p w14:paraId="509C7707">
            <w:pPr>
              <w:jc w:val="center"/>
              <w:rPr>
                <w:rFonts w:hint="eastAsia" w:ascii="Times New Roman" w:hAnsi="Times New Roman" w:eastAsia="宋体" w:cs="Times New Roman"/>
                <w:kern w:val="2"/>
                <w:sz w:val="21"/>
                <w:szCs w:val="24"/>
                <w:highlight w:val="none"/>
                <w:lang w:val="en-US" w:eastAsia="zh-CN" w:bidi="ar-SA"/>
              </w:rPr>
            </w:pPr>
            <w:r>
              <w:rPr>
                <w:highlight w:val="none"/>
              </w:rPr>
              <w:t>0.2360</w:t>
            </w:r>
          </w:p>
        </w:tc>
        <w:tc>
          <w:tcPr>
            <w:tcW w:w="0" w:type="auto"/>
            <w:shd w:val="clear" w:color="auto" w:fill="auto"/>
            <w:vAlign w:val="top"/>
          </w:tcPr>
          <w:p w14:paraId="6749B642">
            <w:pPr>
              <w:jc w:val="center"/>
              <w:rPr>
                <w:rFonts w:hint="default" w:ascii="Times New Roman" w:hAnsi="Times New Roman" w:eastAsia="宋体" w:cs="Times New Roman"/>
                <w:kern w:val="2"/>
                <w:sz w:val="21"/>
                <w:szCs w:val="24"/>
                <w:highlight w:val="none"/>
                <w:lang w:val="en-US" w:eastAsia="zh-CN" w:bidi="ar-SA"/>
              </w:rPr>
            </w:pPr>
            <w:r>
              <w:rPr>
                <w:highlight w:val="none"/>
              </w:rPr>
              <w:t>0.2378</w:t>
            </w:r>
          </w:p>
        </w:tc>
      </w:tr>
      <w:tr w14:paraId="6BAB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353D855D">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38</w:t>
            </w:r>
          </w:p>
        </w:tc>
        <w:tc>
          <w:tcPr>
            <w:tcW w:w="0" w:type="auto"/>
            <w:shd w:val="clear" w:color="auto" w:fill="auto"/>
            <w:vAlign w:val="top"/>
          </w:tcPr>
          <w:p w14:paraId="6AC9A41D">
            <w:pPr>
              <w:jc w:val="center"/>
              <w:rPr>
                <w:rFonts w:hint="default" w:ascii="Times New Roman" w:hAnsi="Times New Roman" w:eastAsia="宋体" w:cs="Times New Roman"/>
                <w:kern w:val="2"/>
                <w:sz w:val="21"/>
                <w:szCs w:val="24"/>
                <w:highlight w:val="none"/>
                <w:lang w:val="en-US" w:eastAsia="zh-CN" w:bidi="ar-SA"/>
              </w:rPr>
            </w:pPr>
            <w:r>
              <w:rPr>
                <w:highlight w:val="none"/>
              </w:rPr>
              <w:t>0.0267</w:t>
            </w:r>
          </w:p>
        </w:tc>
        <w:tc>
          <w:tcPr>
            <w:tcW w:w="0" w:type="auto"/>
            <w:shd w:val="clear" w:color="auto" w:fill="auto"/>
            <w:vAlign w:val="top"/>
          </w:tcPr>
          <w:p w14:paraId="62741826">
            <w:pPr>
              <w:jc w:val="center"/>
              <w:rPr>
                <w:rFonts w:hint="eastAsia" w:ascii="Times New Roman" w:hAnsi="Times New Roman" w:eastAsia="宋体" w:cs="Times New Roman"/>
                <w:kern w:val="2"/>
                <w:sz w:val="21"/>
                <w:szCs w:val="24"/>
                <w:highlight w:val="none"/>
                <w:lang w:val="en-US" w:eastAsia="zh-CN" w:bidi="ar-SA"/>
              </w:rPr>
            </w:pPr>
            <w:r>
              <w:rPr>
                <w:highlight w:val="none"/>
              </w:rPr>
              <w:t>0.2173</w:t>
            </w:r>
          </w:p>
        </w:tc>
        <w:tc>
          <w:tcPr>
            <w:tcW w:w="0" w:type="auto"/>
            <w:shd w:val="clear" w:color="auto" w:fill="auto"/>
            <w:vAlign w:val="top"/>
          </w:tcPr>
          <w:p w14:paraId="6449E230">
            <w:pPr>
              <w:jc w:val="center"/>
              <w:rPr>
                <w:rFonts w:hint="default" w:ascii="Times New Roman" w:hAnsi="Times New Roman" w:eastAsia="宋体" w:cs="Times New Roman"/>
                <w:kern w:val="2"/>
                <w:sz w:val="21"/>
                <w:szCs w:val="24"/>
                <w:highlight w:val="none"/>
                <w:lang w:val="en-US" w:eastAsia="zh-CN" w:bidi="ar-SA"/>
              </w:rPr>
            </w:pPr>
            <w:r>
              <w:rPr>
                <w:highlight w:val="none"/>
              </w:rPr>
              <w:t>0.2190</w:t>
            </w:r>
          </w:p>
        </w:tc>
      </w:tr>
      <w:tr w14:paraId="3E41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222ED033">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39</w:t>
            </w:r>
          </w:p>
        </w:tc>
        <w:tc>
          <w:tcPr>
            <w:tcW w:w="0" w:type="auto"/>
            <w:shd w:val="clear" w:color="auto" w:fill="auto"/>
            <w:vAlign w:val="top"/>
          </w:tcPr>
          <w:p w14:paraId="03FDDA8F">
            <w:pPr>
              <w:jc w:val="center"/>
              <w:rPr>
                <w:rFonts w:hint="default" w:ascii="Times New Roman" w:hAnsi="Times New Roman" w:eastAsia="宋体" w:cs="Times New Roman"/>
                <w:kern w:val="2"/>
                <w:sz w:val="21"/>
                <w:szCs w:val="24"/>
                <w:highlight w:val="none"/>
                <w:lang w:val="en-US" w:eastAsia="zh-CN" w:bidi="ar-SA"/>
              </w:rPr>
            </w:pPr>
            <w:r>
              <w:rPr>
                <w:highlight w:val="none"/>
              </w:rPr>
              <w:t>0.0240</w:t>
            </w:r>
          </w:p>
        </w:tc>
        <w:tc>
          <w:tcPr>
            <w:tcW w:w="0" w:type="auto"/>
            <w:shd w:val="clear" w:color="auto" w:fill="auto"/>
            <w:vAlign w:val="top"/>
          </w:tcPr>
          <w:p w14:paraId="13657366">
            <w:pPr>
              <w:jc w:val="center"/>
              <w:rPr>
                <w:rFonts w:hint="eastAsia" w:ascii="Times New Roman" w:hAnsi="Times New Roman" w:eastAsia="宋体" w:cs="Times New Roman"/>
                <w:kern w:val="2"/>
                <w:sz w:val="21"/>
                <w:szCs w:val="24"/>
                <w:highlight w:val="none"/>
                <w:lang w:val="en-US" w:eastAsia="zh-CN" w:bidi="ar-SA"/>
              </w:rPr>
            </w:pPr>
            <w:r>
              <w:rPr>
                <w:highlight w:val="none"/>
              </w:rPr>
              <w:t>0.2006</w:t>
            </w:r>
          </w:p>
        </w:tc>
        <w:tc>
          <w:tcPr>
            <w:tcW w:w="0" w:type="auto"/>
            <w:shd w:val="clear" w:color="auto" w:fill="auto"/>
            <w:vAlign w:val="top"/>
          </w:tcPr>
          <w:p w14:paraId="1F8ED0FC">
            <w:pPr>
              <w:jc w:val="center"/>
              <w:rPr>
                <w:rFonts w:hint="default" w:ascii="Times New Roman" w:hAnsi="Times New Roman" w:eastAsia="宋体" w:cs="Times New Roman"/>
                <w:kern w:val="2"/>
                <w:sz w:val="21"/>
                <w:szCs w:val="24"/>
                <w:highlight w:val="none"/>
                <w:lang w:val="en-US" w:eastAsia="zh-CN" w:bidi="ar-SA"/>
              </w:rPr>
            </w:pPr>
            <w:r>
              <w:rPr>
                <w:highlight w:val="none"/>
              </w:rPr>
              <w:t>0.2021</w:t>
            </w:r>
          </w:p>
        </w:tc>
      </w:tr>
      <w:tr w14:paraId="52DB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4C7EF0F8">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40</w:t>
            </w:r>
          </w:p>
        </w:tc>
        <w:tc>
          <w:tcPr>
            <w:tcW w:w="0" w:type="auto"/>
            <w:shd w:val="clear" w:color="auto" w:fill="auto"/>
            <w:vAlign w:val="top"/>
          </w:tcPr>
          <w:p w14:paraId="57F5067A">
            <w:pPr>
              <w:jc w:val="center"/>
              <w:rPr>
                <w:rFonts w:hint="default" w:ascii="Times New Roman" w:hAnsi="Times New Roman" w:eastAsia="宋体" w:cs="Times New Roman"/>
                <w:kern w:val="2"/>
                <w:sz w:val="21"/>
                <w:szCs w:val="24"/>
                <w:highlight w:val="none"/>
                <w:lang w:val="en-US" w:eastAsia="zh-CN" w:bidi="ar-SA"/>
              </w:rPr>
            </w:pPr>
            <w:r>
              <w:rPr>
                <w:highlight w:val="none"/>
              </w:rPr>
              <w:t>0.0216</w:t>
            </w:r>
          </w:p>
        </w:tc>
        <w:tc>
          <w:tcPr>
            <w:tcW w:w="0" w:type="auto"/>
            <w:shd w:val="clear" w:color="auto" w:fill="auto"/>
            <w:vAlign w:val="top"/>
          </w:tcPr>
          <w:p w14:paraId="287B7AD2">
            <w:pPr>
              <w:jc w:val="center"/>
              <w:rPr>
                <w:rFonts w:hint="eastAsia" w:ascii="Times New Roman" w:hAnsi="Times New Roman" w:eastAsia="宋体" w:cs="Times New Roman"/>
                <w:kern w:val="2"/>
                <w:sz w:val="21"/>
                <w:szCs w:val="24"/>
                <w:highlight w:val="none"/>
                <w:lang w:val="en-US" w:eastAsia="zh-CN" w:bidi="ar-SA"/>
              </w:rPr>
            </w:pPr>
            <w:r>
              <w:rPr>
                <w:highlight w:val="none"/>
              </w:rPr>
              <w:t>0.1856</w:t>
            </w:r>
          </w:p>
        </w:tc>
        <w:tc>
          <w:tcPr>
            <w:tcW w:w="0" w:type="auto"/>
            <w:shd w:val="clear" w:color="auto" w:fill="auto"/>
            <w:vAlign w:val="top"/>
          </w:tcPr>
          <w:p w14:paraId="2A5D7A6C">
            <w:pPr>
              <w:jc w:val="center"/>
              <w:rPr>
                <w:rFonts w:hint="default" w:ascii="Times New Roman" w:hAnsi="Times New Roman" w:eastAsia="宋体" w:cs="Times New Roman"/>
                <w:kern w:val="2"/>
                <w:sz w:val="21"/>
                <w:szCs w:val="24"/>
                <w:highlight w:val="none"/>
                <w:lang w:val="en-US" w:eastAsia="zh-CN" w:bidi="ar-SA"/>
              </w:rPr>
            </w:pPr>
            <w:r>
              <w:rPr>
                <w:highlight w:val="none"/>
              </w:rPr>
              <w:t>0.1868</w:t>
            </w:r>
          </w:p>
        </w:tc>
      </w:tr>
      <w:tr w14:paraId="4923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1D88C897">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41</w:t>
            </w:r>
          </w:p>
        </w:tc>
        <w:tc>
          <w:tcPr>
            <w:tcW w:w="0" w:type="auto"/>
            <w:shd w:val="clear" w:color="auto" w:fill="auto"/>
            <w:vAlign w:val="top"/>
          </w:tcPr>
          <w:p w14:paraId="2452D4B2">
            <w:pPr>
              <w:jc w:val="center"/>
              <w:rPr>
                <w:rFonts w:hint="default" w:ascii="Times New Roman" w:hAnsi="Times New Roman" w:eastAsia="宋体" w:cs="Times New Roman"/>
                <w:kern w:val="2"/>
                <w:sz w:val="21"/>
                <w:szCs w:val="24"/>
                <w:highlight w:val="none"/>
                <w:lang w:val="en-US" w:eastAsia="zh-CN" w:bidi="ar-SA"/>
              </w:rPr>
            </w:pPr>
            <w:r>
              <w:rPr>
                <w:highlight w:val="none"/>
              </w:rPr>
              <w:t>0.0195</w:t>
            </w:r>
          </w:p>
        </w:tc>
        <w:tc>
          <w:tcPr>
            <w:tcW w:w="0" w:type="auto"/>
            <w:shd w:val="clear" w:color="auto" w:fill="auto"/>
            <w:vAlign w:val="top"/>
          </w:tcPr>
          <w:p w14:paraId="05A769D5">
            <w:pPr>
              <w:jc w:val="center"/>
              <w:rPr>
                <w:rFonts w:hint="eastAsia" w:ascii="Times New Roman" w:hAnsi="Times New Roman" w:eastAsia="宋体" w:cs="Times New Roman"/>
                <w:kern w:val="2"/>
                <w:sz w:val="21"/>
                <w:szCs w:val="24"/>
                <w:highlight w:val="none"/>
                <w:lang w:val="en-US" w:eastAsia="zh-CN" w:bidi="ar-SA"/>
              </w:rPr>
            </w:pPr>
            <w:r>
              <w:rPr>
                <w:highlight w:val="none"/>
              </w:rPr>
              <w:t>0.1720</w:t>
            </w:r>
          </w:p>
        </w:tc>
        <w:tc>
          <w:tcPr>
            <w:tcW w:w="0" w:type="auto"/>
            <w:shd w:val="clear" w:color="auto" w:fill="auto"/>
            <w:vAlign w:val="top"/>
          </w:tcPr>
          <w:p w14:paraId="2347E4C8">
            <w:pPr>
              <w:jc w:val="center"/>
              <w:rPr>
                <w:rFonts w:hint="default" w:ascii="Times New Roman" w:hAnsi="Times New Roman" w:eastAsia="宋体" w:cs="Times New Roman"/>
                <w:kern w:val="2"/>
                <w:sz w:val="21"/>
                <w:szCs w:val="24"/>
                <w:highlight w:val="none"/>
                <w:lang w:val="en-US" w:eastAsia="zh-CN" w:bidi="ar-SA"/>
              </w:rPr>
            </w:pPr>
            <w:r>
              <w:rPr>
                <w:highlight w:val="none"/>
              </w:rPr>
              <w:t>0.1731</w:t>
            </w:r>
          </w:p>
        </w:tc>
      </w:tr>
      <w:tr w14:paraId="52EA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1D092DEE">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42</w:t>
            </w:r>
          </w:p>
        </w:tc>
        <w:tc>
          <w:tcPr>
            <w:tcW w:w="0" w:type="auto"/>
            <w:shd w:val="clear" w:color="auto" w:fill="auto"/>
            <w:vAlign w:val="top"/>
          </w:tcPr>
          <w:p w14:paraId="260D3806">
            <w:pPr>
              <w:jc w:val="center"/>
              <w:rPr>
                <w:rFonts w:hint="default" w:ascii="Times New Roman" w:hAnsi="Times New Roman" w:eastAsia="宋体" w:cs="Times New Roman"/>
                <w:kern w:val="2"/>
                <w:sz w:val="21"/>
                <w:szCs w:val="24"/>
                <w:highlight w:val="none"/>
                <w:lang w:val="en-US" w:eastAsia="zh-CN" w:bidi="ar-SA"/>
              </w:rPr>
            </w:pPr>
            <w:r>
              <w:rPr>
                <w:highlight w:val="none"/>
              </w:rPr>
              <w:t>0.0177</w:t>
            </w:r>
          </w:p>
        </w:tc>
        <w:tc>
          <w:tcPr>
            <w:tcW w:w="0" w:type="auto"/>
            <w:shd w:val="clear" w:color="auto" w:fill="auto"/>
            <w:vAlign w:val="top"/>
          </w:tcPr>
          <w:p w14:paraId="17E93050">
            <w:pPr>
              <w:jc w:val="center"/>
              <w:rPr>
                <w:rFonts w:hint="eastAsia" w:ascii="Times New Roman" w:hAnsi="Times New Roman" w:eastAsia="宋体" w:cs="Times New Roman"/>
                <w:kern w:val="2"/>
                <w:sz w:val="21"/>
                <w:szCs w:val="24"/>
                <w:highlight w:val="none"/>
                <w:lang w:val="en-US" w:eastAsia="zh-CN" w:bidi="ar-SA"/>
              </w:rPr>
            </w:pPr>
            <w:r>
              <w:rPr>
                <w:highlight w:val="none"/>
              </w:rPr>
              <w:t>0.1598</w:t>
            </w:r>
          </w:p>
        </w:tc>
        <w:tc>
          <w:tcPr>
            <w:tcW w:w="0" w:type="auto"/>
            <w:shd w:val="clear" w:color="auto" w:fill="auto"/>
            <w:vAlign w:val="top"/>
          </w:tcPr>
          <w:p w14:paraId="590DFEA8">
            <w:pPr>
              <w:jc w:val="center"/>
              <w:rPr>
                <w:rFonts w:hint="default" w:ascii="Times New Roman" w:hAnsi="Times New Roman" w:eastAsia="宋体" w:cs="Times New Roman"/>
                <w:kern w:val="2"/>
                <w:sz w:val="21"/>
                <w:szCs w:val="24"/>
                <w:highlight w:val="none"/>
                <w:lang w:val="en-US" w:eastAsia="zh-CN" w:bidi="ar-SA"/>
              </w:rPr>
            </w:pPr>
            <w:r>
              <w:rPr>
                <w:highlight w:val="none"/>
              </w:rPr>
              <w:t>0.1607</w:t>
            </w:r>
          </w:p>
        </w:tc>
      </w:tr>
      <w:tr w14:paraId="3F58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3E30B4DA">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43</w:t>
            </w:r>
          </w:p>
        </w:tc>
        <w:tc>
          <w:tcPr>
            <w:tcW w:w="0" w:type="auto"/>
            <w:shd w:val="clear" w:color="auto" w:fill="auto"/>
            <w:vAlign w:val="top"/>
          </w:tcPr>
          <w:p w14:paraId="26338548">
            <w:pPr>
              <w:jc w:val="center"/>
              <w:rPr>
                <w:rFonts w:hint="default" w:ascii="Times New Roman" w:hAnsi="Times New Roman" w:eastAsia="宋体" w:cs="Times New Roman"/>
                <w:kern w:val="2"/>
                <w:sz w:val="21"/>
                <w:szCs w:val="24"/>
                <w:highlight w:val="none"/>
                <w:lang w:val="en-US" w:eastAsia="zh-CN" w:bidi="ar-SA"/>
              </w:rPr>
            </w:pPr>
            <w:r>
              <w:rPr>
                <w:highlight w:val="none"/>
              </w:rPr>
              <w:t>0.0160</w:t>
            </w:r>
          </w:p>
        </w:tc>
        <w:tc>
          <w:tcPr>
            <w:tcW w:w="0" w:type="auto"/>
            <w:shd w:val="clear" w:color="auto" w:fill="auto"/>
            <w:vAlign w:val="top"/>
          </w:tcPr>
          <w:p w14:paraId="2DB45D4A">
            <w:pPr>
              <w:jc w:val="center"/>
              <w:rPr>
                <w:rFonts w:hint="eastAsia" w:ascii="Times New Roman" w:hAnsi="Times New Roman" w:eastAsia="宋体" w:cs="Times New Roman"/>
                <w:kern w:val="2"/>
                <w:sz w:val="21"/>
                <w:szCs w:val="24"/>
                <w:highlight w:val="none"/>
                <w:lang w:val="en-US" w:eastAsia="zh-CN" w:bidi="ar-SA"/>
              </w:rPr>
            </w:pPr>
            <w:r>
              <w:rPr>
                <w:highlight w:val="none"/>
              </w:rPr>
              <w:t>0.1486</w:t>
            </w:r>
          </w:p>
        </w:tc>
        <w:tc>
          <w:tcPr>
            <w:tcW w:w="0" w:type="auto"/>
            <w:shd w:val="clear" w:color="auto" w:fill="auto"/>
            <w:vAlign w:val="top"/>
          </w:tcPr>
          <w:p w14:paraId="6112B63B">
            <w:pPr>
              <w:jc w:val="center"/>
              <w:rPr>
                <w:rFonts w:hint="default" w:ascii="Times New Roman" w:hAnsi="Times New Roman" w:eastAsia="宋体" w:cs="Times New Roman"/>
                <w:kern w:val="2"/>
                <w:sz w:val="21"/>
                <w:szCs w:val="24"/>
                <w:highlight w:val="none"/>
                <w:lang w:val="en-US" w:eastAsia="zh-CN" w:bidi="ar-SA"/>
              </w:rPr>
            </w:pPr>
            <w:r>
              <w:rPr>
                <w:highlight w:val="none"/>
              </w:rPr>
              <w:t>0.1495</w:t>
            </w:r>
          </w:p>
        </w:tc>
      </w:tr>
      <w:tr w14:paraId="7FA0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7CA8A9D8">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44</w:t>
            </w:r>
          </w:p>
        </w:tc>
        <w:tc>
          <w:tcPr>
            <w:tcW w:w="0" w:type="auto"/>
            <w:shd w:val="clear" w:color="auto" w:fill="auto"/>
            <w:vAlign w:val="top"/>
          </w:tcPr>
          <w:p w14:paraId="79947185">
            <w:pPr>
              <w:jc w:val="center"/>
              <w:rPr>
                <w:rFonts w:hint="default" w:ascii="Times New Roman" w:hAnsi="Times New Roman" w:eastAsia="宋体" w:cs="Times New Roman"/>
                <w:kern w:val="2"/>
                <w:sz w:val="21"/>
                <w:szCs w:val="24"/>
                <w:highlight w:val="none"/>
                <w:lang w:val="en-US" w:eastAsia="zh-CN" w:bidi="ar-SA"/>
              </w:rPr>
            </w:pPr>
            <w:r>
              <w:rPr>
                <w:highlight w:val="none"/>
              </w:rPr>
              <w:t>0.0146</w:t>
            </w:r>
          </w:p>
        </w:tc>
        <w:tc>
          <w:tcPr>
            <w:tcW w:w="0" w:type="auto"/>
            <w:shd w:val="clear" w:color="auto" w:fill="auto"/>
            <w:vAlign w:val="top"/>
          </w:tcPr>
          <w:p w14:paraId="6B0D7D07">
            <w:pPr>
              <w:jc w:val="center"/>
              <w:rPr>
                <w:rFonts w:hint="eastAsia" w:ascii="Times New Roman" w:hAnsi="Times New Roman" w:eastAsia="宋体" w:cs="Times New Roman"/>
                <w:kern w:val="2"/>
                <w:sz w:val="21"/>
                <w:szCs w:val="24"/>
                <w:highlight w:val="none"/>
                <w:lang w:val="en-US" w:eastAsia="zh-CN" w:bidi="ar-SA"/>
              </w:rPr>
            </w:pPr>
            <w:r>
              <w:rPr>
                <w:highlight w:val="none"/>
              </w:rPr>
              <w:t>0.1385</w:t>
            </w:r>
          </w:p>
        </w:tc>
        <w:tc>
          <w:tcPr>
            <w:tcW w:w="0" w:type="auto"/>
            <w:shd w:val="clear" w:color="auto" w:fill="auto"/>
            <w:vAlign w:val="top"/>
          </w:tcPr>
          <w:p w14:paraId="6F68258E">
            <w:pPr>
              <w:jc w:val="center"/>
              <w:rPr>
                <w:rFonts w:hint="default" w:ascii="Times New Roman" w:hAnsi="Times New Roman" w:eastAsia="宋体" w:cs="Times New Roman"/>
                <w:kern w:val="2"/>
                <w:sz w:val="21"/>
                <w:szCs w:val="24"/>
                <w:highlight w:val="none"/>
                <w:lang w:val="en-US" w:eastAsia="zh-CN" w:bidi="ar-SA"/>
              </w:rPr>
            </w:pPr>
            <w:r>
              <w:rPr>
                <w:highlight w:val="none"/>
              </w:rPr>
              <w:t>0.1393</w:t>
            </w:r>
          </w:p>
        </w:tc>
      </w:tr>
      <w:tr w14:paraId="4EEA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2AA5899E">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45</w:t>
            </w:r>
          </w:p>
        </w:tc>
        <w:tc>
          <w:tcPr>
            <w:tcW w:w="0" w:type="auto"/>
            <w:shd w:val="clear" w:color="auto" w:fill="auto"/>
            <w:vAlign w:val="top"/>
          </w:tcPr>
          <w:p w14:paraId="11410D5C">
            <w:pPr>
              <w:jc w:val="center"/>
              <w:rPr>
                <w:rFonts w:hint="default" w:ascii="Times New Roman" w:hAnsi="Times New Roman" w:eastAsia="宋体" w:cs="Times New Roman"/>
                <w:kern w:val="2"/>
                <w:sz w:val="21"/>
                <w:szCs w:val="24"/>
                <w:highlight w:val="none"/>
                <w:lang w:val="en-US" w:eastAsia="zh-CN" w:bidi="ar-SA"/>
              </w:rPr>
            </w:pPr>
            <w:r>
              <w:rPr>
                <w:highlight w:val="none"/>
              </w:rPr>
              <w:t>0.0133</w:t>
            </w:r>
          </w:p>
        </w:tc>
        <w:tc>
          <w:tcPr>
            <w:tcW w:w="0" w:type="auto"/>
            <w:shd w:val="clear" w:color="auto" w:fill="auto"/>
            <w:vAlign w:val="top"/>
          </w:tcPr>
          <w:p w14:paraId="244AE093">
            <w:pPr>
              <w:jc w:val="center"/>
              <w:rPr>
                <w:rFonts w:hint="eastAsia" w:ascii="Times New Roman" w:hAnsi="Times New Roman" w:eastAsia="宋体" w:cs="Times New Roman"/>
                <w:kern w:val="2"/>
                <w:sz w:val="21"/>
                <w:szCs w:val="24"/>
                <w:highlight w:val="none"/>
                <w:lang w:val="en-US" w:eastAsia="zh-CN" w:bidi="ar-SA"/>
              </w:rPr>
            </w:pPr>
            <w:r>
              <w:rPr>
                <w:highlight w:val="none"/>
              </w:rPr>
              <w:t>0.1293</w:t>
            </w:r>
          </w:p>
        </w:tc>
        <w:tc>
          <w:tcPr>
            <w:tcW w:w="0" w:type="auto"/>
            <w:shd w:val="clear" w:color="auto" w:fill="auto"/>
            <w:vAlign w:val="top"/>
          </w:tcPr>
          <w:p w14:paraId="525A049E">
            <w:pPr>
              <w:jc w:val="center"/>
              <w:rPr>
                <w:rFonts w:hint="default" w:ascii="Times New Roman" w:hAnsi="Times New Roman" w:eastAsia="宋体" w:cs="Times New Roman"/>
                <w:kern w:val="2"/>
                <w:sz w:val="21"/>
                <w:szCs w:val="24"/>
                <w:highlight w:val="none"/>
                <w:lang w:val="en-US" w:eastAsia="zh-CN" w:bidi="ar-SA"/>
              </w:rPr>
            </w:pPr>
            <w:r>
              <w:rPr>
                <w:highlight w:val="none"/>
              </w:rPr>
              <w:t>0.1300</w:t>
            </w:r>
          </w:p>
        </w:tc>
      </w:tr>
      <w:tr w14:paraId="5891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1B4CE839">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46</w:t>
            </w:r>
          </w:p>
        </w:tc>
        <w:tc>
          <w:tcPr>
            <w:tcW w:w="0" w:type="auto"/>
            <w:shd w:val="clear" w:color="auto" w:fill="auto"/>
            <w:vAlign w:val="top"/>
          </w:tcPr>
          <w:p w14:paraId="630232BF">
            <w:pPr>
              <w:jc w:val="center"/>
              <w:rPr>
                <w:rFonts w:hint="default" w:ascii="Times New Roman" w:hAnsi="Times New Roman" w:eastAsia="宋体" w:cs="Times New Roman"/>
                <w:kern w:val="2"/>
                <w:sz w:val="21"/>
                <w:szCs w:val="24"/>
                <w:highlight w:val="none"/>
                <w:lang w:val="en-US" w:eastAsia="zh-CN" w:bidi="ar-SA"/>
              </w:rPr>
            </w:pPr>
            <w:r>
              <w:rPr>
                <w:highlight w:val="none"/>
              </w:rPr>
              <w:t>0.0121</w:t>
            </w:r>
          </w:p>
        </w:tc>
        <w:tc>
          <w:tcPr>
            <w:tcW w:w="0" w:type="auto"/>
            <w:shd w:val="clear" w:color="auto" w:fill="auto"/>
            <w:vAlign w:val="top"/>
          </w:tcPr>
          <w:p w14:paraId="202E252F">
            <w:pPr>
              <w:jc w:val="center"/>
              <w:rPr>
                <w:rFonts w:hint="eastAsia" w:ascii="Times New Roman" w:hAnsi="Times New Roman" w:eastAsia="宋体" w:cs="Times New Roman"/>
                <w:kern w:val="2"/>
                <w:sz w:val="21"/>
                <w:szCs w:val="24"/>
                <w:highlight w:val="none"/>
                <w:lang w:val="en-US" w:eastAsia="zh-CN" w:bidi="ar-SA"/>
              </w:rPr>
            </w:pPr>
            <w:r>
              <w:rPr>
                <w:highlight w:val="none"/>
              </w:rPr>
              <w:t>0.1209</w:t>
            </w:r>
          </w:p>
        </w:tc>
        <w:tc>
          <w:tcPr>
            <w:tcW w:w="0" w:type="auto"/>
            <w:shd w:val="clear" w:color="auto" w:fill="auto"/>
            <w:vAlign w:val="top"/>
          </w:tcPr>
          <w:p w14:paraId="0EBCEE99">
            <w:pPr>
              <w:jc w:val="center"/>
              <w:rPr>
                <w:rFonts w:hint="default" w:ascii="Times New Roman" w:hAnsi="Times New Roman" w:eastAsia="宋体" w:cs="Times New Roman"/>
                <w:kern w:val="2"/>
                <w:sz w:val="21"/>
                <w:szCs w:val="24"/>
                <w:highlight w:val="none"/>
                <w:lang w:val="en-US" w:eastAsia="zh-CN" w:bidi="ar-SA"/>
              </w:rPr>
            </w:pPr>
            <w:r>
              <w:rPr>
                <w:highlight w:val="none"/>
              </w:rPr>
              <w:t>0.1215</w:t>
            </w:r>
          </w:p>
        </w:tc>
      </w:tr>
      <w:tr w14:paraId="35A3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0E25BA43">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47</w:t>
            </w:r>
          </w:p>
        </w:tc>
        <w:tc>
          <w:tcPr>
            <w:tcW w:w="0" w:type="auto"/>
            <w:shd w:val="clear" w:color="auto" w:fill="auto"/>
            <w:vAlign w:val="top"/>
          </w:tcPr>
          <w:p w14:paraId="478BFAC4">
            <w:pPr>
              <w:jc w:val="center"/>
              <w:rPr>
                <w:rFonts w:hint="default" w:ascii="Times New Roman" w:hAnsi="Times New Roman" w:eastAsia="宋体" w:cs="Times New Roman"/>
                <w:kern w:val="2"/>
                <w:sz w:val="21"/>
                <w:szCs w:val="24"/>
                <w:highlight w:val="none"/>
                <w:lang w:val="en-US" w:eastAsia="zh-CN" w:bidi="ar-SA"/>
              </w:rPr>
            </w:pPr>
            <w:r>
              <w:rPr>
                <w:highlight w:val="none"/>
              </w:rPr>
              <w:t>0.0111</w:t>
            </w:r>
          </w:p>
        </w:tc>
        <w:tc>
          <w:tcPr>
            <w:tcW w:w="0" w:type="auto"/>
            <w:shd w:val="clear" w:color="auto" w:fill="auto"/>
            <w:vAlign w:val="top"/>
          </w:tcPr>
          <w:p w14:paraId="3A95ED13">
            <w:pPr>
              <w:jc w:val="center"/>
              <w:rPr>
                <w:rFonts w:hint="eastAsia" w:ascii="Times New Roman" w:hAnsi="Times New Roman" w:eastAsia="宋体" w:cs="Times New Roman"/>
                <w:kern w:val="2"/>
                <w:sz w:val="21"/>
                <w:szCs w:val="24"/>
                <w:highlight w:val="none"/>
                <w:lang w:val="en-US" w:eastAsia="zh-CN" w:bidi="ar-SA"/>
              </w:rPr>
            </w:pPr>
            <w:r>
              <w:rPr>
                <w:highlight w:val="none"/>
              </w:rPr>
              <w:t>0.1132</w:t>
            </w:r>
          </w:p>
        </w:tc>
        <w:tc>
          <w:tcPr>
            <w:tcW w:w="0" w:type="auto"/>
            <w:shd w:val="clear" w:color="auto" w:fill="auto"/>
            <w:vAlign w:val="top"/>
          </w:tcPr>
          <w:p w14:paraId="3E710BA6">
            <w:pPr>
              <w:jc w:val="center"/>
              <w:rPr>
                <w:rFonts w:hint="default" w:ascii="Times New Roman" w:hAnsi="Times New Roman" w:eastAsia="宋体" w:cs="Times New Roman"/>
                <w:kern w:val="2"/>
                <w:sz w:val="21"/>
                <w:szCs w:val="24"/>
                <w:highlight w:val="none"/>
                <w:lang w:val="en-US" w:eastAsia="zh-CN" w:bidi="ar-SA"/>
              </w:rPr>
            </w:pPr>
            <w:r>
              <w:rPr>
                <w:highlight w:val="none"/>
              </w:rPr>
              <w:t>0.1138</w:t>
            </w:r>
          </w:p>
        </w:tc>
      </w:tr>
      <w:tr w14:paraId="0650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2C58DB5A">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48</w:t>
            </w:r>
          </w:p>
        </w:tc>
        <w:tc>
          <w:tcPr>
            <w:tcW w:w="0" w:type="auto"/>
            <w:shd w:val="clear" w:color="auto" w:fill="auto"/>
            <w:vAlign w:val="top"/>
          </w:tcPr>
          <w:p w14:paraId="463697ED">
            <w:pPr>
              <w:jc w:val="center"/>
              <w:rPr>
                <w:rFonts w:hint="default" w:ascii="Times New Roman" w:hAnsi="Times New Roman" w:eastAsia="宋体" w:cs="Times New Roman"/>
                <w:kern w:val="2"/>
                <w:sz w:val="21"/>
                <w:szCs w:val="24"/>
                <w:highlight w:val="none"/>
                <w:lang w:val="en-US" w:eastAsia="zh-CN" w:bidi="ar-SA"/>
              </w:rPr>
            </w:pPr>
            <w:r>
              <w:rPr>
                <w:highlight w:val="none"/>
              </w:rPr>
              <w:t>0.0102</w:t>
            </w:r>
          </w:p>
        </w:tc>
        <w:tc>
          <w:tcPr>
            <w:tcW w:w="0" w:type="auto"/>
            <w:shd w:val="clear" w:color="auto" w:fill="auto"/>
            <w:vAlign w:val="top"/>
          </w:tcPr>
          <w:p w14:paraId="48973DDC">
            <w:pPr>
              <w:jc w:val="center"/>
              <w:rPr>
                <w:rFonts w:hint="eastAsia" w:ascii="Times New Roman" w:hAnsi="Times New Roman" w:eastAsia="宋体" w:cs="Times New Roman"/>
                <w:kern w:val="2"/>
                <w:sz w:val="21"/>
                <w:szCs w:val="24"/>
                <w:highlight w:val="none"/>
                <w:lang w:val="en-US" w:eastAsia="zh-CN" w:bidi="ar-SA"/>
              </w:rPr>
            </w:pPr>
            <w:r>
              <w:rPr>
                <w:highlight w:val="none"/>
              </w:rPr>
              <w:t>0.1062</w:t>
            </w:r>
          </w:p>
        </w:tc>
        <w:tc>
          <w:tcPr>
            <w:tcW w:w="0" w:type="auto"/>
            <w:shd w:val="clear" w:color="auto" w:fill="auto"/>
            <w:vAlign w:val="top"/>
          </w:tcPr>
          <w:p w14:paraId="69FF1333">
            <w:pPr>
              <w:jc w:val="center"/>
              <w:rPr>
                <w:rFonts w:hint="default" w:ascii="Times New Roman" w:hAnsi="Times New Roman" w:eastAsia="宋体" w:cs="Times New Roman"/>
                <w:kern w:val="2"/>
                <w:sz w:val="21"/>
                <w:szCs w:val="24"/>
                <w:highlight w:val="none"/>
                <w:lang w:val="en-US" w:eastAsia="zh-CN" w:bidi="ar-SA"/>
              </w:rPr>
            </w:pPr>
            <w:r>
              <w:rPr>
                <w:highlight w:val="none"/>
              </w:rPr>
              <w:t>0.1066</w:t>
            </w:r>
          </w:p>
        </w:tc>
      </w:tr>
      <w:tr w14:paraId="57FD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627590FF">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49</w:t>
            </w:r>
          </w:p>
        </w:tc>
        <w:tc>
          <w:tcPr>
            <w:tcW w:w="0" w:type="auto"/>
            <w:shd w:val="clear" w:color="auto" w:fill="auto"/>
            <w:vAlign w:val="top"/>
          </w:tcPr>
          <w:p w14:paraId="6F9A6ABF">
            <w:pPr>
              <w:jc w:val="center"/>
              <w:rPr>
                <w:rFonts w:hint="default" w:ascii="Times New Roman" w:hAnsi="Times New Roman" w:eastAsia="宋体" w:cs="Times New Roman"/>
                <w:kern w:val="2"/>
                <w:sz w:val="21"/>
                <w:szCs w:val="24"/>
                <w:highlight w:val="none"/>
                <w:lang w:val="en-US" w:eastAsia="zh-CN" w:bidi="ar-SA"/>
              </w:rPr>
            </w:pPr>
            <w:r>
              <w:rPr>
                <w:highlight w:val="none"/>
              </w:rPr>
              <w:t>0.0094</w:t>
            </w:r>
          </w:p>
        </w:tc>
        <w:tc>
          <w:tcPr>
            <w:tcW w:w="0" w:type="auto"/>
            <w:shd w:val="clear" w:color="auto" w:fill="auto"/>
            <w:vAlign w:val="top"/>
          </w:tcPr>
          <w:p w14:paraId="4E94875A">
            <w:pPr>
              <w:jc w:val="center"/>
              <w:rPr>
                <w:rFonts w:hint="eastAsia" w:ascii="Times New Roman" w:hAnsi="Times New Roman" w:eastAsia="宋体" w:cs="Times New Roman"/>
                <w:kern w:val="2"/>
                <w:sz w:val="21"/>
                <w:szCs w:val="24"/>
                <w:highlight w:val="none"/>
                <w:lang w:val="en-US" w:eastAsia="zh-CN" w:bidi="ar-SA"/>
              </w:rPr>
            </w:pPr>
            <w:r>
              <w:rPr>
                <w:highlight w:val="none"/>
              </w:rPr>
              <w:t>0.0997</w:t>
            </w:r>
          </w:p>
        </w:tc>
        <w:tc>
          <w:tcPr>
            <w:tcW w:w="0" w:type="auto"/>
            <w:shd w:val="clear" w:color="auto" w:fill="auto"/>
            <w:vAlign w:val="top"/>
          </w:tcPr>
          <w:p w14:paraId="699987E9">
            <w:pPr>
              <w:jc w:val="center"/>
              <w:rPr>
                <w:rFonts w:hint="default" w:ascii="Times New Roman" w:hAnsi="Times New Roman" w:eastAsia="宋体" w:cs="Times New Roman"/>
                <w:kern w:val="2"/>
                <w:sz w:val="21"/>
                <w:szCs w:val="24"/>
                <w:highlight w:val="none"/>
                <w:lang w:val="en-US" w:eastAsia="zh-CN" w:bidi="ar-SA"/>
              </w:rPr>
            </w:pPr>
            <w:r>
              <w:rPr>
                <w:highlight w:val="none"/>
              </w:rPr>
              <w:t>0.1001</w:t>
            </w:r>
          </w:p>
        </w:tc>
      </w:tr>
      <w:tr w14:paraId="5D38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0" w:type="auto"/>
          </w:tcPr>
          <w:p w14:paraId="0EB54965">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50</w:t>
            </w:r>
          </w:p>
        </w:tc>
        <w:tc>
          <w:tcPr>
            <w:tcW w:w="0" w:type="auto"/>
            <w:shd w:val="clear" w:color="auto" w:fill="auto"/>
            <w:vAlign w:val="top"/>
          </w:tcPr>
          <w:p w14:paraId="7459918C">
            <w:pPr>
              <w:jc w:val="center"/>
              <w:rPr>
                <w:rFonts w:hint="default" w:ascii="Times New Roman" w:hAnsi="Times New Roman" w:eastAsia="宋体" w:cs="Times New Roman"/>
                <w:kern w:val="2"/>
                <w:sz w:val="21"/>
                <w:szCs w:val="24"/>
                <w:highlight w:val="none"/>
                <w:lang w:val="en-US" w:eastAsia="zh-CN" w:bidi="ar-SA"/>
              </w:rPr>
            </w:pPr>
            <w:r>
              <w:rPr>
                <w:highlight w:val="none"/>
              </w:rPr>
              <w:t>0.0086</w:t>
            </w:r>
          </w:p>
        </w:tc>
        <w:tc>
          <w:tcPr>
            <w:tcW w:w="0" w:type="auto"/>
            <w:shd w:val="clear" w:color="auto" w:fill="auto"/>
            <w:vAlign w:val="top"/>
          </w:tcPr>
          <w:p w14:paraId="6194A30D">
            <w:pPr>
              <w:jc w:val="center"/>
              <w:rPr>
                <w:rFonts w:hint="eastAsia" w:ascii="Times New Roman" w:hAnsi="Times New Roman" w:eastAsia="宋体" w:cs="Times New Roman"/>
                <w:kern w:val="2"/>
                <w:sz w:val="21"/>
                <w:szCs w:val="24"/>
                <w:highlight w:val="none"/>
                <w:lang w:val="en-US" w:eastAsia="zh-CN" w:bidi="ar-SA"/>
              </w:rPr>
            </w:pPr>
            <w:r>
              <w:rPr>
                <w:highlight w:val="none"/>
              </w:rPr>
              <w:t>0.0937</w:t>
            </w:r>
          </w:p>
        </w:tc>
        <w:tc>
          <w:tcPr>
            <w:tcW w:w="0" w:type="auto"/>
            <w:shd w:val="clear" w:color="auto" w:fill="auto"/>
            <w:vAlign w:val="top"/>
          </w:tcPr>
          <w:p w14:paraId="3639C4B7">
            <w:pPr>
              <w:jc w:val="center"/>
              <w:rPr>
                <w:rFonts w:hint="default" w:ascii="Times New Roman" w:hAnsi="Times New Roman" w:eastAsia="宋体" w:cs="Times New Roman"/>
                <w:kern w:val="2"/>
                <w:sz w:val="21"/>
                <w:szCs w:val="24"/>
                <w:highlight w:val="none"/>
                <w:lang w:val="en-US" w:eastAsia="zh-CN" w:bidi="ar-SA"/>
              </w:rPr>
            </w:pPr>
            <w:r>
              <w:rPr>
                <w:highlight w:val="none"/>
              </w:rPr>
              <w:t>0.0941</w:t>
            </w:r>
          </w:p>
        </w:tc>
      </w:tr>
    </w:tbl>
    <w:p w14:paraId="0A790998">
      <w:pPr>
        <w:spacing w:line="360" w:lineRule="auto"/>
        <w:rPr>
          <w:rFonts w:hint="default"/>
          <w:sz w:val="24"/>
          <w:szCs w:val="24"/>
          <w:highlight w:val="yellow"/>
          <w:lang w:val="en-US" w:eastAsia="zh-CN"/>
        </w:rPr>
      </w:pPr>
      <w:r>
        <w:rPr>
          <w:highlight w:val="yellow"/>
        </w:rPr>
        <mc:AlternateContent>
          <mc:Choice Requires="wps">
            <w:drawing>
              <wp:anchor distT="0" distB="0" distL="114300" distR="114300" simplePos="0" relativeHeight="251691008" behindDoc="0" locked="0" layoutInCell="1" allowOverlap="1">
                <wp:simplePos x="0" y="0"/>
                <wp:positionH relativeFrom="column">
                  <wp:posOffset>4608830</wp:posOffset>
                </wp:positionH>
                <wp:positionV relativeFrom="paragraph">
                  <wp:posOffset>650240</wp:posOffset>
                </wp:positionV>
                <wp:extent cx="1981835" cy="274955"/>
                <wp:effectExtent l="0" t="0" r="0" b="0"/>
                <wp:wrapNone/>
                <wp:docPr id="29" name="文本框 2"/>
                <wp:cNvGraphicFramePr/>
                <a:graphic xmlns:a="http://schemas.openxmlformats.org/drawingml/2006/main">
                  <a:graphicData uri="http://schemas.microsoft.com/office/word/2010/wordprocessingShape">
                    <wps:wsp>
                      <wps:cNvSpPr txBox="1"/>
                      <wps:spPr>
                        <a:xfrm>
                          <a:off x="0" y="0"/>
                          <a:ext cx="1981835" cy="274955"/>
                        </a:xfrm>
                        <a:prstGeom prst="rect">
                          <a:avLst/>
                        </a:prstGeom>
                        <a:noFill/>
                        <a:ln w="6350">
                          <a:noFill/>
                        </a:ln>
                      </wps:spPr>
                      <wps:txbx>
                        <w:txbxContent>
                          <w:p w14:paraId="54CF6109">
                            <w:r>
                              <w:rPr>
                                <w:rFonts w:hint="eastAsia"/>
                              </w:rPr>
                              <w:t>1</w:t>
                            </w:r>
                            <w:r>
                              <w:t>.5m</w:t>
                            </w:r>
                            <w:r>
                              <w:rPr>
                                <w:rFonts w:hint="eastAsia"/>
                              </w:rPr>
                              <w:t>高处</w:t>
                            </w:r>
                            <w:r>
                              <w:rPr>
                                <w:rFonts w:hint="eastAsia"/>
                                <w:lang w:val="en-US" w:eastAsia="zh-CN"/>
                              </w:rPr>
                              <w:t>电</w:t>
                            </w:r>
                            <w:r>
                              <w:rPr>
                                <w:rFonts w:hint="eastAsia"/>
                              </w:rPr>
                              <w:t>场垂直分量（k</w:t>
                            </w:r>
                            <w:r>
                              <w:t>V/m</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362.9pt;margin-top:51.2pt;height:21.65pt;width:156.05pt;z-index:251691008;mso-width-relative:page;mso-height-relative:page;" filled="f" stroked="f" coordsize="21600,21600" o:gfxdata="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9M7FLcAAAADAEAAA8AAAAAAAAAAQAgAAAAIgAA&#10;AGRycy9kb3ducmV2LnhtbFBLAQIUABQAAAAIAIdO4kD+pEnuPQIAAGcEAAAOAAAAAAAAAAEAIAAA&#10;ACsBAABkcnMvZTJvRG9jLnhtbFBLBQYAAAAABgAGAFkBAADaBQAAAAA=&#10;">
                <v:fill on="f" focussize="0,0"/>
                <v:stroke on="f" weight="0.5pt"/>
                <v:imagedata o:title=""/>
                <o:lock v:ext="edit" aspectratio="f"/>
                <v:textbox>
                  <w:txbxContent>
                    <w:p w14:paraId="54CF6109">
                      <w:r>
                        <w:rPr>
                          <w:rFonts w:hint="eastAsia"/>
                        </w:rPr>
                        <w:t>1</w:t>
                      </w:r>
                      <w:r>
                        <w:t>.5m</w:t>
                      </w:r>
                      <w:r>
                        <w:rPr>
                          <w:rFonts w:hint="eastAsia"/>
                        </w:rPr>
                        <w:t>高处</w:t>
                      </w:r>
                      <w:r>
                        <w:rPr>
                          <w:rFonts w:hint="eastAsia"/>
                          <w:lang w:val="en-US" w:eastAsia="zh-CN"/>
                        </w:rPr>
                        <w:t>电</w:t>
                      </w:r>
                      <w:r>
                        <w:rPr>
                          <w:rFonts w:hint="eastAsia"/>
                        </w:rPr>
                        <w:t>场垂直分量（k</w:t>
                      </w:r>
                      <w:r>
                        <w:t>V/m</w:t>
                      </w:r>
                      <w:r>
                        <w:rPr>
                          <w:rFonts w:hint="eastAsia"/>
                        </w:rPr>
                        <w:t>）</w:t>
                      </w:r>
                    </w:p>
                  </w:txbxContent>
                </v:textbox>
              </v:shape>
            </w:pict>
          </mc:Fallback>
        </mc:AlternateContent>
      </w:r>
      <w:r>
        <w:rPr>
          <w:highlight w:val="yellow"/>
        </w:rPr>
        <mc:AlternateContent>
          <mc:Choice Requires="wps">
            <w:drawing>
              <wp:anchor distT="0" distB="0" distL="114300" distR="114300" simplePos="0" relativeHeight="251689984" behindDoc="0" locked="0" layoutInCell="1" allowOverlap="1">
                <wp:simplePos x="0" y="0"/>
                <wp:positionH relativeFrom="column">
                  <wp:posOffset>4624705</wp:posOffset>
                </wp:positionH>
                <wp:positionV relativeFrom="paragraph">
                  <wp:posOffset>424815</wp:posOffset>
                </wp:positionV>
                <wp:extent cx="1981835" cy="274955"/>
                <wp:effectExtent l="0" t="0" r="0" b="0"/>
                <wp:wrapNone/>
                <wp:docPr id="30" name="文本框 2"/>
                <wp:cNvGraphicFramePr/>
                <a:graphic xmlns:a="http://schemas.openxmlformats.org/drawingml/2006/main">
                  <a:graphicData uri="http://schemas.microsoft.com/office/word/2010/wordprocessingShape">
                    <wps:wsp>
                      <wps:cNvSpPr txBox="1"/>
                      <wps:spPr>
                        <a:xfrm>
                          <a:off x="0" y="0"/>
                          <a:ext cx="1981835" cy="274955"/>
                        </a:xfrm>
                        <a:prstGeom prst="rect">
                          <a:avLst/>
                        </a:prstGeom>
                        <a:noFill/>
                        <a:ln w="6350">
                          <a:noFill/>
                        </a:ln>
                      </wps:spPr>
                      <wps:txbx>
                        <w:txbxContent>
                          <w:p w14:paraId="4624FC36">
                            <w:r>
                              <w:rPr>
                                <w:rFonts w:hint="eastAsia"/>
                              </w:rPr>
                              <w:t>1</w:t>
                            </w:r>
                            <w:r>
                              <w:t>.5m</w:t>
                            </w:r>
                            <w:r>
                              <w:rPr>
                                <w:rFonts w:hint="eastAsia"/>
                              </w:rPr>
                              <w:t>高处</w:t>
                            </w:r>
                            <w:r>
                              <w:rPr>
                                <w:rFonts w:hint="eastAsia"/>
                                <w:lang w:val="en-US" w:eastAsia="zh-CN"/>
                              </w:rPr>
                              <w:t>电</w:t>
                            </w:r>
                            <w:r>
                              <w:rPr>
                                <w:rFonts w:hint="eastAsia"/>
                              </w:rPr>
                              <w:t>场水平分量（k</w:t>
                            </w:r>
                            <w:r>
                              <w:t>V/m</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364.15pt;margin-top:33.45pt;height:21.65pt;width:156.05pt;z-index:251689984;mso-width-relative:page;mso-height-relative:page;" filled="f" stroked="f" coordsize="21600,21600" o:gfxdata="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b5pfNwAAAALAQAADwAAAAAAAAABACAAAAAiAAAA&#10;ZHJzL2Rvd25yZXYueG1sUEsBAhQAFAAAAAgAh07iQAhWmTw8AgAAZwQAAA4AAAAAAAAAAQAgAAAA&#10;KwEAAGRycy9lMm9Eb2MueG1sUEsFBgAAAAAGAAYAWQEAANkFAAAAAA==&#10;">
                <v:fill on="f" focussize="0,0"/>
                <v:stroke on="f" weight="0.5pt"/>
                <v:imagedata o:title=""/>
                <o:lock v:ext="edit" aspectratio="f"/>
                <v:textbox>
                  <w:txbxContent>
                    <w:p w14:paraId="4624FC36">
                      <w:r>
                        <w:rPr>
                          <w:rFonts w:hint="eastAsia"/>
                        </w:rPr>
                        <w:t>1</w:t>
                      </w:r>
                      <w:r>
                        <w:t>.5m</w:t>
                      </w:r>
                      <w:r>
                        <w:rPr>
                          <w:rFonts w:hint="eastAsia"/>
                        </w:rPr>
                        <w:t>高处</w:t>
                      </w:r>
                      <w:r>
                        <w:rPr>
                          <w:rFonts w:hint="eastAsia"/>
                          <w:lang w:val="en-US" w:eastAsia="zh-CN"/>
                        </w:rPr>
                        <w:t>电</w:t>
                      </w:r>
                      <w:r>
                        <w:rPr>
                          <w:rFonts w:hint="eastAsia"/>
                        </w:rPr>
                        <w:t>场水平分量（k</w:t>
                      </w:r>
                      <w:r>
                        <w:t>V/m</w:t>
                      </w:r>
                      <w:r>
                        <w:rPr>
                          <w:rFonts w:hint="eastAsia"/>
                        </w:rPr>
                        <w:t>）</w:t>
                      </w:r>
                    </w:p>
                  </w:txbxContent>
                </v:textbox>
              </v:shape>
            </w:pict>
          </mc:Fallback>
        </mc:AlternateContent>
      </w:r>
      <w:r>
        <w:rPr>
          <w:highlight w:val="yellow"/>
        </w:rPr>
        <mc:AlternateContent>
          <mc:Choice Requires="wps">
            <w:drawing>
              <wp:anchor distT="0" distB="0" distL="114300" distR="114300" simplePos="0" relativeHeight="251688960" behindDoc="0" locked="0" layoutInCell="1" allowOverlap="1">
                <wp:simplePos x="0" y="0"/>
                <wp:positionH relativeFrom="column">
                  <wp:posOffset>4612005</wp:posOffset>
                </wp:positionH>
                <wp:positionV relativeFrom="paragraph">
                  <wp:posOffset>187325</wp:posOffset>
                </wp:positionV>
                <wp:extent cx="1981835" cy="274955"/>
                <wp:effectExtent l="0" t="0" r="0" b="0"/>
                <wp:wrapNone/>
                <wp:docPr id="31" name="文本框 2"/>
                <wp:cNvGraphicFramePr/>
                <a:graphic xmlns:a="http://schemas.openxmlformats.org/drawingml/2006/main">
                  <a:graphicData uri="http://schemas.microsoft.com/office/word/2010/wordprocessingShape">
                    <wps:wsp>
                      <wps:cNvSpPr txBox="1"/>
                      <wps:spPr>
                        <a:xfrm>
                          <a:off x="0" y="0"/>
                          <a:ext cx="1981835" cy="274955"/>
                        </a:xfrm>
                        <a:prstGeom prst="rect">
                          <a:avLst/>
                        </a:prstGeom>
                        <a:noFill/>
                        <a:ln w="6350">
                          <a:noFill/>
                        </a:ln>
                      </wps:spPr>
                      <wps:txbx>
                        <w:txbxContent>
                          <w:p w14:paraId="7D579276">
                            <w:r>
                              <w:rPr>
                                <w:rFonts w:hint="eastAsia"/>
                              </w:rPr>
                              <w:t>1</w:t>
                            </w:r>
                            <w:r>
                              <w:t>.5m</w:t>
                            </w:r>
                            <w:r>
                              <w:rPr>
                                <w:rFonts w:hint="eastAsia"/>
                              </w:rPr>
                              <w:t>高处</w:t>
                            </w:r>
                            <w:r>
                              <w:rPr>
                                <w:rFonts w:hint="eastAsia"/>
                                <w:lang w:val="en-US" w:eastAsia="zh-CN"/>
                              </w:rPr>
                              <w:t>电</w:t>
                            </w:r>
                            <w:r>
                              <w:rPr>
                                <w:rFonts w:hint="eastAsia"/>
                              </w:rPr>
                              <w:t>场综合量（k</w:t>
                            </w:r>
                            <w:r>
                              <w:t>V/m</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363.15pt;margin-top:14.75pt;height:21.65pt;width:156.05pt;z-index:251688960;mso-width-relative:page;mso-height-relative:page;" filled="f" stroked="f" coordsize="21600,21600" o:gfxdata="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&#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ljP5baAAAACgEAAA8AAAAAAAAAAQAgAAAAIgAAAGRy&#10;cy9kb3ducmV2LnhtbFBLAQIUABQAAAAIAIdO4kCEBnYGPAIAAGcEAAAOAAAAAAAAAAEAIAAAACkB&#10;AABkcnMvZTJvRG9jLnhtbFBLBQYAAAAABgAGAFkBAADXBQAAAAA=&#10;">
                <v:fill on="f" focussize="0,0"/>
                <v:stroke on="f" weight="0.5pt"/>
                <v:imagedata o:title=""/>
                <o:lock v:ext="edit" aspectratio="f"/>
                <v:textbox>
                  <w:txbxContent>
                    <w:p w14:paraId="7D579276">
                      <w:r>
                        <w:rPr>
                          <w:rFonts w:hint="eastAsia"/>
                        </w:rPr>
                        <w:t>1</w:t>
                      </w:r>
                      <w:r>
                        <w:t>.5m</w:t>
                      </w:r>
                      <w:r>
                        <w:rPr>
                          <w:rFonts w:hint="eastAsia"/>
                        </w:rPr>
                        <w:t>高处</w:t>
                      </w:r>
                      <w:r>
                        <w:rPr>
                          <w:rFonts w:hint="eastAsia"/>
                          <w:lang w:val="en-US" w:eastAsia="zh-CN"/>
                        </w:rPr>
                        <w:t>电</w:t>
                      </w:r>
                      <w:r>
                        <w:rPr>
                          <w:rFonts w:hint="eastAsia"/>
                        </w:rPr>
                        <w:t>场综合量（k</w:t>
                      </w:r>
                      <w:r>
                        <w:t>V/m</w:t>
                      </w:r>
                      <w:r>
                        <w:rPr>
                          <w:rFonts w:hint="eastAsia"/>
                        </w:rPr>
                        <w:t>）</w:t>
                      </w:r>
                    </w:p>
                  </w:txbxContent>
                </v:textbox>
              </v:shape>
            </w:pict>
          </mc:Fallback>
        </mc:AlternateContent>
      </w:r>
      <w:r>
        <w:rPr>
          <w:sz w:val="24"/>
          <w:highlight w:val="yellow"/>
        </w:rPr>
        <mc:AlternateContent>
          <mc:Choice Requires="wps">
            <w:drawing>
              <wp:anchor distT="0" distB="0" distL="114300" distR="114300" simplePos="0" relativeHeight="251686912" behindDoc="0" locked="0" layoutInCell="1" allowOverlap="1">
                <wp:simplePos x="0" y="0"/>
                <wp:positionH relativeFrom="column">
                  <wp:posOffset>4234815</wp:posOffset>
                </wp:positionH>
                <wp:positionV relativeFrom="paragraph">
                  <wp:posOffset>521335</wp:posOffset>
                </wp:positionV>
                <wp:extent cx="381000" cy="0"/>
                <wp:effectExtent l="0" t="28575" r="0" b="28575"/>
                <wp:wrapNone/>
                <wp:docPr id="32" name="直接连接符 32"/>
                <wp:cNvGraphicFramePr/>
                <a:graphic xmlns:a="http://schemas.openxmlformats.org/drawingml/2006/main">
                  <a:graphicData uri="http://schemas.microsoft.com/office/word/2010/wordprocessingShape">
                    <wps:wsp>
                      <wps:cNvCnPr/>
                      <wps:spPr>
                        <a:xfrm>
                          <a:off x="0" y="0"/>
                          <a:ext cx="381000" cy="0"/>
                        </a:xfrm>
                        <a:prstGeom prst="line">
                          <a:avLst/>
                        </a:prstGeom>
                        <a:ln w="57150">
                          <a:gradFill>
                            <a:gsLst>
                              <a:gs pos="0">
                                <a:srgbClr val="9EE256"/>
                              </a:gs>
                              <a:gs pos="100000">
                                <a:srgbClr val="52762D"/>
                              </a:gs>
                            </a:gsLs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3.45pt;margin-top:41.05pt;height:0pt;width:30pt;z-index:251686912;mso-width-relative:page;mso-height-relative:page;" filled="f" stroked="t" coordsize="21600,21600" o:gfxdata="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GE8i1AAAAAkBAAAPAAAAAAAAAAEAIAAAACIA&#10;AABkcnMvZG93bnJldi54bWxQSwECFAAUAAAACACHTuJAs7azZw0CAAAMBAAADgAAAAAAAAABACAA&#10;AAAjAQAAZHJzL2Uyb0RvYy54bWxQSwUGAAAAAAYABgBZAQAAogUAAAAA&#10;">
                <v:fill on="f" focussize="0,0"/>
                <v:stroke weight="4.5pt" color="#000000" miterlimit="8" joinstyle="miter"/>
                <v:imagedata o:title=""/>
                <o:lock v:ext="edit" aspectratio="f"/>
              </v:line>
            </w:pict>
          </mc:Fallback>
        </mc:AlternateContent>
      </w:r>
      <w:r>
        <w:rPr>
          <w:sz w:val="24"/>
          <w:highlight w:val="yellow"/>
        </w:rPr>
        <mc:AlternateContent>
          <mc:Choice Requires="wps">
            <w:drawing>
              <wp:anchor distT="0" distB="0" distL="114300" distR="114300" simplePos="0" relativeHeight="251687936" behindDoc="0" locked="0" layoutInCell="1" allowOverlap="1">
                <wp:simplePos x="0" y="0"/>
                <wp:positionH relativeFrom="column">
                  <wp:posOffset>4215130</wp:posOffset>
                </wp:positionH>
                <wp:positionV relativeFrom="paragraph">
                  <wp:posOffset>763270</wp:posOffset>
                </wp:positionV>
                <wp:extent cx="381000" cy="0"/>
                <wp:effectExtent l="0" t="28575" r="0" b="28575"/>
                <wp:wrapNone/>
                <wp:docPr id="33" name="直接连接符 33"/>
                <wp:cNvGraphicFramePr/>
                <a:graphic xmlns:a="http://schemas.openxmlformats.org/drawingml/2006/main">
                  <a:graphicData uri="http://schemas.microsoft.com/office/word/2010/wordprocessingShape">
                    <wps:wsp>
                      <wps:cNvCnPr/>
                      <wps:spPr>
                        <a:xfrm>
                          <a:off x="0" y="0"/>
                          <a:ext cx="381000" cy="0"/>
                        </a:xfrm>
                        <a:prstGeom prst="line">
                          <a:avLst/>
                        </a:prstGeom>
                        <a:ln w="571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1.9pt;margin-top:60.1pt;height:0pt;width:30pt;z-index:251687936;mso-width-relative:page;mso-height-relative:page;" filled="f" stroked="t" coordsize="21600,21600" o:gfxdata="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t+sWdUA&#10;AAALAQAADwAAAAAAAAABACAAAAAiAAAAZHJzL2Rvd25yZXYueG1sUEsBAhQAFAAAAAgAh07iQCG0&#10;IyHpAQAAswMAAA4AAAAAAAAAAQAgAAAAJAEAAGRycy9lMm9Eb2MueG1sUEsFBgAAAAAGAAYAWQEA&#10;AH8FAAAAAA==&#10;">
                <v:fill on="f" focussize="0,0"/>
                <v:stroke weight="4.5pt" color="#0070C0 [3204]" miterlimit="8" joinstyle="miter"/>
                <v:imagedata o:title=""/>
                <o:lock v:ext="edit" aspectratio="f"/>
              </v:line>
            </w:pict>
          </mc:Fallback>
        </mc:AlternateContent>
      </w:r>
      <w:r>
        <w:rPr>
          <w:sz w:val="24"/>
          <w:highlight w:val="yellow"/>
        </w:rPr>
        <mc:AlternateContent>
          <mc:Choice Requires="wps">
            <w:drawing>
              <wp:anchor distT="0" distB="0" distL="114300" distR="114300" simplePos="0" relativeHeight="251685888" behindDoc="0" locked="0" layoutInCell="1" allowOverlap="1">
                <wp:simplePos x="0" y="0"/>
                <wp:positionH relativeFrom="column">
                  <wp:posOffset>4224655</wp:posOffset>
                </wp:positionH>
                <wp:positionV relativeFrom="paragraph">
                  <wp:posOffset>297180</wp:posOffset>
                </wp:positionV>
                <wp:extent cx="381000" cy="0"/>
                <wp:effectExtent l="0" t="28575" r="0" b="28575"/>
                <wp:wrapNone/>
                <wp:docPr id="34" name="直接连接符 34"/>
                <wp:cNvGraphicFramePr/>
                <a:graphic xmlns:a="http://schemas.openxmlformats.org/drawingml/2006/main">
                  <a:graphicData uri="http://schemas.microsoft.com/office/word/2010/wordprocessingShape">
                    <wps:wsp>
                      <wps:cNvCnPr/>
                      <wps:spPr>
                        <a:xfrm>
                          <a:off x="0" y="0"/>
                          <a:ext cx="381000"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2.65pt;margin-top:23.4pt;height:0pt;width:30pt;z-index:251685888;mso-width-relative:page;mso-height-relative:page;" filled="f" stroked="t" coordsize="21600,21600" o:gfxdata="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axEqNcA&#10;AAAJAQAADwAAAAAAAAABACAAAAAiAAAAZHJzL2Rvd25yZXYueG1sUEsBAhQAFAAAAAgAh07iQOYD&#10;+NHnAQAAswMAAA4AAAAAAAAAAQAgAAAAJgEAAGRycy9lMm9Eb2MueG1sUEsFBgAAAAAGAAYAWQEA&#10;AH8FAAAAAA==&#10;">
                <v:fill on="f" focussize="0,0"/>
                <v:stroke weight="4.5pt" color="#FF0000 [3204]" miterlimit="8" joinstyle="miter"/>
                <v:imagedata o:title=""/>
                <o:lock v:ext="edit" aspectratio="f"/>
              </v:line>
            </w:pict>
          </mc:Fallback>
        </mc:AlternateContent>
      </w:r>
      <w:r>
        <w:rPr>
          <w:highlight w:val="none"/>
        </w:rPr>
        <w:drawing>
          <wp:inline distT="0" distB="0" distL="114300" distR="114300">
            <wp:extent cx="6348095" cy="4086860"/>
            <wp:effectExtent l="0" t="0" r="14605" b="889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5"/>
                    <a:stretch>
                      <a:fillRect/>
                    </a:stretch>
                  </pic:blipFill>
                  <pic:spPr>
                    <a:xfrm>
                      <a:off x="0" y="0"/>
                      <a:ext cx="6348095" cy="4086860"/>
                    </a:xfrm>
                    <a:prstGeom prst="rect">
                      <a:avLst/>
                    </a:prstGeom>
                    <a:noFill/>
                    <a:ln>
                      <a:noFill/>
                    </a:ln>
                  </pic:spPr>
                </pic:pic>
              </a:graphicData>
            </a:graphic>
          </wp:inline>
        </w:drawing>
      </w:r>
    </w:p>
    <w:p w14:paraId="01A4B763">
      <w:pPr>
        <w:keepNext w:val="0"/>
        <w:keepLines w:val="0"/>
        <w:widowControl/>
        <w:suppressLineNumbers w:val="0"/>
        <w:spacing w:line="360" w:lineRule="auto"/>
        <w:jc w:val="center"/>
        <w:rPr>
          <w:sz w:val="24"/>
          <w:szCs w:val="24"/>
          <w:highlight w:val="none"/>
        </w:rPr>
      </w:pPr>
      <w:r>
        <w:rPr>
          <w:rFonts w:hint="eastAsia" w:ascii="宋体" w:hAnsi="宋体" w:eastAsia="宋体" w:cs="宋体"/>
          <w:b/>
          <w:bCs/>
          <w:color w:val="000000"/>
          <w:kern w:val="0"/>
          <w:sz w:val="24"/>
          <w:szCs w:val="24"/>
          <w:highlight w:val="none"/>
          <w:lang w:val="en-US" w:eastAsia="zh-CN" w:bidi="ar"/>
        </w:rPr>
        <w:t>图</w:t>
      </w:r>
      <w:r>
        <w:rPr>
          <w:rFonts w:hint="eastAsia" w:cs="Times New Roman"/>
          <w:b/>
          <w:bCs/>
          <w:color w:val="000000"/>
          <w:kern w:val="0"/>
          <w:sz w:val="24"/>
          <w:szCs w:val="24"/>
          <w:highlight w:val="none"/>
          <w:lang w:val="en-US" w:eastAsia="zh-CN" w:bidi="ar"/>
        </w:rPr>
        <w:t>5-2</w:t>
      </w:r>
      <w:r>
        <w:rPr>
          <w:rFonts w:hint="eastAsia" w:ascii="宋体" w:hAnsi="宋体" w:cs="宋体"/>
          <w:b/>
          <w:bCs/>
          <w:color w:val="000000"/>
          <w:kern w:val="0"/>
          <w:sz w:val="24"/>
          <w:szCs w:val="24"/>
          <w:highlight w:val="none"/>
          <w:lang w:val="en-US" w:eastAsia="zh-CN" w:bidi="ar"/>
        </w:rPr>
        <w:t>本工程</w:t>
      </w:r>
      <w:r>
        <w:rPr>
          <w:rFonts w:hint="eastAsia" w:ascii="宋体" w:hAnsi="宋体" w:eastAsia="宋体" w:cs="宋体"/>
          <w:b/>
          <w:bCs/>
          <w:color w:val="000000"/>
          <w:kern w:val="0"/>
          <w:sz w:val="24"/>
          <w:szCs w:val="24"/>
          <w:highlight w:val="none"/>
          <w:lang w:val="en-US" w:eastAsia="zh-CN" w:bidi="ar"/>
        </w:rPr>
        <w:t>路线路电场强度分布图</w:t>
      </w:r>
    </w:p>
    <w:p w14:paraId="12A31B8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由表</w:t>
      </w:r>
      <w:r>
        <w:rPr>
          <w:rFonts w:hint="eastAsia" w:cs="Times New Roman"/>
          <w:color w:val="auto"/>
          <w:kern w:val="0"/>
          <w:sz w:val="24"/>
          <w:szCs w:val="24"/>
          <w:highlight w:val="none"/>
          <w:lang w:val="en-US" w:eastAsia="zh-CN" w:bidi="ar-SA"/>
        </w:rPr>
        <w:t>5-2</w:t>
      </w:r>
      <w:r>
        <w:rPr>
          <w:rFonts w:hint="eastAsia" w:ascii="Times New Roman" w:hAnsi="Times New Roman" w:eastAsia="宋体" w:cs="Times New Roman"/>
          <w:color w:val="auto"/>
          <w:kern w:val="0"/>
          <w:sz w:val="24"/>
          <w:szCs w:val="24"/>
          <w:highlight w:val="none"/>
          <w:lang w:val="en-US" w:eastAsia="zh-CN" w:bidi="ar-SA"/>
        </w:rPr>
        <w:t>和图</w:t>
      </w:r>
      <w:r>
        <w:rPr>
          <w:rFonts w:hint="eastAsia" w:cs="Times New Roman"/>
          <w:color w:val="auto"/>
          <w:kern w:val="0"/>
          <w:sz w:val="24"/>
          <w:szCs w:val="24"/>
          <w:highlight w:val="none"/>
          <w:lang w:val="en-US" w:eastAsia="zh-CN" w:bidi="ar-SA"/>
        </w:rPr>
        <w:t>5-2</w:t>
      </w:r>
      <w:r>
        <w:rPr>
          <w:rFonts w:hint="eastAsia" w:ascii="Times New Roman" w:hAnsi="Times New Roman" w:eastAsia="宋体" w:cs="Times New Roman"/>
          <w:color w:val="auto"/>
          <w:kern w:val="0"/>
          <w:sz w:val="24"/>
          <w:szCs w:val="24"/>
          <w:highlight w:val="none"/>
          <w:lang w:val="en-US" w:eastAsia="zh-CN" w:bidi="ar-SA"/>
        </w:rPr>
        <w:t>可以看出，本工程线路中，工频电场强度综合量最大值出现在距线路中心线±</w:t>
      </w:r>
      <w:r>
        <w:rPr>
          <w:rFonts w:hint="eastAsia" w:cs="Times New Roman"/>
          <w:color w:val="auto"/>
          <w:kern w:val="0"/>
          <w:sz w:val="24"/>
          <w:szCs w:val="24"/>
          <w:highlight w:val="none"/>
          <w:lang w:val="en-US" w:eastAsia="zh-CN" w:bidi="ar-SA"/>
        </w:rPr>
        <w:t>10</w:t>
      </w:r>
      <w:r>
        <w:rPr>
          <w:rFonts w:hint="default" w:ascii="Times New Roman" w:hAnsi="Times New Roman" w:eastAsia="宋体" w:cs="Times New Roman"/>
          <w:color w:val="auto"/>
          <w:kern w:val="0"/>
          <w:sz w:val="24"/>
          <w:szCs w:val="24"/>
          <w:highlight w:val="none"/>
          <w:lang w:val="en-US" w:eastAsia="zh-CN" w:bidi="ar-SA"/>
        </w:rPr>
        <w:t>m</w:t>
      </w:r>
      <w:r>
        <w:rPr>
          <w:rFonts w:hint="eastAsia" w:ascii="Times New Roman" w:hAnsi="Times New Roman" w:eastAsia="宋体" w:cs="Times New Roman"/>
          <w:color w:val="auto"/>
          <w:kern w:val="0"/>
          <w:sz w:val="24"/>
          <w:szCs w:val="24"/>
          <w:highlight w:val="none"/>
          <w:lang w:val="en-US" w:eastAsia="zh-CN" w:bidi="ar-SA"/>
        </w:rPr>
        <w:t>处，为</w:t>
      </w:r>
      <w:r>
        <w:rPr>
          <w:rFonts w:hint="eastAsia" w:cs="Times New Roman"/>
          <w:color w:val="auto"/>
          <w:kern w:val="0"/>
          <w:sz w:val="24"/>
          <w:szCs w:val="24"/>
          <w:highlight w:val="none"/>
          <w:lang w:val="en-US" w:eastAsia="zh-CN" w:bidi="ar-SA"/>
        </w:rPr>
        <w:t>7.5096</w:t>
      </w:r>
      <w:r>
        <w:rPr>
          <w:rFonts w:hint="default" w:ascii="Times New Roman" w:hAnsi="Times New Roman" w:eastAsia="宋体" w:cs="Times New Roman"/>
          <w:color w:val="auto"/>
          <w:kern w:val="0"/>
          <w:sz w:val="24"/>
          <w:szCs w:val="24"/>
          <w:highlight w:val="none"/>
          <w:lang w:val="en-US" w:eastAsia="zh-CN" w:bidi="ar-SA"/>
        </w:rPr>
        <w:t>kV/m</w:t>
      </w:r>
      <w:r>
        <w:rPr>
          <w:rFonts w:hint="eastAsia" w:ascii="Times New Roman" w:hAnsi="Times New Roman" w:eastAsia="宋体" w:cs="Times New Roman"/>
          <w:color w:val="auto"/>
          <w:kern w:val="0"/>
          <w:sz w:val="24"/>
          <w:szCs w:val="24"/>
          <w:highlight w:val="none"/>
          <w:lang w:val="en-US" w:eastAsia="zh-CN" w:bidi="ar-SA"/>
        </w:rPr>
        <w:t>，之后随与此点距离的增加电场强度呈逐渐降低的趋势。</w:t>
      </w:r>
      <w:r>
        <w:rPr>
          <w:rFonts w:hint="eastAsia" w:cs="Times New Roman"/>
          <w:color w:val="auto"/>
          <w:kern w:val="0"/>
          <w:sz w:val="24"/>
          <w:szCs w:val="24"/>
          <w:highlight w:val="none"/>
          <w:lang w:val="en-US" w:eastAsia="zh-CN" w:bidi="ar-SA"/>
        </w:rPr>
        <w:t>满足</w:t>
      </w:r>
      <w:r>
        <w:rPr>
          <w:rFonts w:hint="eastAsia" w:ascii="Times New Roman" w:hAnsi="Times New Roman" w:eastAsia="宋体" w:cs="Times New Roman"/>
          <w:color w:val="auto"/>
          <w:kern w:val="0"/>
          <w:sz w:val="24"/>
          <w:szCs w:val="24"/>
          <w:highlight w:val="none"/>
          <w:lang w:val="en-US" w:eastAsia="zh-CN" w:bidi="ar-SA"/>
        </w:rPr>
        <w:t>线路下方为耕地、道路等，预测结果满足</w:t>
      </w: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架空输电线路线下的耕地、园地、牧草地、畜禽饲养地、养殖水面、道路等场所</w:t>
      </w: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电场强度</w:t>
      </w:r>
      <w:r>
        <w:rPr>
          <w:rFonts w:hint="default" w:ascii="Times New Roman" w:hAnsi="Times New Roman" w:eastAsia="宋体" w:cs="Times New Roman"/>
          <w:color w:val="auto"/>
          <w:kern w:val="0"/>
          <w:sz w:val="24"/>
          <w:szCs w:val="24"/>
          <w:highlight w:val="none"/>
          <w:lang w:val="en-US" w:eastAsia="zh-CN" w:bidi="ar-SA"/>
        </w:rPr>
        <w:t>10kV/m</w:t>
      </w:r>
      <w:r>
        <w:rPr>
          <w:rFonts w:hint="eastAsia" w:ascii="Times New Roman" w:hAnsi="Times New Roman" w:eastAsia="宋体" w:cs="Times New Roman"/>
          <w:color w:val="auto"/>
          <w:kern w:val="0"/>
          <w:sz w:val="24"/>
          <w:szCs w:val="24"/>
          <w:highlight w:val="none"/>
          <w:lang w:val="en-US" w:eastAsia="zh-CN" w:bidi="ar-SA"/>
        </w:rPr>
        <w:t>的</w:t>
      </w:r>
      <w:r>
        <w:rPr>
          <w:rFonts w:hint="eastAsia" w:cs="Times New Roman"/>
          <w:color w:val="auto"/>
          <w:kern w:val="0"/>
          <w:sz w:val="24"/>
          <w:szCs w:val="24"/>
          <w:highlight w:val="none"/>
          <w:lang w:val="en-US" w:eastAsia="zh-CN" w:bidi="ar-SA"/>
        </w:rPr>
        <w:t>公众曝露控制限值</w:t>
      </w:r>
      <w:r>
        <w:rPr>
          <w:rFonts w:hint="eastAsia" w:ascii="Times New Roman" w:hAnsi="Times New Roman" w:eastAsia="宋体" w:cs="Times New Roman"/>
          <w:color w:val="auto"/>
          <w:kern w:val="0"/>
          <w:sz w:val="24"/>
          <w:szCs w:val="24"/>
          <w:highlight w:val="none"/>
          <w:lang w:val="en-US" w:eastAsia="zh-CN" w:bidi="ar-SA"/>
        </w:rPr>
        <w:t>。</w:t>
      </w:r>
    </w:p>
    <w:p w14:paraId="38F71D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本项目线路边导线地面投影外两侧各40m范围内存在三个电磁环境保护目标，分别为边导线地面投影外</w:t>
      </w:r>
      <w:r>
        <w:rPr>
          <w:rFonts w:hint="eastAsia"/>
          <w:sz w:val="24"/>
          <w:lang w:val="en-US" w:eastAsia="zh-CN"/>
        </w:rPr>
        <w:t>南侧25m处的二号村居民区、</w:t>
      </w:r>
      <w:r>
        <w:rPr>
          <w:rFonts w:hint="eastAsia" w:cs="Times New Roman"/>
          <w:color w:val="auto"/>
          <w:kern w:val="0"/>
          <w:sz w:val="24"/>
          <w:szCs w:val="24"/>
          <w:highlight w:val="none"/>
          <w:lang w:val="en-US" w:eastAsia="zh-CN" w:bidi="ar"/>
        </w:rPr>
        <w:t>路边导线地面投影外</w:t>
      </w:r>
      <w:r>
        <w:rPr>
          <w:rFonts w:hint="eastAsia"/>
          <w:sz w:val="24"/>
          <w:lang w:val="en-US" w:eastAsia="zh-CN"/>
        </w:rPr>
        <w:t>北侧40m处的下五号村居民区、</w:t>
      </w:r>
      <w:r>
        <w:rPr>
          <w:rFonts w:hint="eastAsia" w:cs="Times New Roman"/>
          <w:color w:val="auto"/>
          <w:kern w:val="0"/>
          <w:sz w:val="24"/>
          <w:szCs w:val="24"/>
          <w:highlight w:val="none"/>
          <w:lang w:val="en-US" w:eastAsia="zh-CN" w:bidi="ar"/>
        </w:rPr>
        <w:t>边导线地面投影外</w:t>
      </w:r>
      <w:r>
        <w:rPr>
          <w:rFonts w:hint="eastAsia"/>
          <w:sz w:val="24"/>
          <w:lang w:val="en-US" w:eastAsia="zh-CN"/>
        </w:rPr>
        <w:t>北侧26m处的的十二号西沟村居民区，其所在区域</w:t>
      </w:r>
      <w:r>
        <w:rPr>
          <w:rFonts w:hint="eastAsia" w:ascii="Times New Roman" w:hAnsi="Times New Roman" w:eastAsia="宋体" w:cs="Times New Roman"/>
          <w:color w:val="auto"/>
          <w:kern w:val="0"/>
          <w:sz w:val="24"/>
          <w:szCs w:val="24"/>
          <w:highlight w:val="none"/>
          <w:lang w:val="en-US" w:eastAsia="zh-CN" w:bidi="ar-SA"/>
        </w:rPr>
        <w:t>电场强度</w:t>
      </w:r>
      <w:r>
        <w:rPr>
          <w:rFonts w:hint="eastAsia" w:cs="Times New Roman"/>
          <w:color w:val="auto"/>
          <w:kern w:val="0"/>
          <w:sz w:val="24"/>
          <w:szCs w:val="24"/>
          <w:highlight w:val="none"/>
          <w:lang w:val="en-US" w:eastAsia="zh-CN" w:bidi="ar-SA"/>
        </w:rPr>
        <w:t>满足</w:t>
      </w:r>
      <w:r>
        <w:rPr>
          <w:rFonts w:hint="default" w:ascii="Times New Roman" w:hAnsi="Times New Roman" w:eastAsia="宋体" w:cs="Times New Roman"/>
          <w:color w:val="auto"/>
          <w:kern w:val="0"/>
          <w:sz w:val="24"/>
          <w:szCs w:val="24"/>
          <w:highlight w:val="none"/>
          <w:lang w:val="en-US" w:eastAsia="zh-CN" w:bidi="ar-SA"/>
        </w:rPr>
        <w:t>10kV/m</w:t>
      </w:r>
      <w:r>
        <w:rPr>
          <w:rFonts w:hint="eastAsia" w:ascii="Times New Roman" w:hAnsi="Times New Roman" w:eastAsia="宋体" w:cs="Times New Roman"/>
          <w:color w:val="auto"/>
          <w:kern w:val="0"/>
          <w:sz w:val="24"/>
          <w:szCs w:val="24"/>
          <w:highlight w:val="none"/>
          <w:lang w:val="en-US" w:eastAsia="zh-CN" w:bidi="ar-SA"/>
        </w:rPr>
        <w:t>的</w:t>
      </w:r>
      <w:r>
        <w:rPr>
          <w:rFonts w:hint="eastAsia" w:cs="Times New Roman"/>
          <w:color w:val="auto"/>
          <w:kern w:val="0"/>
          <w:sz w:val="24"/>
          <w:szCs w:val="24"/>
          <w:highlight w:val="none"/>
          <w:lang w:val="en-US" w:eastAsia="zh-CN" w:bidi="ar-SA"/>
        </w:rPr>
        <w:t>公众暴露限值</w:t>
      </w:r>
      <w:r>
        <w:rPr>
          <w:rFonts w:hint="eastAsia" w:ascii="Times New Roman" w:hAnsi="Times New Roman" w:eastAsia="宋体" w:cs="Times New Roman"/>
          <w:color w:val="auto"/>
          <w:kern w:val="0"/>
          <w:sz w:val="24"/>
          <w:szCs w:val="24"/>
          <w:highlight w:val="none"/>
          <w:lang w:val="en-US" w:eastAsia="zh-CN" w:bidi="ar"/>
        </w:rPr>
        <w:t>。</w:t>
      </w:r>
    </w:p>
    <w:p w14:paraId="58EAE38B">
      <w:pPr>
        <w:keepNext w:val="0"/>
        <w:keepLines w:val="0"/>
        <w:widowControl/>
        <w:suppressLineNumbers w:val="0"/>
        <w:spacing w:line="360" w:lineRule="auto"/>
        <w:ind w:firstLine="482" w:firstLineChars="200"/>
        <w:jc w:val="left"/>
        <w:rPr>
          <w:sz w:val="24"/>
          <w:szCs w:val="24"/>
          <w:highlight w:val="none"/>
        </w:rPr>
      </w:pPr>
      <w:r>
        <w:rPr>
          <w:rFonts w:hint="eastAsia" w:ascii="宋体" w:hAnsi="宋体" w:eastAsia="宋体" w:cs="宋体"/>
          <w:b/>
          <w:bCs/>
          <w:color w:val="000000"/>
          <w:kern w:val="0"/>
          <w:sz w:val="24"/>
          <w:szCs w:val="24"/>
          <w:highlight w:val="none"/>
          <w:lang w:val="en-US" w:eastAsia="zh-CN" w:bidi="ar"/>
        </w:rPr>
        <w:t>（5）</w:t>
      </w:r>
      <w:r>
        <w:rPr>
          <w:rFonts w:hint="default" w:ascii="Times New Roman" w:hAnsi="Times New Roman" w:eastAsia="宋体" w:cs="Times New Roman"/>
          <w:b/>
          <w:bCs/>
          <w:color w:val="000000"/>
          <w:kern w:val="0"/>
          <w:sz w:val="24"/>
          <w:szCs w:val="24"/>
          <w:highlight w:val="none"/>
          <w:lang w:val="en-US" w:eastAsia="zh-CN" w:bidi="ar"/>
        </w:rPr>
        <w:t>220kV</w:t>
      </w:r>
      <w:r>
        <w:rPr>
          <w:rFonts w:hint="eastAsia" w:ascii="宋体" w:hAnsi="宋体" w:eastAsia="宋体" w:cs="宋体"/>
          <w:b/>
          <w:bCs/>
          <w:color w:val="000000"/>
          <w:kern w:val="0"/>
          <w:sz w:val="24"/>
          <w:szCs w:val="24"/>
          <w:highlight w:val="none"/>
          <w:lang w:val="en-US" w:eastAsia="zh-CN" w:bidi="ar"/>
        </w:rPr>
        <w:t>线路磁场预测</w:t>
      </w:r>
    </w:p>
    <w:p w14:paraId="5B74E98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220kV</w:t>
      </w:r>
      <w:r>
        <w:rPr>
          <w:rFonts w:hint="eastAsia" w:ascii="Times New Roman" w:hAnsi="Times New Roman" w:eastAsia="宋体" w:cs="Times New Roman"/>
          <w:color w:val="auto"/>
          <w:kern w:val="0"/>
          <w:sz w:val="24"/>
          <w:szCs w:val="24"/>
          <w:highlight w:val="none"/>
          <w:lang w:val="en-US" w:eastAsia="zh-CN" w:bidi="ar-SA"/>
        </w:rPr>
        <w:t>送电线下空间磁感应强度的预测计算根据《环境影响评价技术导则输变电》（</w:t>
      </w:r>
      <w:r>
        <w:rPr>
          <w:rFonts w:hint="default" w:ascii="Times New Roman" w:hAnsi="Times New Roman" w:eastAsia="宋体" w:cs="Times New Roman"/>
          <w:color w:val="auto"/>
          <w:kern w:val="0"/>
          <w:sz w:val="24"/>
          <w:szCs w:val="24"/>
          <w:highlight w:val="none"/>
          <w:lang w:val="en-US" w:eastAsia="zh-CN" w:bidi="ar-SA"/>
        </w:rPr>
        <w:t>HJ24-2020</w:t>
      </w:r>
      <w:r>
        <w:rPr>
          <w:rFonts w:hint="eastAsia" w:ascii="Times New Roman" w:hAnsi="Times New Roman" w:eastAsia="宋体" w:cs="Times New Roman"/>
          <w:color w:val="auto"/>
          <w:kern w:val="0"/>
          <w:sz w:val="24"/>
          <w:szCs w:val="24"/>
          <w:highlight w:val="none"/>
          <w:lang w:val="en-US" w:eastAsia="zh-CN" w:bidi="ar-SA"/>
        </w:rPr>
        <w:t>）附录</w:t>
      </w:r>
      <w:r>
        <w:rPr>
          <w:rFonts w:hint="default" w:ascii="Times New Roman" w:hAnsi="Times New Roman" w:eastAsia="宋体" w:cs="Times New Roman"/>
          <w:color w:val="auto"/>
          <w:kern w:val="0"/>
          <w:sz w:val="24"/>
          <w:szCs w:val="24"/>
          <w:highlight w:val="none"/>
          <w:lang w:val="en-US" w:eastAsia="zh-CN" w:bidi="ar-SA"/>
        </w:rPr>
        <w:t>D</w:t>
      </w:r>
      <w:r>
        <w:rPr>
          <w:rFonts w:hint="eastAsia" w:ascii="Times New Roman" w:hAnsi="Times New Roman" w:eastAsia="宋体" w:cs="Times New Roman"/>
          <w:color w:val="auto"/>
          <w:kern w:val="0"/>
          <w:sz w:val="24"/>
          <w:szCs w:val="24"/>
          <w:highlight w:val="none"/>
          <w:lang w:val="en-US" w:eastAsia="zh-CN" w:bidi="ar-SA"/>
        </w:rPr>
        <w:t>推荐的模式进行预测计算</w:t>
      </w:r>
      <w:r>
        <w:rPr>
          <w:rFonts w:hint="default" w:ascii="Times New Roman" w:hAnsi="Times New Roman" w:eastAsia="宋体" w:cs="Times New Roman"/>
          <w:color w:val="auto"/>
          <w:kern w:val="0"/>
          <w:sz w:val="24"/>
          <w:szCs w:val="24"/>
          <w:highlight w:val="none"/>
          <w:lang w:val="en-US" w:eastAsia="zh-CN" w:bidi="ar-SA"/>
        </w:rPr>
        <w:t>220kV</w:t>
      </w:r>
      <w:r>
        <w:rPr>
          <w:rFonts w:hint="eastAsia" w:ascii="Times New Roman" w:hAnsi="Times New Roman" w:eastAsia="宋体" w:cs="Times New Roman"/>
          <w:color w:val="auto"/>
          <w:kern w:val="0"/>
          <w:sz w:val="24"/>
          <w:szCs w:val="24"/>
          <w:highlight w:val="none"/>
          <w:lang w:val="en-US" w:eastAsia="zh-CN" w:bidi="ar-SA"/>
        </w:rPr>
        <w:t>导线下方</w:t>
      </w:r>
      <w:r>
        <w:rPr>
          <w:rFonts w:hint="default" w:ascii="Times New Roman" w:hAnsi="Times New Roman" w:eastAsia="宋体" w:cs="Times New Roman"/>
          <w:color w:val="auto"/>
          <w:kern w:val="0"/>
          <w:sz w:val="24"/>
          <w:szCs w:val="24"/>
          <w:highlight w:val="none"/>
          <w:lang w:val="en-US" w:eastAsia="zh-CN" w:bidi="ar-SA"/>
        </w:rPr>
        <w:t>A</w:t>
      </w:r>
      <w:r>
        <w:rPr>
          <w:rFonts w:hint="eastAsia" w:ascii="Times New Roman" w:hAnsi="Times New Roman" w:eastAsia="宋体" w:cs="Times New Roman"/>
          <w:color w:val="auto"/>
          <w:kern w:val="0"/>
          <w:sz w:val="24"/>
          <w:szCs w:val="24"/>
          <w:highlight w:val="none"/>
          <w:lang w:val="en-US" w:eastAsia="zh-CN" w:bidi="ar-SA"/>
        </w:rPr>
        <w:t>点处的磁场强度：</w:t>
      </w:r>
    </w:p>
    <w:p w14:paraId="15577E72">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both"/>
        <w:textAlignment w:val="auto"/>
        <w:rPr>
          <w:rFonts w:hint="default"/>
          <w:color w:val="auto"/>
          <w:spacing w:val="-10"/>
          <w:sz w:val="24"/>
          <w:szCs w:val="24"/>
          <w:highlight w:val="none"/>
          <w:lang w:val="en-US" w:eastAsia="zh-CN"/>
        </w:rPr>
      </w:pPr>
      <w:r>
        <w:rPr>
          <w:rFonts w:hint="default"/>
          <w:color w:val="auto"/>
          <w:spacing w:val="-10"/>
          <w:sz w:val="24"/>
          <w:szCs w:val="24"/>
          <w:highlight w:val="none"/>
          <w:lang w:val="en-US" w:eastAsia="zh-CN"/>
        </w:rPr>
        <w:drawing>
          <wp:anchor distT="0" distB="0" distL="114300" distR="114300" simplePos="0" relativeHeight="251684864" behindDoc="0" locked="0" layoutInCell="1" allowOverlap="1">
            <wp:simplePos x="0" y="0"/>
            <wp:positionH relativeFrom="column">
              <wp:posOffset>505460</wp:posOffset>
            </wp:positionH>
            <wp:positionV relativeFrom="paragraph">
              <wp:posOffset>30480</wp:posOffset>
            </wp:positionV>
            <wp:extent cx="2827020" cy="708660"/>
            <wp:effectExtent l="0" t="0" r="11430" b="15240"/>
            <wp:wrapNone/>
            <wp:docPr id="35" name="图片 35" descr="168627805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86278050226"/>
                    <pic:cNvPicPr>
                      <a:picLocks noChangeAspect="1"/>
                    </pic:cNvPicPr>
                  </pic:nvPicPr>
                  <pic:blipFill>
                    <a:blip r:embed="rId36"/>
                    <a:stretch>
                      <a:fillRect/>
                    </a:stretch>
                  </pic:blipFill>
                  <pic:spPr>
                    <a:xfrm>
                      <a:off x="0" y="0"/>
                      <a:ext cx="2827020" cy="708660"/>
                    </a:xfrm>
                    <a:prstGeom prst="rect">
                      <a:avLst/>
                    </a:prstGeom>
                  </pic:spPr>
                </pic:pic>
              </a:graphicData>
            </a:graphic>
          </wp:anchor>
        </w:drawing>
      </w:r>
    </w:p>
    <w:p w14:paraId="4EACD8E5">
      <w:pPr>
        <w:pStyle w:val="10"/>
        <w:widowControl/>
        <w:numPr>
          <w:ilvl w:val="0"/>
          <w:numId w:val="0"/>
        </w:numPr>
        <w:kinsoku w:val="0"/>
        <w:autoSpaceDE w:val="0"/>
        <w:autoSpaceDN w:val="0"/>
        <w:adjustRightInd w:val="0"/>
        <w:snapToGrid w:val="0"/>
        <w:spacing w:line="360" w:lineRule="auto"/>
        <w:jc w:val="left"/>
        <w:textAlignment w:val="baseline"/>
        <w:rPr>
          <w:rFonts w:hint="default"/>
          <w:sz w:val="24"/>
          <w:szCs w:val="24"/>
          <w:highlight w:val="none"/>
          <w:lang w:val="en-US" w:eastAsia="zh-CN"/>
        </w:rPr>
      </w:pPr>
    </w:p>
    <w:p w14:paraId="0C9BB10E">
      <w:pPr>
        <w:pStyle w:val="11"/>
        <w:spacing w:line="360" w:lineRule="auto"/>
        <w:rPr>
          <w:rFonts w:hint="default"/>
          <w:sz w:val="24"/>
          <w:szCs w:val="24"/>
          <w:highlight w:val="none"/>
          <w:lang w:val="en-US" w:eastAsia="zh-CN"/>
        </w:rPr>
      </w:pPr>
    </w:p>
    <w:p w14:paraId="7AAB05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式中：</w:t>
      </w:r>
      <w:r>
        <w:rPr>
          <w:rFonts w:hint="default" w:ascii="Times New Roman" w:hAnsi="Times New Roman" w:eastAsia="宋体" w:cs="Times New Roman"/>
          <w:color w:val="auto"/>
          <w:kern w:val="0"/>
          <w:sz w:val="24"/>
          <w:szCs w:val="24"/>
          <w:highlight w:val="none"/>
          <w:lang w:val="en-US" w:eastAsia="zh-CN" w:bidi="ar-SA"/>
        </w:rPr>
        <w:t>I---</w:t>
      </w:r>
      <w:r>
        <w:rPr>
          <w:rFonts w:hint="eastAsia" w:ascii="Times New Roman" w:hAnsi="Times New Roman" w:eastAsia="宋体" w:cs="Times New Roman"/>
          <w:color w:val="auto"/>
          <w:kern w:val="0"/>
          <w:sz w:val="24"/>
          <w:szCs w:val="24"/>
          <w:highlight w:val="none"/>
          <w:lang w:val="en-US" w:eastAsia="zh-CN" w:bidi="ar-SA"/>
        </w:rPr>
        <w:t>导线</w:t>
      </w:r>
      <w:r>
        <w:rPr>
          <w:rFonts w:hint="default" w:ascii="Times New Roman" w:hAnsi="Times New Roman" w:eastAsia="宋体" w:cs="Times New Roman"/>
          <w:color w:val="auto"/>
          <w:kern w:val="0"/>
          <w:sz w:val="24"/>
          <w:szCs w:val="24"/>
          <w:highlight w:val="none"/>
          <w:lang w:val="en-US" w:eastAsia="zh-CN" w:bidi="ar-SA"/>
        </w:rPr>
        <w:t>i</w:t>
      </w:r>
      <w:r>
        <w:rPr>
          <w:rFonts w:hint="eastAsia" w:ascii="Times New Roman" w:hAnsi="Times New Roman" w:eastAsia="宋体" w:cs="Times New Roman"/>
          <w:color w:val="auto"/>
          <w:kern w:val="0"/>
          <w:sz w:val="24"/>
          <w:szCs w:val="24"/>
          <w:highlight w:val="none"/>
          <w:lang w:val="en-US" w:eastAsia="zh-CN" w:bidi="ar-SA"/>
        </w:rPr>
        <w:t>中的电流值；</w:t>
      </w:r>
    </w:p>
    <w:p w14:paraId="61656670">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outlineLvl w:val="9"/>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h---</w:t>
      </w:r>
      <w:r>
        <w:rPr>
          <w:rFonts w:hint="eastAsia" w:ascii="Times New Roman" w:hAnsi="Times New Roman" w:eastAsia="宋体" w:cs="Times New Roman"/>
          <w:color w:val="auto"/>
          <w:kern w:val="0"/>
          <w:sz w:val="24"/>
          <w:szCs w:val="24"/>
          <w:highlight w:val="none"/>
          <w:lang w:val="en-US" w:eastAsia="zh-CN" w:bidi="ar-SA"/>
        </w:rPr>
        <w:t>计算</w:t>
      </w:r>
      <w:r>
        <w:rPr>
          <w:rFonts w:hint="default" w:ascii="Times New Roman" w:hAnsi="Times New Roman" w:eastAsia="宋体" w:cs="Times New Roman"/>
          <w:color w:val="auto"/>
          <w:kern w:val="0"/>
          <w:sz w:val="24"/>
          <w:szCs w:val="24"/>
          <w:highlight w:val="none"/>
          <w:lang w:val="en-US" w:eastAsia="zh-CN" w:bidi="ar-SA"/>
        </w:rPr>
        <w:t>A</w:t>
      </w:r>
      <w:r>
        <w:rPr>
          <w:rFonts w:hint="eastAsia" w:ascii="Times New Roman" w:hAnsi="Times New Roman" w:eastAsia="宋体" w:cs="Times New Roman"/>
          <w:color w:val="auto"/>
          <w:kern w:val="0"/>
          <w:sz w:val="24"/>
          <w:szCs w:val="24"/>
          <w:highlight w:val="none"/>
          <w:lang w:val="en-US" w:eastAsia="zh-CN" w:bidi="ar-SA"/>
        </w:rPr>
        <w:t>点距导线的垂直高度；</w:t>
      </w:r>
    </w:p>
    <w:p w14:paraId="7D92E10A">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outlineLvl w:val="9"/>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L---</w:t>
      </w:r>
      <w:r>
        <w:rPr>
          <w:rFonts w:hint="eastAsia" w:ascii="Times New Roman" w:hAnsi="Times New Roman" w:eastAsia="宋体" w:cs="Times New Roman"/>
          <w:color w:val="auto"/>
          <w:kern w:val="0"/>
          <w:sz w:val="24"/>
          <w:szCs w:val="24"/>
          <w:highlight w:val="none"/>
          <w:lang w:val="en-US" w:eastAsia="zh-CN" w:bidi="ar-SA"/>
        </w:rPr>
        <w:t>计算</w:t>
      </w:r>
      <w:r>
        <w:rPr>
          <w:rFonts w:hint="default" w:ascii="Times New Roman" w:hAnsi="Times New Roman" w:eastAsia="宋体" w:cs="Times New Roman"/>
          <w:color w:val="auto"/>
          <w:kern w:val="0"/>
          <w:sz w:val="24"/>
          <w:szCs w:val="24"/>
          <w:highlight w:val="none"/>
          <w:lang w:val="en-US" w:eastAsia="zh-CN" w:bidi="ar-SA"/>
        </w:rPr>
        <w:t>A</w:t>
      </w:r>
      <w:r>
        <w:rPr>
          <w:rFonts w:hint="eastAsia" w:ascii="Times New Roman" w:hAnsi="Times New Roman" w:eastAsia="宋体" w:cs="Times New Roman"/>
          <w:color w:val="auto"/>
          <w:kern w:val="0"/>
          <w:sz w:val="24"/>
          <w:szCs w:val="24"/>
          <w:highlight w:val="none"/>
          <w:lang w:val="en-US" w:eastAsia="zh-CN" w:bidi="ar-SA"/>
        </w:rPr>
        <w:t>点距导线的水平距离。</w:t>
      </w:r>
    </w:p>
    <w:p w14:paraId="0FD3F8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为了与环境标准相适应，需要将磁场强度转换为磁感应强度，转换公式如下：</w:t>
      </w:r>
    </w:p>
    <w:p w14:paraId="1184AB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B=µ</w:t>
      </w:r>
      <w:r>
        <w:rPr>
          <w:rFonts w:hint="default" w:ascii="Times New Roman" w:hAnsi="Times New Roman" w:eastAsia="宋体" w:cs="Times New Roman"/>
          <w:color w:val="auto"/>
          <w:kern w:val="0"/>
          <w:sz w:val="24"/>
          <w:szCs w:val="24"/>
          <w:highlight w:val="none"/>
          <w:vertAlign w:val="subscript"/>
          <w:lang w:val="en-US" w:eastAsia="zh-CN" w:bidi="ar-SA"/>
        </w:rPr>
        <w:t>0</w:t>
      </w:r>
      <w:r>
        <w:rPr>
          <w:rFonts w:hint="default" w:ascii="Times New Roman" w:hAnsi="Times New Roman" w:eastAsia="宋体" w:cs="Times New Roman"/>
          <w:color w:val="auto"/>
          <w:kern w:val="0"/>
          <w:sz w:val="24"/>
          <w:szCs w:val="24"/>
          <w:highlight w:val="none"/>
          <w:lang w:val="en-US" w:eastAsia="zh-CN" w:bidi="ar-SA"/>
        </w:rPr>
        <w:t>H</w:t>
      </w:r>
    </w:p>
    <w:p w14:paraId="6D2D86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B</w:t>
      </w:r>
      <w:r>
        <w:rPr>
          <w:rFonts w:hint="eastAsia" w:ascii="Times New Roman" w:hAnsi="Times New Roman" w:eastAsia="宋体" w:cs="Times New Roman"/>
          <w:color w:val="auto"/>
          <w:kern w:val="0"/>
          <w:sz w:val="24"/>
          <w:szCs w:val="24"/>
          <w:highlight w:val="none"/>
          <w:lang w:val="en-US" w:eastAsia="zh-CN" w:bidi="ar-SA"/>
        </w:rPr>
        <w:t>：磁感应强度</w:t>
      </w:r>
    </w:p>
    <w:p w14:paraId="30BB0E5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H</w:t>
      </w:r>
      <w:r>
        <w:rPr>
          <w:rFonts w:hint="eastAsia" w:ascii="Times New Roman" w:hAnsi="Times New Roman" w:eastAsia="宋体" w:cs="Times New Roman"/>
          <w:color w:val="auto"/>
          <w:kern w:val="0"/>
          <w:sz w:val="24"/>
          <w:szCs w:val="24"/>
          <w:highlight w:val="none"/>
          <w:lang w:val="en-US" w:eastAsia="zh-CN" w:bidi="ar-SA"/>
        </w:rPr>
        <w:t>：磁场强度</w:t>
      </w:r>
    </w:p>
    <w:p w14:paraId="110ABC4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µ</w:t>
      </w:r>
      <w:r>
        <w:rPr>
          <w:rFonts w:hint="default" w:ascii="Times New Roman" w:hAnsi="Times New Roman" w:eastAsia="宋体" w:cs="Times New Roman"/>
          <w:color w:val="auto"/>
          <w:kern w:val="0"/>
          <w:sz w:val="24"/>
          <w:szCs w:val="24"/>
          <w:highlight w:val="none"/>
          <w:vertAlign w:val="subscript"/>
          <w:lang w:val="en-US" w:eastAsia="zh-CN" w:bidi="ar-SA"/>
        </w:rPr>
        <w:t>0</w:t>
      </w:r>
      <w:r>
        <w:rPr>
          <w:rFonts w:hint="eastAsia" w:ascii="Times New Roman" w:hAnsi="Times New Roman" w:eastAsia="宋体" w:cs="Times New Roman"/>
          <w:color w:val="auto"/>
          <w:kern w:val="0"/>
          <w:sz w:val="24"/>
          <w:szCs w:val="24"/>
          <w:highlight w:val="none"/>
          <w:lang w:val="en-US" w:eastAsia="zh-CN" w:bidi="ar-SA"/>
        </w:rPr>
        <w:t>：真空中相对磁导率（</w:t>
      </w:r>
      <w:r>
        <w:rPr>
          <w:rFonts w:hint="default" w:ascii="Times New Roman" w:hAnsi="Times New Roman" w:eastAsia="宋体" w:cs="Times New Roman"/>
          <w:color w:val="auto"/>
          <w:kern w:val="0"/>
          <w:sz w:val="24"/>
          <w:szCs w:val="24"/>
          <w:highlight w:val="none"/>
          <w:lang w:val="en-US" w:eastAsia="zh-CN" w:bidi="ar-SA"/>
        </w:rPr>
        <w:t>µ</w:t>
      </w:r>
      <w:r>
        <w:rPr>
          <w:rFonts w:hint="default" w:ascii="Times New Roman" w:hAnsi="Times New Roman" w:eastAsia="宋体" w:cs="Times New Roman"/>
          <w:color w:val="auto"/>
          <w:kern w:val="0"/>
          <w:sz w:val="24"/>
          <w:szCs w:val="24"/>
          <w:highlight w:val="none"/>
          <w:vertAlign w:val="subscript"/>
          <w:lang w:val="en-US" w:eastAsia="zh-CN" w:bidi="ar-SA"/>
        </w:rPr>
        <w:t>0</w:t>
      </w:r>
      <w:r>
        <w:rPr>
          <w:rFonts w:hint="default" w:ascii="Times New Roman" w:hAnsi="Times New Roman" w:eastAsia="宋体" w:cs="Times New Roman"/>
          <w:color w:val="auto"/>
          <w:kern w:val="0"/>
          <w:sz w:val="24"/>
          <w:szCs w:val="24"/>
          <w:highlight w:val="none"/>
          <w:lang w:val="en-US" w:eastAsia="zh-CN" w:bidi="ar-SA"/>
        </w:rPr>
        <w:t>=4π×10</w:t>
      </w:r>
      <w:r>
        <w:rPr>
          <w:rFonts w:hint="default" w:ascii="Times New Roman" w:hAnsi="Times New Roman" w:eastAsia="宋体" w:cs="Times New Roman"/>
          <w:color w:val="auto"/>
          <w:kern w:val="0"/>
          <w:sz w:val="24"/>
          <w:szCs w:val="24"/>
          <w:highlight w:val="none"/>
          <w:vertAlign w:val="superscript"/>
          <w:lang w:val="en-US" w:eastAsia="zh-CN" w:bidi="ar-SA"/>
        </w:rPr>
        <w:t>-7</w:t>
      </w:r>
      <w:r>
        <w:rPr>
          <w:rFonts w:hint="default" w:ascii="Times New Roman" w:hAnsi="Times New Roman" w:eastAsia="宋体" w:cs="Times New Roman"/>
          <w:color w:val="auto"/>
          <w:kern w:val="0"/>
          <w:sz w:val="24"/>
          <w:szCs w:val="24"/>
          <w:highlight w:val="none"/>
          <w:lang w:val="en-US" w:eastAsia="zh-CN" w:bidi="ar-SA"/>
        </w:rPr>
        <w:t>H/m</w:t>
      </w:r>
      <w:r>
        <w:rPr>
          <w:rFonts w:hint="eastAsia" w:ascii="Times New Roman" w:hAnsi="Times New Roman" w:eastAsia="宋体" w:cs="Times New Roman"/>
          <w:color w:val="auto"/>
          <w:kern w:val="0"/>
          <w:sz w:val="24"/>
          <w:szCs w:val="24"/>
          <w:highlight w:val="none"/>
          <w:lang w:val="en-US" w:eastAsia="zh-CN" w:bidi="ar-SA"/>
        </w:rPr>
        <w:t>）。</w:t>
      </w:r>
    </w:p>
    <w:p w14:paraId="0C72C44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本工程</w:t>
      </w:r>
      <w:r>
        <w:rPr>
          <w:rFonts w:hint="eastAsia" w:ascii="Times New Roman" w:hAnsi="Times New Roman" w:eastAsia="宋体" w:cs="Times New Roman"/>
          <w:color w:val="auto"/>
          <w:kern w:val="0"/>
          <w:sz w:val="24"/>
          <w:szCs w:val="24"/>
          <w:highlight w:val="none"/>
          <w:lang w:val="en-US" w:eastAsia="zh-CN" w:bidi="ar-SA"/>
        </w:rPr>
        <w:t>磁感应强度计算结果见表</w:t>
      </w:r>
      <w:r>
        <w:rPr>
          <w:rFonts w:hint="eastAsia" w:cs="Times New Roman"/>
          <w:color w:val="auto"/>
          <w:kern w:val="0"/>
          <w:sz w:val="24"/>
          <w:szCs w:val="24"/>
          <w:highlight w:val="none"/>
          <w:lang w:val="en-US" w:eastAsia="zh-CN" w:bidi="ar-SA"/>
        </w:rPr>
        <w:t>5-3</w:t>
      </w:r>
      <w:r>
        <w:rPr>
          <w:rFonts w:hint="eastAsia" w:ascii="Times New Roman" w:hAnsi="Times New Roman" w:eastAsia="宋体" w:cs="Times New Roman"/>
          <w:color w:val="auto"/>
          <w:kern w:val="0"/>
          <w:sz w:val="24"/>
          <w:szCs w:val="24"/>
          <w:highlight w:val="none"/>
          <w:lang w:val="en-US" w:eastAsia="zh-CN" w:bidi="ar-SA"/>
        </w:rPr>
        <w:t>，磁感应强度分布图见图</w:t>
      </w:r>
      <w:r>
        <w:rPr>
          <w:rFonts w:hint="eastAsia" w:cs="Times New Roman"/>
          <w:color w:val="auto"/>
          <w:kern w:val="0"/>
          <w:sz w:val="24"/>
          <w:szCs w:val="24"/>
          <w:highlight w:val="none"/>
          <w:lang w:val="en-US" w:eastAsia="zh-CN" w:bidi="ar-SA"/>
        </w:rPr>
        <w:t>5-3</w:t>
      </w:r>
      <w:r>
        <w:rPr>
          <w:rFonts w:hint="eastAsia" w:ascii="Times New Roman" w:hAnsi="Times New Roman" w:eastAsia="宋体" w:cs="Times New Roman"/>
          <w:color w:val="auto"/>
          <w:kern w:val="0"/>
          <w:sz w:val="24"/>
          <w:szCs w:val="24"/>
          <w:highlight w:val="none"/>
          <w:lang w:val="en-US" w:eastAsia="zh-CN" w:bidi="ar-SA"/>
        </w:rPr>
        <w:t>。</w:t>
      </w:r>
    </w:p>
    <w:p w14:paraId="62BF34FD">
      <w:pPr>
        <w:pStyle w:val="16"/>
        <w:spacing w:line="360" w:lineRule="auto"/>
        <w:jc w:val="center"/>
        <w:rPr>
          <w:rFonts w:hint="default"/>
          <w:b/>
          <w:bCs/>
          <w:sz w:val="24"/>
          <w:szCs w:val="24"/>
          <w:highlight w:val="none"/>
          <w:lang w:val="en-US" w:eastAsia="zh-CN"/>
        </w:rPr>
      </w:pPr>
      <w:r>
        <w:rPr>
          <w:rFonts w:hint="eastAsia" w:cs="Times New Roman"/>
          <w:b/>
          <w:bCs/>
          <w:color w:val="auto"/>
          <w:kern w:val="0"/>
          <w:sz w:val="24"/>
          <w:szCs w:val="24"/>
          <w:highlight w:val="none"/>
          <w:lang w:val="en-US" w:eastAsia="zh-CN" w:bidi="ar-SA"/>
        </w:rPr>
        <w:t>表5-3本工程</w:t>
      </w:r>
      <w:r>
        <w:rPr>
          <w:rFonts w:hint="eastAsia" w:ascii="Times New Roman" w:hAnsi="Times New Roman" w:eastAsia="宋体" w:cs="Times New Roman"/>
          <w:b/>
          <w:bCs/>
          <w:color w:val="auto"/>
          <w:kern w:val="0"/>
          <w:sz w:val="24"/>
          <w:szCs w:val="24"/>
          <w:highlight w:val="none"/>
          <w:lang w:val="en-US" w:eastAsia="zh-CN" w:bidi="ar-SA"/>
        </w:rPr>
        <w:t>磁感应强度</w:t>
      </w:r>
      <w:r>
        <w:rPr>
          <w:rFonts w:hint="eastAsia" w:cs="Times New Roman"/>
          <w:b/>
          <w:bCs/>
          <w:color w:val="auto"/>
          <w:kern w:val="0"/>
          <w:sz w:val="24"/>
          <w:szCs w:val="24"/>
          <w:highlight w:val="none"/>
          <w:lang w:val="en-US" w:eastAsia="zh-CN" w:bidi="ar-SA"/>
        </w:rPr>
        <w:t>分布表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5"/>
        <w:gridCol w:w="2567"/>
        <w:gridCol w:w="1880"/>
        <w:gridCol w:w="2648"/>
      </w:tblGrid>
      <w:tr w14:paraId="4308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603456C6">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到线路中心线投影距离m</w:t>
            </w:r>
          </w:p>
        </w:tc>
        <w:tc>
          <w:tcPr>
            <w:tcW w:w="2567" w:type="dxa"/>
            <w:vAlign w:val="top"/>
          </w:tcPr>
          <w:p w14:paraId="7A3B6783">
            <w:pPr>
              <w:jc w:val="center"/>
            </w:pPr>
            <w:r>
              <w:t xml:space="preserve">1.5米高处磁场    </w:t>
            </w:r>
          </w:p>
          <w:p w14:paraId="747F0731">
            <w:pPr>
              <w:jc w:val="center"/>
              <w:rPr>
                <w:rFonts w:hint="default" w:ascii="Times New Roman" w:hAnsi="Times New Roman" w:eastAsia="宋体" w:cs="Times New Roman"/>
                <w:i w:val="0"/>
                <w:iCs w:val="0"/>
                <w:color w:val="000000"/>
                <w:kern w:val="0"/>
                <w:sz w:val="21"/>
                <w:szCs w:val="21"/>
                <w:highlight w:val="none"/>
                <w:u w:val="none"/>
                <w:lang w:val="en-US" w:eastAsia="zh-CN" w:bidi="ar"/>
              </w:rPr>
            </w:pPr>
            <w:r>
              <w:t>水平分量(</w:t>
            </w:r>
            <w:r>
              <w:rPr>
                <w:rFonts w:hint="default" w:ascii="Times New Roman" w:hAnsi="Times New Roman" w:cs="Times New Roman"/>
                <w:lang w:val="en-US" w:eastAsia="zh-CN"/>
              </w:rPr>
              <w:t>μT</w:t>
            </w:r>
            <w:r>
              <w:t xml:space="preserve">)  </w:t>
            </w:r>
          </w:p>
        </w:tc>
        <w:tc>
          <w:tcPr>
            <w:tcW w:w="1880" w:type="dxa"/>
            <w:vAlign w:val="top"/>
          </w:tcPr>
          <w:p w14:paraId="23DA1662">
            <w:pPr>
              <w:jc w:val="center"/>
            </w:pPr>
            <w:r>
              <w:t xml:space="preserve">1.5米高处磁场    </w:t>
            </w:r>
          </w:p>
          <w:p w14:paraId="52562BB8">
            <w:pPr>
              <w:jc w:val="center"/>
              <w:rPr>
                <w:rFonts w:hint="eastAsia" w:ascii="Times New Roman" w:hAnsi="Times New Roman" w:eastAsia="宋体" w:cs="Times New Roman"/>
                <w:i w:val="0"/>
                <w:iCs w:val="0"/>
                <w:color w:val="000000"/>
                <w:kern w:val="0"/>
                <w:sz w:val="21"/>
                <w:szCs w:val="21"/>
                <w:highlight w:val="none"/>
                <w:u w:val="none"/>
                <w:lang w:val="en-US" w:eastAsia="zh-CN" w:bidi="ar"/>
              </w:rPr>
            </w:pPr>
            <w:r>
              <w:t>垂直分量(</w:t>
            </w:r>
            <w:r>
              <w:rPr>
                <w:rFonts w:hint="default" w:ascii="Times New Roman" w:hAnsi="Times New Roman" w:cs="Times New Roman"/>
                <w:lang w:val="en-US" w:eastAsia="zh-CN"/>
              </w:rPr>
              <w:t>μT</w:t>
            </w:r>
            <w:r>
              <w:t xml:space="preserve">)  </w:t>
            </w:r>
          </w:p>
        </w:tc>
        <w:tc>
          <w:tcPr>
            <w:tcW w:w="2648" w:type="dxa"/>
            <w:vAlign w:val="top"/>
          </w:tcPr>
          <w:p w14:paraId="40B9EDAF">
            <w:pPr>
              <w:jc w:val="center"/>
            </w:pPr>
            <w:r>
              <w:t xml:space="preserve">1.5米高处磁场    </w:t>
            </w:r>
          </w:p>
          <w:p w14:paraId="20A8E7A5">
            <w:pPr>
              <w:jc w:val="center"/>
              <w:rPr>
                <w:rFonts w:hint="eastAsia" w:ascii="Times New Roman" w:hAnsi="Times New Roman" w:eastAsia="宋体" w:cs="Times New Roman"/>
                <w:i w:val="0"/>
                <w:iCs w:val="0"/>
                <w:color w:val="000000"/>
                <w:kern w:val="0"/>
                <w:sz w:val="21"/>
                <w:szCs w:val="21"/>
                <w:highlight w:val="none"/>
                <w:u w:val="none"/>
                <w:lang w:val="en-US" w:eastAsia="zh-CN" w:bidi="ar"/>
              </w:rPr>
            </w:pPr>
            <w:r>
              <w:t>的综合量(</w:t>
            </w:r>
            <w:r>
              <w:rPr>
                <w:rFonts w:hint="default" w:ascii="Times New Roman" w:hAnsi="Times New Roman" w:cs="Times New Roman"/>
                <w:lang w:val="en-US" w:eastAsia="zh-CN"/>
              </w:rPr>
              <w:t>μT</w:t>
            </w:r>
            <w:r>
              <w:t xml:space="preserve">)  </w:t>
            </w:r>
          </w:p>
        </w:tc>
      </w:tr>
      <w:tr w14:paraId="763B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326E4A57">
            <w:pPr>
              <w:keepNext w:val="0"/>
              <w:keepLines w:val="0"/>
              <w:widowControl/>
              <w:suppressLineNumbers w:val="0"/>
              <w:spacing w:line="240" w:lineRule="auto"/>
              <w:jc w:val="center"/>
              <w:textAlignment w:val="top"/>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-50</w:t>
            </w:r>
          </w:p>
        </w:tc>
        <w:tc>
          <w:tcPr>
            <w:tcW w:w="2567" w:type="dxa"/>
            <w:shd w:val="clear" w:color="auto" w:fill="auto"/>
            <w:vAlign w:val="top"/>
          </w:tcPr>
          <w:p w14:paraId="7466C169">
            <w:pPr>
              <w:jc w:val="center"/>
              <w:rPr>
                <w:rFonts w:hint="eastAsia" w:ascii="Times New Roman" w:hAnsi="Times New Roman" w:eastAsia="宋体" w:cs="Times New Roman"/>
                <w:kern w:val="2"/>
                <w:sz w:val="21"/>
                <w:szCs w:val="24"/>
                <w:lang w:val="en-US" w:eastAsia="zh-CN" w:bidi="ar-SA"/>
              </w:rPr>
            </w:pPr>
            <w:r>
              <w:t>0.8498</w:t>
            </w:r>
          </w:p>
        </w:tc>
        <w:tc>
          <w:tcPr>
            <w:tcW w:w="1880" w:type="dxa"/>
            <w:shd w:val="clear" w:color="auto" w:fill="auto"/>
            <w:vAlign w:val="top"/>
          </w:tcPr>
          <w:p w14:paraId="77376893">
            <w:pPr>
              <w:jc w:val="center"/>
              <w:rPr>
                <w:rFonts w:hint="eastAsia" w:ascii="Times New Roman" w:hAnsi="Times New Roman" w:eastAsia="宋体" w:cs="Times New Roman"/>
                <w:kern w:val="2"/>
                <w:sz w:val="21"/>
                <w:szCs w:val="24"/>
                <w:lang w:val="en-US" w:eastAsia="zh-CN" w:bidi="ar-SA"/>
              </w:rPr>
            </w:pPr>
            <w:r>
              <w:t>9.4731</w:t>
            </w:r>
          </w:p>
        </w:tc>
        <w:tc>
          <w:tcPr>
            <w:tcW w:w="2648" w:type="dxa"/>
            <w:shd w:val="clear" w:color="auto" w:fill="auto"/>
            <w:vAlign w:val="top"/>
          </w:tcPr>
          <w:p w14:paraId="0A694D66">
            <w:pPr>
              <w:jc w:val="center"/>
              <w:rPr>
                <w:rFonts w:hint="default" w:ascii="Times New Roman" w:hAnsi="Times New Roman" w:eastAsia="宋体" w:cs="Times New Roman"/>
                <w:kern w:val="2"/>
                <w:sz w:val="21"/>
                <w:szCs w:val="24"/>
                <w:lang w:val="en-US" w:eastAsia="zh-CN" w:bidi="ar-SA"/>
              </w:rPr>
            </w:pPr>
            <w:r>
              <w:t>9.5112</w:t>
            </w:r>
          </w:p>
        </w:tc>
      </w:tr>
      <w:tr w14:paraId="1C4F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2D9F55BD">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-49</w:t>
            </w:r>
          </w:p>
        </w:tc>
        <w:tc>
          <w:tcPr>
            <w:tcW w:w="2567" w:type="dxa"/>
            <w:shd w:val="clear" w:color="auto" w:fill="auto"/>
            <w:vAlign w:val="top"/>
          </w:tcPr>
          <w:p w14:paraId="5E96FBD2">
            <w:pPr>
              <w:jc w:val="center"/>
              <w:rPr>
                <w:rFonts w:hint="eastAsia" w:ascii="Times New Roman" w:hAnsi="Times New Roman" w:eastAsia="宋体" w:cs="Times New Roman"/>
                <w:kern w:val="2"/>
                <w:sz w:val="21"/>
                <w:szCs w:val="24"/>
                <w:lang w:val="en-US" w:eastAsia="zh-CN" w:bidi="ar-SA"/>
              </w:rPr>
            </w:pPr>
            <w:r>
              <w:t>0.8948</w:t>
            </w:r>
          </w:p>
        </w:tc>
        <w:tc>
          <w:tcPr>
            <w:tcW w:w="1880" w:type="dxa"/>
            <w:shd w:val="clear" w:color="auto" w:fill="auto"/>
            <w:vAlign w:val="top"/>
          </w:tcPr>
          <w:p w14:paraId="2304E5C0">
            <w:pPr>
              <w:jc w:val="center"/>
              <w:rPr>
                <w:rFonts w:hint="eastAsia" w:ascii="Times New Roman" w:hAnsi="Times New Roman" w:eastAsia="宋体" w:cs="Times New Roman"/>
                <w:kern w:val="2"/>
                <w:sz w:val="21"/>
                <w:szCs w:val="24"/>
                <w:lang w:val="en-US" w:eastAsia="zh-CN" w:bidi="ar-SA"/>
              </w:rPr>
            </w:pPr>
            <w:r>
              <w:t>9.6738</w:t>
            </w:r>
          </w:p>
        </w:tc>
        <w:tc>
          <w:tcPr>
            <w:tcW w:w="2648" w:type="dxa"/>
            <w:shd w:val="clear" w:color="auto" w:fill="auto"/>
            <w:vAlign w:val="top"/>
          </w:tcPr>
          <w:p w14:paraId="39C5B5E2">
            <w:pPr>
              <w:jc w:val="center"/>
              <w:rPr>
                <w:rFonts w:hint="default" w:ascii="Times New Roman" w:hAnsi="Times New Roman" w:eastAsia="宋体" w:cs="Times New Roman"/>
                <w:kern w:val="2"/>
                <w:sz w:val="21"/>
                <w:szCs w:val="24"/>
                <w:lang w:val="en-US" w:eastAsia="zh-CN" w:bidi="ar-SA"/>
              </w:rPr>
            </w:pPr>
            <w:r>
              <w:t>9.7151</w:t>
            </w:r>
          </w:p>
        </w:tc>
      </w:tr>
      <w:tr w14:paraId="3D21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71539CE8">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-48</w:t>
            </w:r>
          </w:p>
        </w:tc>
        <w:tc>
          <w:tcPr>
            <w:tcW w:w="2567" w:type="dxa"/>
            <w:shd w:val="clear" w:color="auto" w:fill="auto"/>
            <w:vAlign w:val="top"/>
          </w:tcPr>
          <w:p w14:paraId="156CAFF2">
            <w:pPr>
              <w:jc w:val="center"/>
              <w:rPr>
                <w:rFonts w:hint="default" w:ascii="Times New Roman" w:hAnsi="Times New Roman" w:eastAsia="宋体" w:cs="Times New Roman"/>
                <w:kern w:val="2"/>
                <w:sz w:val="21"/>
                <w:szCs w:val="24"/>
                <w:lang w:val="en-US" w:eastAsia="zh-CN" w:bidi="ar-SA"/>
              </w:rPr>
            </w:pPr>
            <w:r>
              <w:t>0.9429</w:t>
            </w:r>
          </w:p>
        </w:tc>
        <w:tc>
          <w:tcPr>
            <w:tcW w:w="1880" w:type="dxa"/>
            <w:shd w:val="clear" w:color="auto" w:fill="auto"/>
            <w:vAlign w:val="top"/>
          </w:tcPr>
          <w:p w14:paraId="33FB0202">
            <w:pPr>
              <w:jc w:val="center"/>
              <w:rPr>
                <w:rFonts w:hint="eastAsia" w:ascii="Times New Roman" w:hAnsi="Times New Roman" w:eastAsia="宋体" w:cs="Times New Roman"/>
                <w:kern w:val="2"/>
                <w:sz w:val="21"/>
                <w:szCs w:val="24"/>
                <w:lang w:val="en-US" w:eastAsia="zh-CN" w:bidi="ar-SA"/>
              </w:rPr>
            </w:pPr>
            <w:r>
              <w:t>9.8833</w:t>
            </w:r>
          </w:p>
        </w:tc>
        <w:tc>
          <w:tcPr>
            <w:tcW w:w="2648" w:type="dxa"/>
            <w:shd w:val="clear" w:color="auto" w:fill="auto"/>
            <w:vAlign w:val="top"/>
          </w:tcPr>
          <w:p w14:paraId="603EFC50">
            <w:pPr>
              <w:jc w:val="center"/>
              <w:rPr>
                <w:rFonts w:hint="default" w:ascii="Times New Roman" w:hAnsi="Times New Roman" w:eastAsia="宋体" w:cs="Times New Roman"/>
                <w:kern w:val="2"/>
                <w:sz w:val="21"/>
                <w:szCs w:val="24"/>
                <w:lang w:val="en-US" w:eastAsia="zh-CN" w:bidi="ar-SA"/>
              </w:rPr>
            </w:pPr>
            <w:r>
              <w:t>9.9282</w:t>
            </w:r>
          </w:p>
        </w:tc>
      </w:tr>
      <w:tr w14:paraId="1138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53FE1EBF">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-47</w:t>
            </w:r>
          </w:p>
        </w:tc>
        <w:tc>
          <w:tcPr>
            <w:tcW w:w="2567" w:type="dxa"/>
            <w:shd w:val="clear" w:color="auto" w:fill="auto"/>
            <w:vAlign w:val="top"/>
          </w:tcPr>
          <w:p w14:paraId="2B684CDD">
            <w:pPr>
              <w:jc w:val="center"/>
              <w:rPr>
                <w:rFonts w:hint="default" w:ascii="Times New Roman" w:hAnsi="Times New Roman" w:eastAsia="宋体" w:cs="Times New Roman"/>
                <w:kern w:val="2"/>
                <w:sz w:val="21"/>
                <w:szCs w:val="24"/>
                <w:lang w:val="en-US" w:eastAsia="zh-CN" w:bidi="ar-SA"/>
              </w:rPr>
            </w:pPr>
            <w:r>
              <w:t>0.9945</w:t>
            </w:r>
          </w:p>
        </w:tc>
        <w:tc>
          <w:tcPr>
            <w:tcW w:w="1880" w:type="dxa"/>
            <w:shd w:val="clear" w:color="auto" w:fill="auto"/>
            <w:vAlign w:val="top"/>
          </w:tcPr>
          <w:p w14:paraId="0554814A">
            <w:pPr>
              <w:jc w:val="center"/>
              <w:rPr>
                <w:rFonts w:hint="eastAsia" w:ascii="Times New Roman" w:hAnsi="Times New Roman" w:eastAsia="宋体" w:cs="Times New Roman"/>
                <w:kern w:val="2"/>
                <w:sz w:val="21"/>
                <w:szCs w:val="24"/>
                <w:lang w:val="en-US" w:eastAsia="zh-CN" w:bidi="ar-SA"/>
              </w:rPr>
            </w:pPr>
            <w:r>
              <w:t>10.1022</w:t>
            </w:r>
          </w:p>
        </w:tc>
        <w:tc>
          <w:tcPr>
            <w:tcW w:w="2648" w:type="dxa"/>
            <w:shd w:val="clear" w:color="auto" w:fill="auto"/>
            <w:vAlign w:val="top"/>
          </w:tcPr>
          <w:p w14:paraId="500F5C50">
            <w:pPr>
              <w:jc w:val="center"/>
              <w:rPr>
                <w:rFonts w:hint="default" w:ascii="Times New Roman" w:hAnsi="Times New Roman" w:eastAsia="宋体" w:cs="Times New Roman"/>
                <w:kern w:val="2"/>
                <w:sz w:val="21"/>
                <w:szCs w:val="24"/>
                <w:lang w:val="en-US" w:eastAsia="zh-CN" w:bidi="ar-SA"/>
              </w:rPr>
            </w:pPr>
            <w:r>
              <w:t>10.1510</w:t>
            </w:r>
          </w:p>
        </w:tc>
      </w:tr>
      <w:tr w14:paraId="22501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502D8E63">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-46</w:t>
            </w:r>
          </w:p>
        </w:tc>
        <w:tc>
          <w:tcPr>
            <w:tcW w:w="2567" w:type="dxa"/>
            <w:shd w:val="clear" w:color="auto" w:fill="auto"/>
            <w:vAlign w:val="top"/>
          </w:tcPr>
          <w:p w14:paraId="15891BDC">
            <w:pPr>
              <w:jc w:val="center"/>
              <w:rPr>
                <w:rFonts w:hint="eastAsia" w:ascii="Times New Roman" w:hAnsi="Times New Roman" w:eastAsia="宋体" w:cs="Times New Roman"/>
                <w:kern w:val="2"/>
                <w:sz w:val="21"/>
                <w:szCs w:val="24"/>
                <w:lang w:val="en-US" w:eastAsia="zh-CN" w:bidi="ar-SA"/>
              </w:rPr>
            </w:pPr>
            <w:r>
              <w:t>1.0498</w:t>
            </w:r>
          </w:p>
        </w:tc>
        <w:tc>
          <w:tcPr>
            <w:tcW w:w="1880" w:type="dxa"/>
            <w:shd w:val="clear" w:color="auto" w:fill="auto"/>
            <w:vAlign w:val="top"/>
          </w:tcPr>
          <w:p w14:paraId="4AE40C70">
            <w:pPr>
              <w:jc w:val="center"/>
              <w:rPr>
                <w:rFonts w:hint="eastAsia" w:ascii="Times New Roman" w:hAnsi="Times New Roman" w:eastAsia="宋体" w:cs="Times New Roman"/>
                <w:kern w:val="2"/>
                <w:sz w:val="21"/>
                <w:szCs w:val="24"/>
                <w:lang w:val="en-US" w:eastAsia="zh-CN" w:bidi="ar-SA"/>
              </w:rPr>
            </w:pPr>
            <w:r>
              <w:t>10.3312</w:t>
            </w:r>
          </w:p>
        </w:tc>
        <w:tc>
          <w:tcPr>
            <w:tcW w:w="2648" w:type="dxa"/>
            <w:shd w:val="clear" w:color="auto" w:fill="auto"/>
            <w:vAlign w:val="top"/>
          </w:tcPr>
          <w:p w14:paraId="43317E77">
            <w:pPr>
              <w:jc w:val="center"/>
              <w:rPr>
                <w:rFonts w:hint="default" w:ascii="Times New Roman" w:hAnsi="Times New Roman" w:eastAsia="宋体" w:cs="Times New Roman"/>
                <w:kern w:val="2"/>
                <w:sz w:val="21"/>
                <w:szCs w:val="24"/>
                <w:lang w:val="en-US" w:eastAsia="zh-CN" w:bidi="ar-SA"/>
              </w:rPr>
            </w:pPr>
            <w:r>
              <w:t>10.3844</w:t>
            </w:r>
          </w:p>
        </w:tc>
      </w:tr>
      <w:tr w14:paraId="3781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491D47F3">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-45</w:t>
            </w:r>
          </w:p>
        </w:tc>
        <w:tc>
          <w:tcPr>
            <w:tcW w:w="2567" w:type="dxa"/>
            <w:shd w:val="clear" w:color="auto" w:fill="auto"/>
            <w:vAlign w:val="top"/>
          </w:tcPr>
          <w:p w14:paraId="5875A703">
            <w:pPr>
              <w:jc w:val="center"/>
              <w:rPr>
                <w:rFonts w:hint="eastAsia" w:ascii="Times New Roman" w:hAnsi="Times New Roman" w:eastAsia="宋体" w:cs="Times New Roman"/>
                <w:kern w:val="2"/>
                <w:sz w:val="21"/>
                <w:szCs w:val="24"/>
                <w:lang w:val="en-US" w:eastAsia="zh-CN" w:bidi="ar-SA"/>
              </w:rPr>
            </w:pPr>
            <w:r>
              <w:t>1.1093</w:t>
            </w:r>
          </w:p>
        </w:tc>
        <w:tc>
          <w:tcPr>
            <w:tcW w:w="1880" w:type="dxa"/>
            <w:shd w:val="clear" w:color="auto" w:fill="auto"/>
            <w:vAlign w:val="top"/>
          </w:tcPr>
          <w:p w14:paraId="70E89F73">
            <w:pPr>
              <w:jc w:val="center"/>
              <w:rPr>
                <w:rFonts w:hint="eastAsia" w:ascii="Times New Roman" w:hAnsi="Times New Roman" w:eastAsia="宋体" w:cs="Times New Roman"/>
                <w:kern w:val="2"/>
                <w:sz w:val="21"/>
                <w:szCs w:val="24"/>
                <w:lang w:val="en-US" w:eastAsia="zh-CN" w:bidi="ar-SA"/>
              </w:rPr>
            </w:pPr>
            <w:r>
              <w:t>10.5709</w:t>
            </w:r>
          </w:p>
        </w:tc>
        <w:tc>
          <w:tcPr>
            <w:tcW w:w="2648" w:type="dxa"/>
            <w:shd w:val="clear" w:color="auto" w:fill="auto"/>
            <w:vAlign w:val="top"/>
          </w:tcPr>
          <w:p w14:paraId="48239EBE">
            <w:pPr>
              <w:jc w:val="center"/>
              <w:rPr>
                <w:rFonts w:hint="default" w:ascii="Times New Roman" w:hAnsi="Times New Roman" w:eastAsia="宋体" w:cs="Times New Roman"/>
                <w:kern w:val="2"/>
                <w:sz w:val="21"/>
                <w:szCs w:val="24"/>
                <w:lang w:val="en-US" w:eastAsia="zh-CN" w:bidi="ar-SA"/>
              </w:rPr>
            </w:pPr>
            <w:r>
              <w:t>10.6290</w:t>
            </w:r>
          </w:p>
        </w:tc>
      </w:tr>
      <w:tr w14:paraId="0B784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5E76223A">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-44</w:t>
            </w:r>
          </w:p>
        </w:tc>
        <w:tc>
          <w:tcPr>
            <w:tcW w:w="2567" w:type="dxa"/>
            <w:shd w:val="clear" w:color="auto" w:fill="auto"/>
            <w:vAlign w:val="top"/>
          </w:tcPr>
          <w:p w14:paraId="3CF00ECF">
            <w:pPr>
              <w:jc w:val="center"/>
              <w:rPr>
                <w:rFonts w:hint="eastAsia" w:ascii="Times New Roman" w:hAnsi="Times New Roman" w:eastAsia="宋体" w:cs="Times New Roman"/>
                <w:kern w:val="2"/>
                <w:sz w:val="21"/>
                <w:szCs w:val="24"/>
                <w:lang w:val="en-US" w:eastAsia="zh-CN" w:bidi="ar-SA"/>
              </w:rPr>
            </w:pPr>
            <w:r>
              <w:t>1.1735</w:t>
            </w:r>
          </w:p>
        </w:tc>
        <w:tc>
          <w:tcPr>
            <w:tcW w:w="1880" w:type="dxa"/>
            <w:shd w:val="clear" w:color="auto" w:fill="auto"/>
            <w:vAlign w:val="top"/>
          </w:tcPr>
          <w:p w14:paraId="018539CF">
            <w:pPr>
              <w:jc w:val="center"/>
              <w:rPr>
                <w:rFonts w:hint="eastAsia" w:ascii="Times New Roman" w:hAnsi="Times New Roman" w:eastAsia="宋体" w:cs="Times New Roman"/>
                <w:kern w:val="2"/>
                <w:sz w:val="21"/>
                <w:szCs w:val="24"/>
                <w:lang w:val="en-US" w:eastAsia="zh-CN" w:bidi="ar-SA"/>
              </w:rPr>
            </w:pPr>
            <w:r>
              <w:t>10.8222</w:t>
            </w:r>
          </w:p>
        </w:tc>
        <w:tc>
          <w:tcPr>
            <w:tcW w:w="2648" w:type="dxa"/>
            <w:shd w:val="clear" w:color="auto" w:fill="auto"/>
            <w:vAlign w:val="top"/>
          </w:tcPr>
          <w:p w14:paraId="6B0FB4BA">
            <w:pPr>
              <w:jc w:val="center"/>
              <w:rPr>
                <w:rFonts w:hint="default" w:ascii="Times New Roman" w:hAnsi="Times New Roman" w:eastAsia="宋体" w:cs="Times New Roman"/>
                <w:kern w:val="2"/>
                <w:sz w:val="21"/>
                <w:szCs w:val="24"/>
                <w:lang w:val="en-US" w:eastAsia="zh-CN" w:bidi="ar-SA"/>
              </w:rPr>
            </w:pPr>
            <w:r>
              <w:t>10.8856</w:t>
            </w:r>
          </w:p>
        </w:tc>
      </w:tr>
      <w:tr w14:paraId="6DEA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54490C74">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-43</w:t>
            </w:r>
          </w:p>
        </w:tc>
        <w:tc>
          <w:tcPr>
            <w:tcW w:w="2567" w:type="dxa"/>
            <w:shd w:val="clear" w:color="auto" w:fill="auto"/>
            <w:vAlign w:val="top"/>
          </w:tcPr>
          <w:p w14:paraId="0CF9C421">
            <w:pPr>
              <w:jc w:val="center"/>
              <w:rPr>
                <w:rFonts w:hint="eastAsia" w:ascii="Times New Roman" w:hAnsi="Times New Roman" w:eastAsia="宋体" w:cs="Times New Roman"/>
                <w:kern w:val="2"/>
                <w:sz w:val="21"/>
                <w:szCs w:val="24"/>
                <w:lang w:val="en-US" w:eastAsia="zh-CN" w:bidi="ar-SA"/>
              </w:rPr>
            </w:pPr>
            <w:r>
              <w:t>1.2427</w:t>
            </w:r>
          </w:p>
        </w:tc>
        <w:tc>
          <w:tcPr>
            <w:tcW w:w="1880" w:type="dxa"/>
            <w:shd w:val="clear" w:color="auto" w:fill="auto"/>
            <w:vAlign w:val="top"/>
          </w:tcPr>
          <w:p w14:paraId="529FCC68">
            <w:pPr>
              <w:jc w:val="center"/>
              <w:rPr>
                <w:rFonts w:hint="eastAsia" w:ascii="Times New Roman" w:hAnsi="Times New Roman" w:eastAsia="宋体" w:cs="Times New Roman"/>
                <w:kern w:val="2"/>
                <w:sz w:val="21"/>
                <w:szCs w:val="24"/>
                <w:lang w:val="en-US" w:eastAsia="zh-CN" w:bidi="ar-SA"/>
              </w:rPr>
            </w:pPr>
            <w:r>
              <w:t>11.0859</w:t>
            </w:r>
          </w:p>
        </w:tc>
        <w:tc>
          <w:tcPr>
            <w:tcW w:w="2648" w:type="dxa"/>
            <w:shd w:val="clear" w:color="auto" w:fill="auto"/>
            <w:vAlign w:val="top"/>
          </w:tcPr>
          <w:p w14:paraId="4E812FD9">
            <w:pPr>
              <w:jc w:val="center"/>
              <w:rPr>
                <w:rFonts w:hint="default" w:ascii="Times New Roman" w:hAnsi="Times New Roman" w:eastAsia="宋体" w:cs="Times New Roman"/>
                <w:kern w:val="2"/>
                <w:sz w:val="21"/>
                <w:szCs w:val="24"/>
                <w:lang w:val="en-US" w:eastAsia="zh-CN" w:bidi="ar-SA"/>
              </w:rPr>
            </w:pPr>
            <w:r>
              <w:t>11.1553</w:t>
            </w:r>
          </w:p>
        </w:tc>
      </w:tr>
      <w:tr w14:paraId="0B5C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3937C520">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-42</w:t>
            </w:r>
          </w:p>
        </w:tc>
        <w:tc>
          <w:tcPr>
            <w:tcW w:w="2567" w:type="dxa"/>
            <w:shd w:val="clear" w:color="auto" w:fill="auto"/>
            <w:vAlign w:val="top"/>
          </w:tcPr>
          <w:p w14:paraId="01791713">
            <w:pPr>
              <w:jc w:val="center"/>
              <w:rPr>
                <w:rFonts w:hint="eastAsia" w:ascii="Times New Roman" w:hAnsi="Times New Roman" w:eastAsia="宋体" w:cs="Times New Roman"/>
                <w:kern w:val="2"/>
                <w:sz w:val="21"/>
                <w:szCs w:val="24"/>
                <w:lang w:val="en-US" w:eastAsia="zh-CN" w:bidi="ar-SA"/>
              </w:rPr>
            </w:pPr>
            <w:r>
              <w:t>1.3177</w:t>
            </w:r>
          </w:p>
        </w:tc>
        <w:tc>
          <w:tcPr>
            <w:tcW w:w="1880" w:type="dxa"/>
            <w:shd w:val="clear" w:color="auto" w:fill="auto"/>
            <w:vAlign w:val="top"/>
          </w:tcPr>
          <w:p w14:paraId="1B4991EC">
            <w:pPr>
              <w:jc w:val="center"/>
              <w:rPr>
                <w:rFonts w:hint="eastAsia" w:ascii="Times New Roman" w:hAnsi="Times New Roman" w:eastAsia="宋体" w:cs="Times New Roman"/>
                <w:kern w:val="2"/>
                <w:sz w:val="21"/>
                <w:szCs w:val="24"/>
                <w:lang w:val="en-US" w:eastAsia="zh-CN" w:bidi="ar-SA"/>
              </w:rPr>
            </w:pPr>
            <w:r>
              <w:t>11.3630</w:t>
            </w:r>
          </w:p>
        </w:tc>
        <w:tc>
          <w:tcPr>
            <w:tcW w:w="2648" w:type="dxa"/>
            <w:shd w:val="clear" w:color="auto" w:fill="auto"/>
            <w:vAlign w:val="top"/>
          </w:tcPr>
          <w:p w14:paraId="2AD8F7CD">
            <w:pPr>
              <w:jc w:val="center"/>
              <w:rPr>
                <w:rFonts w:hint="default" w:ascii="Times New Roman" w:hAnsi="Times New Roman" w:eastAsia="宋体" w:cs="Times New Roman"/>
                <w:kern w:val="2"/>
                <w:sz w:val="21"/>
                <w:szCs w:val="24"/>
                <w:lang w:val="en-US" w:eastAsia="zh-CN" w:bidi="ar-SA"/>
              </w:rPr>
            </w:pPr>
            <w:r>
              <w:t>11.4391</w:t>
            </w:r>
          </w:p>
        </w:tc>
      </w:tr>
      <w:tr w14:paraId="7ECBF05D">
        <w:tblPrEx>
          <w:tblCellMar>
            <w:top w:w="0" w:type="dxa"/>
            <w:left w:w="108" w:type="dxa"/>
            <w:bottom w:w="0" w:type="dxa"/>
            <w:right w:w="108" w:type="dxa"/>
          </w:tblCellMar>
        </w:tblPrEx>
        <w:tc>
          <w:tcPr>
            <w:tcW w:w="1965" w:type="dxa"/>
            <w:vAlign w:val="top"/>
          </w:tcPr>
          <w:p w14:paraId="76226CCA">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-41</w:t>
            </w:r>
          </w:p>
        </w:tc>
        <w:tc>
          <w:tcPr>
            <w:tcW w:w="2567" w:type="dxa"/>
            <w:shd w:val="clear" w:color="auto" w:fill="auto"/>
            <w:vAlign w:val="top"/>
          </w:tcPr>
          <w:p w14:paraId="0BAAF731">
            <w:pPr>
              <w:jc w:val="center"/>
              <w:rPr>
                <w:rFonts w:hint="eastAsia" w:ascii="Times New Roman" w:hAnsi="Times New Roman" w:eastAsia="宋体" w:cs="Times New Roman"/>
                <w:kern w:val="2"/>
                <w:sz w:val="21"/>
                <w:szCs w:val="24"/>
                <w:lang w:val="en-US" w:eastAsia="zh-CN" w:bidi="ar-SA"/>
              </w:rPr>
            </w:pPr>
            <w:r>
              <w:t>1.3990</w:t>
            </w:r>
          </w:p>
        </w:tc>
        <w:tc>
          <w:tcPr>
            <w:tcW w:w="1880" w:type="dxa"/>
            <w:shd w:val="clear" w:color="auto" w:fill="auto"/>
            <w:vAlign w:val="top"/>
          </w:tcPr>
          <w:p w14:paraId="1B1818C3">
            <w:pPr>
              <w:jc w:val="center"/>
              <w:rPr>
                <w:rFonts w:hint="eastAsia" w:ascii="Times New Roman" w:hAnsi="Times New Roman" w:eastAsia="宋体" w:cs="Times New Roman"/>
                <w:kern w:val="2"/>
                <w:sz w:val="21"/>
                <w:szCs w:val="24"/>
                <w:lang w:val="en-US" w:eastAsia="zh-CN" w:bidi="ar-SA"/>
              </w:rPr>
            </w:pPr>
            <w:r>
              <w:t>11.6544</w:t>
            </w:r>
          </w:p>
        </w:tc>
        <w:tc>
          <w:tcPr>
            <w:tcW w:w="2648" w:type="dxa"/>
            <w:shd w:val="clear" w:color="auto" w:fill="auto"/>
            <w:vAlign w:val="top"/>
          </w:tcPr>
          <w:p w14:paraId="50B636AD">
            <w:pPr>
              <w:jc w:val="center"/>
              <w:rPr>
                <w:rFonts w:hint="default" w:ascii="Times New Roman" w:hAnsi="Times New Roman" w:eastAsia="宋体" w:cs="Times New Roman"/>
                <w:kern w:val="2"/>
                <w:sz w:val="21"/>
                <w:szCs w:val="24"/>
                <w:lang w:val="en-US" w:eastAsia="zh-CN" w:bidi="ar-SA"/>
              </w:rPr>
            </w:pPr>
            <w:r>
              <w:t>11.7381</w:t>
            </w:r>
          </w:p>
        </w:tc>
      </w:tr>
      <w:tr w14:paraId="3AF6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6B84A985">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-40</w:t>
            </w:r>
          </w:p>
        </w:tc>
        <w:tc>
          <w:tcPr>
            <w:tcW w:w="2567" w:type="dxa"/>
            <w:shd w:val="clear" w:color="auto" w:fill="auto"/>
            <w:vAlign w:val="top"/>
          </w:tcPr>
          <w:p w14:paraId="3853CD47">
            <w:pPr>
              <w:jc w:val="center"/>
              <w:rPr>
                <w:rFonts w:hint="eastAsia" w:ascii="Times New Roman" w:hAnsi="Times New Roman" w:eastAsia="宋体" w:cs="Times New Roman"/>
                <w:kern w:val="2"/>
                <w:sz w:val="21"/>
                <w:szCs w:val="24"/>
                <w:lang w:val="en-US" w:eastAsia="zh-CN" w:bidi="ar-SA"/>
              </w:rPr>
            </w:pPr>
            <w:r>
              <w:t>1.4874</w:t>
            </w:r>
          </w:p>
        </w:tc>
        <w:tc>
          <w:tcPr>
            <w:tcW w:w="1880" w:type="dxa"/>
            <w:shd w:val="clear" w:color="auto" w:fill="auto"/>
            <w:vAlign w:val="top"/>
          </w:tcPr>
          <w:p w14:paraId="4BD73CD0">
            <w:pPr>
              <w:jc w:val="center"/>
              <w:rPr>
                <w:rFonts w:hint="eastAsia" w:ascii="Times New Roman" w:hAnsi="Times New Roman" w:eastAsia="宋体" w:cs="Times New Roman"/>
                <w:kern w:val="2"/>
                <w:sz w:val="21"/>
                <w:szCs w:val="24"/>
                <w:lang w:val="en-US" w:eastAsia="zh-CN" w:bidi="ar-SA"/>
              </w:rPr>
            </w:pPr>
            <w:r>
              <w:t>11.9614</w:t>
            </w:r>
          </w:p>
        </w:tc>
        <w:tc>
          <w:tcPr>
            <w:tcW w:w="2648" w:type="dxa"/>
            <w:shd w:val="clear" w:color="auto" w:fill="auto"/>
            <w:vAlign w:val="top"/>
          </w:tcPr>
          <w:p w14:paraId="4A0FDA5A">
            <w:pPr>
              <w:jc w:val="center"/>
              <w:rPr>
                <w:rFonts w:hint="default" w:ascii="Times New Roman" w:hAnsi="Times New Roman" w:eastAsia="宋体" w:cs="Times New Roman"/>
                <w:kern w:val="2"/>
                <w:sz w:val="21"/>
                <w:szCs w:val="24"/>
                <w:lang w:val="en-US" w:eastAsia="zh-CN" w:bidi="ar-SA"/>
              </w:rPr>
            </w:pPr>
            <w:r>
              <w:t>12.0536</w:t>
            </w:r>
          </w:p>
        </w:tc>
      </w:tr>
      <w:tr w14:paraId="31FF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159F2386">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-39</w:t>
            </w:r>
          </w:p>
        </w:tc>
        <w:tc>
          <w:tcPr>
            <w:tcW w:w="2567" w:type="dxa"/>
            <w:shd w:val="clear" w:color="auto" w:fill="auto"/>
            <w:vAlign w:val="top"/>
          </w:tcPr>
          <w:p w14:paraId="44FCB7EE">
            <w:pPr>
              <w:jc w:val="center"/>
              <w:rPr>
                <w:rFonts w:hint="eastAsia" w:ascii="Times New Roman" w:hAnsi="Times New Roman" w:eastAsia="宋体" w:cs="Times New Roman"/>
                <w:kern w:val="2"/>
                <w:sz w:val="21"/>
                <w:szCs w:val="24"/>
                <w:lang w:val="en-US" w:eastAsia="zh-CN" w:bidi="ar-SA"/>
              </w:rPr>
            </w:pPr>
            <w:r>
              <w:t>1.5837</w:t>
            </w:r>
          </w:p>
        </w:tc>
        <w:tc>
          <w:tcPr>
            <w:tcW w:w="1880" w:type="dxa"/>
            <w:shd w:val="clear" w:color="auto" w:fill="auto"/>
            <w:vAlign w:val="top"/>
          </w:tcPr>
          <w:p w14:paraId="02A3D001">
            <w:pPr>
              <w:jc w:val="center"/>
              <w:rPr>
                <w:rFonts w:hint="eastAsia" w:ascii="Times New Roman" w:hAnsi="Times New Roman" w:eastAsia="宋体" w:cs="Times New Roman"/>
                <w:kern w:val="2"/>
                <w:sz w:val="21"/>
                <w:szCs w:val="24"/>
                <w:lang w:val="en-US" w:eastAsia="zh-CN" w:bidi="ar-SA"/>
              </w:rPr>
            </w:pPr>
            <w:r>
              <w:t>12.2853</w:t>
            </w:r>
          </w:p>
        </w:tc>
        <w:tc>
          <w:tcPr>
            <w:tcW w:w="2648" w:type="dxa"/>
            <w:shd w:val="clear" w:color="auto" w:fill="auto"/>
            <w:vAlign w:val="top"/>
          </w:tcPr>
          <w:p w14:paraId="155AA99A">
            <w:pPr>
              <w:jc w:val="center"/>
              <w:rPr>
                <w:rFonts w:hint="default" w:ascii="Times New Roman" w:hAnsi="Times New Roman" w:eastAsia="宋体" w:cs="Times New Roman"/>
                <w:kern w:val="2"/>
                <w:sz w:val="21"/>
                <w:szCs w:val="24"/>
                <w:lang w:val="en-US" w:eastAsia="zh-CN" w:bidi="ar-SA"/>
              </w:rPr>
            </w:pPr>
            <w:r>
              <w:t>12.3869</w:t>
            </w:r>
          </w:p>
        </w:tc>
      </w:tr>
      <w:tr w14:paraId="7A30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656078D5">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-38</w:t>
            </w:r>
          </w:p>
        </w:tc>
        <w:tc>
          <w:tcPr>
            <w:tcW w:w="2567" w:type="dxa"/>
            <w:shd w:val="clear" w:color="auto" w:fill="auto"/>
            <w:vAlign w:val="top"/>
          </w:tcPr>
          <w:p w14:paraId="264516B9">
            <w:pPr>
              <w:jc w:val="center"/>
              <w:rPr>
                <w:rFonts w:hint="eastAsia" w:ascii="Times New Roman" w:hAnsi="Times New Roman" w:eastAsia="宋体" w:cs="Times New Roman"/>
                <w:kern w:val="2"/>
                <w:sz w:val="21"/>
                <w:szCs w:val="24"/>
                <w:lang w:val="en-US" w:eastAsia="zh-CN" w:bidi="ar-SA"/>
              </w:rPr>
            </w:pPr>
            <w:r>
              <w:t>1.6890</w:t>
            </w:r>
          </w:p>
        </w:tc>
        <w:tc>
          <w:tcPr>
            <w:tcW w:w="1880" w:type="dxa"/>
            <w:shd w:val="clear" w:color="auto" w:fill="auto"/>
            <w:vAlign w:val="top"/>
          </w:tcPr>
          <w:p w14:paraId="28B6A922">
            <w:pPr>
              <w:jc w:val="center"/>
              <w:rPr>
                <w:rFonts w:hint="eastAsia" w:ascii="Times New Roman" w:hAnsi="Times New Roman" w:eastAsia="宋体" w:cs="Times New Roman"/>
                <w:kern w:val="2"/>
                <w:sz w:val="21"/>
                <w:szCs w:val="24"/>
                <w:lang w:val="en-US" w:eastAsia="zh-CN" w:bidi="ar-SA"/>
              </w:rPr>
            </w:pPr>
            <w:r>
              <w:t>12.6274</w:t>
            </w:r>
          </w:p>
        </w:tc>
        <w:tc>
          <w:tcPr>
            <w:tcW w:w="2648" w:type="dxa"/>
            <w:shd w:val="clear" w:color="auto" w:fill="auto"/>
            <w:vAlign w:val="top"/>
          </w:tcPr>
          <w:p w14:paraId="6529D36D">
            <w:pPr>
              <w:jc w:val="center"/>
              <w:rPr>
                <w:rFonts w:hint="default" w:ascii="Times New Roman" w:hAnsi="Times New Roman" w:eastAsia="宋体" w:cs="Times New Roman"/>
                <w:kern w:val="2"/>
                <w:sz w:val="21"/>
                <w:szCs w:val="24"/>
                <w:lang w:val="en-US" w:eastAsia="zh-CN" w:bidi="ar-SA"/>
              </w:rPr>
            </w:pPr>
            <w:r>
              <w:t>12.7398</w:t>
            </w:r>
          </w:p>
        </w:tc>
      </w:tr>
      <w:tr w14:paraId="6961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7E983038">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-37</w:t>
            </w:r>
          </w:p>
        </w:tc>
        <w:tc>
          <w:tcPr>
            <w:tcW w:w="2567" w:type="dxa"/>
            <w:shd w:val="clear" w:color="auto" w:fill="auto"/>
            <w:vAlign w:val="top"/>
          </w:tcPr>
          <w:p w14:paraId="26645648">
            <w:pPr>
              <w:jc w:val="center"/>
              <w:rPr>
                <w:rFonts w:hint="eastAsia" w:ascii="Times New Roman" w:hAnsi="Times New Roman" w:eastAsia="宋体" w:cs="Times New Roman"/>
                <w:kern w:val="2"/>
                <w:sz w:val="21"/>
                <w:szCs w:val="24"/>
                <w:lang w:val="en-US" w:eastAsia="zh-CN" w:bidi="ar-SA"/>
              </w:rPr>
            </w:pPr>
            <w:r>
              <w:t>1.8044</w:t>
            </w:r>
          </w:p>
        </w:tc>
        <w:tc>
          <w:tcPr>
            <w:tcW w:w="1880" w:type="dxa"/>
            <w:shd w:val="clear" w:color="auto" w:fill="auto"/>
            <w:vAlign w:val="top"/>
          </w:tcPr>
          <w:p w14:paraId="3924B4B3">
            <w:pPr>
              <w:jc w:val="center"/>
              <w:rPr>
                <w:rFonts w:hint="eastAsia" w:ascii="Times New Roman" w:hAnsi="Times New Roman" w:eastAsia="宋体" w:cs="Times New Roman"/>
                <w:kern w:val="2"/>
                <w:sz w:val="21"/>
                <w:szCs w:val="24"/>
                <w:lang w:val="en-US" w:eastAsia="zh-CN" w:bidi="ar-SA"/>
              </w:rPr>
            </w:pPr>
            <w:r>
              <w:t>12.9893</w:t>
            </w:r>
          </w:p>
        </w:tc>
        <w:tc>
          <w:tcPr>
            <w:tcW w:w="2648" w:type="dxa"/>
            <w:shd w:val="clear" w:color="auto" w:fill="auto"/>
            <w:vAlign w:val="top"/>
          </w:tcPr>
          <w:p w14:paraId="7D7A0AE1">
            <w:pPr>
              <w:jc w:val="center"/>
              <w:rPr>
                <w:rFonts w:hint="default" w:ascii="Times New Roman" w:hAnsi="Times New Roman" w:eastAsia="宋体" w:cs="Times New Roman"/>
                <w:kern w:val="2"/>
                <w:sz w:val="21"/>
                <w:szCs w:val="24"/>
                <w:lang w:val="en-US" w:eastAsia="zh-CN" w:bidi="ar-SA"/>
              </w:rPr>
            </w:pPr>
            <w:r>
              <w:t>13.1140</w:t>
            </w:r>
          </w:p>
        </w:tc>
      </w:tr>
      <w:tr w14:paraId="0565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18ACFE49">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-36</w:t>
            </w:r>
          </w:p>
        </w:tc>
        <w:tc>
          <w:tcPr>
            <w:tcW w:w="2567" w:type="dxa"/>
            <w:shd w:val="clear" w:color="auto" w:fill="auto"/>
            <w:vAlign w:val="top"/>
          </w:tcPr>
          <w:p w14:paraId="7788180C">
            <w:pPr>
              <w:jc w:val="center"/>
              <w:rPr>
                <w:rFonts w:hint="eastAsia" w:ascii="Times New Roman" w:hAnsi="Times New Roman" w:eastAsia="宋体" w:cs="Times New Roman"/>
                <w:kern w:val="2"/>
                <w:sz w:val="21"/>
                <w:szCs w:val="24"/>
                <w:lang w:val="en-US" w:eastAsia="zh-CN" w:bidi="ar-SA"/>
              </w:rPr>
            </w:pPr>
            <w:r>
              <w:t>1.9312</w:t>
            </w:r>
          </w:p>
        </w:tc>
        <w:tc>
          <w:tcPr>
            <w:tcW w:w="1880" w:type="dxa"/>
            <w:shd w:val="clear" w:color="auto" w:fill="auto"/>
            <w:vAlign w:val="top"/>
          </w:tcPr>
          <w:p w14:paraId="19E19D7F">
            <w:pPr>
              <w:jc w:val="center"/>
              <w:rPr>
                <w:rFonts w:hint="eastAsia" w:ascii="Times New Roman" w:hAnsi="Times New Roman" w:eastAsia="宋体" w:cs="Times New Roman"/>
                <w:kern w:val="2"/>
                <w:sz w:val="21"/>
                <w:szCs w:val="24"/>
                <w:lang w:val="en-US" w:eastAsia="zh-CN" w:bidi="ar-SA"/>
              </w:rPr>
            </w:pPr>
            <w:r>
              <w:t>13.3729</w:t>
            </w:r>
          </w:p>
        </w:tc>
        <w:tc>
          <w:tcPr>
            <w:tcW w:w="2648" w:type="dxa"/>
            <w:shd w:val="clear" w:color="auto" w:fill="auto"/>
            <w:vAlign w:val="top"/>
          </w:tcPr>
          <w:p w14:paraId="1FF2DE11">
            <w:pPr>
              <w:jc w:val="center"/>
              <w:rPr>
                <w:rFonts w:hint="default" w:ascii="Times New Roman" w:hAnsi="Times New Roman" w:eastAsia="宋体" w:cs="Times New Roman"/>
                <w:kern w:val="2"/>
                <w:sz w:val="21"/>
                <w:szCs w:val="24"/>
                <w:lang w:val="en-US" w:eastAsia="zh-CN" w:bidi="ar-SA"/>
              </w:rPr>
            </w:pPr>
            <w:r>
              <w:t>13.5116</w:t>
            </w:r>
          </w:p>
        </w:tc>
      </w:tr>
      <w:tr w14:paraId="105C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0706316E">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-35</w:t>
            </w:r>
          </w:p>
        </w:tc>
        <w:tc>
          <w:tcPr>
            <w:tcW w:w="2567" w:type="dxa"/>
            <w:shd w:val="clear" w:color="auto" w:fill="auto"/>
            <w:vAlign w:val="top"/>
          </w:tcPr>
          <w:p w14:paraId="3903B1DA">
            <w:pPr>
              <w:jc w:val="center"/>
              <w:rPr>
                <w:rFonts w:hint="eastAsia" w:ascii="Times New Roman" w:hAnsi="Times New Roman" w:eastAsia="宋体" w:cs="Times New Roman"/>
                <w:kern w:val="2"/>
                <w:sz w:val="21"/>
                <w:szCs w:val="24"/>
                <w:lang w:val="en-US" w:eastAsia="zh-CN" w:bidi="ar-SA"/>
              </w:rPr>
            </w:pPr>
            <w:r>
              <w:t>2.0711</w:t>
            </w:r>
          </w:p>
        </w:tc>
        <w:tc>
          <w:tcPr>
            <w:tcW w:w="1880" w:type="dxa"/>
            <w:shd w:val="clear" w:color="auto" w:fill="auto"/>
            <w:vAlign w:val="top"/>
          </w:tcPr>
          <w:p w14:paraId="12092F93">
            <w:pPr>
              <w:jc w:val="center"/>
              <w:rPr>
                <w:rFonts w:hint="eastAsia" w:ascii="Times New Roman" w:hAnsi="Times New Roman" w:eastAsia="宋体" w:cs="Times New Roman"/>
                <w:kern w:val="2"/>
                <w:sz w:val="21"/>
                <w:szCs w:val="24"/>
                <w:lang w:val="en-US" w:eastAsia="zh-CN" w:bidi="ar-SA"/>
              </w:rPr>
            </w:pPr>
            <w:r>
              <w:t>13.7800</w:t>
            </w:r>
          </w:p>
        </w:tc>
        <w:tc>
          <w:tcPr>
            <w:tcW w:w="2648" w:type="dxa"/>
            <w:shd w:val="clear" w:color="auto" w:fill="auto"/>
            <w:vAlign w:val="top"/>
          </w:tcPr>
          <w:p w14:paraId="3A2098B7">
            <w:pPr>
              <w:jc w:val="center"/>
              <w:rPr>
                <w:rFonts w:hint="default" w:ascii="Times New Roman" w:hAnsi="Times New Roman" w:eastAsia="宋体" w:cs="Times New Roman"/>
                <w:kern w:val="2"/>
                <w:sz w:val="21"/>
                <w:szCs w:val="24"/>
                <w:lang w:val="en-US" w:eastAsia="zh-CN" w:bidi="ar-SA"/>
              </w:rPr>
            </w:pPr>
            <w:r>
              <w:t>13.9347</w:t>
            </w:r>
          </w:p>
        </w:tc>
      </w:tr>
      <w:tr w14:paraId="58FE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314F9048">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-34</w:t>
            </w:r>
          </w:p>
        </w:tc>
        <w:tc>
          <w:tcPr>
            <w:tcW w:w="2567" w:type="dxa"/>
            <w:shd w:val="clear" w:color="auto" w:fill="auto"/>
            <w:vAlign w:val="top"/>
          </w:tcPr>
          <w:p w14:paraId="00630171">
            <w:pPr>
              <w:jc w:val="center"/>
              <w:rPr>
                <w:rFonts w:hint="eastAsia" w:ascii="Times New Roman" w:hAnsi="Times New Roman" w:eastAsia="宋体" w:cs="Times New Roman"/>
                <w:kern w:val="2"/>
                <w:sz w:val="21"/>
                <w:szCs w:val="24"/>
                <w:lang w:val="en-US" w:eastAsia="zh-CN" w:bidi="ar-SA"/>
              </w:rPr>
            </w:pPr>
            <w:r>
              <w:t>2.2260</w:t>
            </w:r>
          </w:p>
        </w:tc>
        <w:tc>
          <w:tcPr>
            <w:tcW w:w="1880" w:type="dxa"/>
            <w:shd w:val="clear" w:color="auto" w:fill="auto"/>
            <w:vAlign w:val="top"/>
          </w:tcPr>
          <w:p w14:paraId="17C16A16">
            <w:pPr>
              <w:jc w:val="center"/>
              <w:rPr>
                <w:rFonts w:hint="eastAsia" w:ascii="Times New Roman" w:hAnsi="Times New Roman" w:eastAsia="宋体" w:cs="Times New Roman"/>
                <w:kern w:val="2"/>
                <w:sz w:val="21"/>
                <w:szCs w:val="24"/>
                <w:lang w:val="en-US" w:eastAsia="zh-CN" w:bidi="ar-SA"/>
              </w:rPr>
            </w:pPr>
            <w:r>
              <w:t>14.2128</w:t>
            </w:r>
          </w:p>
        </w:tc>
        <w:tc>
          <w:tcPr>
            <w:tcW w:w="2648" w:type="dxa"/>
            <w:shd w:val="clear" w:color="auto" w:fill="auto"/>
            <w:vAlign w:val="top"/>
          </w:tcPr>
          <w:p w14:paraId="7B28659C">
            <w:pPr>
              <w:jc w:val="center"/>
              <w:rPr>
                <w:rFonts w:hint="default" w:ascii="Times New Roman" w:hAnsi="Times New Roman" w:eastAsia="宋体" w:cs="Times New Roman"/>
                <w:kern w:val="2"/>
                <w:sz w:val="21"/>
                <w:szCs w:val="24"/>
                <w:lang w:val="en-US" w:eastAsia="zh-CN" w:bidi="ar-SA"/>
              </w:rPr>
            </w:pPr>
            <w:r>
              <w:t>14.3861</w:t>
            </w:r>
          </w:p>
        </w:tc>
      </w:tr>
      <w:tr w14:paraId="7211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0B21E6D7">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-33</w:t>
            </w:r>
          </w:p>
        </w:tc>
        <w:tc>
          <w:tcPr>
            <w:tcW w:w="2567" w:type="dxa"/>
            <w:shd w:val="clear" w:color="auto" w:fill="auto"/>
            <w:vAlign w:val="top"/>
          </w:tcPr>
          <w:p w14:paraId="28A42C87">
            <w:pPr>
              <w:jc w:val="center"/>
              <w:rPr>
                <w:rFonts w:hint="eastAsia" w:ascii="Times New Roman" w:hAnsi="Times New Roman" w:eastAsia="宋体" w:cs="Times New Roman"/>
                <w:kern w:val="2"/>
                <w:sz w:val="21"/>
                <w:szCs w:val="24"/>
                <w:lang w:val="en-US" w:eastAsia="zh-CN" w:bidi="ar-SA"/>
              </w:rPr>
            </w:pPr>
            <w:r>
              <w:t>2.3981</w:t>
            </w:r>
          </w:p>
        </w:tc>
        <w:tc>
          <w:tcPr>
            <w:tcW w:w="1880" w:type="dxa"/>
            <w:shd w:val="clear" w:color="auto" w:fill="auto"/>
            <w:vAlign w:val="top"/>
          </w:tcPr>
          <w:p w14:paraId="0EA19521">
            <w:pPr>
              <w:jc w:val="center"/>
              <w:rPr>
                <w:rFonts w:hint="eastAsia" w:ascii="Times New Roman" w:hAnsi="Times New Roman" w:eastAsia="宋体" w:cs="Times New Roman"/>
                <w:kern w:val="2"/>
                <w:sz w:val="21"/>
                <w:szCs w:val="24"/>
                <w:lang w:val="en-US" w:eastAsia="zh-CN" w:bidi="ar-SA"/>
              </w:rPr>
            </w:pPr>
            <w:r>
              <w:t>14.6740</w:t>
            </w:r>
          </w:p>
        </w:tc>
        <w:tc>
          <w:tcPr>
            <w:tcW w:w="2648" w:type="dxa"/>
            <w:shd w:val="clear" w:color="auto" w:fill="auto"/>
            <w:vAlign w:val="top"/>
          </w:tcPr>
          <w:p w14:paraId="40548882">
            <w:pPr>
              <w:jc w:val="center"/>
              <w:rPr>
                <w:rFonts w:hint="default" w:ascii="Times New Roman" w:hAnsi="Times New Roman" w:eastAsia="宋体" w:cs="Times New Roman"/>
                <w:kern w:val="2"/>
                <w:sz w:val="21"/>
                <w:szCs w:val="24"/>
                <w:lang w:val="en-US" w:eastAsia="zh-CN" w:bidi="ar-SA"/>
              </w:rPr>
            </w:pPr>
            <w:r>
              <w:t>14.8686</w:t>
            </w:r>
          </w:p>
        </w:tc>
      </w:tr>
      <w:tr w14:paraId="179C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5C272635">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-32</w:t>
            </w:r>
          </w:p>
        </w:tc>
        <w:tc>
          <w:tcPr>
            <w:tcW w:w="2567" w:type="dxa"/>
            <w:shd w:val="clear" w:color="auto" w:fill="auto"/>
            <w:vAlign w:val="top"/>
          </w:tcPr>
          <w:p w14:paraId="45CB8C97">
            <w:pPr>
              <w:jc w:val="center"/>
              <w:rPr>
                <w:rFonts w:hint="eastAsia" w:ascii="Times New Roman" w:hAnsi="Times New Roman" w:eastAsia="宋体" w:cs="Times New Roman"/>
                <w:kern w:val="2"/>
                <w:sz w:val="21"/>
                <w:szCs w:val="24"/>
                <w:lang w:val="en-US" w:eastAsia="zh-CN" w:bidi="ar-SA"/>
              </w:rPr>
            </w:pPr>
            <w:r>
              <w:t>2.5900</w:t>
            </w:r>
          </w:p>
        </w:tc>
        <w:tc>
          <w:tcPr>
            <w:tcW w:w="1880" w:type="dxa"/>
            <w:shd w:val="clear" w:color="auto" w:fill="auto"/>
            <w:vAlign w:val="top"/>
          </w:tcPr>
          <w:p w14:paraId="1B25AC64">
            <w:pPr>
              <w:jc w:val="center"/>
              <w:rPr>
                <w:rFonts w:hint="eastAsia" w:ascii="Times New Roman" w:hAnsi="Times New Roman" w:eastAsia="宋体" w:cs="Times New Roman"/>
                <w:kern w:val="2"/>
                <w:sz w:val="21"/>
                <w:szCs w:val="24"/>
                <w:lang w:val="en-US" w:eastAsia="zh-CN" w:bidi="ar-SA"/>
              </w:rPr>
            </w:pPr>
            <w:r>
              <w:t>15.1662</w:t>
            </w:r>
          </w:p>
        </w:tc>
        <w:tc>
          <w:tcPr>
            <w:tcW w:w="2648" w:type="dxa"/>
            <w:shd w:val="clear" w:color="auto" w:fill="auto"/>
            <w:vAlign w:val="top"/>
          </w:tcPr>
          <w:p w14:paraId="6D63ABC5">
            <w:pPr>
              <w:jc w:val="center"/>
              <w:rPr>
                <w:rFonts w:hint="default" w:ascii="Times New Roman" w:hAnsi="Times New Roman" w:eastAsia="宋体" w:cs="Times New Roman"/>
                <w:kern w:val="2"/>
                <w:sz w:val="21"/>
                <w:szCs w:val="24"/>
                <w:lang w:val="en-US" w:eastAsia="zh-CN" w:bidi="ar-SA"/>
              </w:rPr>
            </w:pPr>
            <w:r>
              <w:t>15.3857</w:t>
            </w:r>
          </w:p>
        </w:tc>
      </w:tr>
      <w:tr w14:paraId="2568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468121C2">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-31</w:t>
            </w:r>
          </w:p>
        </w:tc>
        <w:tc>
          <w:tcPr>
            <w:tcW w:w="2567" w:type="dxa"/>
            <w:shd w:val="clear" w:color="auto" w:fill="auto"/>
            <w:vAlign w:val="top"/>
          </w:tcPr>
          <w:p w14:paraId="02102311">
            <w:pPr>
              <w:jc w:val="center"/>
              <w:rPr>
                <w:rFonts w:hint="eastAsia" w:ascii="Times New Roman" w:hAnsi="Times New Roman" w:eastAsia="宋体" w:cs="Times New Roman"/>
                <w:kern w:val="2"/>
                <w:sz w:val="21"/>
                <w:szCs w:val="24"/>
                <w:lang w:val="en-US" w:eastAsia="zh-CN" w:bidi="ar-SA"/>
              </w:rPr>
            </w:pPr>
            <w:r>
              <w:t>2.8050</w:t>
            </w:r>
          </w:p>
        </w:tc>
        <w:tc>
          <w:tcPr>
            <w:tcW w:w="1880" w:type="dxa"/>
            <w:shd w:val="clear" w:color="auto" w:fill="auto"/>
            <w:vAlign w:val="top"/>
          </w:tcPr>
          <w:p w14:paraId="2C7809D4">
            <w:pPr>
              <w:jc w:val="center"/>
              <w:rPr>
                <w:rFonts w:hint="eastAsia" w:ascii="Times New Roman" w:hAnsi="Times New Roman" w:eastAsia="宋体" w:cs="Times New Roman"/>
                <w:kern w:val="2"/>
                <w:sz w:val="21"/>
                <w:szCs w:val="24"/>
                <w:lang w:val="en-US" w:eastAsia="zh-CN" w:bidi="ar-SA"/>
              </w:rPr>
            </w:pPr>
            <w:r>
              <w:t>15.6926</w:t>
            </w:r>
          </w:p>
        </w:tc>
        <w:tc>
          <w:tcPr>
            <w:tcW w:w="2648" w:type="dxa"/>
            <w:shd w:val="clear" w:color="auto" w:fill="auto"/>
            <w:vAlign w:val="top"/>
          </w:tcPr>
          <w:p w14:paraId="79AD439B">
            <w:pPr>
              <w:jc w:val="center"/>
              <w:rPr>
                <w:rFonts w:hint="default" w:ascii="Times New Roman" w:hAnsi="Times New Roman" w:eastAsia="宋体" w:cs="Times New Roman"/>
                <w:kern w:val="2"/>
                <w:sz w:val="21"/>
                <w:szCs w:val="24"/>
                <w:lang w:val="en-US" w:eastAsia="zh-CN" w:bidi="ar-SA"/>
              </w:rPr>
            </w:pPr>
            <w:r>
              <w:t>15.9413</w:t>
            </w:r>
          </w:p>
        </w:tc>
      </w:tr>
      <w:tr w14:paraId="15320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70B9EE51">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-30</w:t>
            </w:r>
          </w:p>
        </w:tc>
        <w:tc>
          <w:tcPr>
            <w:tcW w:w="2567" w:type="dxa"/>
            <w:shd w:val="clear" w:color="auto" w:fill="auto"/>
            <w:vAlign w:val="top"/>
          </w:tcPr>
          <w:p w14:paraId="0494DF90">
            <w:pPr>
              <w:jc w:val="center"/>
              <w:rPr>
                <w:rFonts w:hint="eastAsia" w:ascii="Times New Roman" w:hAnsi="Times New Roman" w:eastAsia="宋体" w:cs="Times New Roman"/>
                <w:kern w:val="2"/>
                <w:sz w:val="21"/>
                <w:szCs w:val="24"/>
                <w:lang w:val="en-US" w:eastAsia="zh-CN" w:bidi="ar-SA"/>
              </w:rPr>
            </w:pPr>
            <w:r>
              <w:t>3.0471</w:t>
            </w:r>
          </w:p>
        </w:tc>
        <w:tc>
          <w:tcPr>
            <w:tcW w:w="1880" w:type="dxa"/>
            <w:shd w:val="clear" w:color="auto" w:fill="auto"/>
            <w:vAlign w:val="top"/>
          </w:tcPr>
          <w:p w14:paraId="2461E7E8">
            <w:pPr>
              <w:jc w:val="center"/>
              <w:rPr>
                <w:rFonts w:hint="eastAsia" w:ascii="Times New Roman" w:hAnsi="Times New Roman" w:eastAsia="宋体" w:cs="Times New Roman"/>
                <w:kern w:val="2"/>
                <w:sz w:val="21"/>
                <w:szCs w:val="24"/>
                <w:lang w:val="en-US" w:eastAsia="zh-CN" w:bidi="ar-SA"/>
              </w:rPr>
            </w:pPr>
            <w:r>
              <w:t>16.2567</w:t>
            </w:r>
          </w:p>
        </w:tc>
        <w:tc>
          <w:tcPr>
            <w:tcW w:w="2648" w:type="dxa"/>
            <w:shd w:val="clear" w:color="auto" w:fill="auto"/>
            <w:vAlign w:val="top"/>
          </w:tcPr>
          <w:p w14:paraId="797EB4F9">
            <w:pPr>
              <w:jc w:val="center"/>
              <w:rPr>
                <w:rFonts w:hint="default" w:ascii="Times New Roman" w:hAnsi="Times New Roman" w:eastAsia="宋体" w:cs="Times New Roman"/>
                <w:kern w:val="2"/>
                <w:sz w:val="21"/>
                <w:szCs w:val="24"/>
                <w:lang w:val="en-US" w:eastAsia="zh-CN" w:bidi="ar-SA"/>
              </w:rPr>
            </w:pPr>
            <w:r>
              <w:t>16.5398</w:t>
            </w:r>
          </w:p>
        </w:tc>
      </w:tr>
      <w:tr w14:paraId="2B4D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41257E2A">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-29</w:t>
            </w:r>
          </w:p>
        </w:tc>
        <w:tc>
          <w:tcPr>
            <w:tcW w:w="2567" w:type="dxa"/>
            <w:shd w:val="clear" w:color="auto" w:fill="auto"/>
            <w:vAlign w:val="top"/>
          </w:tcPr>
          <w:p w14:paraId="0093C786">
            <w:pPr>
              <w:jc w:val="center"/>
              <w:rPr>
                <w:rFonts w:hint="eastAsia" w:ascii="Times New Roman" w:hAnsi="Times New Roman" w:eastAsia="宋体" w:cs="Times New Roman"/>
                <w:kern w:val="2"/>
                <w:sz w:val="21"/>
                <w:szCs w:val="24"/>
                <w:lang w:val="en-US" w:eastAsia="zh-CN" w:bidi="ar-SA"/>
              </w:rPr>
            </w:pPr>
            <w:r>
              <w:t>3.3209</w:t>
            </w:r>
          </w:p>
        </w:tc>
        <w:tc>
          <w:tcPr>
            <w:tcW w:w="1880" w:type="dxa"/>
            <w:shd w:val="clear" w:color="auto" w:fill="auto"/>
            <w:vAlign w:val="top"/>
          </w:tcPr>
          <w:p w14:paraId="3FCECEDA">
            <w:pPr>
              <w:jc w:val="center"/>
              <w:rPr>
                <w:rFonts w:hint="eastAsia" w:ascii="Times New Roman" w:hAnsi="Times New Roman" w:eastAsia="宋体" w:cs="Times New Roman"/>
                <w:kern w:val="2"/>
                <w:sz w:val="21"/>
                <w:szCs w:val="24"/>
                <w:lang w:val="en-US" w:eastAsia="zh-CN" w:bidi="ar-SA"/>
              </w:rPr>
            </w:pPr>
            <w:r>
              <w:t>16.8626</w:t>
            </w:r>
          </w:p>
        </w:tc>
        <w:tc>
          <w:tcPr>
            <w:tcW w:w="2648" w:type="dxa"/>
            <w:shd w:val="clear" w:color="auto" w:fill="auto"/>
            <w:vAlign w:val="top"/>
          </w:tcPr>
          <w:p w14:paraId="7078BCDB">
            <w:pPr>
              <w:jc w:val="center"/>
              <w:rPr>
                <w:rFonts w:hint="default" w:ascii="Times New Roman" w:hAnsi="Times New Roman" w:eastAsia="宋体" w:cs="Times New Roman"/>
                <w:kern w:val="2"/>
                <w:sz w:val="21"/>
                <w:szCs w:val="24"/>
                <w:lang w:val="en-US" w:eastAsia="zh-CN" w:bidi="ar-SA"/>
              </w:rPr>
            </w:pPr>
            <w:r>
              <w:t>17.1864</w:t>
            </w:r>
          </w:p>
        </w:tc>
      </w:tr>
      <w:tr w14:paraId="75C8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2BEB6BB4">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-28</w:t>
            </w:r>
          </w:p>
        </w:tc>
        <w:tc>
          <w:tcPr>
            <w:tcW w:w="2567" w:type="dxa"/>
            <w:shd w:val="clear" w:color="auto" w:fill="auto"/>
            <w:vAlign w:val="top"/>
          </w:tcPr>
          <w:p w14:paraId="2C33043F">
            <w:pPr>
              <w:jc w:val="center"/>
              <w:rPr>
                <w:rFonts w:hint="eastAsia" w:ascii="Times New Roman" w:hAnsi="Times New Roman" w:eastAsia="宋体" w:cs="Times New Roman"/>
                <w:kern w:val="2"/>
                <w:sz w:val="21"/>
                <w:szCs w:val="24"/>
                <w:lang w:val="en-US" w:eastAsia="zh-CN" w:bidi="ar-SA"/>
              </w:rPr>
            </w:pPr>
            <w:r>
              <w:t>3.6323</w:t>
            </w:r>
          </w:p>
        </w:tc>
        <w:tc>
          <w:tcPr>
            <w:tcW w:w="1880" w:type="dxa"/>
            <w:shd w:val="clear" w:color="auto" w:fill="auto"/>
            <w:vAlign w:val="top"/>
          </w:tcPr>
          <w:p w14:paraId="5F086B66">
            <w:pPr>
              <w:jc w:val="center"/>
              <w:rPr>
                <w:rFonts w:hint="eastAsia" w:ascii="Times New Roman" w:hAnsi="Times New Roman" w:eastAsia="宋体" w:cs="Times New Roman"/>
                <w:kern w:val="2"/>
                <w:sz w:val="21"/>
                <w:szCs w:val="24"/>
                <w:lang w:val="en-US" w:eastAsia="zh-CN" w:bidi="ar-SA"/>
              </w:rPr>
            </w:pPr>
            <w:r>
              <w:t>17.5146</w:t>
            </w:r>
          </w:p>
        </w:tc>
        <w:tc>
          <w:tcPr>
            <w:tcW w:w="2648" w:type="dxa"/>
            <w:shd w:val="clear" w:color="auto" w:fill="auto"/>
            <w:vAlign w:val="top"/>
          </w:tcPr>
          <w:p w14:paraId="10E94660">
            <w:pPr>
              <w:jc w:val="center"/>
              <w:rPr>
                <w:rFonts w:hint="default" w:ascii="Times New Roman" w:hAnsi="Times New Roman" w:eastAsia="宋体" w:cs="Times New Roman"/>
                <w:kern w:val="2"/>
                <w:sz w:val="21"/>
                <w:szCs w:val="24"/>
                <w:lang w:val="en-US" w:eastAsia="zh-CN" w:bidi="ar-SA"/>
              </w:rPr>
            </w:pPr>
            <w:r>
              <w:t>17.8873</w:t>
            </w:r>
          </w:p>
        </w:tc>
      </w:tr>
      <w:tr w14:paraId="445D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6F93B8A1">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-27</w:t>
            </w:r>
          </w:p>
        </w:tc>
        <w:tc>
          <w:tcPr>
            <w:tcW w:w="2567" w:type="dxa"/>
            <w:shd w:val="clear" w:color="auto" w:fill="auto"/>
            <w:vAlign w:val="top"/>
          </w:tcPr>
          <w:p w14:paraId="7510FD5C">
            <w:pPr>
              <w:jc w:val="center"/>
              <w:rPr>
                <w:rFonts w:hint="eastAsia" w:ascii="Times New Roman" w:hAnsi="Times New Roman" w:eastAsia="宋体" w:cs="Times New Roman"/>
                <w:kern w:val="2"/>
                <w:sz w:val="21"/>
                <w:szCs w:val="24"/>
                <w:lang w:val="en-US" w:eastAsia="zh-CN" w:bidi="ar-SA"/>
              </w:rPr>
            </w:pPr>
            <w:r>
              <w:t>3.9885</w:t>
            </w:r>
          </w:p>
        </w:tc>
        <w:tc>
          <w:tcPr>
            <w:tcW w:w="1880" w:type="dxa"/>
            <w:shd w:val="clear" w:color="auto" w:fill="auto"/>
            <w:vAlign w:val="top"/>
          </w:tcPr>
          <w:p w14:paraId="7E37553D">
            <w:pPr>
              <w:jc w:val="center"/>
              <w:rPr>
                <w:rFonts w:hint="eastAsia" w:ascii="Times New Roman" w:hAnsi="Times New Roman" w:eastAsia="宋体" w:cs="Times New Roman"/>
                <w:kern w:val="2"/>
                <w:sz w:val="21"/>
                <w:szCs w:val="24"/>
                <w:lang w:val="en-US" w:eastAsia="zh-CN" w:bidi="ar-SA"/>
              </w:rPr>
            </w:pPr>
            <w:r>
              <w:t>18.2180</w:t>
            </w:r>
          </w:p>
        </w:tc>
        <w:tc>
          <w:tcPr>
            <w:tcW w:w="2648" w:type="dxa"/>
            <w:shd w:val="clear" w:color="auto" w:fill="auto"/>
            <w:vAlign w:val="top"/>
          </w:tcPr>
          <w:p w14:paraId="4F64182A">
            <w:pPr>
              <w:jc w:val="center"/>
              <w:rPr>
                <w:rFonts w:hint="default" w:ascii="Times New Roman" w:hAnsi="Times New Roman" w:eastAsia="宋体" w:cs="Times New Roman"/>
                <w:kern w:val="2"/>
                <w:sz w:val="21"/>
                <w:szCs w:val="24"/>
                <w:lang w:val="en-US" w:eastAsia="zh-CN" w:bidi="ar-SA"/>
              </w:rPr>
            </w:pPr>
            <w:r>
              <w:t>18.6495</w:t>
            </w:r>
          </w:p>
        </w:tc>
      </w:tr>
      <w:tr w14:paraId="4A7F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27441234">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-26</w:t>
            </w:r>
          </w:p>
        </w:tc>
        <w:tc>
          <w:tcPr>
            <w:tcW w:w="2567" w:type="dxa"/>
            <w:shd w:val="clear" w:color="auto" w:fill="auto"/>
            <w:vAlign w:val="top"/>
          </w:tcPr>
          <w:p w14:paraId="43BCD53A">
            <w:pPr>
              <w:jc w:val="center"/>
              <w:rPr>
                <w:rFonts w:hint="eastAsia" w:ascii="Times New Roman" w:hAnsi="Times New Roman" w:eastAsia="宋体" w:cs="Times New Roman"/>
                <w:kern w:val="2"/>
                <w:sz w:val="21"/>
                <w:szCs w:val="24"/>
                <w:lang w:val="en-US" w:eastAsia="zh-CN" w:bidi="ar-SA"/>
              </w:rPr>
            </w:pPr>
            <w:r>
              <w:t>4.3987</w:t>
            </w:r>
          </w:p>
        </w:tc>
        <w:tc>
          <w:tcPr>
            <w:tcW w:w="1880" w:type="dxa"/>
            <w:shd w:val="clear" w:color="auto" w:fill="auto"/>
            <w:vAlign w:val="top"/>
          </w:tcPr>
          <w:p w14:paraId="72B164AA">
            <w:pPr>
              <w:jc w:val="center"/>
              <w:rPr>
                <w:rFonts w:hint="eastAsia" w:ascii="Times New Roman" w:hAnsi="Times New Roman" w:eastAsia="宋体" w:cs="Times New Roman"/>
                <w:kern w:val="2"/>
                <w:sz w:val="21"/>
                <w:szCs w:val="24"/>
                <w:lang w:val="en-US" w:eastAsia="zh-CN" w:bidi="ar-SA"/>
              </w:rPr>
            </w:pPr>
            <w:r>
              <w:t>18.9783</w:t>
            </w:r>
          </w:p>
        </w:tc>
        <w:tc>
          <w:tcPr>
            <w:tcW w:w="2648" w:type="dxa"/>
            <w:shd w:val="clear" w:color="auto" w:fill="auto"/>
            <w:vAlign w:val="top"/>
          </w:tcPr>
          <w:p w14:paraId="01C205CA">
            <w:pPr>
              <w:jc w:val="center"/>
              <w:rPr>
                <w:rFonts w:hint="default" w:ascii="Times New Roman" w:hAnsi="Times New Roman" w:eastAsia="宋体" w:cs="Times New Roman"/>
                <w:kern w:val="2"/>
                <w:sz w:val="21"/>
                <w:szCs w:val="24"/>
                <w:lang w:val="en-US" w:eastAsia="zh-CN" w:bidi="ar-SA"/>
              </w:rPr>
            </w:pPr>
            <w:r>
              <w:t>19.4814</w:t>
            </w:r>
          </w:p>
        </w:tc>
      </w:tr>
      <w:tr w14:paraId="485DD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52DC29AE">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-25</w:t>
            </w:r>
          </w:p>
        </w:tc>
        <w:tc>
          <w:tcPr>
            <w:tcW w:w="2567" w:type="dxa"/>
            <w:shd w:val="clear" w:color="auto" w:fill="auto"/>
            <w:vAlign w:val="top"/>
          </w:tcPr>
          <w:p w14:paraId="61414022">
            <w:pPr>
              <w:jc w:val="center"/>
              <w:rPr>
                <w:rFonts w:hint="eastAsia" w:ascii="Times New Roman" w:hAnsi="Times New Roman" w:eastAsia="宋体" w:cs="Times New Roman"/>
                <w:kern w:val="2"/>
                <w:sz w:val="21"/>
                <w:szCs w:val="24"/>
                <w:lang w:val="en-US" w:eastAsia="zh-CN" w:bidi="ar-SA"/>
              </w:rPr>
            </w:pPr>
            <w:r>
              <w:t>4.8741</w:t>
            </w:r>
          </w:p>
        </w:tc>
        <w:tc>
          <w:tcPr>
            <w:tcW w:w="1880" w:type="dxa"/>
            <w:shd w:val="clear" w:color="auto" w:fill="auto"/>
            <w:vAlign w:val="top"/>
          </w:tcPr>
          <w:p w14:paraId="5A1B93D3">
            <w:pPr>
              <w:jc w:val="center"/>
              <w:rPr>
                <w:rFonts w:hint="eastAsia" w:ascii="Times New Roman" w:hAnsi="Times New Roman" w:eastAsia="宋体" w:cs="Times New Roman"/>
                <w:kern w:val="2"/>
                <w:sz w:val="21"/>
                <w:szCs w:val="24"/>
                <w:lang w:val="en-US" w:eastAsia="zh-CN" w:bidi="ar-SA"/>
              </w:rPr>
            </w:pPr>
            <w:r>
              <w:t>19.8018</w:t>
            </w:r>
          </w:p>
        </w:tc>
        <w:tc>
          <w:tcPr>
            <w:tcW w:w="2648" w:type="dxa"/>
            <w:shd w:val="clear" w:color="auto" w:fill="auto"/>
            <w:vAlign w:val="top"/>
          </w:tcPr>
          <w:p w14:paraId="054900DB">
            <w:pPr>
              <w:jc w:val="center"/>
              <w:rPr>
                <w:rFonts w:hint="default" w:ascii="Times New Roman" w:hAnsi="Times New Roman" w:eastAsia="宋体" w:cs="Times New Roman"/>
                <w:kern w:val="2"/>
                <w:sz w:val="21"/>
                <w:szCs w:val="24"/>
                <w:lang w:val="en-US" w:eastAsia="zh-CN" w:bidi="ar-SA"/>
              </w:rPr>
            </w:pPr>
            <w:r>
              <w:t>20.3928</w:t>
            </w:r>
          </w:p>
        </w:tc>
      </w:tr>
      <w:tr w14:paraId="4469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752047C1">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-24</w:t>
            </w:r>
          </w:p>
        </w:tc>
        <w:tc>
          <w:tcPr>
            <w:tcW w:w="2567" w:type="dxa"/>
            <w:shd w:val="clear" w:color="auto" w:fill="auto"/>
            <w:vAlign w:val="top"/>
          </w:tcPr>
          <w:p w14:paraId="2EBB28FB">
            <w:pPr>
              <w:jc w:val="center"/>
              <w:rPr>
                <w:rFonts w:hint="eastAsia" w:ascii="Times New Roman" w:hAnsi="Times New Roman" w:eastAsia="宋体" w:cs="Times New Roman"/>
                <w:kern w:val="2"/>
                <w:sz w:val="21"/>
                <w:szCs w:val="24"/>
                <w:lang w:val="en-US" w:eastAsia="zh-CN" w:bidi="ar-SA"/>
              </w:rPr>
            </w:pPr>
            <w:r>
              <w:t>5.4294</w:t>
            </w:r>
          </w:p>
        </w:tc>
        <w:tc>
          <w:tcPr>
            <w:tcW w:w="1880" w:type="dxa"/>
            <w:shd w:val="clear" w:color="auto" w:fill="auto"/>
            <w:vAlign w:val="top"/>
          </w:tcPr>
          <w:p w14:paraId="4D7D1267">
            <w:pPr>
              <w:jc w:val="center"/>
              <w:rPr>
                <w:rFonts w:hint="eastAsia" w:ascii="Times New Roman" w:hAnsi="Times New Roman" w:eastAsia="宋体" w:cs="Times New Roman"/>
                <w:kern w:val="2"/>
                <w:sz w:val="21"/>
                <w:szCs w:val="24"/>
                <w:lang w:val="en-US" w:eastAsia="zh-CN" w:bidi="ar-SA"/>
              </w:rPr>
            </w:pPr>
            <w:r>
              <w:t>20.6951</w:t>
            </w:r>
          </w:p>
        </w:tc>
        <w:tc>
          <w:tcPr>
            <w:tcW w:w="2648" w:type="dxa"/>
            <w:shd w:val="clear" w:color="auto" w:fill="auto"/>
            <w:vAlign w:val="top"/>
          </w:tcPr>
          <w:p w14:paraId="22214626">
            <w:pPr>
              <w:jc w:val="center"/>
              <w:rPr>
                <w:rFonts w:hint="default" w:ascii="Times New Roman" w:hAnsi="Times New Roman" w:eastAsia="宋体" w:cs="Times New Roman"/>
                <w:kern w:val="2"/>
                <w:sz w:val="21"/>
                <w:szCs w:val="24"/>
                <w:lang w:val="en-US" w:eastAsia="zh-CN" w:bidi="ar-SA"/>
              </w:rPr>
            </w:pPr>
            <w:r>
              <w:t>21.3955</w:t>
            </w:r>
          </w:p>
        </w:tc>
      </w:tr>
      <w:tr w14:paraId="0400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507158D1">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-23</w:t>
            </w:r>
          </w:p>
        </w:tc>
        <w:tc>
          <w:tcPr>
            <w:tcW w:w="2567" w:type="dxa"/>
            <w:shd w:val="clear" w:color="auto" w:fill="auto"/>
            <w:vAlign w:val="top"/>
          </w:tcPr>
          <w:p w14:paraId="14FBF010">
            <w:pPr>
              <w:jc w:val="center"/>
              <w:rPr>
                <w:rFonts w:hint="eastAsia" w:ascii="Times New Roman" w:hAnsi="Times New Roman" w:eastAsia="宋体" w:cs="Times New Roman"/>
                <w:kern w:val="2"/>
                <w:sz w:val="21"/>
                <w:szCs w:val="24"/>
                <w:lang w:val="en-US" w:eastAsia="zh-CN" w:bidi="ar-SA"/>
              </w:rPr>
            </w:pPr>
            <w:r>
              <w:t>6.0831</w:t>
            </w:r>
          </w:p>
        </w:tc>
        <w:tc>
          <w:tcPr>
            <w:tcW w:w="1880" w:type="dxa"/>
            <w:shd w:val="clear" w:color="auto" w:fill="auto"/>
            <w:vAlign w:val="top"/>
          </w:tcPr>
          <w:p w14:paraId="788EA479">
            <w:pPr>
              <w:jc w:val="center"/>
              <w:rPr>
                <w:rFonts w:hint="eastAsia" w:ascii="Times New Roman" w:hAnsi="Times New Roman" w:eastAsia="宋体" w:cs="Times New Roman"/>
                <w:kern w:val="2"/>
                <w:sz w:val="21"/>
                <w:szCs w:val="24"/>
                <w:lang w:val="en-US" w:eastAsia="zh-CN" w:bidi="ar-SA"/>
              </w:rPr>
            </w:pPr>
            <w:r>
              <w:t>21.6655</w:t>
            </w:r>
          </w:p>
        </w:tc>
        <w:tc>
          <w:tcPr>
            <w:tcW w:w="2648" w:type="dxa"/>
            <w:shd w:val="clear" w:color="auto" w:fill="auto"/>
            <w:vAlign w:val="top"/>
          </w:tcPr>
          <w:p w14:paraId="1F591C1F">
            <w:pPr>
              <w:jc w:val="center"/>
              <w:rPr>
                <w:rFonts w:hint="default" w:ascii="Times New Roman" w:hAnsi="Times New Roman" w:eastAsia="宋体" w:cs="Times New Roman"/>
                <w:kern w:val="2"/>
                <w:sz w:val="21"/>
                <w:szCs w:val="24"/>
                <w:lang w:val="en-US" w:eastAsia="zh-CN" w:bidi="ar-SA"/>
              </w:rPr>
            </w:pPr>
            <w:r>
              <w:t>22.5033</w:t>
            </w:r>
          </w:p>
        </w:tc>
      </w:tr>
      <w:tr w14:paraId="62D4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420C20F8">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-22</w:t>
            </w:r>
          </w:p>
        </w:tc>
        <w:tc>
          <w:tcPr>
            <w:tcW w:w="2567" w:type="dxa"/>
            <w:shd w:val="clear" w:color="auto" w:fill="auto"/>
            <w:vAlign w:val="top"/>
          </w:tcPr>
          <w:p w14:paraId="1188885E">
            <w:pPr>
              <w:jc w:val="center"/>
              <w:rPr>
                <w:rFonts w:hint="eastAsia" w:ascii="Times New Roman" w:hAnsi="Times New Roman" w:eastAsia="宋体" w:cs="Times New Roman"/>
                <w:kern w:val="2"/>
                <w:sz w:val="21"/>
                <w:szCs w:val="24"/>
                <w:lang w:val="en-US" w:eastAsia="zh-CN" w:bidi="ar-SA"/>
              </w:rPr>
            </w:pPr>
            <w:r>
              <w:t>6.8592</w:t>
            </w:r>
          </w:p>
        </w:tc>
        <w:tc>
          <w:tcPr>
            <w:tcW w:w="1880" w:type="dxa"/>
            <w:shd w:val="clear" w:color="auto" w:fill="auto"/>
            <w:vAlign w:val="top"/>
          </w:tcPr>
          <w:p w14:paraId="4A5033CC">
            <w:pPr>
              <w:jc w:val="center"/>
              <w:rPr>
                <w:rFonts w:hint="eastAsia" w:ascii="Times New Roman" w:hAnsi="Times New Roman" w:eastAsia="宋体" w:cs="Times New Roman"/>
                <w:kern w:val="2"/>
                <w:sz w:val="21"/>
                <w:szCs w:val="24"/>
                <w:lang w:val="en-US" w:eastAsia="zh-CN" w:bidi="ar-SA"/>
              </w:rPr>
            </w:pPr>
            <w:r>
              <w:t>22.7199</w:t>
            </w:r>
          </w:p>
        </w:tc>
        <w:tc>
          <w:tcPr>
            <w:tcW w:w="2648" w:type="dxa"/>
            <w:shd w:val="clear" w:color="auto" w:fill="auto"/>
            <w:vAlign w:val="top"/>
          </w:tcPr>
          <w:p w14:paraId="72A6242E">
            <w:pPr>
              <w:jc w:val="center"/>
              <w:rPr>
                <w:rFonts w:hint="default" w:ascii="Times New Roman" w:hAnsi="Times New Roman" w:eastAsia="宋体" w:cs="Times New Roman"/>
                <w:kern w:val="2"/>
                <w:sz w:val="21"/>
                <w:szCs w:val="24"/>
                <w:lang w:val="en-US" w:eastAsia="zh-CN" w:bidi="ar-SA"/>
              </w:rPr>
            </w:pPr>
            <w:r>
              <w:t>23.7328</w:t>
            </w:r>
          </w:p>
        </w:tc>
      </w:tr>
      <w:tr w14:paraId="125D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1166E8FA">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-21</w:t>
            </w:r>
          </w:p>
        </w:tc>
        <w:tc>
          <w:tcPr>
            <w:tcW w:w="2567" w:type="dxa"/>
            <w:shd w:val="clear" w:color="auto" w:fill="auto"/>
            <w:vAlign w:val="top"/>
          </w:tcPr>
          <w:p w14:paraId="07596135">
            <w:pPr>
              <w:jc w:val="center"/>
              <w:rPr>
                <w:rFonts w:hint="eastAsia" w:ascii="Times New Roman" w:hAnsi="Times New Roman" w:eastAsia="宋体" w:cs="Times New Roman"/>
                <w:kern w:val="2"/>
                <w:sz w:val="21"/>
                <w:szCs w:val="24"/>
                <w:lang w:val="en-US" w:eastAsia="zh-CN" w:bidi="ar-SA"/>
              </w:rPr>
            </w:pPr>
            <w:r>
              <w:t>7.7894</w:t>
            </w:r>
          </w:p>
        </w:tc>
        <w:tc>
          <w:tcPr>
            <w:tcW w:w="1880" w:type="dxa"/>
            <w:shd w:val="clear" w:color="auto" w:fill="auto"/>
            <w:vAlign w:val="top"/>
          </w:tcPr>
          <w:p w14:paraId="7A515F01">
            <w:pPr>
              <w:jc w:val="center"/>
              <w:rPr>
                <w:rFonts w:hint="eastAsia" w:ascii="Times New Roman" w:hAnsi="Times New Roman" w:eastAsia="宋体" w:cs="Times New Roman"/>
                <w:kern w:val="2"/>
                <w:sz w:val="21"/>
                <w:szCs w:val="24"/>
                <w:lang w:val="en-US" w:eastAsia="zh-CN" w:bidi="ar-SA"/>
              </w:rPr>
            </w:pPr>
            <w:r>
              <w:t>23.8646</w:t>
            </w:r>
          </w:p>
        </w:tc>
        <w:tc>
          <w:tcPr>
            <w:tcW w:w="2648" w:type="dxa"/>
            <w:shd w:val="clear" w:color="auto" w:fill="auto"/>
            <w:vAlign w:val="top"/>
          </w:tcPr>
          <w:p w14:paraId="15900AD3">
            <w:pPr>
              <w:jc w:val="center"/>
              <w:rPr>
                <w:rFonts w:hint="default" w:ascii="Times New Roman" w:hAnsi="Times New Roman" w:eastAsia="宋体" w:cs="Times New Roman"/>
                <w:kern w:val="2"/>
                <w:sz w:val="21"/>
                <w:szCs w:val="24"/>
                <w:lang w:val="en-US" w:eastAsia="zh-CN" w:bidi="ar-SA"/>
              </w:rPr>
            </w:pPr>
            <w:r>
              <w:t>25.1036</w:t>
            </w:r>
          </w:p>
        </w:tc>
      </w:tr>
      <w:tr w14:paraId="5D88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693F0DFF">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-20</w:t>
            </w:r>
          </w:p>
        </w:tc>
        <w:tc>
          <w:tcPr>
            <w:tcW w:w="2567" w:type="dxa"/>
            <w:shd w:val="clear" w:color="auto" w:fill="auto"/>
            <w:vAlign w:val="top"/>
          </w:tcPr>
          <w:p w14:paraId="600CEE97">
            <w:pPr>
              <w:jc w:val="center"/>
              <w:rPr>
                <w:rFonts w:hint="eastAsia" w:ascii="Times New Roman" w:hAnsi="Times New Roman" w:eastAsia="宋体" w:cs="Times New Roman"/>
                <w:kern w:val="2"/>
                <w:sz w:val="21"/>
                <w:szCs w:val="24"/>
                <w:lang w:val="en-US" w:eastAsia="zh-CN" w:bidi="ar-SA"/>
              </w:rPr>
            </w:pPr>
            <w:r>
              <w:t>8.9149</w:t>
            </w:r>
          </w:p>
        </w:tc>
        <w:tc>
          <w:tcPr>
            <w:tcW w:w="1880" w:type="dxa"/>
            <w:shd w:val="clear" w:color="auto" w:fill="auto"/>
            <w:vAlign w:val="top"/>
          </w:tcPr>
          <w:p w14:paraId="4C51EAE3">
            <w:pPr>
              <w:jc w:val="center"/>
              <w:rPr>
                <w:rFonts w:hint="eastAsia" w:ascii="Times New Roman" w:hAnsi="Times New Roman" w:eastAsia="宋体" w:cs="Times New Roman"/>
                <w:kern w:val="2"/>
                <w:sz w:val="21"/>
                <w:szCs w:val="24"/>
                <w:lang w:val="en-US" w:eastAsia="zh-CN" w:bidi="ar-SA"/>
              </w:rPr>
            </w:pPr>
            <w:r>
              <w:t>25.1032</w:t>
            </w:r>
          </w:p>
        </w:tc>
        <w:tc>
          <w:tcPr>
            <w:tcW w:w="2648" w:type="dxa"/>
            <w:shd w:val="clear" w:color="auto" w:fill="auto"/>
            <w:vAlign w:val="top"/>
          </w:tcPr>
          <w:p w14:paraId="0F49C20A">
            <w:pPr>
              <w:jc w:val="center"/>
              <w:rPr>
                <w:rFonts w:hint="default" w:ascii="Times New Roman" w:hAnsi="Times New Roman" w:eastAsia="宋体" w:cs="Times New Roman"/>
                <w:kern w:val="2"/>
                <w:sz w:val="21"/>
                <w:szCs w:val="24"/>
                <w:lang w:val="en-US" w:eastAsia="zh-CN" w:bidi="ar-SA"/>
              </w:rPr>
            </w:pPr>
            <w:r>
              <w:t>26.6391</w:t>
            </w:r>
          </w:p>
        </w:tc>
      </w:tr>
      <w:tr w14:paraId="083A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035099AE">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-19</w:t>
            </w:r>
          </w:p>
        </w:tc>
        <w:tc>
          <w:tcPr>
            <w:tcW w:w="2567" w:type="dxa"/>
            <w:shd w:val="clear" w:color="auto" w:fill="auto"/>
            <w:vAlign w:val="top"/>
          </w:tcPr>
          <w:p w14:paraId="02BE564D">
            <w:pPr>
              <w:jc w:val="center"/>
              <w:rPr>
                <w:rFonts w:hint="eastAsia" w:ascii="Times New Roman" w:hAnsi="Times New Roman" w:eastAsia="宋体" w:cs="Times New Roman"/>
                <w:kern w:val="2"/>
                <w:sz w:val="21"/>
                <w:szCs w:val="24"/>
                <w:lang w:val="en-US" w:eastAsia="zh-CN" w:bidi="ar-SA"/>
              </w:rPr>
            </w:pPr>
            <w:r>
              <w:t>10.2905</w:t>
            </w:r>
          </w:p>
        </w:tc>
        <w:tc>
          <w:tcPr>
            <w:tcW w:w="1880" w:type="dxa"/>
            <w:shd w:val="clear" w:color="auto" w:fill="auto"/>
            <w:vAlign w:val="top"/>
          </w:tcPr>
          <w:p w14:paraId="25AA90AC">
            <w:pPr>
              <w:jc w:val="center"/>
              <w:rPr>
                <w:rFonts w:hint="eastAsia" w:ascii="Times New Roman" w:hAnsi="Times New Roman" w:eastAsia="宋体" w:cs="Times New Roman"/>
                <w:kern w:val="2"/>
                <w:sz w:val="21"/>
                <w:szCs w:val="24"/>
                <w:lang w:val="en-US" w:eastAsia="zh-CN" w:bidi="ar-SA"/>
              </w:rPr>
            </w:pPr>
            <w:r>
              <w:t>26.4341</w:t>
            </w:r>
          </w:p>
        </w:tc>
        <w:tc>
          <w:tcPr>
            <w:tcW w:w="2648" w:type="dxa"/>
            <w:shd w:val="clear" w:color="auto" w:fill="auto"/>
            <w:vAlign w:val="top"/>
          </w:tcPr>
          <w:p w14:paraId="4C6A5B57">
            <w:pPr>
              <w:jc w:val="center"/>
              <w:rPr>
                <w:rFonts w:hint="default" w:ascii="Times New Roman" w:hAnsi="Times New Roman" w:eastAsia="宋体" w:cs="Times New Roman"/>
                <w:kern w:val="2"/>
                <w:sz w:val="21"/>
                <w:szCs w:val="24"/>
                <w:lang w:val="en-US" w:eastAsia="zh-CN" w:bidi="ar-SA"/>
              </w:rPr>
            </w:pPr>
            <w:r>
              <w:t>28.3665</w:t>
            </w:r>
          </w:p>
        </w:tc>
      </w:tr>
      <w:tr w14:paraId="07A1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2DFF408F">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-18</w:t>
            </w:r>
          </w:p>
        </w:tc>
        <w:tc>
          <w:tcPr>
            <w:tcW w:w="2567" w:type="dxa"/>
            <w:shd w:val="clear" w:color="auto" w:fill="auto"/>
            <w:vAlign w:val="top"/>
          </w:tcPr>
          <w:p w14:paraId="396141D5">
            <w:pPr>
              <w:jc w:val="center"/>
              <w:rPr>
                <w:rFonts w:hint="eastAsia" w:ascii="Times New Roman" w:hAnsi="Times New Roman" w:eastAsia="宋体" w:cs="Times New Roman"/>
                <w:kern w:val="2"/>
                <w:sz w:val="21"/>
                <w:szCs w:val="24"/>
                <w:lang w:val="en-US" w:eastAsia="zh-CN" w:bidi="ar-SA"/>
              </w:rPr>
            </w:pPr>
            <w:r>
              <w:t>11.9886</w:t>
            </w:r>
          </w:p>
        </w:tc>
        <w:tc>
          <w:tcPr>
            <w:tcW w:w="1880" w:type="dxa"/>
            <w:shd w:val="clear" w:color="auto" w:fill="auto"/>
            <w:vAlign w:val="top"/>
          </w:tcPr>
          <w:p w14:paraId="70D93326">
            <w:pPr>
              <w:jc w:val="center"/>
              <w:rPr>
                <w:rFonts w:hint="eastAsia" w:ascii="Times New Roman" w:hAnsi="Times New Roman" w:eastAsia="宋体" w:cs="Times New Roman"/>
                <w:kern w:val="2"/>
                <w:sz w:val="21"/>
                <w:szCs w:val="24"/>
                <w:lang w:val="en-US" w:eastAsia="zh-CN" w:bidi="ar-SA"/>
              </w:rPr>
            </w:pPr>
            <w:r>
              <w:t>27.8452</w:t>
            </w:r>
          </w:p>
        </w:tc>
        <w:tc>
          <w:tcPr>
            <w:tcW w:w="2648" w:type="dxa"/>
            <w:shd w:val="clear" w:color="auto" w:fill="auto"/>
            <w:vAlign w:val="top"/>
          </w:tcPr>
          <w:p w14:paraId="5C667892">
            <w:pPr>
              <w:jc w:val="center"/>
              <w:rPr>
                <w:rFonts w:hint="default" w:ascii="Times New Roman" w:hAnsi="Times New Roman" w:eastAsia="宋体" w:cs="Times New Roman"/>
                <w:kern w:val="2"/>
                <w:sz w:val="21"/>
                <w:szCs w:val="24"/>
                <w:lang w:val="en-US" w:eastAsia="zh-CN" w:bidi="ar-SA"/>
              </w:rPr>
            </w:pPr>
            <w:r>
              <w:t>30.3164</w:t>
            </w:r>
          </w:p>
        </w:tc>
      </w:tr>
      <w:tr w14:paraId="305F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693A8978">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-17</w:t>
            </w:r>
          </w:p>
        </w:tc>
        <w:tc>
          <w:tcPr>
            <w:tcW w:w="2567" w:type="dxa"/>
            <w:shd w:val="clear" w:color="auto" w:fill="auto"/>
            <w:vAlign w:val="top"/>
          </w:tcPr>
          <w:p w14:paraId="5AD250BD">
            <w:pPr>
              <w:jc w:val="center"/>
              <w:rPr>
                <w:rFonts w:hint="eastAsia" w:ascii="Times New Roman" w:hAnsi="Times New Roman" w:eastAsia="宋体" w:cs="Times New Roman"/>
                <w:kern w:val="2"/>
                <w:sz w:val="21"/>
                <w:szCs w:val="24"/>
                <w:lang w:val="en-US" w:eastAsia="zh-CN" w:bidi="ar-SA"/>
              </w:rPr>
            </w:pPr>
            <w:r>
              <w:t>14.1041</w:t>
            </w:r>
          </w:p>
        </w:tc>
        <w:tc>
          <w:tcPr>
            <w:tcW w:w="1880" w:type="dxa"/>
            <w:shd w:val="clear" w:color="auto" w:fill="auto"/>
            <w:vAlign w:val="top"/>
          </w:tcPr>
          <w:p w14:paraId="2453118C">
            <w:pPr>
              <w:jc w:val="center"/>
              <w:rPr>
                <w:rFonts w:hint="eastAsia" w:ascii="Times New Roman" w:hAnsi="Times New Roman" w:eastAsia="宋体" w:cs="Times New Roman"/>
                <w:kern w:val="2"/>
                <w:sz w:val="21"/>
                <w:szCs w:val="24"/>
                <w:lang w:val="en-US" w:eastAsia="zh-CN" w:bidi="ar-SA"/>
              </w:rPr>
            </w:pPr>
            <w:r>
              <w:t>29.3041</w:t>
            </w:r>
          </w:p>
        </w:tc>
        <w:tc>
          <w:tcPr>
            <w:tcW w:w="2648" w:type="dxa"/>
            <w:shd w:val="clear" w:color="auto" w:fill="auto"/>
            <w:vAlign w:val="top"/>
          </w:tcPr>
          <w:p w14:paraId="7FCA569F">
            <w:pPr>
              <w:jc w:val="center"/>
              <w:rPr>
                <w:rFonts w:hint="default" w:ascii="Times New Roman" w:hAnsi="Times New Roman" w:eastAsia="宋体" w:cs="Times New Roman"/>
                <w:kern w:val="2"/>
                <w:sz w:val="21"/>
                <w:szCs w:val="24"/>
                <w:lang w:val="en-US" w:eastAsia="zh-CN" w:bidi="ar-SA"/>
              </w:rPr>
            </w:pPr>
            <w:r>
              <w:t>32.5216</w:t>
            </w:r>
          </w:p>
        </w:tc>
      </w:tr>
      <w:tr w14:paraId="4D963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6A619E37">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-16</w:t>
            </w:r>
          </w:p>
        </w:tc>
        <w:tc>
          <w:tcPr>
            <w:tcW w:w="2567" w:type="dxa"/>
            <w:shd w:val="clear" w:color="auto" w:fill="auto"/>
            <w:vAlign w:val="top"/>
          </w:tcPr>
          <w:p w14:paraId="00E8CE4D">
            <w:pPr>
              <w:jc w:val="center"/>
              <w:rPr>
                <w:rFonts w:hint="eastAsia" w:ascii="Times New Roman" w:hAnsi="Times New Roman" w:eastAsia="宋体" w:cs="Times New Roman"/>
                <w:kern w:val="2"/>
                <w:sz w:val="21"/>
                <w:szCs w:val="24"/>
                <w:lang w:val="en-US" w:eastAsia="zh-CN" w:bidi="ar-SA"/>
              </w:rPr>
            </w:pPr>
            <w:r>
              <w:t>16.7584</w:t>
            </w:r>
          </w:p>
        </w:tc>
        <w:tc>
          <w:tcPr>
            <w:tcW w:w="1880" w:type="dxa"/>
            <w:shd w:val="clear" w:color="auto" w:fill="auto"/>
            <w:vAlign w:val="top"/>
          </w:tcPr>
          <w:p w14:paraId="0F671C0D">
            <w:pPr>
              <w:jc w:val="center"/>
              <w:rPr>
                <w:rFonts w:hint="eastAsia" w:ascii="Times New Roman" w:hAnsi="Times New Roman" w:eastAsia="宋体" w:cs="Times New Roman"/>
                <w:kern w:val="2"/>
                <w:sz w:val="21"/>
                <w:szCs w:val="24"/>
                <w:lang w:val="en-US" w:eastAsia="zh-CN" w:bidi="ar-SA"/>
              </w:rPr>
            </w:pPr>
            <w:r>
              <w:t>30.7415</w:t>
            </w:r>
          </w:p>
        </w:tc>
        <w:tc>
          <w:tcPr>
            <w:tcW w:w="2648" w:type="dxa"/>
            <w:shd w:val="clear" w:color="auto" w:fill="auto"/>
            <w:vAlign w:val="top"/>
          </w:tcPr>
          <w:p w14:paraId="0B3BA239">
            <w:pPr>
              <w:jc w:val="center"/>
              <w:rPr>
                <w:rFonts w:hint="default" w:ascii="Times New Roman" w:hAnsi="Times New Roman" w:eastAsia="宋体" w:cs="Times New Roman"/>
                <w:kern w:val="2"/>
                <w:sz w:val="21"/>
                <w:szCs w:val="24"/>
                <w:lang w:val="en-US" w:eastAsia="zh-CN" w:bidi="ar-SA"/>
              </w:rPr>
            </w:pPr>
            <w:r>
              <w:t>35.0127</w:t>
            </w:r>
          </w:p>
        </w:tc>
      </w:tr>
      <w:tr w14:paraId="65F2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32AE260E">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-15</w:t>
            </w:r>
          </w:p>
        </w:tc>
        <w:tc>
          <w:tcPr>
            <w:tcW w:w="2567" w:type="dxa"/>
            <w:shd w:val="clear" w:color="auto" w:fill="auto"/>
            <w:vAlign w:val="top"/>
          </w:tcPr>
          <w:p w14:paraId="4402E889">
            <w:pPr>
              <w:jc w:val="center"/>
              <w:rPr>
                <w:rFonts w:hint="eastAsia" w:ascii="Times New Roman" w:hAnsi="Times New Roman" w:eastAsia="宋体" w:cs="Times New Roman"/>
                <w:kern w:val="2"/>
                <w:sz w:val="21"/>
                <w:szCs w:val="24"/>
                <w:lang w:val="en-US" w:eastAsia="zh-CN" w:bidi="ar-SA"/>
              </w:rPr>
            </w:pPr>
            <w:r>
              <w:t>20.0974</w:t>
            </w:r>
          </w:p>
        </w:tc>
        <w:tc>
          <w:tcPr>
            <w:tcW w:w="1880" w:type="dxa"/>
            <w:shd w:val="clear" w:color="auto" w:fill="auto"/>
            <w:vAlign w:val="top"/>
          </w:tcPr>
          <w:p w14:paraId="18A30F1F">
            <w:pPr>
              <w:jc w:val="center"/>
              <w:rPr>
                <w:rFonts w:hint="eastAsia" w:ascii="Times New Roman" w:hAnsi="Times New Roman" w:eastAsia="宋体" w:cs="Times New Roman"/>
                <w:kern w:val="2"/>
                <w:sz w:val="21"/>
                <w:szCs w:val="24"/>
                <w:lang w:val="en-US" w:eastAsia="zh-CN" w:bidi="ar-SA"/>
              </w:rPr>
            </w:pPr>
            <w:r>
              <w:t>32.0231</w:t>
            </w:r>
          </w:p>
        </w:tc>
        <w:tc>
          <w:tcPr>
            <w:tcW w:w="2648" w:type="dxa"/>
            <w:shd w:val="clear" w:color="auto" w:fill="auto"/>
            <w:vAlign w:val="top"/>
          </w:tcPr>
          <w:p w14:paraId="429A4A71">
            <w:pPr>
              <w:jc w:val="center"/>
              <w:rPr>
                <w:rFonts w:hint="default" w:ascii="Times New Roman" w:hAnsi="Times New Roman" w:eastAsia="宋体" w:cs="Times New Roman"/>
                <w:kern w:val="2"/>
                <w:sz w:val="21"/>
                <w:szCs w:val="24"/>
                <w:lang w:val="en-US" w:eastAsia="zh-CN" w:bidi="ar-SA"/>
              </w:rPr>
            </w:pPr>
            <w:r>
              <w:t>37.8072</w:t>
            </w:r>
          </w:p>
        </w:tc>
      </w:tr>
      <w:tr w14:paraId="4C85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59201D22">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-14</w:t>
            </w:r>
          </w:p>
        </w:tc>
        <w:tc>
          <w:tcPr>
            <w:tcW w:w="2567" w:type="dxa"/>
            <w:shd w:val="clear" w:color="auto" w:fill="auto"/>
            <w:vAlign w:val="top"/>
          </w:tcPr>
          <w:p w14:paraId="7CE65A34">
            <w:pPr>
              <w:jc w:val="center"/>
              <w:rPr>
                <w:rFonts w:hint="eastAsia" w:ascii="Times New Roman" w:hAnsi="Times New Roman" w:eastAsia="宋体" w:cs="Times New Roman"/>
                <w:kern w:val="2"/>
                <w:sz w:val="21"/>
                <w:szCs w:val="24"/>
                <w:lang w:val="en-US" w:eastAsia="zh-CN" w:bidi="ar-SA"/>
              </w:rPr>
            </w:pPr>
            <w:r>
              <w:t>24.2724</w:t>
            </w:r>
          </w:p>
        </w:tc>
        <w:tc>
          <w:tcPr>
            <w:tcW w:w="1880" w:type="dxa"/>
            <w:shd w:val="clear" w:color="auto" w:fill="auto"/>
            <w:vAlign w:val="top"/>
          </w:tcPr>
          <w:p w14:paraId="4EF445B8">
            <w:pPr>
              <w:jc w:val="center"/>
              <w:rPr>
                <w:rFonts w:hint="eastAsia" w:ascii="Times New Roman" w:hAnsi="Times New Roman" w:eastAsia="宋体" w:cs="Times New Roman"/>
                <w:kern w:val="2"/>
                <w:sz w:val="21"/>
                <w:szCs w:val="24"/>
                <w:lang w:val="en-US" w:eastAsia="zh-CN" w:bidi="ar-SA"/>
              </w:rPr>
            </w:pPr>
            <w:r>
              <w:t>32.9049</w:t>
            </w:r>
          </w:p>
        </w:tc>
        <w:tc>
          <w:tcPr>
            <w:tcW w:w="2648" w:type="dxa"/>
            <w:shd w:val="clear" w:color="auto" w:fill="auto"/>
            <w:vAlign w:val="top"/>
          </w:tcPr>
          <w:p w14:paraId="59827BDA">
            <w:pPr>
              <w:jc w:val="center"/>
              <w:rPr>
                <w:rFonts w:hint="default" w:ascii="Times New Roman" w:hAnsi="Times New Roman" w:eastAsia="宋体" w:cs="Times New Roman"/>
                <w:kern w:val="2"/>
                <w:sz w:val="21"/>
                <w:szCs w:val="24"/>
                <w:lang w:val="en-US" w:eastAsia="zh-CN" w:bidi="ar-SA"/>
              </w:rPr>
            </w:pPr>
            <w:r>
              <w:t>40.8887</w:t>
            </w:r>
          </w:p>
        </w:tc>
      </w:tr>
      <w:tr w14:paraId="3FFE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7036CF91">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-13</w:t>
            </w:r>
          </w:p>
        </w:tc>
        <w:tc>
          <w:tcPr>
            <w:tcW w:w="2567" w:type="dxa"/>
            <w:shd w:val="clear" w:color="auto" w:fill="auto"/>
            <w:vAlign w:val="top"/>
          </w:tcPr>
          <w:p w14:paraId="1F6CE692">
            <w:pPr>
              <w:jc w:val="center"/>
              <w:rPr>
                <w:rFonts w:hint="eastAsia" w:ascii="Times New Roman" w:hAnsi="Times New Roman" w:eastAsia="宋体" w:cs="Times New Roman"/>
                <w:kern w:val="2"/>
                <w:sz w:val="21"/>
                <w:szCs w:val="24"/>
                <w:lang w:val="en-US" w:eastAsia="zh-CN" w:bidi="ar-SA"/>
              </w:rPr>
            </w:pPr>
            <w:r>
              <w:t>29.3783</w:t>
            </w:r>
          </w:p>
        </w:tc>
        <w:tc>
          <w:tcPr>
            <w:tcW w:w="1880" w:type="dxa"/>
            <w:shd w:val="clear" w:color="auto" w:fill="auto"/>
            <w:vAlign w:val="top"/>
          </w:tcPr>
          <w:p w14:paraId="19E79AF6">
            <w:pPr>
              <w:jc w:val="center"/>
              <w:rPr>
                <w:rFonts w:hint="eastAsia" w:ascii="Times New Roman" w:hAnsi="Times New Roman" w:eastAsia="宋体" w:cs="Times New Roman"/>
                <w:kern w:val="2"/>
                <w:sz w:val="21"/>
                <w:szCs w:val="24"/>
                <w:lang w:val="en-US" w:eastAsia="zh-CN" w:bidi="ar-SA"/>
              </w:rPr>
            </w:pPr>
            <w:r>
              <w:t>32.9763</w:t>
            </w:r>
          </w:p>
        </w:tc>
        <w:tc>
          <w:tcPr>
            <w:tcW w:w="2648" w:type="dxa"/>
            <w:shd w:val="clear" w:color="auto" w:fill="auto"/>
            <w:vAlign w:val="top"/>
          </w:tcPr>
          <w:p w14:paraId="1D59D71B">
            <w:pPr>
              <w:jc w:val="center"/>
              <w:rPr>
                <w:rFonts w:hint="default" w:ascii="Times New Roman" w:hAnsi="Times New Roman" w:eastAsia="宋体" w:cs="Times New Roman"/>
                <w:kern w:val="2"/>
                <w:sz w:val="21"/>
                <w:szCs w:val="24"/>
                <w:lang w:val="en-US" w:eastAsia="zh-CN" w:bidi="ar-SA"/>
              </w:rPr>
            </w:pPr>
            <w:r>
              <w:t>44.1647</w:t>
            </w:r>
          </w:p>
        </w:tc>
      </w:tr>
      <w:tr w14:paraId="78E0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3BFCAE75">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-12</w:t>
            </w:r>
          </w:p>
        </w:tc>
        <w:tc>
          <w:tcPr>
            <w:tcW w:w="2567" w:type="dxa"/>
            <w:shd w:val="clear" w:color="auto" w:fill="auto"/>
            <w:vAlign w:val="top"/>
          </w:tcPr>
          <w:p w14:paraId="39797CDE">
            <w:pPr>
              <w:jc w:val="center"/>
              <w:rPr>
                <w:rFonts w:hint="eastAsia" w:ascii="Times New Roman" w:hAnsi="Times New Roman" w:eastAsia="宋体" w:cs="Times New Roman"/>
                <w:kern w:val="2"/>
                <w:sz w:val="21"/>
                <w:szCs w:val="24"/>
                <w:lang w:val="en-US" w:eastAsia="zh-CN" w:bidi="ar-SA"/>
              </w:rPr>
            </w:pPr>
            <w:r>
              <w:t>35.3092</w:t>
            </w:r>
          </w:p>
        </w:tc>
        <w:tc>
          <w:tcPr>
            <w:tcW w:w="1880" w:type="dxa"/>
            <w:shd w:val="clear" w:color="auto" w:fill="auto"/>
            <w:vAlign w:val="top"/>
          </w:tcPr>
          <w:p w14:paraId="41B988C5">
            <w:pPr>
              <w:jc w:val="center"/>
              <w:rPr>
                <w:rFonts w:hint="eastAsia" w:ascii="Times New Roman" w:hAnsi="Times New Roman" w:eastAsia="宋体" w:cs="Times New Roman"/>
                <w:kern w:val="2"/>
                <w:sz w:val="21"/>
                <w:szCs w:val="24"/>
                <w:lang w:val="en-US" w:eastAsia="zh-CN" w:bidi="ar-SA"/>
              </w:rPr>
            </w:pPr>
            <w:r>
              <w:t>31.6251</w:t>
            </w:r>
          </w:p>
        </w:tc>
        <w:tc>
          <w:tcPr>
            <w:tcW w:w="2648" w:type="dxa"/>
            <w:shd w:val="clear" w:color="auto" w:fill="auto"/>
            <w:vAlign w:val="top"/>
          </w:tcPr>
          <w:p w14:paraId="52EC0822">
            <w:pPr>
              <w:jc w:val="center"/>
              <w:rPr>
                <w:rFonts w:hint="default" w:ascii="Times New Roman" w:hAnsi="Times New Roman" w:eastAsia="宋体" w:cs="Times New Roman"/>
                <w:kern w:val="2"/>
                <w:sz w:val="21"/>
                <w:szCs w:val="24"/>
                <w:lang w:val="en-US" w:eastAsia="zh-CN" w:bidi="ar-SA"/>
              </w:rPr>
            </w:pPr>
            <w:r>
              <w:t>47.4013</w:t>
            </w:r>
          </w:p>
        </w:tc>
      </w:tr>
      <w:tr w14:paraId="6176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2B22F65E">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-11</w:t>
            </w:r>
          </w:p>
        </w:tc>
        <w:tc>
          <w:tcPr>
            <w:tcW w:w="2567" w:type="dxa"/>
            <w:shd w:val="clear" w:color="auto" w:fill="auto"/>
            <w:vAlign w:val="top"/>
          </w:tcPr>
          <w:p w14:paraId="2BE472D6">
            <w:pPr>
              <w:jc w:val="center"/>
              <w:rPr>
                <w:rFonts w:hint="eastAsia" w:ascii="Times New Roman" w:hAnsi="Times New Roman" w:eastAsia="宋体" w:cs="Times New Roman"/>
                <w:kern w:val="2"/>
                <w:sz w:val="21"/>
                <w:szCs w:val="24"/>
                <w:lang w:val="en-US" w:eastAsia="zh-CN" w:bidi="ar-SA"/>
              </w:rPr>
            </w:pPr>
            <w:r>
              <w:t>41.5153</w:t>
            </w:r>
          </w:p>
        </w:tc>
        <w:tc>
          <w:tcPr>
            <w:tcW w:w="1880" w:type="dxa"/>
            <w:shd w:val="clear" w:color="auto" w:fill="auto"/>
            <w:vAlign w:val="top"/>
          </w:tcPr>
          <w:p w14:paraId="1434B899">
            <w:pPr>
              <w:jc w:val="center"/>
              <w:rPr>
                <w:rFonts w:hint="eastAsia" w:ascii="Times New Roman" w:hAnsi="Times New Roman" w:eastAsia="宋体" w:cs="Times New Roman"/>
                <w:kern w:val="2"/>
                <w:sz w:val="21"/>
                <w:szCs w:val="24"/>
                <w:lang w:val="en-US" w:eastAsia="zh-CN" w:bidi="ar-SA"/>
              </w:rPr>
            </w:pPr>
            <w:r>
              <w:t>28.1314</w:t>
            </w:r>
          </w:p>
        </w:tc>
        <w:tc>
          <w:tcPr>
            <w:tcW w:w="2648" w:type="dxa"/>
            <w:shd w:val="clear" w:color="auto" w:fill="auto"/>
            <w:vAlign w:val="top"/>
          </w:tcPr>
          <w:p w14:paraId="25776682">
            <w:pPr>
              <w:jc w:val="center"/>
              <w:rPr>
                <w:rFonts w:hint="default" w:ascii="Times New Roman" w:hAnsi="Times New Roman" w:eastAsia="宋体" w:cs="Times New Roman"/>
                <w:kern w:val="2"/>
                <w:sz w:val="21"/>
                <w:szCs w:val="24"/>
                <w:lang w:val="en-US" w:eastAsia="zh-CN" w:bidi="ar-SA"/>
              </w:rPr>
            </w:pPr>
            <w:r>
              <w:t>50.1488</w:t>
            </w:r>
          </w:p>
        </w:tc>
      </w:tr>
      <w:tr w14:paraId="5302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68F6FDA9">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-10</w:t>
            </w:r>
          </w:p>
        </w:tc>
        <w:tc>
          <w:tcPr>
            <w:tcW w:w="2567" w:type="dxa"/>
            <w:shd w:val="clear" w:color="auto" w:fill="auto"/>
            <w:vAlign w:val="top"/>
          </w:tcPr>
          <w:p w14:paraId="08A55D7C">
            <w:pPr>
              <w:jc w:val="center"/>
              <w:rPr>
                <w:rFonts w:hint="eastAsia" w:ascii="Times New Roman" w:hAnsi="Times New Roman" w:eastAsia="宋体" w:cs="Times New Roman"/>
                <w:kern w:val="2"/>
                <w:sz w:val="21"/>
                <w:szCs w:val="24"/>
                <w:lang w:val="en-US" w:eastAsia="zh-CN" w:bidi="ar-SA"/>
              </w:rPr>
            </w:pPr>
            <w:r>
              <w:t>46.8001</w:t>
            </w:r>
          </w:p>
        </w:tc>
        <w:tc>
          <w:tcPr>
            <w:tcW w:w="1880" w:type="dxa"/>
            <w:shd w:val="clear" w:color="auto" w:fill="auto"/>
            <w:vAlign w:val="top"/>
          </w:tcPr>
          <w:p w14:paraId="141FC648">
            <w:pPr>
              <w:jc w:val="center"/>
              <w:rPr>
                <w:rFonts w:hint="eastAsia" w:ascii="Times New Roman" w:hAnsi="Times New Roman" w:eastAsia="宋体" w:cs="Times New Roman"/>
                <w:kern w:val="2"/>
                <w:sz w:val="21"/>
                <w:szCs w:val="24"/>
                <w:lang w:val="en-US" w:eastAsia="zh-CN" w:bidi="ar-SA"/>
              </w:rPr>
            </w:pPr>
            <w:r>
              <w:t>22.0643</w:t>
            </w:r>
          </w:p>
        </w:tc>
        <w:tc>
          <w:tcPr>
            <w:tcW w:w="2648" w:type="dxa"/>
            <w:shd w:val="clear" w:color="auto" w:fill="auto"/>
            <w:vAlign w:val="top"/>
          </w:tcPr>
          <w:p w14:paraId="4AB9E219">
            <w:pPr>
              <w:jc w:val="center"/>
              <w:rPr>
                <w:rFonts w:hint="default" w:ascii="Times New Roman" w:hAnsi="Times New Roman" w:eastAsia="宋体" w:cs="Times New Roman"/>
                <w:kern w:val="2"/>
                <w:sz w:val="21"/>
                <w:szCs w:val="24"/>
                <w:lang w:val="en-US" w:eastAsia="zh-CN" w:bidi="ar-SA"/>
              </w:rPr>
            </w:pPr>
            <w:r>
              <w:t>51.7405</w:t>
            </w:r>
          </w:p>
        </w:tc>
      </w:tr>
      <w:tr w14:paraId="1245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156F6781">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-9</w:t>
            </w:r>
          </w:p>
        </w:tc>
        <w:tc>
          <w:tcPr>
            <w:tcW w:w="2567" w:type="dxa"/>
            <w:shd w:val="clear" w:color="auto" w:fill="auto"/>
            <w:vAlign w:val="top"/>
          </w:tcPr>
          <w:p w14:paraId="61675B3D">
            <w:pPr>
              <w:jc w:val="center"/>
              <w:rPr>
                <w:rFonts w:hint="eastAsia" w:ascii="Times New Roman" w:hAnsi="Times New Roman" w:eastAsia="宋体" w:cs="Times New Roman"/>
                <w:kern w:val="2"/>
                <w:sz w:val="21"/>
                <w:szCs w:val="24"/>
                <w:lang w:val="en-US" w:eastAsia="zh-CN" w:bidi="ar-SA"/>
              </w:rPr>
            </w:pPr>
            <w:r>
              <w:t>49.5824</w:t>
            </w:r>
          </w:p>
        </w:tc>
        <w:tc>
          <w:tcPr>
            <w:tcW w:w="1880" w:type="dxa"/>
            <w:shd w:val="clear" w:color="auto" w:fill="auto"/>
            <w:vAlign w:val="top"/>
          </w:tcPr>
          <w:p w14:paraId="32BE5627">
            <w:pPr>
              <w:jc w:val="center"/>
              <w:rPr>
                <w:rFonts w:hint="eastAsia" w:ascii="Times New Roman" w:hAnsi="Times New Roman" w:eastAsia="宋体" w:cs="Times New Roman"/>
                <w:kern w:val="2"/>
                <w:sz w:val="21"/>
                <w:szCs w:val="24"/>
                <w:lang w:val="en-US" w:eastAsia="zh-CN" w:bidi="ar-SA"/>
              </w:rPr>
            </w:pPr>
            <w:r>
              <w:t>13.9397</w:t>
            </w:r>
          </w:p>
        </w:tc>
        <w:tc>
          <w:tcPr>
            <w:tcW w:w="2648" w:type="dxa"/>
            <w:shd w:val="clear" w:color="auto" w:fill="auto"/>
            <w:vAlign w:val="top"/>
          </w:tcPr>
          <w:p w14:paraId="6BBFFBC6">
            <w:pPr>
              <w:jc w:val="center"/>
              <w:rPr>
                <w:rFonts w:hint="default" w:ascii="Times New Roman" w:hAnsi="Times New Roman" w:eastAsia="宋体" w:cs="Times New Roman"/>
                <w:kern w:val="2"/>
                <w:sz w:val="21"/>
                <w:szCs w:val="24"/>
                <w:lang w:val="en-US" w:eastAsia="zh-CN" w:bidi="ar-SA"/>
              </w:rPr>
            </w:pPr>
            <w:r>
              <w:t>51.5047</w:t>
            </w:r>
          </w:p>
        </w:tc>
      </w:tr>
      <w:tr w14:paraId="77F7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2ACD0157">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-8</w:t>
            </w:r>
          </w:p>
        </w:tc>
        <w:tc>
          <w:tcPr>
            <w:tcW w:w="2567" w:type="dxa"/>
            <w:shd w:val="clear" w:color="auto" w:fill="auto"/>
            <w:vAlign w:val="top"/>
          </w:tcPr>
          <w:p w14:paraId="318511C7">
            <w:pPr>
              <w:jc w:val="center"/>
              <w:rPr>
                <w:rFonts w:hint="eastAsia" w:ascii="Times New Roman" w:hAnsi="Times New Roman" w:eastAsia="宋体" w:cs="Times New Roman"/>
                <w:kern w:val="2"/>
                <w:sz w:val="21"/>
                <w:szCs w:val="24"/>
                <w:lang w:val="en-US" w:eastAsia="zh-CN" w:bidi="ar-SA"/>
              </w:rPr>
            </w:pPr>
            <w:r>
              <w:t>48.8802</w:t>
            </w:r>
          </w:p>
        </w:tc>
        <w:tc>
          <w:tcPr>
            <w:tcW w:w="1880" w:type="dxa"/>
            <w:shd w:val="clear" w:color="auto" w:fill="auto"/>
            <w:vAlign w:val="top"/>
          </w:tcPr>
          <w:p w14:paraId="3E8330F8">
            <w:pPr>
              <w:jc w:val="center"/>
              <w:rPr>
                <w:rFonts w:hint="eastAsia" w:ascii="Times New Roman" w:hAnsi="Times New Roman" w:eastAsia="宋体" w:cs="Times New Roman"/>
                <w:kern w:val="2"/>
                <w:sz w:val="21"/>
                <w:szCs w:val="24"/>
                <w:lang w:val="en-US" w:eastAsia="zh-CN" w:bidi="ar-SA"/>
              </w:rPr>
            </w:pPr>
            <w:r>
              <w:t>5.4498</w:t>
            </w:r>
          </w:p>
        </w:tc>
        <w:tc>
          <w:tcPr>
            <w:tcW w:w="2648" w:type="dxa"/>
            <w:shd w:val="clear" w:color="auto" w:fill="auto"/>
            <w:vAlign w:val="top"/>
          </w:tcPr>
          <w:p w14:paraId="0919FAA6">
            <w:pPr>
              <w:jc w:val="center"/>
              <w:rPr>
                <w:rFonts w:hint="default" w:ascii="Times New Roman" w:hAnsi="Times New Roman" w:eastAsia="宋体" w:cs="Times New Roman"/>
                <w:kern w:val="2"/>
                <w:sz w:val="21"/>
                <w:szCs w:val="24"/>
                <w:lang w:val="en-US" w:eastAsia="zh-CN" w:bidi="ar-SA"/>
              </w:rPr>
            </w:pPr>
            <w:r>
              <w:t>49.1831</w:t>
            </w:r>
          </w:p>
        </w:tc>
      </w:tr>
      <w:tr w14:paraId="3D6D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28F4AE9C">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-7</w:t>
            </w:r>
          </w:p>
        </w:tc>
        <w:tc>
          <w:tcPr>
            <w:tcW w:w="2567" w:type="dxa"/>
            <w:shd w:val="clear" w:color="auto" w:fill="auto"/>
            <w:vAlign w:val="top"/>
          </w:tcPr>
          <w:p w14:paraId="66205196">
            <w:pPr>
              <w:jc w:val="center"/>
              <w:rPr>
                <w:rFonts w:hint="eastAsia" w:ascii="Times New Roman" w:hAnsi="Times New Roman" w:eastAsia="宋体" w:cs="Times New Roman"/>
                <w:kern w:val="2"/>
                <w:sz w:val="21"/>
                <w:szCs w:val="24"/>
                <w:lang w:val="en-US" w:eastAsia="zh-CN" w:bidi="ar-SA"/>
              </w:rPr>
            </w:pPr>
            <w:r>
              <w:t>45.1615</w:t>
            </w:r>
          </w:p>
        </w:tc>
        <w:tc>
          <w:tcPr>
            <w:tcW w:w="1880" w:type="dxa"/>
            <w:shd w:val="clear" w:color="auto" w:fill="auto"/>
            <w:vAlign w:val="top"/>
          </w:tcPr>
          <w:p w14:paraId="1BD82189">
            <w:pPr>
              <w:jc w:val="center"/>
              <w:rPr>
                <w:rFonts w:hint="eastAsia" w:ascii="Times New Roman" w:hAnsi="Times New Roman" w:eastAsia="宋体" w:cs="Times New Roman"/>
                <w:kern w:val="2"/>
                <w:sz w:val="21"/>
                <w:szCs w:val="24"/>
                <w:lang w:val="en-US" w:eastAsia="zh-CN" w:bidi="ar-SA"/>
              </w:rPr>
            </w:pPr>
            <w:r>
              <w:t>1.4408</w:t>
            </w:r>
          </w:p>
        </w:tc>
        <w:tc>
          <w:tcPr>
            <w:tcW w:w="2648" w:type="dxa"/>
            <w:shd w:val="clear" w:color="auto" w:fill="auto"/>
            <w:vAlign w:val="top"/>
          </w:tcPr>
          <w:p w14:paraId="432DBAEE">
            <w:pPr>
              <w:jc w:val="center"/>
              <w:rPr>
                <w:rFonts w:hint="default" w:ascii="Times New Roman" w:hAnsi="Times New Roman" w:eastAsia="宋体" w:cs="Times New Roman"/>
                <w:kern w:val="2"/>
                <w:sz w:val="21"/>
                <w:szCs w:val="24"/>
                <w:lang w:val="en-US" w:eastAsia="zh-CN" w:bidi="ar-SA"/>
              </w:rPr>
            </w:pPr>
            <w:r>
              <w:t>45.1845</w:t>
            </w:r>
          </w:p>
        </w:tc>
      </w:tr>
      <w:tr w14:paraId="090A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57D434A4">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-6</w:t>
            </w:r>
          </w:p>
        </w:tc>
        <w:tc>
          <w:tcPr>
            <w:tcW w:w="2567" w:type="dxa"/>
            <w:shd w:val="clear" w:color="auto" w:fill="auto"/>
            <w:vAlign w:val="top"/>
          </w:tcPr>
          <w:p w14:paraId="270E0B84">
            <w:pPr>
              <w:jc w:val="center"/>
              <w:rPr>
                <w:rFonts w:hint="eastAsia" w:ascii="Times New Roman" w:hAnsi="Times New Roman" w:eastAsia="宋体" w:cs="Times New Roman"/>
                <w:kern w:val="2"/>
                <w:sz w:val="21"/>
                <w:szCs w:val="24"/>
                <w:lang w:val="en-US" w:eastAsia="zh-CN" w:bidi="ar-SA"/>
              </w:rPr>
            </w:pPr>
            <w:r>
              <w:t>39.9353</w:t>
            </w:r>
          </w:p>
        </w:tc>
        <w:tc>
          <w:tcPr>
            <w:tcW w:w="1880" w:type="dxa"/>
            <w:shd w:val="clear" w:color="auto" w:fill="auto"/>
            <w:vAlign w:val="top"/>
          </w:tcPr>
          <w:p w14:paraId="469E9DED">
            <w:pPr>
              <w:jc w:val="center"/>
              <w:rPr>
                <w:rFonts w:hint="eastAsia" w:ascii="Times New Roman" w:hAnsi="Times New Roman" w:eastAsia="宋体" w:cs="Times New Roman"/>
                <w:kern w:val="2"/>
                <w:sz w:val="21"/>
                <w:szCs w:val="24"/>
                <w:lang w:val="en-US" w:eastAsia="zh-CN" w:bidi="ar-SA"/>
              </w:rPr>
            </w:pPr>
            <w:r>
              <w:t>5.7129</w:t>
            </w:r>
          </w:p>
        </w:tc>
        <w:tc>
          <w:tcPr>
            <w:tcW w:w="2648" w:type="dxa"/>
            <w:shd w:val="clear" w:color="auto" w:fill="auto"/>
            <w:vAlign w:val="top"/>
          </w:tcPr>
          <w:p w14:paraId="02BBB7FC">
            <w:pPr>
              <w:jc w:val="center"/>
              <w:rPr>
                <w:rFonts w:hint="default" w:ascii="Times New Roman" w:hAnsi="Times New Roman" w:eastAsia="宋体" w:cs="Times New Roman"/>
                <w:kern w:val="2"/>
                <w:sz w:val="21"/>
                <w:szCs w:val="24"/>
                <w:lang w:val="en-US" w:eastAsia="zh-CN" w:bidi="ar-SA"/>
              </w:rPr>
            </w:pPr>
            <w:r>
              <w:t>40.3419</w:t>
            </w:r>
          </w:p>
        </w:tc>
      </w:tr>
      <w:tr w14:paraId="10AD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203F801C">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-5</w:t>
            </w:r>
          </w:p>
        </w:tc>
        <w:tc>
          <w:tcPr>
            <w:tcW w:w="2567" w:type="dxa"/>
            <w:shd w:val="clear" w:color="auto" w:fill="auto"/>
            <w:vAlign w:val="top"/>
          </w:tcPr>
          <w:p w14:paraId="5D5F42F1">
            <w:pPr>
              <w:jc w:val="center"/>
              <w:rPr>
                <w:rFonts w:hint="eastAsia" w:ascii="Times New Roman" w:hAnsi="Times New Roman" w:eastAsia="宋体" w:cs="Times New Roman"/>
                <w:kern w:val="2"/>
                <w:sz w:val="21"/>
                <w:szCs w:val="24"/>
                <w:lang w:val="en-US" w:eastAsia="zh-CN" w:bidi="ar-SA"/>
              </w:rPr>
            </w:pPr>
            <w:r>
              <w:t>34.6531</w:t>
            </w:r>
          </w:p>
        </w:tc>
        <w:tc>
          <w:tcPr>
            <w:tcW w:w="1880" w:type="dxa"/>
            <w:shd w:val="clear" w:color="auto" w:fill="auto"/>
            <w:vAlign w:val="top"/>
          </w:tcPr>
          <w:p w14:paraId="753941C9">
            <w:pPr>
              <w:jc w:val="center"/>
              <w:rPr>
                <w:rFonts w:hint="eastAsia" w:ascii="Times New Roman" w:hAnsi="Times New Roman" w:eastAsia="宋体" w:cs="Times New Roman"/>
                <w:kern w:val="2"/>
                <w:sz w:val="21"/>
                <w:szCs w:val="24"/>
                <w:lang w:val="en-US" w:eastAsia="zh-CN" w:bidi="ar-SA"/>
              </w:rPr>
            </w:pPr>
            <w:r>
              <w:t>7.4950</w:t>
            </w:r>
          </w:p>
        </w:tc>
        <w:tc>
          <w:tcPr>
            <w:tcW w:w="2648" w:type="dxa"/>
            <w:shd w:val="clear" w:color="auto" w:fill="auto"/>
            <w:vAlign w:val="top"/>
          </w:tcPr>
          <w:p w14:paraId="770C8826">
            <w:pPr>
              <w:jc w:val="center"/>
              <w:rPr>
                <w:rFonts w:hint="default" w:ascii="Times New Roman" w:hAnsi="Times New Roman" w:eastAsia="宋体" w:cs="Times New Roman"/>
                <w:kern w:val="2"/>
                <w:sz w:val="21"/>
                <w:szCs w:val="24"/>
                <w:lang w:val="en-US" w:eastAsia="zh-CN" w:bidi="ar-SA"/>
              </w:rPr>
            </w:pPr>
            <w:r>
              <w:t>35.4544</w:t>
            </w:r>
          </w:p>
        </w:tc>
      </w:tr>
      <w:tr w14:paraId="1925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2B5CDA95">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w:t>
            </w:r>
          </w:p>
        </w:tc>
        <w:tc>
          <w:tcPr>
            <w:tcW w:w="2567" w:type="dxa"/>
            <w:shd w:val="clear" w:color="auto" w:fill="auto"/>
            <w:vAlign w:val="top"/>
          </w:tcPr>
          <w:p w14:paraId="24CD5CB2">
            <w:pPr>
              <w:jc w:val="center"/>
              <w:rPr>
                <w:rFonts w:hint="eastAsia" w:ascii="Times New Roman" w:hAnsi="Times New Roman" w:eastAsia="宋体" w:cs="Times New Roman"/>
                <w:kern w:val="2"/>
                <w:sz w:val="21"/>
                <w:szCs w:val="24"/>
                <w:lang w:val="en-US" w:eastAsia="zh-CN" w:bidi="ar-SA"/>
              </w:rPr>
            </w:pPr>
            <w:r>
              <w:t>30.1445</w:t>
            </w:r>
          </w:p>
        </w:tc>
        <w:tc>
          <w:tcPr>
            <w:tcW w:w="1880" w:type="dxa"/>
            <w:shd w:val="clear" w:color="auto" w:fill="auto"/>
            <w:vAlign w:val="top"/>
          </w:tcPr>
          <w:p w14:paraId="6F074005">
            <w:pPr>
              <w:jc w:val="center"/>
              <w:rPr>
                <w:rFonts w:hint="eastAsia" w:ascii="Times New Roman" w:hAnsi="Times New Roman" w:eastAsia="宋体" w:cs="Times New Roman"/>
                <w:kern w:val="2"/>
                <w:sz w:val="21"/>
                <w:szCs w:val="24"/>
                <w:lang w:val="en-US" w:eastAsia="zh-CN" w:bidi="ar-SA"/>
              </w:rPr>
            </w:pPr>
            <w:r>
              <w:t>7.4580</w:t>
            </w:r>
          </w:p>
        </w:tc>
        <w:tc>
          <w:tcPr>
            <w:tcW w:w="2648" w:type="dxa"/>
            <w:shd w:val="clear" w:color="auto" w:fill="auto"/>
            <w:vAlign w:val="top"/>
          </w:tcPr>
          <w:p w14:paraId="265A2C36">
            <w:pPr>
              <w:jc w:val="center"/>
              <w:rPr>
                <w:rFonts w:hint="default" w:ascii="Times New Roman" w:hAnsi="Times New Roman" w:eastAsia="宋体" w:cs="Times New Roman"/>
                <w:kern w:val="2"/>
                <w:sz w:val="21"/>
                <w:szCs w:val="24"/>
                <w:lang w:val="en-US" w:eastAsia="zh-CN" w:bidi="ar-SA"/>
              </w:rPr>
            </w:pPr>
            <w:r>
              <w:t>31.0534</w:t>
            </w:r>
          </w:p>
        </w:tc>
      </w:tr>
      <w:tr w14:paraId="1C38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13F37B6D">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-3</w:t>
            </w:r>
          </w:p>
        </w:tc>
        <w:tc>
          <w:tcPr>
            <w:tcW w:w="2567" w:type="dxa"/>
            <w:shd w:val="clear" w:color="auto" w:fill="auto"/>
            <w:vAlign w:val="top"/>
          </w:tcPr>
          <w:p w14:paraId="69132211">
            <w:pPr>
              <w:jc w:val="center"/>
              <w:rPr>
                <w:rFonts w:hint="eastAsia" w:ascii="Times New Roman" w:hAnsi="Times New Roman" w:eastAsia="宋体" w:cs="Times New Roman"/>
                <w:kern w:val="2"/>
                <w:sz w:val="21"/>
                <w:szCs w:val="24"/>
                <w:lang w:val="en-US" w:eastAsia="zh-CN" w:bidi="ar-SA"/>
              </w:rPr>
            </w:pPr>
            <w:r>
              <w:t>26.6983</w:t>
            </w:r>
          </w:p>
        </w:tc>
        <w:tc>
          <w:tcPr>
            <w:tcW w:w="1880" w:type="dxa"/>
            <w:shd w:val="clear" w:color="auto" w:fill="auto"/>
            <w:vAlign w:val="top"/>
          </w:tcPr>
          <w:p w14:paraId="2BF0E45E">
            <w:pPr>
              <w:jc w:val="center"/>
              <w:rPr>
                <w:rFonts w:hint="eastAsia" w:ascii="Times New Roman" w:hAnsi="Times New Roman" w:eastAsia="宋体" w:cs="Times New Roman"/>
                <w:kern w:val="2"/>
                <w:sz w:val="21"/>
                <w:szCs w:val="24"/>
                <w:lang w:val="en-US" w:eastAsia="zh-CN" w:bidi="ar-SA"/>
              </w:rPr>
            </w:pPr>
            <w:r>
              <w:t>6.2809</w:t>
            </w:r>
          </w:p>
        </w:tc>
        <w:tc>
          <w:tcPr>
            <w:tcW w:w="2648" w:type="dxa"/>
            <w:shd w:val="clear" w:color="auto" w:fill="auto"/>
            <w:vAlign w:val="top"/>
          </w:tcPr>
          <w:p w14:paraId="05F48ACB">
            <w:pPr>
              <w:jc w:val="center"/>
              <w:rPr>
                <w:rFonts w:hint="default" w:ascii="Times New Roman" w:hAnsi="Times New Roman" w:eastAsia="宋体" w:cs="Times New Roman"/>
                <w:kern w:val="2"/>
                <w:sz w:val="21"/>
                <w:szCs w:val="24"/>
                <w:lang w:val="en-US" w:eastAsia="zh-CN" w:bidi="ar-SA"/>
              </w:rPr>
            </w:pPr>
            <w:r>
              <w:t>27.4272</w:t>
            </w:r>
          </w:p>
        </w:tc>
      </w:tr>
      <w:tr w14:paraId="1108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05D24093">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w:t>
            </w:r>
          </w:p>
        </w:tc>
        <w:tc>
          <w:tcPr>
            <w:tcW w:w="2567" w:type="dxa"/>
            <w:shd w:val="clear" w:color="auto" w:fill="auto"/>
            <w:vAlign w:val="top"/>
          </w:tcPr>
          <w:p w14:paraId="74E3F3D4">
            <w:pPr>
              <w:jc w:val="center"/>
              <w:rPr>
                <w:rFonts w:hint="eastAsia" w:ascii="Times New Roman" w:hAnsi="Times New Roman" w:eastAsia="宋体" w:cs="Times New Roman"/>
                <w:kern w:val="2"/>
                <w:sz w:val="21"/>
                <w:szCs w:val="24"/>
                <w:lang w:val="en-US" w:eastAsia="zh-CN" w:bidi="ar-SA"/>
              </w:rPr>
            </w:pPr>
            <w:r>
              <w:t>24.3256</w:t>
            </w:r>
          </w:p>
        </w:tc>
        <w:tc>
          <w:tcPr>
            <w:tcW w:w="1880" w:type="dxa"/>
            <w:shd w:val="clear" w:color="auto" w:fill="auto"/>
            <w:vAlign w:val="top"/>
          </w:tcPr>
          <w:p w14:paraId="7A53AE64">
            <w:pPr>
              <w:jc w:val="center"/>
              <w:rPr>
                <w:rFonts w:hint="eastAsia" w:ascii="Times New Roman" w:hAnsi="Times New Roman" w:eastAsia="宋体" w:cs="Times New Roman"/>
                <w:kern w:val="2"/>
                <w:sz w:val="21"/>
                <w:szCs w:val="24"/>
                <w:lang w:val="en-US" w:eastAsia="zh-CN" w:bidi="ar-SA"/>
              </w:rPr>
            </w:pPr>
            <w:r>
              <w:t>4.4567</w:t>
            </w:r>
          </w:p>
        </w:tc>
        <w:tc>
          <w:tcPr>
            <w:tcW w:w="2648" w:type="dxa"/>
            <w:shd w:val="clear" w:color="auto" w:fill="auto"/>
            <w:vAlign w:val="top"/>
          </w:tcPr>
          <w:p w14:paraId="2A4F2EF5">
            <w:pPr>
              <w:jc w:val="center"/>
              <w:rPr>
                <w:rFonts w:hint="default" w:ascii="Times New Roman" w:hAnsi="Times New Roman" w:eastAsia="宋体" w:cs="Times New Roman"/>
                <w:kern w:val="2"/>
                <w:sz w:val="21"/>
                <w:szCs w:val="24"/>
                <w:lang w:val="en-US" w:eastAsia="zh-CN" w:bidi="ar-SA"/>
              </w:rPr>
            </w:pPr>
            <w:r>
              <w:t>24.7305</w:t>
            </w:r>
          </w:p>
        </w:tc>
      </w:tr>
      <w:tr w14:paraId="7AA0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vAlign w:val="top"/>
          </w:tcPr>
          <w:p w14:paraId="31820550">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w:t>
            </w:r>
          </w:p>
        </w:tc>
        <w:tc>
          <w:tcPr>
            <w:tcW w:w="2567" w:type="dxa"/>
            <w:shd w:val="clear" w:color="auto" w:fill="auto"/>
            <w:vAlign w:val="top"/>
          </w:tcPr>
          <w:p w14:paraId="75146A9F">
            <w:pPr>
              <w:jc w:val="center"/>
              <w:rPr>
                <w:rFonts w:hint="eastAsia" w:ascii="Times New Roman" w:hAnsi="Times New Roman" w:eastAsia="宋体" w:cs="Times New Roman"/>
                <w:kern w:val="2"/>
                <w:sz w:val="21"/>
                <w:szCs w:val="24"/>
                <w:lang w:val="en-US" w:eastAsia="zh-CN" w:bidi="ar-SA"/>
              </w:rPr>
            </w:pPr>
            <w:r>
              <w:t>22.9494</w:t>
            </w:r>
          </w:p>
        </w:tc>
        <w:tc>
          <w:tcPr>
            <w:tcW w:w="1880" w:type="dxa"/>
            <w:shd w:val="clear" w:color="auto" w:fill="auto"/>
            <w:vAlign w:val="top"/>
          </w:tcPr>
          <w:p w14:paraId="3FC7A300">
            <w:pPr>
              <w:jc w:val="center"/>
              <w:rPr>
                <w:rFonts w:hint="eastAsia" w:ascii="Times New Roman" w:hAnsi="Times New Roman" w:eastAsia="宋体" w:cs="Times New Roman"/>
                <w:kern w:val="2"/>
                <w:sz w:val="21"/>
                <w:szCs w:val="24"/>
                <w:lang w:val="en-US" w:eastAsia="zh-CN" w:bidi="ar-SA"/>
              </w:rPr>
            </w:pPr>
            <w:r>
              <w:t>2.2981</w:t>
            </w:r>
          </w:p>
        </w:tc>
        <w:tc>
          <w:tcPr>
            <w:tcW w:w="2648" w:type="dxa"/>
            <w:shd w:val="clear" w:color="auto" w:fill="auto"/>
            <w:vAlign w:val="top"/>
          </w:tcPr>
          <w:p w14:paraId="55F1566A">
            <w:pPr>
              <w:jc w:val="center"/>
              <w:rPr>
                <w:rFonts w:hint="default" w:ascii="Times New Roman" w:hAnsi="Times New Roman" w:eastAsia="宋体" w:cs="Times New Roman"/>
                <w:kern w:val="2"/>
                <w:sz w:val="21"/>
                <w:szCs w:val="24"/>
                <w:lang w:val="en-US" w:eastAsia="zh-CN" w:bidi="ar-SA"/>
              </w:rPr>
            </w:pPr>
            <w:r>
              <w:t>23.0642</w:t>
            </w:r>
          </w:p>
        </w:tc>
      </w:tr>
      <w:tr w14:paraId="0A98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5" w:type="dxa"/>
            <w:shd w:val="clear" w:color="auto" w:fill="auto"/>
            <w:vAlign w:val="top"/>
          </w:tcPr>
          <w:p w14:paraId="4E3B2683">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0</w:t>
            </w:r>
          </w:p>
        </w:tc>
        <w:tc>
          <w:tcPr>
            <w:tcW w:w="2567" w:type="dxa"/>
            <w:shd w:val="clear" w:color="auto" w:fill="auto"/>
            <w:vAlign w:val="top"/>
          </w:tcPr>
          <w:p w14:paraId="36D9C58A">
            <w:pPr>
              <w:jc w:val="center"/>
              <w:rPr>
                <w:rFonts w:hint="eastAsia" w:ascii="Times New Roman" w:hAnsi="Times New Roman" w:eastAsia="宋体" w:cs="Times New Roman"/>
                <w:kern w:val="2"/>
                <w:sz w:val="21"/>
                <w:szCs w:val="24"/>
                <w:lang w:val="en-US" w:eastAsia="zh-CN" w:bidi="ar-SA"/>
              </w:rPr>
            </w:pPr>
            <w:r>
              <w:t>22.4995</w:t>
            </w:r>
          </w:p>
        </w:tc>
        <w:tc>
          <w:tcPr>
            <w:tcW w:w="1880" w:type="dxa"/>
            <w:shd w:val="clear" w:color="auto" w:fill="auto"/>
            <w:vAlign w:val="top"/>
          </w:tcPr>
          <w:p w14:paraId="48E6369E">
            <w:pPr>
              <w:jc w:val="center"/>
              <w:rPr>
                <w:rFonts w:hint="eastAsia" w:ascii="Times New Roman" w:hAnsi="Times New Roman" w:eastAsia="宋体" w:cs="Times New Roman"/>
                <w:kern w:val="2"/>
                <w:sz w:val="21"/>
                <w:szCs w:val="24"/>
                <w:lang w:val="en-US" w:eastAsia="zh-CN" w:bidi="ar-SA"/>
              </w:rPr>
            </w:pPr>
            <w:r>
              <w:t>0.0003</w:t>
            </w:r>
          </w:p>
        </w:tc>
        <w:tc>
          <w:tcPr>
            <w:tcW w:w="2648" w:type="dxa"/>
            <w:shd w:val="clear" w:color="auto" w:fill="auto"/>
            <w:vAlign w:val="top"/>
          </w:tcPr>
          <w:p w14:paraId="65E0FBD5">
            <w:pPr>
              <w:jc w:val="center"/>
              <w:rPr>
                <w:rFonts w:hint="eastAsia" w:ascii="Times New Roman" w:hAnsi="Times New Roman" w:eastAsia="宋体" w:cs="Times New Roman"/>
                <w:kern w:val="2"/>
                <w:sz w:val="21"/>
                <w:szCs w:val="24"/>
                <w:lang w:val="en-US" w:eastAsia="zh-CN" w:bidi="ar-SA"/>
              </w:rPr>
            </w:pPr>
            <w:r>
              <w:t>22.4995</w:t>
            </w:r>
          </w:p>
        </w:tc>
      </w:tr>
      <w:tr w14:paraId="59FF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18A6AD23">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w:t>
            </w:r>
          </w:p>
        </w:tc>
        <w:tc>
          <w:tcPr>
            <w:tcW w:w="0" w:type="auto"/>
            <w:shd w:val="clear" w:color="auto" w:fill="auto"/>
            <w:vAlign w:val="top"/>
          </w:tcPr>
          <w:p w14:paraId="20FA5AA3">
            <w:pPr>
              <w:jc w:val="center"/>
              <w:rPr>
                <w:rFonts w:hint="eastAsia" w:ascii="Times New Roman" w:hAnsi="Times New Roman" w:eastAsia="宋体" w:cs="Times New Roman"/>
                <w:kern w:val="2"/>
                <w:sz w:val="21"/>
                <w:szCs w:val="24"/>
                <w:lang w:val="en-US" w:eastAsia="zh-CN" w:bidi="ar-SA"/>
              </w:rPr>
            </w:pPr>
            <w:r>
              <w:t>22.9494</w:t>
            </w:r>
          </w:p>
        </w:tc>
        <w:tc>
          <w:tcPr>
            <w:tcW w:w="0" w:type="auto"/>
            <w:shd w:val="clear" w:color="auto" w:fill="auto"/>
            <w:vAlign w:val="top"/>
          </w:tcPr>
          <w:p w14:paraId="18380E96">
            <w:pPr>
              <w:jc w:val="center"/>
              <w:rPr>
                <w:rFonts w:hint="eastAsia" w:ascii="Times New Roman" w:hAnsi="Times New Roman" w:eastAsia="宋体" w:cs="Times New Roman"/>
                <w:kern w:val="2"/>
                <w:sz w:val="21"/>
                <w:szCs w:val="24"/>
                <w:lang w:val="en-US" w:eastAsia="zh-CN" w:bidi="ar-SA"/>
              </w:rPr>
            </w:pPr>
            <w:r>
              <w:t>2.2981</w:t>
            </w:r>
          </w:p>
        </w:tc>
        <w:tc>
          <w:tcPr>
            <w:tcW w:w="0" w:type="auto"/>
            <w:shd w:val="clear" w:color="auto" w:fill="auto"/>
            <w:vAlign w:val="top"/>
          </w:tcPr>
          <w:p w14:paraId="620AB749">
            <w:pPr>
              <w:jc w:val="center"/>
              <w:rPr>
                <w:rFonts w:hint="eastAsia" w:ascii="Times New Roman" w:hAnsi="Times New Roman" w:eastAsia="宋体" w:cs="Times New Roman"/>
                <w:kern w:val="2"/>
                <w:sz w:val="21"/>
                <w:szCs w:val="24"/>
                <w:lang w:val="en-US" w:eastAsia="zh-CN" w:bidi="ar-SA"/>
              </w:rPr>
            </w:pPr>
            <w:r>
              <w:t>23.0642</w:t>
            </w:r>
          </w:p>
        </w:tc>
      </w:tr>
      <w:tr w14:paraId="71C7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22D3B3D0">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w:t>
            </w:r>
          </w:p>
        </w:tc>
        <w:tc>
          <w:tcPr>
            <w:tcW w:w="0" w:type="auto"/>
            <w:shd w:val="clear" w:color="auto" w:fill="auto"/>
            <w:vAlign w:val="top"/>
          </w:tcPr>
          <w:p w14:paraId="3650F3CF">
            <w:pPr>
              <w:jc w:val="center"/>
              <w:rPr>
                <w:rFonts w:hint="eastAsia" w:ascii="Times New Roman" w:hAnsi="Times New Roman" w:eastAsia="宋体" w:cs="Times New Roman"/>
                <w:kern w:val="2"/>
                <w:sz w:val="21"/>
                <w:szCs w:val="24"/>
                <w:lang w:val="en-US" w:eastAsia="zh-CN" w:bidi="ar-SA"/>
              </w:rPr>
            </w:pPr>
            <w:r>
              <w:t>24.3256</w:t>
            </w:r>
          </w:p>
        </w:tc>
        <w:tc>
          <w:tcPr>
            <w:tcW w:w="0" w:type="auto"/>
            <w:shd w:val="clear" w:color="auto" w:fill="auto"/>
            <w:vAlign w:val="top"/>
          </w:tcPr>
          <w:p w14:paraId="48D9098B">
            <w:pPr>
              <w:jc w:val="center"/>
              <w:rPr>
                <w:rFonts w:hint="eastAsia" w:ascii="Times New Roman" w:hAnsi="Times New Roman" w:eastAsia="宋体" w:cs="Times New Roman"/>
                <w:kern w:val="2"/>
                <w:sz w:val="21"/>
                <w:szCs w:val="24"/>
                <w:lang w:val="en-US" w:eastAsia="zh-CN" w:bidi="ar-SA"/>
              </w:rPr>
            </w:pPr>
            <w:r>
              <w:t>4.4567</w:t>
            </w:r>
          </w:p>
        </w:tc>
        <w:tc>
          <w:tcPr>
            <w:tcW w:w="0" w:type="auto"/>
            <w:shd w:val="clear" w:color="auto" w:fill="auto"/>
            <w:vAlign w:val="top"/>
          </w:tcPr>
          <w:p w14:paraId="0518C089">
            <w:pPr>
              <w:jc w:val="center"/>
              <w:rPr>
                <w:rFonts w:hint="eastAsia" w:ascii="Times New Roman" w:hAnsi="Times New Roman" w:eastAsia="宋体" w:cs="Times New Roman"/>
                <w:kern w:val="2"/>
                <w:sz w:val="21"/>
                <w:szCs w:val="24"/>
                <w:lang w:val="en-US" w:eastAsia="zh-CN" w:bidi="ar-SA"/>
              </w:rPr>
            </w:pPr>
            <w:r>
              <w:t>24.7305</w:t>
            </w:r>
          </w:p>
        </w:tc>
      </w:tr>
      <w:tr w14:paraId="30D6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42385A1D">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w:t>
            </w:r>
          </w:p>
        </w:tc>
        <w:tc>
          <w:tcPr>
            <w:tcW w:w="0" w:type="auto"/>
            <w:shd w:val="clear" w:color="auto" w:fill="auto"/>
            <w:vAlign w:val="top"/>
          </w:tcPr>
          <w:p w14:paraId="71DCEE9A">
            <w:pPr>
              <w:jc w:val="center"/>
              <w:rPr>
                <w:rFonts w:hint="eastAsia" w:ascii="Times New Roman" w:hAnsi="Times New Roman" w:eastAsia="宋体" w:cs="Times New Roman"/>
                <w:kern w:val="2"/>
                <w:sz w:val="21"/>
                <w:szCs w:val="24"/>
                <w:lang w:val="en-US" w:eastAsia="zh-CN" w:bidi="ar-SA"/>
              </w:rPr>
            </w:pPr>
            <w:r>
              <w:t>26.6983</w:t>
            </w:r>
          </w:p>
        </w:tc>
        <w:tc>
          <w:tcPr>
            <w:tcW w:w="0" w:type="auto"/>
            <w:shd w:val="clear" w:color="auto" w:fill="auto"/>
            <w:vAlign w:val="top"/>
          </w:tcPr>
          <w:p w14:paraId="3B701108">
            <w:pPr>
              <w:jc w:val="center"/>
              <w:rPr>
                <w:rFonts w:hint="eastAsia" w:ascii="Times New Roman" w:hAnsi="Times New Roman" w:eastAsia="宋体" w:cs="Times New Roman"/>
                <w:kern w:val="2"/>
                <w:sz w:val="21"/>
                <w:szCs w:val="24"/>
                <w:lang w:val="en-US" w:eastAsia="zh-CN" w:bidi="ar-SA"/>
              </w:rPr>
            </w:pPr>
            <w:r>
              <w:t>6.2809</w:t>
            </w:r>
          </w:p>
        </w:tc>
        <w:tc>
          <w:tcPr>
            <w:tcW w:w="0" w:type="auto"/>
            <w:shd w:val="clear" w:color="auto" w:fill="auto"/>
            <w:vAlign w:val="top"/>
          </w:tcPr>
          <w:p w14:paraId="5A41B98E">
            <w:pPr>
              <w:jc w:val="center"/>
              <w:rPr>
                <w:rFonts w:hint="eastAsia" w:ascii="Times New Roman" w:hAnsi="Times New Roman" w:eastAsia="宋体" w:cs="Times New Roman"/>
                <w:kern w:val="2"/>
                <w:sz w:val="21"/>
                <w:szCs w:val="24"/>
                <w:lang w:val="en-US" w:eastAsia="zh-CN" w:bidi="ar-SA"/>
              </w:rPr>
            </w:pPr>
            <w:r>
              <w:t>27.4272</w:t>
            </w:r>
          </w:p>
        </w:tc>
      </w:tr>
      <w:tr w14:paraId="6D7F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0503AE36">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w:t>
            </w:r>
          </w:p>
        </w:tc>
        <w:tc>
          <w:tcPr>
            <w:tcW w:w="0" w:type="auto"/>
            <w:shd w:val="clear" w:color="auto" w:fill="auto"/>
            <w:vAlign w:val="top"/>
          </w:tcPr>
          <w:p w14:paraId="158D4D39">
            <w:pPr>
              <w:jc w:val="center"/>
              <w:rPr>
                <w:rFonts w:hint="eastAsia" w:ascii="Times New Roman" w:hAnsi="Times New Roman" w:eastAsia="宋体" w:cs="Times New Roman"/>
                <w:kern w:val="2"/>
                <w:sz w:val="21"/>
                <w:szCs w:val="24"/>
                <w:lang w:val="en-US" w:eastAsia="zh-CN" w:bidi="ar-SA"/>
              </w:rPr>
            </w:pPr>
            <w:r>
              <w:t>30.1445</w:t>
            </w:r>
          </w:p>
        </w:tc>
        <w:tc>
          <w:tcPr>
            <w:tcW w:w="0" w:type="auto"/>
            <w:shd w:val="clear" w:color="auto" w:fill="auto"/>
            <w:vAlign w:val="top"/>
          </w:tcPr>
          <w:p w14:paraId="78AE6B95">
            <w:pPr>
              <w:jc w:val="center"/>
              <w:rPr>
                <w:rFonts w:hint="eastAsia" w:ascii="Times New Roman" w:hAnsi="Times New Roman" w:eastAsia="宋体" w:cs="Times New Roman"/>
                <w:kern w:val="2"/>
                <w:sz w:val="21"/>
                <w:szCs w:val="24"/>
                <w:lang w:val="en-US" w:eastAsia="zh-CN" w:bidi="ar-SA"/>
              </w:rPr>
            </w:pPr>
            <w:r>
              <w:t>7.4580</w:t>
            </w:r>
          </w:p>
        </w:tc>
        <w:tc>
          <w:tcPr>
            <w:tcW w:w="0" w:type="auto"/>
            <w:shd w:val="clear" w:color="auto" w:fill="auto"/>
            <w:vAlign w:val="top"/>
          </w:tcPr>
          <w:p w14:paraId="6FD215D4">
            <w:pPr>
              <w:jc w:val="center"/>
              <w:rPr>
                <w:rFonts w:hint="eastAsia" w:ascii="Times New Roman" w:hAnsi="Times New Roman" w:eastAsia="宋体" w:cs="Times New Roman"/>
                <w:kern w:val="2"/>
                <w:sz w:val="21"/>
                <w:szCs w:val="24"/>
                <w:lang w:val="en-US" w:eastAsia="zh-CN" w:bidi="ar-SA"/>
              </w:rPr>
            </w:pPr>
            <w:r>
              <w:t>31.0534</w:t>
            </w:r>
          </w:p>
        </w:tc>
      </w:tr>
      <w:tr w14:paraId="31D4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77325CC4">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5</w:t>
            </w:r>
          </w:p>
        </w:tc>
        <w:tc>
          <w:tcPr>
            <w:tcW w:w="0" w:type="auto"/>
            <w:shd w:val="clear" w:color="auto" w:fill="auto"/>
            <w:vAlign w:val="top"/>
          </w:tcPr>
          <w:p w14:paraId="6122CC2B">
            <w:pPr>
              <w:jc w:val="center"/>
              <w:rPr>
                <w:rFonts w:hint="eastAsia" w:ascii="Times New Roman" w:hAnsi="Times New Roman" w:eastAsia="宋体" w:cs="Times New Roman"/>
                <w:kern w:val="2"/>
                <w:sz w:val="21"/>
                <w:szCs w:val="24"/>
                <w:lang w:val="en-US" w:eastAsia="zh-CN" w:bidi="ar-SA"/>
              </w:rPr>
            </w:pPr>
            <w:r>
              <w:t>34.6531</w:t>
            </w:r>
          </w:p>
        </w:tc>
        <w:tc>
          <w:tcPr>
            <w:tcW w:w="0" w:type="auto"/>
            <w:shd w:val="clear" w:color="auto" w:fill="auto"/>
            <w:vAlign w:val="top"/>
          </w:tcPr>
          <w:p w14:paraId="47625623">
            <w:pPr>
              <w:jc w:val="center"/>
              <w:rPr>
                <w:rFonts w:hint="eastAsia" w:ascii="Times New Roman" w:hAnsi="Times New Roman" w:eastAsia="宋体" w:cs="Times New Roman"/>
                <w:kern w:val="2"/>
                <w:sz w:val="21"/>
                <w:szCs w:val="24"/>
                <w:lang w:val="en-US" w:eastAsia="zh-CN" w:bidi="ar-SA"/>
              </w:rPr>
            </w:pPr>
            <w:r>
              <w:t>7.4950</w:t>
            </w:r>
          </w:p>
        </w:tc>
        <w:tc>
          <w:tcPr>
            <w:tcW w:w="0" w:type="auto"/>
            <w:shd w:val="clear" w:color="auto" w:fill="auto"/>
            <w:vAlign w:val="top"/>
          </w:tcPr>
          <w:p w14:paraId="593A9418">
            <w:pPr>
              <w:jc w:val="center"/>
              <w:rPr>
                <w:rFonts w:hint="eastAsia" w:ascii="Times New Roman" w:hAnsi="Times New Roman" w:eastAsia="宋体" w:cs="Times New Roman"/>
                <w:kern w:val="2"/>
                <w:sz w:val="21"/>
                <w:szCs w:val="24"/>
                <w:lang w:val="en-US" w:eastAsia="zh-CN" w:bidi="ar-SA"/>
              </w:rPr>
            </w:pPr>
            <w:r>
              <w:t>35.4544</w:t>
            </w:r>
          </w:p>
        </w:tc>
      </w:tr>
      <w:tr w14:paraId="362D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21E49D83">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6</w:t>
            </w:r>
          </w:p>
        </w:tc>
        <w:tc>
          <w:tcPr>
            <w:tcW w:w="0" w:type="auto"/>
            <w:shd w:val="clear" w:color="auto" w:fill="auto"/>
            <w:vAlign w:val="top"/>
          </w:tcPr>
          <w:p w14:paraId="18969B7D">
            <w:pPr>
              <w:jc w:val="center"/>
              <w:rPr>
                <w:rFonts w:hint="eastAsia" w:ascii="Times New Roman" w:hAnsi="Times New Roman" w:eastAsia="宋体" w:cs="Times New Roman"/>
                <w:kern w:val="2"/>
                <w:sz w:val="21"/>
                <w:szCs w:val="24"/>
                <w:lang w:val="en-US" w:eastAsia="zh-CN" w:bidi="ar-SA"/>
              </w:rPr>
            </w:pPr>
            <w:r>
              <w:t>39.9353</w:t>
            </w:r>
          </w:p>
        </w:tc>
        <w:tc>
          <w:tcPr>
            <w:tcW w:w="0" w:type="auto"/>
            <w:shd w:val="clear" w:color="auto" w:fill="auto"/>
            <w:vAlign w:val="top"/>
          </w:tcPr>
          <w:p w14:paraId="5E8B96A2">
            <w:pPr>
              <w:jc w:val="center"/>
              <w:rPr>
                <w:rFonts w:hint="eastAsia" w:ascii="Times New Roman" w:hAnsi="Times New Roman" w:eastAsia="宋体" w:cs="Times New Roman"/>
                <w:kern w:val="2"/>
                <w:sz w:val="21"/>
                <w:szCs w:val="24"/>
                <w:lang w:val="en-US" w:eastAsia="zh-CN" w:bidi="ar-SA"/>
              </w:rPr>
            </w:pPr>
            <w:r>
              <w:t>5.7129</w:t>
            </w:r>
          </w:p>
        </w:tc>
        <w:tc>
          <w:tcPr>
            <w:tcW w:w="0" w:type="auto"/>
            <w:shd w:val="clear" w:color="auto" w:fill="auto"/>
            <w:vAlign w:val="top"/>
          </w:tcPr>
          <w:p w14:paraId="6E269C55">
            <w:pPr>
              <w:jc w:val="center"/>
              <w:rPr>
                <w:rFonts w:hint="eastAsia" w:ascii="Times New Roman" w:hAnsi="Times New Roman" w:eastAsia="宋体" w:cs="Times New Roman"/>
                <w:kern w:val="2"/>
                <w:sz w:val="21"/>
                <w:szCs w:val="24"/>
                <w:lang w:val="en-US" w:eastAsia="zh-CN" w:bidi="ar-SA"/>
              </w:rPr>
            </w:pPr>
            <w:r>
              <w:t>40.3419</w:t>
            </w:r>
          </w:p>
        </w:tc>
      </w:tr>
      <w:tr w14:paraId="3FC3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35808915">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7</w:t>
            </w:r>
          </w:p>
        </w:tc>
        <w:tc>
          <w:tcPr>
            <w:tcW w:w="0" w:type="auto"/>
            <w:shd w:val="clear" w:color="auto" w:fill="auto"/>
            <w:vAlign w:val="top"/>
          </w:tcPr>
          <w:p w14:paraId="165F59FA">
            <w:pPr>
              <w:jc w:val="center"/>
              <w:rPr>
                <w:rFonts w:hint="eastAsia" w:ascii="Times New Roman" w:hAnsi="Times New Roman" w:eastAsia="宋体" w:cs="Times New Roman"/>
                <w:kern w:val="2"/>
                <w:sz w:val="21"/>
                <w:szCs w:val="24"/>
                <w:lang w:val="en-US" w:eastAsia="zh-CN" w:bidi="ar-SA"/>
              </w:rPr>
            </w:pPr>
            <w:r>
              <w:t>45.1615</w:t>
            </w:r>
          </w:p>
        </w:tc>
        <w:tc>
          <w:tcPr>
            <w:tcW w:w="0" w:type="auto"/>
            <w:shd w:val="clear" w:color="auto" w:fill="auto"/>
            <w:vAlign w:val="top"/>
          </w:tcPr>
          <w:p w14:paraId="669CE977">
            <w:pPr>
              <w:jc w:val="center"/>
              <w:rPr>
                <w:rFonts w:hint="eastAsia" w:ascii="Times New Roman" w:hAnsi="Times New Roman" w:eastAsia="宋体" w:cs="Times New Roman"/>
                <w:kern w:val="2"/>
                <w:sz w:val="21"/>
                <w:szCs w:val="24"/>
                <w:lang w:val="en-US" w:eastAsia="zh-CN" w:bidi="ar-SA"/>
              </w:rPr>
            </w:pPr>
            <w:r>
              <w:t>1.4408</w:t>
            </w:r>
          </w:p>
        </w:tc>
        <w:tc>
          <w:tcPr>
            <w:tcW w:w="0" w:type="auto"/>
            <w:shd w:val="clear" w:color="auto" w:fill="auto"/>
            <w:vAlign w:val="top"/>
          </w:tcPr>
          <w:p w14:paraId="49D04041">
            <w:pPr>
              <w:jc w:val="center"/>
              <w:rPr>
                <w:rFonts w:hint="eastAsia" w:ascii="Times New Roman" w:hAnsi="Times New Roman" w:eastAsia="宋体" w:cs="Times New Roman"/>
                <w:kern w:val="2"/>
                <w:sz w:val="21"/>
                <w:szCs w:val="24"/>
                <w:lang w:val="en-US" w:eastAsia="zh-CN" w:bidi="ar-SA"/>
              </w:rPr>
            </w:pPr>
            <w:r>
              <w:t>45.1845</w:t>
            </w:r>
          </w:p>
        </w:tc>
      </w:tr>
      <w:tr w14:paraId="3EC0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6B85951E">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8</w:t>
            </w:r>
          </w:p>
        </w:tc>
        <w:tc>
          <w:tcPr>
            <w:tcW w:w="0" w:type="auto"/>
            <w:shd w:val="clear" w:color="auto" w:fill="auto"/>
            <w:vAlign w:val="top"/>
          </w:tcPr>
          <w:p w14:paraId="1FEF6D3D">
            <w:pPr>
              <w:jc w:val="center"/>
              <w:rPr>
                <w:rFonts w:hint="eastAsia" w:ascii="Times New Roman" w:hAnsi="Times New Roman" w:eastAsia="宋体" w:cs="Times New Roman"/>
                <w:kern w:val="2"/>
                <w:sz w:val="21"/>
                <w:szCs w:val="24"/>
                <w:lang w:val="en-US" w:eastAsia="zh-CN" w:bidi="ar-SA"/>
              </w:rPr>
            </w:pPr>
            <w:r>
              <w:t>48.8802</w:t>
            </w:r>
          </w:p>
        </w:tc>
        <w:tc>
          <w:tcPr>
            <w:tcW w:w="0" w:type="auto"/>
            <w:shd w:val="clear" w:color="auto" w:fill="auto"/>
            <w:vAlign w:val="top"/>
          </w:tcPr>
          <w:p w14:paraId="2BCD68EA">
            <w:pPr>
              <w:jc w:val="center"/>
              <w:rPr>
                <w:rFonts w:hint="eastAsia" w:ascii="Times New Roman" w:hAnsi="Times New Roman" w:eastAsia="宋体" w:cs="Times New Roman"/>
                <w:kern w:val="2"/>
                <w:sz w:val="21"/>
                <w:szCs w:val="24"/>
                <w:lang w:val="en-US" w:eastAsia="zh-CN" w:bidi="ar-SA"/>
              </w:rPr>
            </w:pPr>
            <w:r>
              <w:t>5.4498</w:t>
            </w:r>
          </w:p>
        </w:tc>
        <w:tc>
          <w:tcPr>
            <w:tcW w:w="0" w:type="auto"/>
            <w:shd w:val="clear" w:color="auto" w:fill="auto"/>
            <w:vAlign w:val="top"/>
          </w:tcPr>
          <w:p w14:paraId="6AD71D4B">
            <w:pPr>
              <w:jc w:val="center"/>
              <w:rPr>
                <w:rFonts w:hint="eastAsia" w:ascii="Times New Roman" w:hAnsi="Times New Roman" w:eastAsia="宋体" w:cs="Times New Roman"/>
                <w:kern w:val="2"/>
                <w:sz w:val="21"/>
                <w:szCs w:val="24"/>
                <w:lang w:val="en-US" w:eastAsia="zh-CN" w:bidi="ar-SA"/>
              </w:rPr>
            </w:pPr>
            <w:r>
              <w:t>49.1831</w:t>
            </w:r>
          </w:p>
        </w:tc>
      </w:tr>
      <w:tr w14:paraId="52E3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20242493">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9</w:t>
            </w:r>
          </w:p>
        </w:tc>
        <w:tc>
          <w:tcPr>
            <w:tcW w:w="0" w:type="auto"/>
            <w:shd w:val="clear" w:color="auto" w:fill="auto"/>
            <w:vAlign w:val="top"/>
          </w:tcPr>
          <w:p w14:paraId="27A5B1CC">
            <w:pPr>
              <w:jc w:val="center"/>
              <w:rPr>
                <w:rFonts w:hint="eastAsia" w:ascii="Times New Roman" w:hAnsi="Times New Roman" w:eastAsia="宋体" w:cs="Times New Roman"/>
                <w:kern w:val="2"/>
                <w:sz w:val="21"/>
                <w:szCs w:val="24"/>
                <w:lang w:val="en-US" w:eastAsia="zh-CN" w:bidi="ar-SA"/>
              </w:rPr>
            </w:pPr>
            <w:r>
              <w:t>49.5824</w:t>
            </w:r>
          </w:p>
        </w:tc>
        <w:tc>
          <w:tcPr>
            <w:tcW w:w="0" w:type="auto"/>
            <w:shd w:val="clear" w:color="auto" w:fill="auto"/>
            <w:vAlign w:val="top"/>
          </w:tcPr>
          <w:p w14:paraId="6FE7A10A">
            <w:pPr>
              <w:jc w:val="center"/>
              <w:rPr>
                <w:rFonts w:hint="eastAsia" w:ascii="Times New Roman" w:hAnsi="Times New Roman" w:eastAsia="宋体" w:cs="Times New Roman"/>
                <w:kern w:val="2"/>
                <w:sz w:val="21"/>
                <w:szCs w:val="24"/>
                <w:lang w:val="en-US" w:eastAsia="zh-CN" w:bidi="ar-SA"/>
              </w:rPr>
            </w:pPr>
            <w:r>
              <w:t>13.9397</w:t>
            </w:r>
          </w:p>
        </w:tc>
        <w:tc>
          <w:tcPr>
            <w:tcW w:w="0" w:type="auto"/>
            <w:shd w:val="clear" w:color="auto" w:fill="auto"/>
            <w:vAlign w:val="top"/>
          </w:tcPr>
          <w:p w14:paraId="0760F0BB">
            <w:pPr>
              <w:jc w:val="center"/>
              <w:rPr>
                <w:rFonts w:hint="eastAsia" w:ascii="Times New Roman" w:hAnsi="Times New Roman" w:eastAsia="宋体" w:cs="Times New Roman"/>
                <w:kern w:val="2"/>
                <w:sz w:val="21"/>
                <w:szCs w:val="24"/>
                <w:lang w:val="en-US" w:eastAsia="zh-CN" w:bidi="ar-SA"/>
              </w:rPr>
            </w:pPr>
            <w:r>
              <w:t>51.5047</w:t>
            </w:r>
          </w:p>
        </w:tc>
      </w:tr>
      <w:tr w14:paraId="68444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6F3373A5">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10</w:t>
            </w:r>
          </w:p>
        </w:tc>
        <w:tc>
          <w:tcPr>
            <w:tcW w:w="0" w:type="auto"/>
            <w:shd w:val="clear" w:color="auto" w:fill="auto"/>
            <w:vAlign w:val="top"/>
          </w:tcPr>
          <w:p w14:paraId="6A844F12">
            <w:pPr>
              <w:jc w:val="center"/>
              <w:rPr>
                <w:rFonts w:hint="eastAsia" w:ascii="Times New Roman" w:hAnsi="Times New Roman" w:eastAsia="宋体" w:cs="Times New Roman"/>
                <w:kern w:val="2"/>
                <w:sz w:val="21"/>
                <w:szCs w:val="24"/>
                <w:lang w:val="en-US" w:eastAsia="zh-CN" w:bidi="ar-SA"/>
              </w:rPr>
            </w:pPr>
            <w:r>
              <w:t>46.8001</w:t>
            </w:r>
          </w:p>
        </w:tc>
        <w:tc>
          <w:tcPr>
            <w:tcW w:w="0" w:type="auto"/>
            <w:shd w:val="clear" w:color="auto" w:fill="auto"/>
            <w:vAlign w:val="top"/>
          </w:tcPr>
          <w:p w14:paraId="39A78EDD">
            <w:pPr>
              <w:jc w:val="center"/>
              <w:rPr>
                <w:rFonts w:hint="eastAsia" w:ascii="Times New Roman" w:hAnsi="Times New Roman" w:eastAsia="宋体" w:cs="Times New Roman"/>
                <w:kern w:val="2"/>
                <w:sz w:val="21"/>
                <w:szCs w:val="24"/>
                <w:lang w:val="en-US" w:eastAsia="zh-CN" w:bidi="ar-SA"/>
              </w:rPr>
            </w:pPr>
            <w:r>
              <w:t>22.0643</w:t>
            </w:r>
          </w:p>
        </w:tc>
        <w:tc>
          <w:tcPr>
            <w:tcW w:w="0" w:type="auto"/>
            <w:shd w:val="clear" w:color="auto" w:fill="auto"/>
            <w:vAlign w:val="top"/>
          </w:tcPr>
          <w:p w14:paraId="240C78BE">
            <w:pPr>
              <w:jc w:val="center"/>
              <w:rPr>
                <w:rFonts w:hint="eastAsia" w:ascii="Times New Roman" w:hAnsi="Times New Roman" w:eastAsia="宋体" w:cs="Times New Roman"/>
                <w:kern w:val="2"/>
                <w:sz w:val="21"/>
                <w:szCs w:val="24"/>
                <w:lang w:val="en-US" w:eastAsia="zh-CN" w:bidi="ar-SA"/>
              </w:rPr>
            </w:pPr>
            <w:r>
              <w:t>51.7405</w:t>
            </w:r>
          </w:p>
        </w:tc>
      </w:tr>
      <w:tr w14:paraId="651D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4EBF1C65">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11</w:t>
            </w:r>
          </w:p>
        </w:tc>
        <w:tc>
          <w:tcPr>
            <w:tcW w:w="0" w:type="auto"/>
            <w:shd w:val="clear" w:color="auto" w:fill="auto"/>
            <w:vAlign w:val="top"/>
          </w:tcPr>
          <w:p w14:paraId="02D40B93">
            <w:pPr>
              <w:jc w:val="center"/>
              <w:rPr>
                <w:rFonts w:hint="eastAsia" w:ascii="Times New Roman" w:hAnsi="Times New Roman" w:eastAsia="宋体" w:cs="Times New Roman"/>
                <w:kern w:val="2"/>
                <w:sz w:val="21"/>
                <w:szCs w:val="24"/>
                <w:lang w:val="en-US" w:eastAsia="zh-CN" w:bidi="ar-SA"/>
              </w:rPr>
            </w:pPr>
            <w:r>
              <w:t>41.5153</w:t>
            </w:r>
          </w:p>
        </w:tc>
        <w:tc>
          <w:tcPr>
            <w:tcW w:w="0" w:type="auto"/>
            <w:shd w:val="clear" w:color="auto" w:fill="auto"/>
            <w:vAlign w:val="top"/>
          </w:tcPr>
          <w:p w14:paraId="13112560">
            <w:pPr>
              <w:jc w:val="center"/>
              <w:rPr>
                <w:rFonts w:hint="eastAsia" w:ascii="Times New Roman" w:hAnsi="Times New Roman" w:eastAsia="宋体" w:cs="Times New Roman"/>
                <w:kern w:val="2"/>
                <w:sz w:val="21"/>
                <w:szCs w:val="24"/>
                <w:lang w:val="en-US" w:eastAsia="zh-CN" w:bidi="ar-SA"/>
              </w:rPr>
            </w:pPr>
            <w:r>
              <w:t>28.1314</w:t>
            </w:r>
          </w:p>
        </w:tc>
        <w:tc>
          <w:tcPr>
            <w:tcW w:w="0" w:type="auto"/>
            <w:shd w:val="clear" w:color="auto" w:fill="auto"/>
            <w:vAlign w:val="top"/>
          </w:tcPr>
          <w:p w14:paraId="34C7F21B">
            <w:pPr>
              <w:jc w:val="center"/>
              <w:rPr>
                <w:rFonts w:hint="eastAsia" w:ascii="Times New Roman" w:hAnsi="Times New Roman" w:eastAsia="宋体" w:cs="Times New Roman"/>
                <w:kern w:val="2"/>
                <w:sz w:val="21"/>
                <w:szCs w:val="24"/>
                <w:lang w:val="en-US" w:eastAsia="zh-CN" w:bidi="ar-SA"/>
              </w:rPr>
            </w:pPr>
            <w:r>
              <w:t>50.1488</w:t>
            </w:r>
          </w:p>
        </w:tc>
      </w:tr>
      <w:tr w14:paraId="07C3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15DDE27F">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12</w:t>
            </w:r>
          </w:p>
        </w:tc>
        <w:tc>
          <w:tcPr>
            <w:tcW w:w="0" w:type="auto"/>
            <w:shd w:val="clear" w:color="auto" w:fill="auto"/>
            <w:vAlign w:val="top"/>
          </w:tcPr>
          <w:p w14:paraId="56F2C5B6">
            <w:pPr>
              <w:jc w:val="center"/>
              <w:rPr>
                <w:rFonts w:hint="eastAsia" w:ascii="Times New Roman" w:hAnsi="Times New Roman" w:eastAsia="宋体" w:cs="Times New Roman"/>
                <w:kern w:val="2"/>
                <w:sz w:val="21"/>
                <w:szCs w:val="24"/>
                <w:lang w:val="en-US" w:eastAsia="zh-CN" w:bidi="ar-SA"/>
              </w:rPr>
            </w:pPr>
            <w:r>
              <w:t>35.3092</w:t>
            </w:r>
          </w:p>
        </w:tc>
        <w:tc>
          <w:tcPr>
            <w:tcW w:w="0" w:type="auto"/>
            <w:shd w:val="clear" w:color="auto" w:fill="auto"/>
            <w:vAlign w:val="top"/>
          </w:tcPr>
          <w:p w14:paraId="3232FC58">
            <w:pPr>
              <w:jc w:val="center"/>
              <w:rPr>
                <w:rFonts w:hint="eastAsia" w:ascii="Times New Roman" w:hAnsi="Times New Roman" w:eastAsia="宋体" w:cs="Times New Roman"/>
                <w:kern w:val="2"/>
                <w:sz w:val="21"/>
                <w:szCs w:val="24"/>
                <w:lang w:val="en-US" w:eastAsia="zh-CN" w:bidi="ar-SA"/>
              </w:rPr>
            </w:pPr>
            <w:r>
              <w:t>31.6251</w:t>
            </w:r>
          </w:p>
        </w:tc>
        <w:tc>
          <w:tcPr>
            <w:tcW w:w="0" w:type="auto"/>
            <w:shd w:val="clear" w:color="auto" w:fill="auto"/>
            <w:vAlign w:val="top"/>
          </w:tcPr>
          <w:p w14:paraId="0C7F246C">
            <w:pPr>
              <w:jc w:val="center"/>
              <w:rPr>
                <w:rFonts w:hint="eastAsia" w:ascii="Times New Roman" w:hAnsi="Times New Roman" w:eastAsia="宋体" w:cs="Times New Roman"/>
                <w:kern w:val="2"/>
                <w:sz w:val="21"/>
                <w:szCs w:val="24"/>
                <w:lang w:val="en-US" w:eastAsia="zh-CN" w:bidi="ar-SA"/>
              </w:rPr>
            </w:pPr>
            <w:r>
              <w:t>47.4013</w:t>
            </w:r>
          </w:p>
        </w:tc>
      </w:tr>
      <w:tr w14:paraId="7F6E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73E27DD7">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13</w:t>
            </w:r>
          </w:p>
        </w:tc>
        <w:tc>
          <w:tcPr>
            <w:tcW w:w="0" w:type="auto"/>
            <w:shd w:val="clear" w:color="auto" w:fill="auto"/>
            <w:vAlign w:val="top"/>
          </w:tcPr>
          <w:p w14:paraId="6984C881">
            <w:pPr>
              <w:jc w:val="center"/>
              <w:rPr>
                <w:rFonts w:hint="eastAsia" w:ascii="Times New Roman" w:hAnsi="Times New Roman" w:eastAsia="宋体" w:cs="Times New Roman"/>
                <w:kern w:val="2"/>
                <w:sz w:val="21"/>
                <w:szCs w:val="24"/>
                <w:lang w:val="en-US" w:eastAsia="zh-CN" w:bidi="ar-SA"/>
              </w:rPr>
            </w:pPr>
            <w:r>
              <w:t>29.3783</w:t>
            </w:r>
          </w:p>
        </w:tc>
        <w:tc>
          <w:tcPr>
            <w:tcW w:w="0" w:type="auto"/>
            <w:shd w:val="clear" w:color="auto" w:fill="auto"/>
            <w:vAlign w:val="top"/>
          </w:tcPr>
          <w:p w14:paraId="76D2EA6C">
            <w:pPr>
              <w:jc w:val="center"/>
              <w:rPr>
                <w:rFonts w:hint="eastAsia" w:ascii="Times New Roman" w:hAnsi="Times New Roman" w:eastAsia="宋体" w:cs="Times New Roman"/>
                <w:kern w:val="2"/>
                <w:sz w:val="21"/>
                <w:szCs w:val="24"/>
                <w:lang w:val="en-US" w:eastAsia="zh-CN" w:bidi="ar-SA"/>
              </w:rPr>
            </w:pPr>
            <w:r>
              <w:t>32.9763</w:t>
            </w:r>
          </w:p>
        </w:tc>
        <w:tc>
          <w:tcPr>
            <w:tcW w:w="0" w:type="auto"/>
            <w:shd w:val="clear" w:color="auto" w:fill="auto"/>
            <w:vAlign w:val="top"/>
          </w:tcPr>
          <w:p w14:paraId="78FCBBD1">
            <w:pPr>
              <w:jc w:val="center"/>
              <w:rPr>
                <w:rFonts w:hint="eastAsia" w:ascii="Times New Roman" w:hAnsi="Times New Roman" w:eastAsia="宋体" w:cs="Times New Roman"/>
                <w:kern w:val="2"/>
                <w:sz w:val="21"/>
                <w:szCs w:val="24"/>
                <w:lang w:val="en-US" w:eastAsia="zh-CN" w:bidi="ar-SA"/>
              </w:rPr>
            </w:pPr>
            <w:r>
              <w:t>44.1647</w:t>
            </w:r>
          </w:p>
        </w:tc>
      </w:tr>
      <w:tr w14:paraId="1B006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64178E48">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14</w:t>
            </w:r>
          </w:p>
        </w:tc>
        <w:tc>
          <w:tcPr>
            <w:tcW w:w="0" w:type="auto"/>
            <w:shd w:val="clear" w:color="auto" w:fill="auto"/>
            <w:vAlign w:val="top"/>
          </w:tcPr>
          <w:p w14:paraId="6F4FC051">
            <w:pPr>
              <w:jc w:val="center"/>
              <w:rPr>
                <w:rFonts w:hint="eastAsia" w:ascii="Times New Roman" w:hAnsi="Times New Roman" w:eastAsia="宋体" w:cs="Times New Roman"/>
                <w:kern w:val="2"/>
                <w:sz w:val="21"/>
                <w:szCs w:val="24"/>
                <w:lang w:val="en-US" w:eastAsia="zh-CN" w:bidi="ar-SA"/>
              </w:rPr>
            </w:pPr>
            <w:r>
              <w:t>24.2724</w:t>
            </w:r>
          </w:p>
        </w:tc>
        <w:tc>
          <w:tcPr>
            <w:tcW w:w="0" w:type="auto"/>
            <w:shd w:val="clear" w:color="auto" w:fill="auto"/>
            <w:vAlign w:val="top"/>
          </w:tcPr>
          <w:p w14:paraId="29F93067">
            <w:pPr>
              <w:jc w:val="center"/>
              <w:rPr>
                <w:rFonts w:hint="eastAsia" w:ascii="Times New Roman" w:hAnsi="Times New Roman" w:eastAsia="宋体" w:cs="Times New Roman"/>
                <w:kern w:val="2"/>
                <w:sz w:val="21"/>
                <w:szCs w:val="24"/>
                <w:lang w:val="en-US" w:eastAsia="zh-CN" w:bidi="ar-SA"/>
              </w:rPr>
            </w:pPr>
            <w:r>
              <w:t>32.9049</w:t>
            </w:r>
          </w:p>
        </w:tc>
        <w:tc>
          <w:tcPr>
            <w:tcW w:w="0" w:type="auto"/>
            <w:shd w:val="clear" w:color="auto" w:fill="auto"/>
            <w:vAlign w:val="top"/>
          </w:tcPr>
          <w:p w14:paraId="5ECEC493">
            <w:pPr>
              <w:jc w:val="center"/>
              <w:rPr>
                <w:rFonts w:hint="eastAsia" w:ascii="Times New Roman" w:hAnsi="Times New Roman" w:eastAsia="宋体" w:cs="Times New Roman"/>
                <w:kern w:val="2"/>
                <w:sz w:val="21"/>
                <w:szCs w:val="24"/>
                <w:lang w:val="en-US" w:eastAsia="zh-CN" w:bidi="ar-SA"/>
              </w:rPr>
            </w:pPr>
            <w:r>
              <w:t>40.8887</w:t>
            </w:r>
          </w:p>
        </w:tc>
      </w:tr>
      <w:tr w14:paraId="4EBC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0E914BEA">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15</w:t>
            </w:r>
          </w:p>
        </w:tc>
        <w:tc>
          <w:tcPr>
            <w:tcW w:w="0" w:type="auto"/>
            <w:shd w:val="clear" w:color="auto" w:fill="auto"/>
            <w:vAlign w:val="top"/>
          </w:tcPr>
          <w:p w14:paraId="0285886A">
            <w:pPr>
              <w:jc w:val="center"/>
              <w:rPr>
                <w:rFonts w:hint="eastAsia" w:ascii="Times New Roman" w:hAnsi="Times New Roman" w:eastAsia="宋体" w:cs="Times New Roman"/>
                <w:kern w:val="2"/>
                <w:sz w:val="21"/>
                <w:szCs w:val="24"/>
                <w:lang w:val="en-US" w:eastAsia="zh-CN" w:bidi="ar-SA"/>
              </w:rPr>
            </w:pPr>
            <w:r>
              <w:t>20.0974</w:t>
            </w:r>
          </w:p>
        </w:tc>
        <w:tc>
          <w:tcPr>
            <w:tcW w:w="0" w:type="auto"/>
            <w:shd w:val="clear" w:color="auto" w:fill="auto"/>
            <w:vAlign w:val="top"/>
          </w:tcPr>
          <w:p w14:paraId="44A6545D">
            <w:pPr>
              <w:jc w:val="center"/>
              <w:rPr>
                <w:rFonts w:hint="eastAsia" w:ascii="Times New Roman" w:hAnsi="Times New Roman" w:eastAsia="宋体" w:cs="Times New Roman"/>
                <w:kern w:val="2"/>
                <w:sz w:val="21"/>
                <w:szCs w:val="24"/>
                <w:lang w:val="en-US" w:eastAsia="zh-CN" w:bidi="ar-SA"/>
              </w:rPr>
            </w:pPr>
            <w:r>
              <w:t>32.0231</w:t>
            </w:r>
          </w:p>
        </w:tc>
        <w:tc>
          <w:tcPr>
            <w:tcW w:w="0" w:type="auto"/>
            <w:shd w:val="clear" w:color="auto" w:fill="auto"/>
            <w:vAlign w:val="top"/>
          </w:tcPr>
          <w:p w14:paraId="331EF4AD">
            <w:pPr>
              <w:jc w:val="center"/>
              <w:rPr>
                <w:rFonts w:hint="eastAsia" w:ascii="Times New Roman" w:hAnsi="Times New Roman" w:eastAsia="宋体" w:cs="Times New Roman"/>
                <w:kern w:val="2"/>
                <w:sz w:val="21"/>
                <w:szCs w:val="24"/>
                <w:lang w:val="en-US" w:eastAsia="zh-CN" w:bidi="ar-SA"/>
              </w:rPr>
            </w:pPr>
            <w:r>
              <w:t>37.8072</w:t>
            </w:r>
          </w:p>
        </w:tc>
      </w:tr>
      <w:tr w14:paraId="7E72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00EFCBF8">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16</w:t>
            </w:r>
          </w:p>
        </w:tc>
        <w:tc>
          <w:tcPr>
            <w:tcW w:w="0" w:type="auto"/>
            <w:shd w:val="clear" w:color="auto" w:fill="auto"/>
            <w:vAlign w:val="top"/>
          </w:tcPr>
          <w:p w14:paraId="48256506">
            <w:pPr>
              <w:jc w:val="center"/>
              <w:rPr>
                <w:rFonts w:hint="eastAsia" w:ascii="Times New Roman" w:hAnsi="Times New Roman" w:eastAsia="宋体" w:cs="Times New Roman"/>
                <w:kern w:val="2"/>
                <w:sz w:val="21"/>
                <w:szCs w:val="24"/>
                <w:lang w:val="en-US" w:eastAsia="zh-CN" w:bidi="ar-SA"/>
              </w:rPr>
            </w:pPr>
            <w:r>
              <w:t>16.7584</w:t>
            </w:r>
          </w:p>
        </w:tc>
        <w:tc>
          <w:tcPr>
            <w:tcW w:w="0" w:type="auto"/>
            <w:shd w:val="clear" w:color="auto" w:fill="auto"/>
            <w:vAlign w:val="top"/>
          </w:tcPr>
          <w:p w14:paraId="633C9670">
            <w:pPr>
              <w:jc w:val="center"/>
              <w:rPr>
                <w:rFonts w:hint="eastAsia" w:ascii="Times New Roman" w:hAnsi="Times New Roman" w:eastAsia="宋体" w:cs="Times New Roman"/>
                <w:kern w:val="2"/>
                <w:sz w:val="21"/>
                <w:szCs w:val="24"/>
                <w:lang w:val="en-US" w:eastAsia="zh-CN" w:bidi="ar-SA"/>
              </w:rPr>
            </w:pPr>
            <w:r>
              <w:t>30.7415</w:t>
            </w:r>
          </w:p>
        </w:tc>
        <w:tc>
          <w:tcPr>
            <w:tcW w:w="0" w:type="auto"/>
            <w:shd w:val="clear" w:color="auto" w:fill="auto"/>
            <w:vAlign w:val="top"/>
          </w:tcPr>
          <w:p w14:paraId="60E9406C">
            <w:pPr>
              <w:jc w:val="center"/>
              <w:rPr>
                <w:rFonts w:hint="eastAsia" w:ascii="Times New Roman" w:hAnsi="Times New Roman" w:eastAsia="宋体" w:cs="Times New Roman"/>
                <w:kern w:val="2"/>
                <w:sz w:val="21"/>
                <w:szCs w:val="24"/>
                <w:lang w:val="en-US" w:eastAsia="zh-CN" w:bidi="ar-SA"/>
              </w:rPr>
            </w:pPr>
            <w:r>
              <w:t>35.0127</w:t>
            </w:r>
          </w:p>
        </w:tc>
      </w:tr>
      <w:tr w14:paraId="60E4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5A8F91F1">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17</w:t>
            </w:r>
          </w:p>
        </w:tc>
        <w:tc>
          <w:tcPr>
            <w:tcW w:w="0" w:type="auto"/>
            <w:shd w:val="clear" w:color="auto" w:fill="auto"/>
            <w:vAlign w:val="top"/>
          </w:tcPr>
          <w:p w14:paraId="35500755">
            <w:pPr>
              <w:jc w:val="center"/>
              <w:rPr>
                <w:rFonts w:hint="eastAsia" w:ascii="Times New Roman" w:hAnsi="Times New Roman" w:eastAsia="宋体" w:cs="Times New Roman"/>
                <w:kern w:val="2"/>
                <w:sz w:val="21"/>
                <w:szCs w:val="24"/>
                <w:lang w:val="en-US" w:eastAsia="zh-CN" w:bidi="ar-SA"/>
              </w:rPr>
            </w:pPr>
            <w:r>
              <w:t>14.1041</w:t>
            </w:r>
          </w:p>
        </w:tc>
        <w:tc>
          <w:tcPr>
            <w:tcW w:w="0" w:type="auto"/>
            <w:shd w:val="clear" w:color="auto" w:fill="auto"/>
            <w:vAlign w:val="top"/>
          </w:tcPr>
          <w:p w14:paraId="07D48AA2">
            <w:pPr>
              <w:jc w:val="center"/>
              <w:rPr>
                <w:rFonts w:hint="eastAsia" w:ascii="Times New Roman" w:hAnsi="Times New Roman" w:eastAsia="宋体" w:cs="Times New Roman"/>
                <w:kern w:val="2"/>
                <w:sz w:val="21"/>
                <w:szCs w:val="24"/>
                <w:lang w:val="en-US" w:eastAsia="zh-CN" w:bidi="ar-SA"/>
              </w:rPr>
            </w:pPr>
            <w:r>
              <w:t>29.3041</w:t>
            </w:r>
          </w:p>
        </w:tc>
        <w:tc>
          <w:tcPr>
            <w:tcW w:w="0" w:type="auto"/>
            <w:shd w:val="clear" w:color="auto" w:fill="auto"/>
            <w:vAlign w:val="top"/>
          </w:tcPr>
          <w:p w14:paraId="25E1C134">
            <w:pPr>
              <w:jc w:val="center"/>
              <w:rPr>
                <w:rFonts w:hint="eastAsia" w:ascii="Times New Roman" w:hAnsi="Times New Roman" w:eastAsia="宋体" w:cs="Times New Roman"/>
                <w:kern w:val="2"/>
                <w:sz w:val="21"/>
                <w:szCs w:val="24"/>
                <w:lang w:val="en-US" w:eastAsia="zh-CN" w:bidi="ar-SA"/>
              </w:rPr>
            </w:pPr>
            <w:r>
              <w:t>32.5216</w:t>
            </w:r>
          </w:p>
        </w:tc>
      </w:tr>
      <w:tr w14:paraId="672A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2A802A23">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18</w:t>
            </w:r>
          </w:p>
        </w:tc>
        <w:tc>
          <w:tcPr>
            <w:tcW w:w="0" w:type="auto"/>
            <w:shd w:val="clear" w:color="auto" w:fill="auto"/>
            <w:vAlign w:val="top"/>
          </w:tcPr>
          <w:p w14:paraId="34227D37">
            <w:pPr>
              <w:jc w:val="center"/>
              <w:rPr>
                <w:rFonts w:hint="eastAsia" w:ascii="Times New Roman" w:hAnsi="Times New Roman" w:eastAsia="宋体" w:cs="Times New Roman"/>
                <w:kern w:val="2"/>
                <w:sz w:val="21"/>
                <w:szCs w:val="24"/>
                <w:lang w:val="en-US" w:eastAsia="zh-CN" w:bidi="ar-SA"/>
              </w:rPr>
            </w:pPr>
            <w:r>
              <w:t>11.9886</w:t>
            </w:r>
          </w:p>
        </w:tc>
        <w:tc>
          <w:tcPr>
            <w:tcW w:w="0" w:type="auto"/>
            <w:shd w:val="clear" w:color="auto" w:fill="auto"/>
            <w:vAlign w:val="top"/>
          </w:tcPr>
          <w:p w14:paraId="6388FF41">
            <w:pPr>
              <w:jc w:val="center"/>
              <w:rPr>
                <w:rFonts w:hint="eastAsia" w:ascii="Times New Roman" w:hAnsi="Times New Roman" w:eastAsia="宋体" w:cs="Times New Roman"/>
                <w:kern w:val="2"/>
                <w:sz w:val="21"/>
                <w:szCs w:val="24"/>
                <w:lang w:val="en-US" w:eastAsia="zh-CN" w:bidi="ar-SA"/>
              </w:rPr>
            </w:pPr>
            <w:r>
              <w:t>27.8452</w:t>
            </w:r>
          </w:p>
        </w:tc>
        <w:tc>
          <w:tcPr>
            <w:tcW w:w="0" w:type="auto"/>
            <w:shd w:val="clear" w:color="auto" w:fill="auto"/>
            <w:vAlign w:val="top"/>
          </w:tcPr>
          <w:p w14:paraId="4DEF825B">
            <w:pPr>
              <w:jc w:val="center"/>
              <w:rPr>
                <w:rFonts w:hint="eastAsia" w:ascii="Times New Roman" w:hAnsi="Times New Roman" w:eastAsia="宋体" w:cs="Times New Roman"/>
                <w:kern w:val="2"/>
                <w:sz w:val="21"/>
                <w:szCs w:val="24"/>
                <w:lang w:val="en-US" w:eastAsia="zh-CN" w:bidi="ar-SA"/>
              </w:rPr>
            </w:pPr>
            <w:r>
              <w:t>30.3164</w:t>
            </w:r>
          </w:p>
        </w:tc>
      </w:tr>
      <w:tr w14:paraId="62297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6AE725C4">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19</w:t>
            </w:r>
          </w:p>
        </w:tc>
        <w:tc>
          <w:tcPr>
            <w:tcW w:w="0" w:type="auto"/>
            <w:shd w:val="clear" w:color="auto" w:fill="auto"/>
            <w:vAlign w:val="top"/>
          </w:tcPr>
          <w:p w14:paraId="61E8AEE5">
            <w:pPr>
              <w:jc w:val="center"/>
              <w:rPr>
                <w:rFonts w:hint="eastAsia" w:ascii="Times New Roman" w:hAnsi="Times New Roman" w:eastAsia="宋体" w:cs="Times New Roman"/>
                <w:kern w:val="2"/>
                <w:sz w:val="21"/>
                <w:szCs w:val="24"/>
                <w:lang w:val="en-US" w:eastAsia="zh-CN" w:bidi="ar-SA"/>
              </w:rPr>
            </w:pPr>
            <w:r>
              <w:t>10.2905</w:t>
            </w:r>
          </w:p>
        </w:tc>
        <w:tc>
          <w:tcPr>
            <w:tcW w:w="0" w:type="auto"/>
            <w:shd w:val="clear" w:color="auto" w:fill="auto"/>
            <w:vAlign w:val="top"/>
          </w:tcPr>
          <w:p w14:paraId="1B8F55AF">
            <w:pPr>
              <w:jc w:val="center"/>
              <w:rPr>
                <w:rFonts w:hint="eastAsia" w:ascii="Times New Roman" w:hAnsi="Times New Roman" w:eastAsia="宋体" w:cs="Times New Roman"/>
                <w:kern w:val="2"/>
                <w:sz w:val="21"/>
                <w:szCs w:val="24"/>
                <w:lang w:val="en-US" w:eastAsia="zh-CN" w:bidi="ar-SA"/>
              </w:rPr>
            </w:pPr>
            <w:r>
              <w:t>26.4341</w:t>
            </w:r>
          </w:p>
        </w:tc>
        <w:tc>
          <w:tcPr>
            <w:tcW w:w="0" w:type="auto"/>
            <w:shd w:val="clear" w:color="auto" w:fill="auto"/>
            <w:vAlign w:val="top"/>
          </w:tcPr>
          <w:p w14:paraId="477E0C2F">
            <w:pPr>
              <w:jc w:val="center"/>
              <w:rPr>
                <w:rFonts w:hint="eastAsia" w:ascii="Times New Roman" w:hAnsi="Times New Roman" w:eastAsia="宋体" w:cs="Times New Roman"/>
                <w:kern w:val="2"/>
                <w:sz w:val="21"/>
                <w:szCs w:val="24"/>
                <w:lang w:val="en-US" w:eastAsia="zh-CN" w:bidi="ar-SA"/>
              </w:rPr>
            </w:pPr>
            <w:r>
              <w:t>28.3665</w:t>
            </w:r>
          </w:p>
        </w:tc>
      </w:tr>
      <w:tr w14:paraId="2E50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2BC29608">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20</w:t>
            </w:r>
          </w:p>
        </w:tc>
        <w:tc>
          <w:tcPr>
            <w:tcW w:w="0" w:type="auto"/>
            <w:shd w:val="clear" w:color="auto" w:fill="auto"/>
            <w:vAlign w:val="top"/>
          </w:tcPr>
          <w:p w14:paraId="133B8F30">
            <w:pPr>
              <w:jc w:val="center"/>
              <w:rPr>
                <w:rFonts w:hint="eastAsia" w:ascii="Times New Roman" w:hAnsi="Times New Roman" w:eastAsia="宋体" w:cs="Times New Roman"/>
                <w:kern w:val="2"/>
                <w:sz w:val="21"/>
                <w:szCs w:val="24"/>
                <w:lang w:val="en-US" w:eastAsia="zh-CN" w:bidi="ar-SA"/>
              </w:rPr>
            </w:pPr>
            <w:r>
              <w:t>8.9149</w:t>
            </w:r>
          </w:p>
        </w:tc>
        <w:tc>
          <w:tcPr>
            <w:tcW w:w="0" w:type="auto"/>
            <w:shd w:val="clear" w:color="auto" w:fill="auto"/>
            <w:vAlign w:val="top"/>
          </w:tcPr>
          <w:p w14:paraId="09E0C2B4">
            <w:pPr>
              <w:jc w:val="center"/>
              <w:rPr>
                <w:rFonts w:hint="eastAsia" w:ascii="Times New Roman" w:hAnsi="Times New Roman" w:eastAsia="宋体" w:cs="Times New Roman"/>
                <w:kern w:val="2"/>
                <w:sz w:val="21"/>
                <w:szCs w:val="24"/>
                <w:lang w:val="en-US" w:eastAsia="zh-CN" w:bidi="ar-SA"/>
              </w:rPr>
            </w:pPr>
            <w:r>
              <w:t>25.1032</w:t>
            </w:r>
          </w:p>
        </w:tc>
        <w:tc>
          <w:tcPr>
            <w:tcW w:w="0" w:type="auto"/>
            <w:shd w:val="clear" w:color="auto" w:fill="auto"/>
            <w:vAlign w:val="top"/>
          </w:tcPr>
          <w:p w14:paraId="065615BE">
            <w:pPr>
              <w:jc w:val="center"/>
              <w:rPr>
                <w:rFonts w:hint="eastAsia" w:ascii="Times New Roman" w:hAnsi="Times New Roman" w:eastAsia="宋体" w:cs="Times New Roman"/>
                <w:kern w:val="2"/>
                <w:sz w:val="21"/>
                <w:szCs w:val="24"/>
                <w:lang w:val="en-US" w:eastAsia="zh-CN" w:bidi="ar-SA"/>
              </w:rPr>
            </w:pPr>
            <w:r>
              <w:t>26.6391</w:t>
            </w:r>
          </w:p>
        </w:tc>
      </w:tr>
      <w:tr w14:paraId="6A58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5D0EE85E">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21</w:t>
            </w:r>
          </w:p>
        </w:tc>
        <w:tc>
          <w:tcPr>
            <w:tcW w:w="0" w:type="auto"/>
            <w:shd w:val="clear" w:color="auto" w:fill="auto"/>
            <w:vAlign w:val="top"/>
          </w:tcPr>
          <w:p w14:paraId="1783F2F9">
            <w:pPr>
              <w:jc w:val="center"/>
              <w:rPr>
                <w:rFonts w:hint="eastAsia" w:ascii="Times New Roman" w:hAnsi="Times New Roman" w:eastAsia="宋体" w:cs="Times New Roman"/>
                <w:kern w:val="2"/>
                <w:sz w:val="21"/>
                <w:szCs w:val="24"/>
                <w:lang w:val="en-US" w:eastAsia="zh-CN" w:bidi="ar-SA"/>
              </w:rPr>
            </w:pPr>
            <w:r>
              <w:t>7.7894</w:t>
            </w:r>
          </w:p>
        </w:tc>
        <w:tc>
          <w:tcPr>
            <w:tcW w:w="0" w:type="auto"/>
            <w:shd w:val="clear" w:color="auto" w:fill="auto"/>
            <w:vAlign w:val="top"/>
          </w:tcPr>
          <w:p w14:paraId="36D5B3C8">
            <w:pPr>
              <w:jc w:val="center"/>
              <w:rPr>
                <w:rFonts w:hint="eastAsia" w:ascii="Times New Roman" w:hAnsi="Times New Roman" w:eastAsia="宋体" w:cs="Times New Roman"/>
                <w:kern w:val="2"/>
                <w:sz w:val="21"/>
                <w:szCs w:val="24"/>
                <w:lang w:val="en-US" w:eastAsia="zh-CN" w:bidi="ar-SA"/>
              </w:rPr>
            </w:pPr>
            <w:r>
              <w:t>23.8646</w:t>
            </w:r>
          </w:p>
        </w:tc>
        <w:tc>
          <w:tcPr>
            <w:tcW w:w="0" w:type="auto"/>
            <w:shd w:val="clear" w:color="auto" w:fill="auto"/>
            <w:vAlign w:val="top"/>
          </w:tcPr>
          <w:p w14:paraId="4918FFB2">
            <w:pPr>
              <w:jc w:val="center"/>
              <w:rPr>
                <w:rFonts w:hint="eastAsia" w:ascii="Times New Roman" w:hAnsi="Times New Roman" w:eastAsia="宋体" w:cs="Times New Roman"/>
                <w:kern w:val="2"/>
                <w:sz w:val="21"/>
                <w:szCs w:val="24"/>
                <w:lang w:val="en-US" w:eastAsia="zh-CN" w:bidi="ar-SA"/>
              </w:rPr>
            </w:pPr>
            <w:r>
              <w:t>25.1036</w:t>
            </w:r>
          </w:p>
        </w:tc>
      </w:tr>
      <w:tr w14:paraId="051E5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5B002FBD">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22</w:t>
            </w:r>
          </w:p>
        </w:tc>
        <w:tc>
          <w:tcPr>
            <w:tcW w:w="0" w:type="auto"/>
            <w:shd w:val="clear" w:color="auto" w:fill="auto"/>
            <w:vAlign w:val="top"/>
          </w:tcPr>
          <w:p w14:paraId="75ED7AB5">
            <w:pPr>
              <w:jc w:val="center"/>
              <w:rPr>
                <w:rFonts w:hint="eastAsia" w:ascii="Times New Roman" w:hAnsi="Times New Roman" w:eastAsia="宋体" w:cs="Times New Roman"/>
                <w:kern w:val="2"/>
                <w:sz w:val="21"/>
                <w:szCs w:val="24"/>
                <w:lang w:val="en-US" w:eastAsia="zh-CN" w:bidi="ar-SA"/>
              </w:rPr>
            </w:pPr>
            <w:r>
              <w:t>6.8592</w:t>
            </w:r>
          </w:p>
        </w:tc>
        <w:tc>
          <w:tcPr>
            <w:tcW w:w="0" w:type="auto"/>
            <w:shd w:val="clear" w:color="auto" w:fill="auto"/>
            <w:vAlign w:val="top"/>
          </w:tcPr>
          <w:p w14:paraId="7AB9C0B4">
            <w:pPr>
              <w:jc w:val="center"/>
              <w:rPr>
                <w:rFonts w:hint="eastAsia" w:ascii="Times New Roman" w:hAnsi="Times New Roman" w:eastAsia="宋体" w:cs="Times New Roman"/>
                <w:kern w:val="2"/>
                <w:sz w:val="21"/>
                <w:szCs w:val="24"/>
                <w:lang w:val="en-US" w:eastAsia="zh-CN" w:bidi="ar-SA"/>
              </w:rPr>
            </w:pPr>
            <w:r>
              <w:t>22.7199</w:t>
            </w:r>
          </w:p>
        </w:tc>
        <w:tc>
          <w:tcPr>
            <w:tcW w:w="0" w:type="auto"/>
            <w:shd w:val="clear" w:color="auto" w:fill="auto"/>
            <w:vAlign w:val="top"/>
          </w:tcPr>
          <w:p w14:paraId="197D4E5F">
            <w:pPr>
              <w:jc w:val="center"/>
              <w:rPr>
                <w:rFonts w:hint="eastAsia" w:ascii="Times New Roman" w:hAnsi="Times New Roman" w:eastAsia="宋体" w:cs="Times New Roman"/>
                <w:kern w:val="2"/>
                <w:sz w:val="21"/>
                <w:szCs w:val="24"/>
                <w:lang w:val="en-US" w:eastAsia="zh-CN" w:bidi="ar-SA"/>
              </w:rPr>
            </w:pPr>
            <w:r>
              <w:t>23.7328</w:t>
            </w:r>
          </w:p>
        </w:tc>
      </w:tr>
      <w:tr w14:paraId="4615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02AB7F16">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23</w:t>
            </w:r>
          </w:p>
        </w:tc>
        <w:tc>
          <w:tcPr>
            <w:tcW w:w="0" w:type="auto"/>
            <w:shd w:val="clear" w:color="auto" w:fill="auto"/>
            <w:vAlign w:val="top"/>
          </w:tcPr>
          <w:p w14:paraId="111E8706">
            <w:pPr>
              <w:jc w:val="center"/>
              <w:rPr>
                <w:rFonts w:hint="eastAsia" w:ascii="Times New Roman" w:hAnsi="Times New Roman" w:eastAsia="宋体" w:cs="Times New Roman"/>
                <w:kern w:val="2"/>
                <w:sz w:val="21"/>
                <w:szCs w:val="24"/>
                <w:lang w:val="en-US" w:eastAsia="zh-CN" w:bidi="ar-SA"/>
              </w:rPr>
            </w:pPr>
            <w:r>
              <w:t>6.0831</w:t>
            </w:r>
          </w:p>
        </w:tc>
        <w:tc>
          <w:tcPr>
            <w:tcW w:w="0" w:type="auto"/>
            <w:shd w:val="clear" w:color="auto" w:fill="auto"/>
            <w:vAlign w:val="top"/>
          </w:tcPr>
          <w:p w14:paraId="20A456B7">
            <w:pPr>
              <w:jc w:val="center"/>
              <w:rPr>
                <w:rFonts w:hint="eastAsia" w:ascii="Times New Roman" w:hAnsi="Times New Roman" w:eastAsia="宋体" w:cs="Times New Roman"/>
                <w:kern w:val="2"/>
                <w:sz w:val="21"/>
                <w:szCs w:val="24"/>
                <w:lang w:val="en-US" w:eastAsia="zh-CN" w:bidi="ar-SA"/>
              </w:rPr>
            </w:pPr>
            <w:r>
              <w:t>21.6655</w:t>
            </w:r>
          </w:p>
        </w:tc>
        <w:tc>
          <w:tcPr>
            <w:tcW w:w="0" w:type="auto"/>
            <w:shd w:val="clear" w:color="auto" w:fill="auto"/>
            <w:vAlign w:val="top"/>
          </w:tcPr>
          <w:p w14:paraId="0D027B1A">
            <w:pPr>
              <w:jc w:val="center"/>
              <w:rPr>
                <w:rFonts w:hint="eastAsia" w:ascii="Times New Roman" w:hAnsi="Times New Roman" w:eastAsia="宋体" w:cs="Times New Roman"/>
                <w:kern w:val="2"/>
                <w:sz w:val="21"/>
                <w:szCs w:val="24"/>
                <w:lang w:val="en-US" w:eastAsia="zh-CN" w:bidi="ar-SA"/>
              </w:rPr>
            </w:pPr>
            <w:r>
              <w:t>22.5033</w:t>
            </w:r>
          </w:p>
        </w:tc>
      </w:tr>
      <w:tr w14:paraId="275D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7CD330A5">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24</w:t>
            </w:r>
          </w:p>
        </w:tc>
        <w:tc>
          <w:tcPr>
            <w:tcW w:w="0" w:type="auto"/>
            <w:shd w:val="clear" w:color="auto" w:fill="auto"/>
            <w:vAlign w:val="top"/>
          </w:tcPr>
          <w:p w14:paraId="4D9F1FDC">
            <w:pPr>
              <w:jc w:val="center"/>
              <w:rPr>
                <w:rFonts w:hint="eastAsia" w:ascii="Times New Roman" w:hAnsi="Times New Roman" w:eastAsia="宋体" w:cs="Times New Roman"/>
                <w:kern w:val="2"/>
                <w:sz w:val="21"/>
                <w:szCs w:val="24"/>
                <w:lang w:val="en-US" w:eastAsia="zh-CN" w:bidi="ar-SA"/>
              </w:rPr>
            </w:pPr>
            <w:r>
              <w:t>5.4294</w:t>
            </w:r>
          </w:p>
        </w:tc>
        <w:tc>
          <w:tcPr>
            <w:tcW w:w="0" w:type="auto"/>
            <w:shd w:val="clear" w:color="auto" w:fill="auto"/>
            <w:vAlign w:val="top"/>
          </w:tcPr>
          <w:p w14:paraId="5D516DED">
            <w:pPr>
              <w:jc w:val="center"/>
              <w:rPr>
                <w:rFonts w:hint="eastAsia" w:ascii="Times New Roman" w:hAnsi="Times New Roman" w:eastAsia="宋体" w:cs="Times New Roman"/>
                <w:kern w:val="2"/>
                <w:sz w:val="21"/>
                <w:szCs w:val="24"/>
                <w:lang w:val="en-US" w:eastAsia="zh-CN" w:bidi="ar-SA"/>
              </w:rPr>
            </w:pPr>
            <w:r>
              <w:t>20.6951</w:t>
            </w:r>
          </w:p>
        </w:tc>
        <w:tc>
          <w:tcPr>
            <w:tcW w:w="0" w:type="auto"/>
            <w:shd w:val="clear" w:color="auto" w:fill="auto"/>
            <w:vAlign w:val="top"/>
          </w:tcPr>
          <w:p w14:paraId="39BA2AA5">
            <w:pPr>
              <w:jc w:val="center"/>
              <w:rPr>
                <w:rFonts w:hint="eastAsia" w:ascii="Times New Roman" w:hAnsi="Times New Roman" w:eastAsia="宋体" w:cs="Times New Roman"/>
                <w:kern w:val="2"/>
                <w:sz w:val="21"/>
                <w:szCs w:val="24"/>
                <w:lang w:val="en-US" w:eastAsia="zh-CN" w:bidi="ar-SA"/>
              </w:rPr>
            </w:pPr>
            <w:r>
              <w:t>21.3955</w:t>
            </w:r>
          </w:p>
        </w:tc>
      </w:tr>
      <w:tr w14:paraId="7E77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1C0A8280">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25</w:t>
            </w:r>
          </w:p>
        </w:tc>
        <w:tc>
          <w:tcPr>
            <w:tcW w:w="0" w:type="auto"/>
            <w:shd w:val="clear" w:color="auto" w:fill="auto"/>
            <w:vAlign w:val="top"/>
          </w:tcPr>
          <w:p w14:paraId="2310E082">
            <w:pPr>
              <w:jc w:val="center"/>
              <w:rPr>
                <w:rFonts w:hint="eastAsia" w:ascii="Times New Roman" w:hAnsi="Times New Roman" w:eastAsia="宋体" w:cs="Times New Roman"/>
                <w:kern w:val="2"/>
                <w:sz w:val="21"/>
                <w:szCs w:val="24"/>
                <w:lang w:val="en-US" w:eastAsia="zh-CN" w:bidi="ar-SA"/>
              </w:rPr>
            </w:pPr>
            <w:r>
              <w:t>4.8741</w:t>
            </w:r>
          </w:p>
        </w:tc>
        <w:tc>
          <w:tcPr>
            <w:tcW w:w="0" w:type="auto"/>
            <w:shd w:val="clear" w:color="auto" w:fill="auto"/>
            <w:vAlign w:val="top"/>
          </w:tcPr>
          <w:p w14:paraId="1CBCDC2B">
            <w:pPr>
              <w:jc w:val="center"/>
              <w:rPr>
                <w:rFonts w:hint="eastAsia" w:ascii="Times New Roman" w:hAnsi="Times New Roman" w:eastAsia="宋体" w:cs="Times New Roman"/>
                <w:kern w:val="2"/>
                <w:sz w:val="21"/>
                <w:szCs w:val="24"/>
                <w:lang w:val="en-US" w:eastAsia="zh-CN" w:bidi="ar-SA"/>
              </w:rPr>
            </w:pPr>
            <w:r>
              <w:t>19.8018</w:t>
            </w:r>
          </w:p>
        </w:tc>
        <w:tc>
          <w:tcPr>
            <w:tcW w:w="0" w:type="auto"/>
            <w:shd w:val="clear" w:color="auto" w:fill="auto"/>
            <w:vAlign w:val="top"/>
          </w:tcPr>
          <w:p w14:paraId="11123578">
            <w:pPr>
              <w:jc w:val="center"/>
              <w:rPr>
                <w:rFonts w:hint="eastAsia" w:ascii="Times New Roman" w:hAnsi="Times New Roman" w:eastAsia="宋体" w:cs="Times New Roman"/>
                <w:kern w:val="2"/>
                <w:sz w:val="21"/>
                <w:szCs w:val="24"/>
                <w:lang w:val="en-US" w:eastAsia="zh-CN" w:bidi="ar-SA"/>
              </w:rPr>
            </w:pPr>
            <w:r>
              <w:t>20.3928</w:t>
            </w:r>
          </w:p>
        </w:tc>
      </w:tr>
      <w:tr w14:paraId="7768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1B468799">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26</w:t>
            </w:r>
          </w:p>
        </w:tc>
        <w:tc>
          <w:tcPr>
            <w:tcW w:w="0" w:type="auto"/>
            <w:shd w:val="clear" w:color="auto" w:fill="auto"/>
            <w:vAlign w:val="top"/>
          </w:tcPr>
          <w:p w14:paraId="72DA1A09">
            <w:pPr>
              <w:jc w:val="center"/>
              <w:rPr>
                <w:rFonts w:hint="eastAsia" w:ascii="Times New Roman" w:hAnsi="Times New Roman" w:eastAsia="宋体" w:cs="Times New Roman"/>
                <w:kern w:val="2"/>
                <w:sz w:val="21"/>
                <w:szCs w:val="24"/>
                <w:lang w:val="en-US" w:eastAsia="zh-CN" w:bidi="ar-SA"/>
              </w:rPr>
            </w:pPr>
            <w:r>
              <w:t>4.3987</w:t>
            </w:r>
          </w:p>
        </w:tc>
        <w:tc>
          <w:tcPr>
            <w:tcW w:w="0" w:type="auto"/>
            <w:shd w:val="clear" w:color="auto" w:fill="auto"/>
            <w:vAlign w:val="top"/>
          </w:tcPr>
          <w:p w14:paraId="7D56C8CF">
            <w:pPr>
              <w:jc w:val="center"/>
              <w:rPr>
                <w:rFonts w:hint="eastAsia" w:ascii="Times New Roman" w:hAnsi="Times New Roman" w:eastAsia="宋体" w:cs="Times New Roman"/>
                <w:kern w:val="2"/>
                <w:sz w:val="21"/>
                <w:szCs w:val="24"/>
                <w:lang w:val="en-US" w:eastAsia="zh-CN" w:bidi="ar-SA"/>
              </w:rPr>
            </w:pPr>
            <w:r>
              <w:t>18.9783</w:t>
            </w:r>
          </w:p>
        </w:tc>
        <w:tc>
          <w:tcPr>
            <w:tcW w:w="0" w:type="auto"/>
            <w:shd w:val="clear" w:color="auto" w:fill="auto"/>
            <w:vAlign w:val="top"/>
          </w:tcPr>
          <w:p w14:paraId="0DC4C6A3">
            <w:pPr>
              <w:jc w:val="center"/>
              <w:rPr>
                <w:rFonts w:hint="eastAsia" w:ascii="Times New Roman" w:hAnsi="Times New Roman" w:eastAsia="宋体" w:cs="Times New Roman"/>
                <w:kern w:val="2"/>
                <w:sz w:val="21"/>
                <w:szCs w:val="24"/>
                <w:lang w:val="en-US" w:eastAsia="zh-CN" w:bidi="ar-SA"/>
              </w:rPr>
            </w:pPr>
            <w:r>
              <w:t>19.4814</w:t>
            </w:r>
          </w:p>
        </w:tc>
      </w:tr>
      <w:tr w14:paraId="6B01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68E9C235">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27</w:t>
            </w:r>
          </w:p>
        </w:tc>
        <w:tc>
          <w:tcPr>
            <w:tcW w:w="0" w:type="auto"/>
            <w:shd w:val="clear" w:color="auto" w:fill="auto"/>
            <w:vAlign w:val="top"/>
          </w:tcPr>
          <w:p w14:paraId="0CBFB9E6">
            <w:pPr>
              <w:jc w:val="center"/>
              <w:rPr>
                <w:rFonts w:hint="eastAsia" w:ascii="Times New Roman" w:hAnsi="Times New Roman" w:eastAsia="宋体" w:cs="Times New Roman"/>
                <w:kern w:val="2"/>
                <w:sz w:val="21"/>
                <w:szCs w:val="24"/>
                <w:lang w:val="en-US" w:eastAsia="zh-CN" w:bidi="ar-SA"/>
              </w:rPr>
            </w:pPr>
            <w:r>
              <w:t>3.9885</w:t>
            </w:r>
          </w:p>
        </w:tc>
        <w:tc>
          <w:tcPr>
            <w:tcW w:w="0" w:type="auto"/>
            <w:shd w:val="clear" w:color="auto" w:fill="auto"/>
            <w:vAlign w:val="top"/>
          </w:tcPr>
          <w:p w14:paraId="178D84EC">
            <w:pPr>
              <w:jc w:val="center"/>
              <w:rPr>
                <w:rFonts w:hint="eastAsia" w:ascii="Times New Roman" w:hAnsi="Times New Roman" w:eastAsia="宋体" w:cs="Times New Roman"/>
                <w:kern w:val="2"/>
                <w:sz w:val="21"/>
                <w:szCs w:val="24"/>
                <w:lang w:val="en-US" w:eastAsia="zh-CN" w:bidi="ar-SA"/>
              </w:rPr>
            </w:pPr>
            <w:r>
              <w:t>18.2180</w:t>
            </w:r>
          </w:p>
        </w:tc>
        <w:tc>
          <w:tcPr>
            <w:tcW w:w="0" w:type="auto"/>
            <w:shd w:val="clear" w:color="auto" w:fill="auto"/>
            <w:vAlign w:val="top"/>
          </w:tcPr>
          <w:p w14:paraId="2E87AB3C">
            <w:pPr>
              <w:jc w:val="center"/>
              <w:rPr>
                <w:rFonts w:hint="eastAsia" w:ascii="Times New Roman" w:hAnsi="Times New Roman" w:eastAsia="宋体" w:cs="Times New Roman"/>
                <w:kern w:val="2"/>
                <w:sz w:val="21"/>
                <w:szCs w:val="24"/>
                <w:lang w:val="en-US" w:eastAsia="zh-CN" w:bidi="ar-SA"/>
              </w:rPr>
            </w:pPr>
            <w:r>
              <w:t>18.6495</w:t>
            </w:r>
          </w:p>
        </w:tc>
      </w:tr>
      <w:tr w14:paraId="4209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68C1C935">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28</w:t>
            </w:r>
          </w:p>
        </w:tc>
        <w:tc>
          <w:tcPr>
            <w:tcW w:w="0" w:type="auto"/>
            <w:shd w:val="clear" w:color="auto" w:fill="auto"/>
            <w:vAlign w:val="top"/>
          </w:tcPr>
          <w:p w14:paraId="0CB5D9A5">
            <w:pPr>
              <w:jc w:val="center"/>
              <w:rPr>
                <w:rFonts w:hint="eastAsia" w:ascii="Times New Roman" w:hAnsi="Times New Roman" w:eastAsia="宋体" w:cs="Times New Roman"/>
                <w:kern w:val="2"/>
                <w:sz w:val="21"/>
                <w:szCs w:val="24"/>
                <w:lang w:val="en-US" w:eastAsia="zh-CN" w:bidi="ar-SA"/>
              </w:rPr>
            </w:pPr>
            <w:r>
              <w:t>3.6323</w:t>
            </w:r>
          </w:p>
        </w:tc>
        <w:tc>
          <w:tcPr>
            <w:tcW w:w="0" w:type="auto"/>
            <w:shd w:val="clear" w:color="auto" w:fill="auto"/>
            <w:vAlign w:val="top"/>
          </w:tcPr>
          <w:p w14:paraId="5C3FE57A">
            <w:pPr>
              <w:jc w:val="center"/>
              <w:rPr>
                <w:rFonts w:hint="eastAsia" w:ascii="Times New Roman" w:hAnsi="Times New Roman" w:eastAsia="宋体" w:cs="Times New Roman"/>
                <w:kern w:val="2"/>
                <w:sz w:val="21"/>
                <w:szCs w:val="24"/>
                <w:lang w:val="en-US" w:eastAsia="zh-CN" w:bidi="ar-SA"/>
              </w:rPr>
            </w:pPr>
            <w:r>
              <w:t>17.5146</w:t>
            </w:r>
          </w:p>
        </w:tc>
        <w:tc>
          <w:tcPr>
            <w:tcW w:w="0" w:type="auto"/>
            <w:shd w:val="clear" w:color="auto" w:fill="auto"/>
            <w:vAlign w:val="top"/>
          </w:tcPr>
          <w:p w14:paraId="65F0518A">
            <w:pPr>
              <w:jc w:val="center"/>
              <w:rPr>
                <w:rFonts w:hint="eastAsia" w:ascii="Times New Roman" w:hAnsi="Times New Roman" w:eastAsia="宋体" w:cs="Times New Roman"/>
                <w:kern w:val="2"/>
                <w:sz w:val="21"/>
                <w:szCs w:val="24"/>
                <w:lang w:val="en-US" w:eastAsia="zh-CN" w:bidi="ar-SA"/>
              </w:rPr>
            </w:pPr>
            <w:r>
              <w:t>17.8873</w:t>
            </w:r>
          </w:p>
        </w:tc>
      </w:tr>
      <w:tr w14:paraId="03BE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000AF250">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29</w:t>
            </w:r>
          </w:p>
        </w:tc>
        <w:tc>
          <w:tcPr>
            <w:tcW w:w="0" w:type="auto"/>
            <w:shd w:val="clear" w:color="auto" w:fill="auto"/>
            <w:vAlign w:val="top"/>
          </w:tcPr>
          <w:p w14:paraId="02BFB41E">
            <w:pPr>
              <w:jc w:val="center"/>
              <w:rPr>
                <w:rFonts w:hint="eastAsia" w:ascii="Times New Roman" w:hAnsi="Times New Roman" w:eastAsia="宋体" w:cs="Times New Roman"/>
                <w:kern w:val="2"/>
                <w:sz w:val="21"/>
                <w:szCs w:val="24"/>
                <w:lang w:val="en-US" w:eastAsia="zh-CN" w:bidi="ar-SA"/>
              </w:rPr>
            </w:pPr>
            <w:r>
              <w:t>3.3209</w:t>
            </w:r>
          </w:p>
        </w:tc>
        <w:tc>
          <w:tcPr>
            <w:tcW w:w="0" w:type="auto"/>
            <w:shd w:val="clear" w:color="auto" w:fill="auto"/>
            <w:vAlign w:val="top"/>
          </w:tcPr>
          <w:p w14:paraId="6BD7BA5B">
            <w:pPr>
              <w:jc w:val="center"/>
              <w:rPr>
                <w:rFonts w:hint="eastAsia" w:ascii="Times New Roman" w:hAnsi="Times New Roman" w:eastAsia="宋体" w:cs="Times New Roman"/>
                <w:kern w:val="2"/>
                <w:sz w:val="21"/>
                <w:szCs w:val="24"/>
                <w:lang w:val="en-US" w:eastAsia="zh-CN" w:bidi="ar-SA"/>
              </w:rPr>
            </w:pPr>
            <w:r>
              <w:t>16.8626</w:t>
            </w:r>
          </w:p>
        </w:tc>
        <w:tc>
          <w:tcPr>
            <w:tcW w:w="0" w:type="auto"/>
            <w:shd w:val="clear" w:color="auto" w:fill="auto"/>
            <w:vAlign w:val="top"/>
          </w:tcPr>
          <w:p w14:paraId="62C3FD41">
            <w:pPr>
              <w:jc w:val="center"/>
              <w:rPr>
                <w:rFonts w:hint="eastAsia" w:ascii="Times New Roman" w:hAnsi="Times New Roman" w:eastAsia="宋体" w:cs="Times New Roman"/>
                <w:kern w:val="2"/>
                <w:sz w:val="21"/>
                <w:szCs w:val="24"/>
                <w:lang w:val="en-US" w:eastAsia="zh-CN" w:bidi="ar-SA"/>
              </w:rPr>
            </w:pPr>
            <w:r>
              <w:t>17.1864</w:t>
            </w:r>
          </w:p>
        </w:tc>
      </w:tr>
      <w:tr w14:paraId="4BEC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596FC470">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30</w:t>
            </w:r>
          </w:p>
        </w:tc>
        <w:tc>
          <w:tcPr>
            <w:tcW w:w="0" w:type="auto"/>
            <w:shd w:val="clear" w:color="auto" w:fill="auto"/>
            <w:vAlign w:val="top"/>
          </w:tcPr>
          <w:p w14:paraId="509C05A0">
            <w:pPr>
              <w:jc w:val="center"/>
              <w:rPr>
                <w:rFonts w:hint="eastAsia" w:ascii="Times New Roman" w:hAnsi="Times New Roman" w:eastAsia="宋体" w:cs="Times New Roman"/>
                <w:kern w:val="2"/>
                <w:sz w:val="21"/>
                <w:szCs w:val="24"/>
                <w:lang w:val="en-US" w:eastAsia="zh-CN" w:bidi="ar-SA"/>
              </w:rPr>
            </w:pPr>
            <w:r>
              <w:t>3.0471</w:t>
            </w:r>
          </w:p>
        </w:tc>
        <w:tc>
          <w:tcPr>
            <w:tcW w:w="0" w:type="auto"/>
            <w:shd w:val="clear" w:color="auto" w:fill="auto"/>
            <w:vAlign w:val="top"/>
          </w:tcPr>
          <w:p w14:paraId="4AA53439">
            <w:pPr>
              <w:jc w:val="center"/>
              <w:rPr>
                <w:rFonts w:hint="eastAsia" w:ascii="Times New Roman" w:hAnsi="Times New Roman" w:eastAsia="宋体" w:cs="Times New Roman"/>
                <w:kern w:val="2"/>
                <w:sz w:val="21"/>
                <w:szCs w:val="24"/>
                <w:lang w:val="en-US" w:eastAsia="zh-CN" w:bidi="ar-SA"/>
              </w:rPr>
            </w:pPr>
            <w:r>
              <w:t>16.2567</w:t>
            </w:r>
          </w:p>
        </w:tc>
        <w:tc>
          <w:tcPr>
            <w:tcW w:w="0" w:type="auto"/>
            <w:shd w:val="clear" w:color="auto" w:fill="auto"/>
            <w:vAlign w:val="top"/>
          </w:tcPr>
          <w:p w14:paraId="3468421B">
            <w:pPr>
              <w:jc w:val="center"/>
              <w:rPr>
                <w:rFonts w:hint="eastAsia" w:ascii="Times New Roman" w:hAnsi="Times New Roman" w:eastAsia="宋体" w:cs="Times New Roman"/>
                <w:kern w:val="2"/>
                <w:sz w:val="21"/>
                <w:szCs w:val="24"/>
                <w:lang w:val="en-US" w:eastAsia="zh-CN" w:bidi="ar-SA"/>
              </w:rPr>
            </w:pPr>
            <w:r>
              <w:t>16.5398</w:t>
            </w:r>
          </w:p>
        </w:tc>
      </w:tr>
      <w:tr w14:paraId="46278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6B8551FF">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31</w:t>
            </w:r>
          </w:p>
        </w:tc>
        <w:tc>
          <w:tcPr>
            <w:tcW w:w="0" w:type="auto"/>
            <w:shd w:val="clear" w:color="auto" w:fill="auto"/>
            <w:vAlign w:val="top"/>
          </w:tcPr>
          <w:p w14:paraId="4C7F13EA">
            <w:pPr>
              <w:jc w:val="center"/>
              <w:rPr>
                <w:rFonts w:hint="eastAsia" w:ascii="Times New Roman" w:hAnsi="Times New Roman" w:eastAsia="宋体" w:cs="Times New Roman"/>
                <w:kern w:val="2"/>
                <w:sz w:val="21"/>
                <w:szCs w:val="24"/>
                <w:lang w:val="en-US" w:eastAsia="zh-CN" w:bidi="ar-SA"/>
              </w:rPr>
            </w:pPr>
            <w:r>
              <w:t>2.8050</w:t>
            </w:r>
          </w:p>
        </w:tc>
        <w:tc>
          <w:tcPr>
            <w:tcW w:w="0" w:type="auto"/>
            <w:shd w:val="clear" w:color="auto" w:fill="auto"/>
            <w:vAlign w:val="top"/>
          </w:tcPr>
          <w:p w14:paraId="0BBE18B8">
            <w:pPr>
              <w:jc w:val="center"/>
              <w:rPr>
                <w:rFonts w:hint="eastAsia" w:ascii="Times New Roman" w:hAnsi="Times New Roman" w:eastAsia="宋体" w:cs="Times New Roman"/>
                <w:kern w:val="2"/>
                <w:sz w:val="21"/>
                <w:szCs w:val="24"/>
                <w:lang w:val="en-US" w:eastAsia="zh-CN" w:bidi="ar-SA"/>
              </w:rPr>
            </w:pPr>
            <w:r>
              <w:t>15.6926</w:t>
            </w:r>
          </w:p>
        </w:tc>
        <w:tc>
          <w:tcPr>
            <w:tcW w:w="0" w:type="auto"/>
            <w:shd w:val="clear" w:color="auto" w:fill="auto"/>
            <w:vAlign w:val="top"/>
          </w:tcPr>
          <w:p w14:paraId="48E252F5">
            <w:pPr>
              <w:jc w:val="center"/>
              <w:rPr>
                <w:rFonts w:hint="eastAsia" w:ascii="Times New Roman" w:hAnsi="Times New Roman" w:eastAsia="宋体" w:cs="Times New Roman"/>
                <w:kern w:val="2"/>
                <w:sz w:val="21"/>
                <w:szCs w:val="24"/>
                <w:lang w:val="en-US" w:eastAsia="zh-CN" w:bidi="ar-SA"/>
              </w:rPr>
            </w:pPr>
            <w:r>
              <w:t>15.9413</w:t>
            </w:r>
          </w:p>
        </w:tc>
      </w:tr>
      <w:tr w14:paraId="5CD5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5649E99A">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32</w:t>
            </w:r>
          </w:p>
        </w:tc>
        <w:tc>
          <w:tcPr>
            <w:tcW w:w="0" w:type="auto"/>
            <w:shd w:val="clear" w:color="auto" w:fill="auto"/>
            <w:vAlign w:val="top"/>
          </w:tcPr>
          <w:p w14:paraId="0B7CC003">
            <w:pPr>
              <w:jc w:val="center"/>
              <w:rPr>
                <w:rFonts w:hint="eastAsia" w:ascii="Times New Roman" w:hAnsi="Times New Roman" w:eastAsia="宋体" w:cs="Times New Roman"/>
                <w:kern w:val="2"/>
                <w:sz w:val="21"/>
                <w:szCs w:val="24"/>
                <w:lang w:val="en-US" w:eastAsia="zh-CN" w:bidi="ar-SA"/>
              </w:rPr>
            </w:pPr>
            <w:r>
              <w:t>2.5900</w:t>
            </w:r>
          </w:p>
        </w:tc>
        <w:tc>
          <w:tcPr>
            <w:tcW w:w="0" w:type="auto"/>
            <w:shd w:val="clear" w:color="auto" w:fill="auto"/>
            <w:vAlign w:val="top"/>
          </w:tcPr>
          <w:p w14:paraId="60203EEA">
            <w:pPr>
              <w:jc w:val="center"/>
              <w:rPr>
                <w:rFonts w:hint="eastAsia" w:ascii="Times New Roman" w:hAnsi="Times New Roman" w:eastAsia="宋体" w:cs="Times New Roman"/>
                <w:kern w:val="2"/>
                <w:sz w:val="21"/>
                <w:szCs w:val="24"/>
                <w:lang w:val="en-US" w:eastAsia="zh-CN" w:bidi="ar-SA"/>
              </w:rPr>
            </w:pPr>
            <w:r>
              <w:t>15.1662</w:t>
            </w:r>
          </w:p>
        </w:tc>
        <w:tc>
          <w:tcPr>
            <w:tcW w:w="0" w:type="auto"/>
            <w:shd w:val="clear" w:color="auto" w:fill="auto"/>
            <w:vAlign w:val="top"/>
          </w:tcPr>
          <w:p w14:paraId="0328647C">
            <w:pPr>
              <w:jc w:val="center"/>
              <w:rPr>
                <w:rFonts w:hint="eastAsia" w:ascii="Times New Roman" w:hAnsi="Times New Roman" w:eastAsia="宋体" w:cs="Times New Roman"/>
                <w:kern w:val="2"/>
                <w:sz w:val="21"/>
                <w:szCs w:val="24"/>
                <w:lang w:val="en-US" w:eastAsia="zh-CN" w:bidi="ar-SA"/>
              </w:rPr>
            </w:pPr>
            <w:r>
              <w:t>15.3857</w:t>
            </w:r>
          </w:p>
        </w:tc>
      </w:tr>
      <w:tr w14:paraId="3B740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2FC230B4">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33</w:t>
            </w:r>
          </w:p>
        </w:tc>
        <w:tc>
          <w:tcPr>
            <w:tcW w:w="0" w:type="auto"/>
            <w:shd w:val="clear" w:color="auto" w:fill="auto"/>
            <w:vAlign w:val="top"/>
          </w:tcPr>
          <w:p w14:paraId="71D23E4B">
            <w:pPr>
              <w:jc w:val="center"/>
              <w:rPr>
                <w:rFonts w:hint="eastAsia" w:ascii="Times New Roman" w:hAnsi="Times New Roman" w:eastAsia="宋体" w:cs="Times New Roman"/>
                <w:kern w:val="2"/>
                <w:sz w:val="21"/>
                <w:szCs w:val="24"/>
                <w:lang w:val="en-US" w:eastAsia="zh-CN" w:bidi="ar-SA"/>
              </w:rPr>
            </w:pPr>
            <w:r>
              <w:t>2.3981</w:t>
            </w:r>
          </w:p>
        </w:tc>
        <w:tc>
          <w:tcPr>
            <w:tcW w:w="0" w:type="auto"/>
            <w:shd w:val="clear" w:color="auto" w:fill="auto"/>
            <w:vAlign w:val="top"/>
          </w:tcPr>
          <w:p w14:paraId="49AFDE8E">
            <w:pPr>
              <w:jc w:val="center"/>
              <w:rPr>
                <w:rFonts w:hint="eastAsia" w:ascii="Times New Roman" w:hAnsi="Times New Roman" w:eastAsia="宋体" w:cs="Times New Roman"/>
                <w:kern w:val="2"/>
                <w:sz w:val="21"/>
                <w:szCs w:val="24"/>
                <w:lang w:val="en-US" w:eastAsia="zh-CN" w:bidi="ar-SA"/>
              </w:rPr>
            </w:pPr>
            <w:r>
              <w:t>14.6740</w:t>
            </w:r>
          </w:p>
        </w:tc>
        <w:tc>
          <w:tcPr>
            <w:tcW w:w="0" w:type="auto"/>
            <w:shd w:val="clear" w:color="auto" w:fill="auto"/>
            <w:vAlign w:val="top"/>
          </w:tcPr>
          <w:p w14:paraId="17FB5376">
            <w:pPr>
              <w:jc w:val="center"/>
              <w:rPr>
                <w:rFonts w:hint="eastAsia" w:ascii="Times New Roman" w:hAnsi="Times New Roman" w:eastAsia="宋体" w:cs="Times New Roman"/>
                <w:kern w:val="2"/>
                <w:sz w:val="21"/>
                <w:szCs w:val="24"/>
                <w:lang w:val="en-US" w:eastAsia="zh-CN" w:bidi="ar-SA"/>
              </w:rPr>
            </w:pPr>
            <w:r>
              <w:t>14.8686</w:t>
            </w:r>
          </w:p>
        </w:tc>
      </w:tr>
      <w:tr w14:paraId="10A3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7DCFBE9E">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34</w:t>
            </w:r>
          </w:p>
        </w:tc>
        <w:tc>
          <w:tcPr>
            <w:tcW w:w="0" w:type="auto"/>
            <w:shd w:val="clear" w:color="auto" w:fill="auto"/>
            <w:vAlign w:val="top"/>
          </w:tcPr>
          <w:p w14:paraId="190929BB">
            <w:pPr>
              <w:jc w:val="center"/>
              <w:rPr>
                <w:rFonts w:hint="eastAsia" w:ascii="Times New Roman" w:hAnsi="Times New Roman" w:eastAsia="宋体" w:cs="Times New Roman"/>
                <w:kern w:val="2"/>
                <w:sz w:val="21"/>
                <w:szCs w:val="24"/>
                <w:lang w:val="en-US" w:eastAsia="zh-CN" w:bidi="ar-SA"/>
              </w:rPr>
            </w:pPr>
            <w:r>
              <w:t>2.2260</w:t>
            </w:r>
          </w:p>
        </w:tc>
        <w:tc>
          <w:tcPr>
            <w:tcW w:w="0" w:type="auto"/>
            <w:shd w:val="clear" w:color="auto" w:fill="auto"/>
            <w:vAlign w:val="top"/>
          </w:tcPr>
          <w:p w14:paraId="5E8038DA">
            <w:pPr>
              <w:jc w:val="center"/>
              <w:rPr>
                <w:rFonts w:hint="eastAsia" w:ascii="Times New Roman" w:hAnsi="Times New Roman" w:eastAsia="宋体" w:cs="Times New Roman"/>
                <w:kern w:val="2"/>
                <w:sz w:val="21"/>
                <w:szCs w:val="24"/>
                <w:lang w:val="en-US" w:eastAsia="zh-CN" w:bidi="ar-SA"/>
              </w:rPr>
            </w:pPr>
            <w:r>
              <w:t>14.2128</w:t>
            </w:r>
          </w:p>
        </w:tc>
        <w:tc>
          <w:tcPr>
            <w:tcW w:w="0" w:type="auto"/>
            <w:shd w:val="clear" w:color="auto" w:fill="auto"/>
            <w:vAlign w:val="top"/>
          </w:tcPr>
          <w:p w14:paraId="77903A3B">
            <w:pPr>
              <w:jc w:val="center"/>
              <w:rPr>
                <w:rFonts w:hint="eastAsia" w:ascii="Times New Roman" w:hAnsi="Times New Roman" w:eastAsia="宋体" w:cs="Times New Roman"/>
                <w:kern w:val="2"/>
                <w:sz w:val="21"/>
                <w:szCs w:val="24"/>
                <w:lang w:val="en-US" w:eastAsia="zh-CN" w:bidi="ar-SA"/>
              </w:rPr>
            </w:pPr>
            <w:r>
              <w:t>14.3861</w:t>
            </w:r>
          </w:p>
        </w:tc>
      </w:tr>
      <w:tr w14:paraId="407C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7FB6CAAB">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35</w:t>
            </w:r>
          </w:p>
        </w:tc>
        <w:tc>
          <w:tcPr>
            <w:tcW w:w="0" w:type="auto"/>
            <w:shd w:val="clear" w:color="auto" w:fill="auto"/>
            <w:vAlign w:val="top"/>
          </w:tcPr>
          <w:p w14:paraId="268FF343">
            <w:pPr>
              <w:jc w:val="center"/>
              <w:rPr>
                <w:rFonts w:hint="eastAsia" w:ascii="Times New Roman" w:hAnsi="Times New Roman" w:eastAsia="宋体" w:cs="Times New Roman"/>
                <w:kern w:val="2"/>
                <w:sz w:val="21"/>
                <w:szCs w:val="24"/>
                <w:lang w:val="en-US" w:eastAsia="zh-CN" w:bidi="ar-SA"/>
              </w:rPr>
            </w:pPr>
            <w:r>
              <w:t>2.0711</w:t>
            </w:r>
          </w:p>
        </w:tc>
        <w:tc>
          <w:tcPr>
            <w:tcW w:w="0" w:type="auto"/>
            <w:shd w:val="clear" w:color="auto" w:fill="auto"/>
            <w:vAlign w:val="top"/>
          </w:tcPr>
          <w:p w14:paraId="5D0980CD">
            <w:pPr>
              <w:jc w:val="center"/>
              <w:rPr>
                <w:rFonts w:hint="eastAsia" w:ascii="Times New Roman" w:hAnsi="Times New Roman" w:eastAsia="宋体" w:cs="Times New Roman"/>
                <w:kern w:val="2"/>
                <w:sz w:val="21"/>
                <w:szCs w:val="24"/>
                <w:lang w:val="en-US" w:eastAsia="zh-CN" w:bidi="ar-SA"/>
              </w:rPr>
            </w:pPr>
            <w:r>
              <w:t>13.7800</w:t>
            </w:r>
          </w:p>
        </w:tc>
        <w:tc>
          <w:tcPr>
            <w:tcW w:w="0" w:type="auto"/>
            <w:shd w:val="clear" w:color="auto" w:fill="auto"/>
            <w:vAlign w:val="top"/>
          </w:tcPr>
          <w:p w14:paraId="4BB91EDF">
            <w:pPr>
              <w:jc w:val="center"/>
              <w:rPr>
                <w:rFonts w:hint="eastAsia" w:ascii="Times New Roman" w:hAnsi="Times New Roman" w:eastAsia="宋体" w:cs="Times New Roman"/>
                <w:kern w:val="2"/>
                <w:sz w:val="21"/>
                <w:szCs w:val="24"/>
                <w:lang w:val="en-US" w:eastAsia="zh-CN" w:bidi="ar-SA"/>
              </w:rPr>
            </w:pPr>
            <w:r>
              <w:t>13.9347</w:t>
            </w:r>
          </w:p>
        </w:tc>
      </w:tr>
      <w:tr w14:paraId="5C97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24A79FA7">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36</w:t>
            </w:r>
          </w:p>
        </w:tc>
        <w:tc>
          <w:tcPr>
            <w:tcW w:w="0" w:type="auto"/>
            <w:shd w:val="clear" w:color="auto" w:fill="auto"/>
            <w:vAlign w:val="top"/>
          </w:tcPr>
          <w:p w14:paraId="196F09DD">
            <w:pPr>
              <w:jc w:val="center"/>
              <w:rPr>
                <w:rFonts w:hint="eastAsia" w:ascii="Times New Roman" w:hAnsi="Times New Roman" w:eastAsia="宋体" w:cs="Times New Roman"/>
                <w:kern w:val="2"/>
                <w:sz w:val="21"/>
                <w:szCs w:val="24"/>
                <w:lang w:val="en-US" w:eastAsia="zh-CN" w:bidi="ar-SA"/>
              </w:rPr>
            </w:pPr>
            <w:r>
              <w:t>1.9312</w:t>
            </w:r>
          </w:p>
        </w:tc>
        <w:tc>
          <w:tcPr>
            <w:tcW w:w="0" w:type="auto"/>
            <w:shd w:val="clear" w:color="auto" w:fill="auto"/>
            <w:vAlign w:val="top"/>
          </w:tcPr>
          <w:p w14:paraId="29CEE382">
            <w:pPr>
              <w:jc w:val="center"/>
              <w:rPr>
                <w:rFonts w:hint="eastAsia" w:ascii="Times New Roman" w:hAnsi="Times New Roman" w:eastAsia="宋体" w:cs="Times New Roman"/>
                <w:kern w:val="2"/>
                <w:sz w:val="21"/>
                <w:szCs w:val="24"/>
                <w:lang w:val="en-US" w:eastAsia="zh-CN" w:bidi="ar-SA"/>
              </w:rPr>
            </w:pPr>
            <w:r>
              <w:t>13.3729</w:t>
            </w:r>
          </w:p>
        </w:tc>
        <w:tc>
          <w:tcPr>
            <w:tcW w:w="0" w:type="auto"/>
            <w:shd w:val="clear" w:color="auto" w:fill="auto"/>
            <w:vAlign w:val="top"/>
          </w:tcPr>
          <w:p w14:paraId="69BC0A08">
            <w:pPr>
              <w:jc w:val="center"/>
              <w:rPr>
                <w:rFonts w:hint="eastAsia" w:ascii="Times New Roman" w:hAnsi="Times New Roman" w:eastAsia="宋体" w:cs="Times New Roman"/>
                <w:kern w:val="2"/>
                <w:sz w:val="21"/>
                <w:szCs w:val="24"/>
                <w:lang w:val="en-US" w:eastAsia="zh-CN" w:bidi="ar-SA"/>
              </w:rPr>
            </w:pPr>
            <w:r>
              <w:t>13.5116</w:t>
            </w:r>
          </w:p>
        </w:tc>
      </w:tr>
      <w:tr w14:paraId="2660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4E506BD4">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37</w:t>
            </w:r>
          </w:p>
        </w:tc>
        <w:tc>
          <w:tcPr>
            <w:tcW w:w="0" w:type="auto"/>
            <w:shd w:val="clear" w:color="auto" w:fill="auto"/>
            <w:vAlign w:val="top"/>
          </w:tcPr>
          <w:p w14:paraId="33E2A4A9">
            <w:pPr>
              <w:jc w:val="center"/>
              <w:rPr>
                <w:rFonts w:hint="eastAsia" w:ascii="Times New Roman" w:hAnsi="Times New Roman" w:eastAsia="宋体" w:cs="Times New Roman"/>
                <w:kern w:val="2"/>
                <w:sz w:val="21"/>
                <w:szCs w:val="24"/>
                <w:lang w:val="en-US" w:eastAsia="zh-CN" w:bidi="ar-SA"/>
              </w:rPr>
            </w:pPr>
            <w:r>
              <w:t>1.8044</w:t>
            </w:r>
          </w:p>
        </w:tc>
        <w:tc>
          <w:tcPr>
            <w:tcW w:w="0" w:type="auto"/>
            <w:shd w:val="clear" w:color="auto" w:fill="auto"/>
            <w:vAlign w:val="top"/>
          </w:tcPr>
          <w:p w14:paraId="1C60C4C6">
            <w:pPr>
              <w:jc w:val="center"/>
              <w:rPr>
                <w:rFonts w:hint="eastAsia" w:ascii="Times New Roman" w:hAnsi="Times New Roman" w:eastAsia="宋体" w:cs="Times New Roman"/>
                <w:kern w:val="2"/>
                <w:sz w:val="21"/>
                <w:szCs w:val="24"/>
                <w:lang w:val="en-US" w:eastAsia="zh-CN" w:bidi="ar-SA"/>
              </w:rPr>
            </w:pPr>
            <w:r>
              <w:t>12.9893</w:t>
            </w:r>
          </w:p>
        </w:tc>
        <w:tc>
          <w:tcPr>
            <w:tcW w:w="0" w:type="auto"/>
            <w:shd w:val="clear" w:color="auto" w:fill="auto"/>
            <w:vAlign w:val="top"/>
          </w:tcPr>
          <w:p w14:paraId="39449278">
            <w:pPr>
              <w:jc w:val="center"/>
              <w:rPr>
                <w:rFonts w:hint="eastAsia" w:ascii="Times New Roman" w:hAnsi="Times New Roman" w:eastAsia="宋体" w:cs="Times New Roman"/>
                <w:kern w:val="2"/>
                <w:sz w:val="21"/>
                <w:szCs w:val="24"/>
                <w:lang w:val="en-US" w:eastAsia="zh-CN" w:bidi="ar-SA"/>
              </w:rPr>
            </w:pPr>
            <w:r>
              <w:t>13.1140</w:t>
            </w:r>
          </w:p>
        </w:tc>
      </w:tr>
      <w:tr w14:paraId="3D5C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3B3B406C">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38</w:t>
            </w:r>
          </w:p>
        </w:tc>
        <w:tc>
          <w:tcPr>
            <w:tcW w:w="0" w:type="auto"/>
            <w:shd w:val="clear" w:color="auto" w:fill="auto"/>
            <w:vAlign w:val="top"/>
          </w:tcPr>
          <w:p w14:paraId="0994F1A9">
            <w:pPr>
              <w:jc w:val="center"/>
              <w:rPr>
                <w:rFonts w:hint="eastAsia" w:ascii="Times New Roman" w:hAnsi="Times New Roman" w:eastAsia="宋体" w:cs="Times New Roman"/>
                <w:kern w:val="2"/>
                <w:sz w:val="21"/>
                <w:szCs w:val="24"/>
                <w:lang w:val="en-US" w:eastAsia="zh-CN" w:bidi="ar-SA"/>
              </w:rPr>
            </w:pPr>
            <w:r>
              <w:t>1.6890</w:t>
            </w:r>
          </w:p>
        </w:tc>
        <w:tc>
          <w:tcPr>
            <w:tcW w:w="0" w:type="auto"/>
            <w:shd w:val="clear" w:color="auto" w:fill="auto"/>
            <w:vAlign w:val="top"/>
          </w:tcPr>
          <w:p w14:paraId="45A05AA3">
            <w:pPr>
              <w:jc w:val="center"/>
              <w:rPr>
                <w:rFonts w:hint="eastAsia" w:ascii="Times New Roman" w:hAnsi="Times New Roman" w:eastAsia="宋体" w:cs="Times New Roman"/>
                <w:kern w:val="2"/>
                <w:sz w:val="21"/>
                <w:szCs w:val="24"/>
                <w:lang w:val="en-US" w:eastAsia="zh-CN" w:bidi="ar-SA"/>
              </w:rPr>
            </w:pPr>
            <w:r>
              <w:t>12.6274</w:t>
            </w:r>
          </w:p>
        </w:tc>
        <w:tc>
          <w:tcPr>
            <w:tcW w:w="0" w:type="auto"/>
            <w:shd w:val="clear" w:color="auto" w:fill="auto"/>
            <w:vAlign w:val="top"/>
          </w:tcPr>
          <w:p w14:paraId="521E756E">
            <w:pPr>
              <w:jc w:val="center"/>
              <w:rPr>
                <w:rFonts w:hint="eastAsia" w:ascii="Times New Roman" w:hAnsi="Times New Roman" w:eastAsia="宋体" w:cs="Times New Roman"/>
                <w:kern w:val="2"/>
                <w:sz w:val="21"/>
                <w:szCs w:val="24"/>
                <w:lang w:val="en-US" w:eastAsia="zh-CN" w:bidi="ar-SA"/>
              </w:rPr>
            </w:pPr>
            <w:r>
              <w:t>12.7398</w:t>
            </w:r>
          </w:p>
        </w:tc>
      </w:tr>
      <w:tr w14:paraId="7585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5E0FB4C0">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39</w:t>
            </w:r>
          </w:p>
        </w:tc>
        <w:tc>
          <w:tcPr>
            <w:tcW w:w="0" w:type="auto"/>
            <w:shd w:val="clear" w:color="auto" w:fill="auto"/>
            <w:vAlign w:val="top"/>
          </w:tcPr>
          <w:p w14:paraId="50BC4302">
            <w:pPr>
              <w:jc w:val="center"/>
              <w:rPr>
                <w:rFonts w:hint="eastAsia" w:ascii="Times New Roman" w:hAnsi="Times New Roman" w:eastAsia="宋体" w:cs="Times New Roman"/>
                <w:kern w:val="2"/>
                <w:sz w:val="21"/>
                <w:szCs w:val="24"/>
                <w:lang w:val="en-US" w:eastAsia="zh-CN" w:bidi="ar-SA"/>
              </w:rPr>
            </w:pPr>
            <w:r>
              <w:t>1.5837</w:t>
            </w:r>
          </w:p>
        </w:tc>
        <w:tc>
          <w:tcPr>
            <w:tcW w:w="0" w:type="auto"/>
            <w:shd w:val="clear" w:color="auto" w:fill="auto"/>
            <w:vAlign w:val="top"/>
          </w:tcPr>
          <w:p w14:paraId="5E2BEDE2">
            <w:pPr>
              <w:jc w:val="center"/>
              <w:rPr>
                <w:rFonts w:hint="eastAsia" w:ascii="Times New Roman" w:hAnsi="Times New Roman" w:eastAsia="宋体" w:cs="Times New Roman"/>
                <w:kern w:val="2"/>
                <w:sz w:val="21"/>
                <w:szCs w:val="24"/>
                <w:lang w:val="en-US" w:eastAsia="zh-CN" w:bidi="ar-SA"/>
              </w:rPr>
            </w:pPr>
            <w:r>
              <w:t>12.2853</w:t>
            </w:r>
          </w:p>
        </w:tc>
        <w:tc>
          <w:tcPr>
            <w:tcW w:w="0" w:type="auto"/>
            <w:shd w:val="clear" w:color="auto" w:fill="auto"/>
            <w:vAlign w:val="top"/>
          </w:tcPr>
          <w:p w14:paraId="5CC837DF">
            <w:pPr>
              <w:jc w:val="center"/>
              <w:rPr>
                <w:rFonts w:hint="eastAsia" w:ascii="Times New Roman" w:hAnsi="Times New Roman" w:eastAsia="宋体" w:cs="Times New Roman"/>
                <w:kern w:val="2"/>
                <w:sz w:val="21"/>
                <w:szCs w:val="24"/>
                <w:lang w:val="en-US" w:eastAsia="zh-CN" w:bidi="ar-SA"/>
              </w:rPr>
            </w:pPr>
            <w:r>
              <w:t>12.3869</w:t>
            </w:r>
          </w:p>
        </w:tc>
      </w:tr>
      <w:tr w14:paraId="4C8C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756E2906">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40</w:t>
            </w:r>
          </w:p>
        </w:tc>
        <w:tc>
          <w:tcPr>
            <w:tcW w:w="0" w:type="auto"/>
            <w:shd w:val="clear" w:color="auto" w:fill="auto"/>
            <w:vAlign w:val="top"/>
          </w:tcPr>
          <w:p w14:paraId="4825FFCF">
            <w:pPr>
              <w:jc w:val="center"/>
              <w:rPr>
                <w:rFonts w:hint="eastAsia" w:ascii="Times New Roman" w:hAnsi="Times New Roman" w:eastAsia="宋体" w:cs="Times New Roman"/>
                <w:kern w:val="2"/>
                <w:sz w:val="21"/>
                <w:szCs w:val="24"/>
                <w:lang w:val="en-US" w:eastAsia="zh-CN" w:bidi="ar-SA"/>
              </w:rPr>
            </w:pPr>
            <w:r>
              <w:t>1.4874</w:t>
            </w:r>
          </w:p>
        </w:tc>
        <w:tc>
          <w:tcPr>
            <w:tcW w:w="0" w:type="auto"/>
            <w:shd w:val="clear" w:color="auto" w:fill="auto"/>
            <w:vAlign w:val="top"/>
          </w:tcPr>
          <w:p w14:paraId="06B9F880">
            <w:pPr>
              <w:jc w:val="center"/>
              <w:rPr>
                <w:rFonts w:hint="eastAsia" w:ascii="Times New Roman" w:hAnsi="Times New Roman" w:eastAsia="宋体" w:cs="Times New Roman"/>
                <w:kern w:val="2"/>
                <w:sz w:val="21"/>
                <w:szCs w:val="24"/>
                <w:lang w:val="en-US" w:eastAsia="zh-CN" w:bidi="ar-SA"/>
              </w:rPr>
            </w:pPr>
            <w:r>
              <w:t>11.9614</w:t>
            </w:r>
          </w:p>
        </w:tc>
        <w:tc>
          <w:tcPr>
            <w:tcW w:w="0" w:type="auto"/>
            <w:shd w:val="clear" w:color="auto" w:fill="auto"/>
            <w:vAlign w:val="top"/>
          </w:tcPr>
          <w:p w14:paraId="147CF5F7">
            <w:pPr>
              <w:jc w:val="center"/>
              <w:rPr>
                <w:rFonts w:hint="eastAsia" w:ascii="Times New Roman" w:hAnsi="Times New Roman" w:eastAsia="宋体" w:cs="Times New Roman"/>
                <w:kern w:val="2"/>
                <w:sz w:val="21"/>
                <w:szCs w:val="24"/>
                <w:lang w:val="en-US" w:eastAsia="zh-CN" w:bidi="ar-SA"/>
              </w:rPr>
            </w:pPr>
            <w:r>
              <w:t>12.0536</w:t>
            </w:r>
          </w:p>
        </w:tc>
      </w:tr>
      <w:tr w14:paraId="2EC8C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19A79601">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41</w:t>
            </w:r>
          </w:p>
        </w:tc>
        <w:tc>
          <w:tcPr>
            <w:tcW w:w="0" w:type="auto"/>
            <w:shd w:val="clear" w:color="auto" w:fill="auto"/>
            <w:vAlign w:val="top"/>
          </w:tcPr>
          <w:p w14:paraId="5163929E">
            <w:pPr>
              <w:jc w:val="center"/>
              <w:rPr>
                <w:rFonts w:hint="eastAsia" w:ascii="Times New Roman" w:hAnsi="Times New Roman" w:eastAsia="宋体" w:cs="Times New Roman"/>
                <w:kern w:val="2"/>
                <w:sz w:val="21"/>
                <w:szCs w:val="24"/>
                <w:lang w:val="en-US" w:eastAsia="zh-CN" w:bidi="ar-SA"/>
              </w:rPr>
            </w:pPr>
            <w:r>
              <w:t>1.3990</w:t>
            </w:r>
          </w:p>
        </w:tc>
        <w:tc>
          <w:tcPr>
            <w:tcW w:w="0" w:type="auto"/>
            <w:shd w:val="clear" w:color="auto" w:fill="auto"/>
            <w:vAlign w:val="top"/>
          </w:tcPr>
          <w:p w14:paraId="5BC9EBFB">
            <w:pPr>
              <w:jc w:val="center"/>
              <w:rPr>
                <w:rFonts w:hint="eastAsia" w:ascii="Times New Roman" w:hAnsi="Times New Roman" w:eastAsia="宋体" w:cs="Times New Roman"/>
                <w:kern w:val="2"/>
                <w:sz w:val="21"/>
                <w:szCs w:val="24"/>
                <w:lang w:val="en-US" w:eastAsia="zh-CN" w:bidi="ar-SA"/>
              </w:rPr>
            </w:pPr>
            <w:r>
              <w:t>11.6544</w:t>
            </w:r>
          </w:p>
        </w:tc>
        <w:tc>
          <w:tcPr>
            <w:tcW w:w="0" w:type="auto"/>
            <w:shd w:val="clear" w:color="auto" w:fill="auto"/>
            <w:vAlign w:val="top"/>
          </w:tcPr>
          <w:p w14:paraId="511F455A">
            <w:pPr>
              <w:jc w:val="center"/>
              <w:rPr>
                <w:rFonts w:hint="eastAsia" w:ascii="Times New Roman" w:hAnsi="Times New Roman" w:eastAsia="宋体" w:cs="Times New Roman"/>
                <w:kern w:val="2"/>
                <w:sz w:val="21"/>
                <w:szCs w:val="24"/>
                <w:lang w:val="en-US" w:eastAsia="zh-CN" w:bidi="ar-SA"/>
              </w:rPr>
            </w:pPr>
            <w:r>
              <w:t>11.7381</w:t>
            </w:r>
          </w:p>
        </w:tc>
      </w:tr>
      <w:tr w14:paraId="0152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59C4CB7D">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42</w:t>
            </w:r>
          </w:p>
        </w:tc>
        <w:tc>
          <w:tcPr>
            <w:tcW w:w="0" w:type="auto"/>
            <w:shd w:val="clear" w:color="auto" w:fill="auto"/>
            <w:vAlign w:val="top"/>
          </w:tcPr>
          <w:p w14:paraId="4A13AFE0">
            <w:pPr>
              <w:jc w:val="center"/>
              <w:rPr>
                <w:rFonts w:hint="eastAsia" w:ascii="Times New Roman" w:hAnsi="Times New Roman" w:eastAsia="宋体" w:cs="Times New Roman"/>
                <w:kern w:val="2"/>
                <w:sz w:val="21"/>
                <w:szCs w:val="24"/>
                <w:lang w:val="en-US" w:eastAsia="zh-CN" w:bidi="ar-SA"/>
              </w:rPr>
            </w:pPr>
            <w:r>
              <w:t>1.3177</w:t>
            </w:r>
          </w:p>
        </w:tc>
        <w:tc>
          <w:tcPr>
            <w:tcW w:w="0" w:type="auto"/>
            <w:shd w:val="clear" w:color="auto" w:fill="auto"/>
            <w:vAlign w:val="top"/>
          </w:tcPr>
          <w:p w14:paraId="0FDF6749">
            <w:pPr>
              <w:jc w:val="center"/>
              <w:rPr>
                <w:rFonts w:hint="eastAsia" w:ascii="Times New Roman" w:hAnsi="Times New Roman" w:eastAsia="宋体" w:cs="Times New Roman"/>
                <w:kern w:val="2"/>
                <w:sz w:val="21"/>
                <w:szCs w:val="24"/>
                <w:lang w:val="en-US" w:eastAsia="zh-CN" w:bidi="ar-SA"/>
              </w:rPr>
            </w:pPr>
            <w:r>
              <w:t>11.3630</w:t>
            </w:r>
          </w:p>
        </w:tc>
        <w:tc>
          <w:tcPr>
            <w:tcW w:w="0" w:type="auto"/>
            <w:shd w:val="clear" w:color="auto" w:fill="auto"/>
            <w:vAlign w:val="top"/>
          </w:tcPr>
          <w:p w14:paraId="18AAF137">
            <w:pPr>
              <w:jc w:val="center"/>
              <w:rPr>
                <w:rFonts w:hint="eastAsia" w:ascii="Times New Roman" w:hAnsi="Times New Roman" w:eastAsia="宋体" w:cs="Times New Roman"/>
                <w:kern w:val="2"/>
                <w:sz w:val="21"/>
                <w:szCs w:val="24"/>
                <w:lang w:val="en-US" w:eastAsia="zh-CN" w:bidi="ar-SA"/>
              </w:rPr>
            </w:pPr>
            <w:r>
              <w:t>11.4391</w:t>
            </w:r>
          </w:p>
        </w:tc>
      </w:tr>
      <w:tr w14:paraId="733DA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7BF5D1A2">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43</w:t>
            </w:r>
          </w:p>
        </w:tc>
        <w:tc>
          <w:tcPr>
            <w:tcW w:w="0" w:type="auto"/>
            <w:shd w:val="clear" w:color="auto" w:fill="auto"/>
            <w:vAlign w:val="top"/>
          </w:tcPr>
          <w:p w14:paraId="29F15EF2">
            <w:pPr>
              <w:jc w:val="center"/>
              <w:rPr>
                <w:rFonts w:hint="eastAsia" w:ascii="Times New Roman" w:hAnsi="Times New Roman" w:eastAsia="宋体" w:cs="Times New Roman"/>
                <w:kern w:val="2"/>
                <w:sz w:val="21"/>
                <w:szCs w:val="24"/>
                <w:lang w:val="en-US" w:eastAsia="zh-CN" w:bidi="ar-SA"/>
              </w:rPr>
            </w:pPr>
            <w:r>
              <w:t>1.2427</w:t>
            </w:r>
          </w:p>
        </w:tc>
        <w:tc>
          <w:tcPr>
            <w:tcW w:w="0" w:type="auto"/>
            <w:shd w:val="clear" w:color="auto" w:fill="auto"/>
            <w:vAlign w:val="top"/>
          </w:tcPr>
          <w:p w14:paraId="70211710">
            <w:pPr>
              <w:jc w:val="center"/>
              <w:rPr>
                <w:rFonts w:hint="eastAsia" w:ascii="Times New Roman" w:hAnsi="Times New Roman" w:eastAsia="宋体" w:cs="Times New Roman"/>
                <w:kern w:val="2"/>
                <w:sz w:val="21"/>
                <w:szCs w:val="24"/>
                <w:lang w:val="en-US" w:eastAsia="zh-CN" w:bidi="ar-SA"/>
              </w:rPr>
            </w:pPr>
            <w:r>
              <w:t>11.0859</w:t>
            </w:r>
          </w:p>
        </w:tc>
        <w:tc>
          <w:tcPr>
            <w:tcW w:w="0" w:type="auto"/>
            <w:shd w:val="clear" w:color="auto" w:fill="auto"/>
            <w:vAlign w:val="top"/>
          </w:tcPr>
          <w:p w14:paraId="31622584">
            <w:pPr>
              <w:jc w:val="center"/>
              <w:rPr>
                <w:rFonts w:hint="eastAsia" w:ascii="Times New Roman" w:hAnsi="Times New Roman" w:eastAsia="宋体" w:cs="Times New Roman"/>
                <w:kern w:val="2"/>
                <w:sz w:val="21"/>
                <w:szCs w:val="24"/>
                <w:lang w:val="en-US" w:eastAsia="zh-CN" w:bidi="ar-SA"/>
              </w:rPr>
            </w:pPr>
            <w:r>
              <w:t>11.1553</w:t>
            </w:r>
          </w:p>
        </w:tc>
      </w:tr>
      <w:tr w14:paraId="375E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684488B7">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44</w:t>
            </w:r>
          </w:p>
        </w:tc>
        <w:tc>
          <w:tcPr>
            <w:tcW w:w="0" w:type="auto"/>
            <w:shd w:val="clear" w:color="auto" w:fill="auto"/>
            <w:vAlign w:val="top"/>
          </w:tcPr>
          <w:p w14:paraId="35819B60">
            <w:pPr>
              <w:jc w:val="center"/>
              <w:rPr>
                <w:rFonts w:hint="eastAsia" w:ascii="Times New Roman" w:hAnsi="Times New Roman" w:eastAsia="宋体" w:cs="Times New Roman"/>
                <w:kern w:val="2"/>
                <w:sz w:val="21"/>
                <w:szCs w:val="24"/>
                <w:lang w:val="en-US" w:eastAsia="zh-CN" w:bidi="ar-SA"/>
              </w:rPr>
            </w:pPr>
            <w:r>
              <w:t>1.1735</w:t>
            </w:r>
          </w:p>
        </w:tc>
        <w:tc>
          <w:tcPr>
            <w:tcW w:w="0" w:type="auto"/>
            <w:shd w:val="clear" w:color="auto" w:fill="auto"/>
            <w:vAlign w:val="top"/>
          </w:tcPr>
          <w:p w14:paraId="2CA33095">
            <w:pPr>
              <w:jc w:val="center"/>
              <w:rPr>
                <w:rFonts w:hint="eastAsia" w:ascii="Times New Roman" w:hAnsi="Times New Roman" w:eastAsia="宋体" w:cs="Times New Roman"/>
                <w:kern w:val="2"/>
                <w:sz w:val="21"/>
                <w:szCs w:val="24"/>
                <w:lang w:val="en-US" w:eastAsia="zh-CN" w:bidi="ar-SA"/>
              </w:rPr>
            </w:pPr>
            <w:r>
              <w:t>10.8222</w:t>
            </w:r>
          </w:p>
        </w:tc>
        <w:tc>
          <w:tcPr>
            <w:tcW w:w="0" w:type="auto"/>
            <w:shd w:val="clear" w:color="auto" w:fill="auto"/>
            <w:vAlign w:val="top"/>
          </w:tcPr>
          <w:p w14:paraId="105A28C0">
            <w:pPr>
              <w:jc w:val="center"/>
              <w:rPr>
                <w:rFonts w:hint="eastAsia" w:ascii="Times New Roman" w:hAnsi="Times New Roman" w:eastAsia="宋体" w:cs="Times New Roman"/>
                <w:kern w:val="2"/>
                <w:sz w:val="21"/>
                <w:szCs w:val="24"/>
                <w:lang w:val="en-US" w:eastAsia="zh-CN" w:bidi="ar-SA"/>
              </w:rPr>
            </w:pPr>
            <w:r>
              <w:t>10.8856</w:t>
            </w:r>
          </w:p>
        </w:tc>
      </w:tr>
      <w:tr w14:paraId="508E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38C0B2A7">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45</w:t>
            </w:r>
          </w:p>
        </w:tc>
        <w:tc>
          <w:tcPr>
            <w:tcW w:w="0" w:type="auto"/>
            <w:shd w:val="clear" w:color="auto" w:fill="auto"/>
            <w:vAlign w:val="top"/>
          </w:tcPr>
          <w:p w14:paraId="141805F7">
            <w:pPr>
              <w:jc w:val="center"/>
              <w:rPr>
                <w:rFonts w:hint="eastAsia" w:ascii="Times New Roman" w:hAnsi="Times New Roman" w:eastAsia="宋体" w:cs="Times New Roman"/>
                <w:kern w:val="2"/>
                <w:sz w:val="21"/>
                <w:szCs w:val="24"/>
                <w:lang w:val="en-US" w:eastAsia="zh-CN" w:bidi="ar-SA"/>
              </w:rPr>
            </w:pPr>
            <w:r>
              <w:t>1.1093</w:t>
            </w:r>
          </w:p>
        </w:tc>
        <w:tc>
          <w:tcPr>
            <w:tcW w:w="0" w:type="auto"/>
            <w:shd w:val="clear" w:color="auto" w:fill="auto"/>
            <w:vAlign w:val="top"/>
          </w:tcPr>
          <w:p w14:paraId="32860FD0">
            <w:pPr>
              <w:jc w:val="center"/>
              <w:rPr>
                <w:rFonts w:hint="eastAsia" w:ascii="Times New Roman" w:hAnsi="Times New Roman" w:eastAsia="宋体" w:cs="Times New Roman"/>
                <w:kern w:val="2"/>
                <w:sz w:val="21"/>
                <w:szCs w:val="24"/>
                <w:lang w:val="en-US" w:eastAsia="zh-CN" w:bidi="ar-SA"/>
              </w:rPr>
            </w:pPr>
            <w:r>
              <w:t>10.5709</w:t>
            </w:r>
          </w:p>
        </w:tc>
        <w:tc>
          <w:tcPr>
            <w:tcW w:w="0" w:type="auto"/>
            <w:shd w:val="clear" w:color="auto" w:fill="auto"/>
            <w:vAlign w:val="top"/>
          </w:tcPr>
          <w:p w14:paraId="357DFC1D">
            <w:pPr>
              <w:jc w:val="center"/>
              <w:rPr>
                <w:rFonts w:hint="eastAsia" w:ascii="Times New Roman" w:hAnsi="Times New Roman" w:eastAsia="宋体" w:cs="Times New Roman"/>
                <w:kern w:val="2"/>
                <w:sz w:val="21"/>
                <w:szCs w:val="24"/>
                <w:lang w:val="en-US" w:eastAsia="zh-CN" w:bidi="ar-SA"/>
              </w:rPr>
            </w:pPr>
            <w:r>
              <w:t>10.6290</w:t>
            </w:r>
          </w:p>
        </w:tc>
      </w:tr>
      <w:tr w14:paraId="0128F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2E367503">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46</w:t>
            </w:r>
          </w:p>
        </w:tc>
        <w:tc>
          <w:tcPr>
            <w:tcW w:w="0" w:type="auto"/>
            <w:shd w:val="clear" w:color="auto" w:fill="auto"/>
            <w:vAlign w:val="top"/>
          </w:tcPr>
          <w:p w14:paraId="3DCB833F">
            <w:pPr>
              <w:jc w:val="center"/>
              <w:rPr>
                <w:rFonts w:hint="eastAsia" w:ascii="Times New Roman" w:hAnsi="Times New Roman" w:eastAsia="宋体" w:cs="Times New Roman"/>
                <w:kern w:val="2"/>
                <w:sz w:val="21"/>
                <w:szCs w:val="24"/>
                <w:lang w:val="en-US" w:eastAsia="zh-CN" w:bidi="ar-SA"/>
              </w:rPr>
            </w:pPr>
            <w:r>
              <w:t>1.0498</w:t>
            </w:r>
          </w:p>
        </w:tc>
        <w:tc>
          <w:tcPr>
            <w:tcW w:w="0" w:type="auto"/>
            <w:shd w:val="clear" w:color="auto" w:fill="auto"/>
            <w:vAlign w:val="top"/>
          </w:tcPr>
          <w:p w14:paraId="4BFA9F27">
            <w:pPr>
              <w:jc w:val="center"/>
              <w:rPr>
                <w:rFonts w:hint="eastAsia" w:ascii="Times New Roman" w:hAnsi="Times New Roman" w:eastAsia="宋体" w:cs="Times New Roman"/>
                <w:kern w:val="2"/>
                <w:sz w:val="21"/>
                <w:szCs w:val="24"/>
                <w:lang w:val="en-US" w:eastAsia="zh-CN" w:bidi="ar-SA"/>
              </w:rPr>
            </w:pPr>
            <w:r>
              <w:t>10.3312</w:t>
            </w:r>
          </w:p>
        </w:tc>
        <w:tc>
          <w:tcPr>
            <w:tcW w:w="0" w:type="auto"/>
            <w:shd w:val="clear" w:color="auto" w:fill="auto"/>
            <w:vAlign w:val="top"/>
          </w:tcPr>
          <w:p w14:paraId="3BE72CB6">
            <w:pPr>
              <w:jc w:val="center"/>
              <w:rPr>
                <w:rFonts w:hint="eastAsia" w:ascii="Times New Roman" w:hAnsi="Times New Roman" w:eastAsia="宋体" w:cs="Times New Roman"/>
                <w:kern w:val="2"/>
                <w:sz w:val="21"/>
                <w:szCs w:val="24"/>
                <w:lang w:val="en-US" w:eastAsia="zh-CN" w:bidi="ar-SA"/>
              </w:rPr>
            </w:pPr>
            <w:r>
              <w:t>10.3844</w:t>
            </w:r>
          </w:p>
        </w:tc>
      </w:tr>
      <w:tr w14:paraId="65AB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06D53372">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47</w:t>
            </w:r>
          </w:p>
        </w:tc>
        <w:tc>
          <w:tcPr>
            <w:tcW w:w="0" w:type="auto"/>
            <w:shd w:val="clear" w:color="auto" w:fill="auto"/>
            <w:vAlign w:val="top"/>
          </w:tcPr>
          <w:p w14:paraId="03B8CC22">
            <w:pPr>
              <w:jc w:val="center"/>
              <w:rPr>
                <w:rFonts w:hint="eastAsia" w:ascii="Times New Roman" w:hAnsi="Times New Roman" w:eastAsia="宋体" w:cs="Times New Roman"/>
                <w:kern w:val="2"/>
                <w:sz w:val="21"/>
                <w:szCs w:val="24"/>
                <w:lang w:val="en-US" w:eastAsia="zh-CN" w:bidi="ar-SA"/>
              </w:rPr>
            </w:pPr>
            <w:r>
              <w:t>0.9945</w:t>
            </w:r>
          </w:p>
        </w:tc>
        <w:tc>
          <w:tcPr>
            <w:tcW w:w="0" w:type="auto"/>
            <w:shd w:val="clear" w:color="auto" w:fill="auto"/>
            <w:vAlign w:val="top"/>
          </w:tcPr>
          <w:p w14:paraId="0C8EE6E6">
            <w:pPr>
              <w:jc w:val="center"/>
              <w:rPr>
                <w:rFonts w:hint="eastAsia" w:ascii="Times New Roman" w:hAnsi="Times New Roman" w:eastAsia="宋体" w:cs="Times New Roman"/>
                <w:kern w:val="2"/>
                <w:sz w:val="21"/>
                <w:szCs w:val="24"/>
                <w:lang w:val="en-US" w:eastAsia="zh-CN" w:bidi="ar-SA"/>
              </w:rPr>
            </w:pPr>
            <w:r>
              <w:t>10.1022</w:t>
            </w:r>
          </w:p>
        </w:tc>
        <w:tc>
          <w:tcPr>
            <w:tcW w:w="0" w:type="auto"/>
            <w:shd w:val="clear" w:color="auto" w:fill="auto"/>
            <w:vAlign w:val="top"/>
          </w:tcPr>
          <w:p w14:paraId="2CC7F5AC">
            <w:pPr>
              <w:jc w:val="center"/>
              <w:rPr>
                <w:rFonts w:hint="eastAsia" w:ascii="Times New Roman" w:hAnsi="Times New Roman" w:eastAsia="宋体" w:cs="Times New Roman"/>
                <w:kern w:val="2"/>
                <w:sz w:val="21"/>
                <w:szCs w:val="24"/>
                <w:lang w:val="en-US" w:eastAsia="zh-CN" w:bidi="ar-SA"/>
              </w:rPr>
            </w:pPr>
            <w:r>
              <w:t>10.1510</w:t>
            </w:r>
          </w:p>
        </w:tc>
      </w:tr>
      <w:tr w14:paraId="78DA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0420A298">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48</w:t>
            </w:r>
          </w:p>
        </w:tc>
        <w:tc>
          <w:tcPr>
            <w:tcW w:w="0" w:type="auto"/>
            <w:shd w:val="clear" w:color="auto" w:fill="auto"/>
            <w:vAlign w:val="top"/>
          </w:tcPr>
          <w:p w14:paraId="43FB419A">
            <w:pPr>
              <w:jc w:val="center"/>
              <w:rPr>
                <w:rFonts w:hint="eastAsia" w:ascii="Times New Roman" w:hAnsi="Times New Roman" w:eastAsia="宋体" w:cs="Times New Roman"/>
                <w:kern w:val="2"/>
                <w:sz w:val="21"/>
                <w:szCs w:val="24"/>
                <w:lang w:val="en-US" w:eastAsia="zh-CN" w:bidi="ar-SA"/>
              </w:rPr>
            </w:pPr>
            <w:r>
              <w:t>0.9429</w:t>
            </w:r>
          </w:p>
        </w:tc>
        <w:tc>
          <w:tcPr>
            <w:tcW w:w="0" w:type="auto"/>
            <w:shd w:val="clear" w:color="auto" w:fill="auto"/>
            <w:vAlign w:val="top"/>
          </w:tcPr>
          <w:p w14:paraId="7FDB6588">
            <w:pPr>
              <w:jc w:val="center"/>
              <w:rPr>
                <w:rFonts w:hint="eastAsia" w:ascii="Times New Roman" w:hAnsi="Times New Roman" w:eastAsia="宋体" w:cs="Times New Roman"/>
                <w:kern w:val="2"/>
                <w:sz w:val="21"/>
                <w:szCs w:val="24"/>
                <w:lang w:val="en-US" w:eastAsia="zh-CN" w:bidi="ar-SA"/>
              </w:rPr>
            </w:pPr>
            <w:r>
              <w:t>9.8833</w:t>
            </w:r>
          </w:p>
        </w:tc>
        <w:tc>
          <w:tcPr>
            <w:tcW w:w="0" w:type="auto"/>
            <w:shd w:val="clear" w:color="auto" w:fill="auto"/>
            <w:vAlign w:val="top"/>
          </w:tcPr>
          <w:p w14:paraId="610FCFD9">
            <w:pPr>
              <w:jc w:val="center"/>
              <w:rPr>
                <w:rFonts w:hint="eastAsia" w:ascii="Times New Roman" w:hAnsi="Times New Roman" w:eastAsia="宋体" w:cs="Times New Roman"/>
                <w:kern w:val="2"/>
                <w:sz w:val="21"/>
                <w:szCs w:val="24"/>
                <w:lang w:val="en-US" w:eastAsia="zh-CN" w:bidi="ar-SA"/>
              </w:rPr>
            </w:pPr>
            <w:r>
              <w:t>9.9282</w:t>
            </w:r>
          </w:p>
        </w:tc>
      </w:tr>
      <w:tr w14:paraId="0ADA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5CC47F3C">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49</w:t>
            </w:r>
          </w:p>
        </w:tc>
        <w:tc>
          <w:tcPr>
            <w:tcW w:w="0" w:type="auto"/>
            <w:shd w:val="clear" w:color="auto" w:fill="auto"/>
            <w:vAlign w:val="top"/>
          </w:tcPr>
          <w:p w14:paraId="41E29976">
            <w:pPr>
              <w:jc w:val="center"/>
              <w:rPr>
                <w:rFonts w:hint="eastAsia" w:ascii="Times New Roman" w:hAnsi="Times New Roman" w:eastAsia="宋体" w:cs="Times New Roman"/>
                <w:kern w:val="2"/>
                <w:sz w:val="21"/>
                <w:szCs w:val="24"/>
                <w:lang w:val="en-US" w:eastAsia="zh-CN" w:bidi="ar-SA"/>
              </w:rPr>
            </w:pPr>
            <w:r>
              <w:t>0.8948</w:t>
            </w:r>
          </w:p>
        </w:tc>
        <w:tc>
          <w:tcPr>
            <w:tcW w:w="0" w:type="auto"/>
            <w:shd w:val="clear" w:color="auto" w:fill="auto"/>
            <w:vAlign w:val="top"/>
          </w:tcPr>
          <w:p w14:paraId="1C7C0E27">
            <w:pPr>
              <w:jc w:val="center"/>
              <w:rPr>
                <w:rFonts w:hint="eastAsia" w:ascii="Times New Roman" w:hAnsi="Times New Roman" w:eastAsia="宋体" w:cs="Times New Roman"/>
                <w:kern w:val="2"/>
                <w:sz w:val="21"/>
                <w:szCs w:val="24"/>
                <w:lang w:val="en-US" w:eastAsia="zh-CN" w:bidi="ar-SA"/>
              </w:rPr>
            </w:pPr>
            <w:r>
              <w:t>9.6738</w:t>
            </w:r>
          </w:p>
        </w:tc>
        <w:tc>
          <w:tcPr>
            <w:tcW w:w="0" w:type="auto"/>
            <w:shd w:val="clear" w:color="auto" w:fill="auto"/>
            <w:vAlign w:val="top"/>
          </w:tcPr>
          <w:p w14:paraId="38B2B05B">
            <w:pPr>
              <w:jc w:val="center"/>
              <w:rPr>
                <w:rFonts w:hint="eastAsia" w:ascii="Times New Roman" w:hAnsi="Times New Roman" w:eastAsia="宋体" w:cs="Times New Roman"/>
                <w:kern w:val="2"/>
                <w:sz w:val="21"/>
                <w:szCs w:val="24"/>
                <w:lang w:val="en-US" w:eastAsia="zh-CN" w:bidi="ar-SA"/>
              </w:rPr>
            </w:pPr>
            <w:r>
              <w:t>9.7151</w:t>
            </w:r>
          </w:p>
        </w:tc>
      </w:tr>
      <w:tr w14:paraId="596B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2331E4DC">
            <w:pPr>
              <w:keepNext w:val="0"/>
              <w:keepLines w:val="0"/>
              <w:widowControl/>
              <w:suppressLineNumbers w:val="0"/>
              <w:spacing w:line="240" w:lineRule="auto"/>
              <w:jc w:val="center"/>
              <w:textAlignment w:val="top"/>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50</w:t>
            </w:r>
          </w:p>
        </w:tc>
        <w:tc>
          <w:tcPr>
            <w:tcW w:w="0" w:type="auto"/>
            <w:shd w:val="clear" w:color="auto" w:fill="auto"/>
            <w:vAlign w:val="top"/>
          </w:tcPr>
          <w:p w14:paraId="298157B4">
            <w:pPr>
              <w:jc w:val="center"/>
              <w:rPr>
                <w:rFonts w:hint="eastAsia" w:ascii="Times New Roman" w:hAnsi="Times New Roman" w:eastAsia="宋体" w:cs="Times New Roman"/>
                <w:kern w:val="2"/>
                <w:sz w:val="21"/>
                <w:szCs w:val="24"/>
                <w:lang w:val="en-US" w:eastAsia="zh-CN" w:bidi="ar-SA"/>
              </w:rPr>
            </w:pPr>
            <w:r>
              <w:t>0.8498</w:t>
            </w:r>
          </w:p>
        </w:tc>
        <w:tc>
          <w:tcPr>
            <w:tcW w:w="0" w:type="auto"/>
            <w:shd w:val="clear" w:color="auto" w:fill="auto"/>
            <w:vAlign w:val="top"/>
          </w:tcPr>
          <w:p w14:paraId="068AC0BE">
            <w:pPr>
              <w:jc w:val="center"/>
              <w:rPr>
                <w:rFonts w:hint="eastAsia" w:ascii="Times New Roman" w:hAnsi="Times New Roman" w:eastAsia="宋体" w:cs="Times New Roman"/>
                <w:kern w:val="2"/>
                <w:sz w:val="21"/>
                <w:szCs w:val="24"/>
                <w:lang w:val="en-US" w:eastAsia="zh-CN" w:bidi="ar-SA"/>
              </w:rPr>
            </w:pPr>
            <w:r>
              <w:t>9.4731</w:t>
            </w:r>
          </w:p>
        </w:tc>
        <w:tc>
          <w:tcPr>
            <w:tcW w:w="0" w:type="auto"/>
            <w:shd w:val="clear" w:color="auto" w:fill="auto"/>
            <w:vAlign w:val="top"/>
          </w:tcPr>
          <w:p w14:paraId="02492245">
            <w:pPr>
              <w:jc w:val="center"/>
              <w:rPr>
                <w:rFonts w:hint="eastAsia" w:ascii="Times New Roman" w:hAnsi="Times New Roman" w:eastAsia="宋体" w:cs="Times New Roman"/>
                <w:kern w:val="2"/>
                <w:sz w:val="21"/>
                <w:szCs w:val="24"/>
                <w:lang w:val="en-US" w:eastAsia="zh-CN" w:bidi="ar-SA"/>
              </w:rPr>
            </w:pPr>
            <w:r>
              <w:t>9.5112</w:t>
            </w:r>
          </w:p>
        </w:tc>
      </w:tr>
    </w:tbl>
    <w:p w14:paraId="13C3EAB2">
      <w:pPr>
        <w:spacing w:line="360" w:lineRule="auto"/>
        <w:rPr>
          <w:rFonts w:hint="default"/>
          <w:sz w:val="24"/>
          <w:szCs w:val="24"/>
          <w:highlight w:val="yellow"/>
          <w:lang w:val="en-US" w:eastAsia="zh-CN"/>
        </w:rPr>
      </w:pPr>
      <w:r>
        <w:rPr>
          <w:sz w:val="21"/>
        </w:rPr>
        <mc:AlternateContent>
          <mc:Choice Requires="wpg">
            <w:drawing>
              <wp:anchor distT="0" distB="0" distL="114300" distR="114300" simplePos="0" relativeHeight="251692032" behindDoc="0" locked="0" layoutInCell="1" allowOverlap="1">
                <wp:simplePos x="0" y="0"/>
                <wp:positionH relativeFrom="column">
                  <wp:posOffset>3661410</wp:posOffset>
                </wp:positionH>
                <wp:positionV relativeFrom="paragraph">
                  <wp:posOffset>238760</wp:posOffset>
                </wp:positionV>
                <wp:extent cx="2390775" cy="737235"/>
                <wp:effectExtent l="0" t="0" r="0" b="0"/>
                <wp:wrapNone/>
                <wp:docPr id="44" name="组合 44"/>
                <wp:cNvGraphicFramePr/>
                <a:graphic xmlns:a="http://schemas.openxmlformats.org/drawingml/2006/main">
                  <a:graphicData uri="http://schemas.microsoft.com/office/word/2010/wordprocessingGroup">
                    <wpg:wgp>
                      <wpg:cNvGrpSpPr/>
                      <wpg:grpSpPr>
                        <a:xfrm rot="0">
                          <a:off x="4368165" y="3499485"/>
                          <a:ext cx="2390775" cy="737235"/>
                          <a:chOff x="13210" y="1988368"/>
                          <a:chExt cx="3765" cy="1161"/>
                        </a:xfrm>
                      </wpg:grpSpPr>
                      <wps:wsp>
                        <wps:cNvPr id="43" name="直接连接符 43"/>
                        <wps:cNvCnPr/>
                        <wps:spPr>
                          <a:xfrm>
                            <a:off x="13225" y="1988541"/>
                            <a:ext cx="600"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1" name="直接连接符 41"/>
                        <wps:cNvCnPr/>
                        <wps:spPr>
                          <a:xfrm>
                            <a:off x="13241" y="1988894"/>
                            <a:ext cx="600" cy="0"/>
                          </a:xfrm>
                          <a:prstGeom prst="line">
                            <a:avLst/>
                          </a:prstGeom>
                          <a:ln w="57150">
                            <a:gradFill>
                              <a:gsLst>
                                <a:gs pos="0">
                                  <a:srgbClr val="9EE256"/>
                                </a:gs>
                                <a:gs pos="100000">
                                  <a:srgbClr val="52762D"/>
                                </a:gs>
                              </a:gsLst>
                            </a:gradFill>
                          </a:ln>
                        </wps:spPr>
                        <wps:style>
                          <a:lnRef idx="1">
                            <a:schemeClr val="accent1"/>
                          </a:lnRef>
                          <a:fillRef idx="0">
                            <a:schemeClr val="accent1"/>
                          </a:fillRef>
                          <a:effectRef idx="0">
                            <a:schemeClr val="accent1"/>
                          </a:effectRef>
                          <a:fontRef idx="minor">
                            <a:schemeClr val="tx1"/>
                          </a:fontRef>
                        </wps:style>
                        <wps:bodyPr/>
                      </wps:wsp>
                      <wps:wsp>
                        <wps:cNvPr id="42" name="直接连接符 42"/>
                        <wps:cNvCnPr/>
                        <wps:spPr>
                          <a:xfrm>
                            <a:off x="13210" y="1989275"/>
                            <a:ext cx="600" cy="0"/>
                          </a:xfrm>
                          <a:prstGeom prst="line">
                            <a:avLst/>
                          </a:prstGeom>
                          <a:ln w="571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0" name="文本框 2"/>
                        <wps:cNvSpPr txBox="1"/>
                        <wps:spPr>
                          <a:xfrm>
                            <a:off x="13835" y="1988368"/>
                            <a:ext cx="3121" cy="433"/>
                          </a:xfrm>
                          <a:prstGeom prst="rect">
                            <a:avLst/>
                          </a:prstGeom>
                          <a:noFill/>
                          <a:ln w="6350">
                            <a:noFill/>
                          </a:ln>
                        </wps:spPr>
                        <wps:txbx>
                          <w:txbxContent>
                            <w:p w14:paraId="11BA71CC">
                              <w:r>
                                <w:rPr>
                                  <w:rFonts w:hint="eastAsia"/>
                                </w:rPr>
                                <w:t>1</w:t>
                              </w:r>
                              <w:r>
                                <w:t>.5m</w:t>
                              </w:r>
                              <w:r>
                                <w:rPr>
                                  <w:rFonts w:hint="eastAsia"/>
                                </w:rPr>
                                <w:t>高处磁场综合量（</w:t>
                              </w:r>
                              <w:r>
                                <w:rPr>
                                  <w:rFonts w:hint="default" w:ascii="Times New Roman" w:hAnsi="Times New Roman" w:cs="Times New Roman"/>
                                  <w:lang w:val="en-US" w:eastAsia="zh-CN"/>
                                </w:rPr>
                                <w:t>μT</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文本框 2"/>
                        <wps:cNvSpPr txBox="1"/>
                        <wps:spPr>
                          <a:xfrm>
                            <a:off x="13855" y="1988742"/>
                            <a:ext cx="3121" cy="433"/>
                          </a:xfrm>
                          <a:prstGeom prst="rect">
                            <a:avLst/>
                          </a:prstGeom>
                          <a:noFill/>
                          <a:ln w="6350">
                            <a:noFill/>
                          </a:ln>
                        </wps:spPr>
                        <wps:txbx>
                          <w:txbxContent>
                            <w:p w14:paraId="45A53AF0">
                              <w:r>
                                <w:rPr>
                                  <w:rFonts w:hint="eastAsia"/>
                                </w:rPr>
                                <w:t>1</w:t>
                              </w:r>
                              <w:r>
                                <w:t>.5m</w:t>
                              </w:r>
                              <w:r>
                                <w:rPr>
                                  <w:rFonts w:hint="eastAsia"/>
                                </w:rPr>
                                <w:t>高处磁场水平分量</w:t>
                              </w:r>
                              <w:r>
                                <w:rPr>
                                  <w:rFonts w:hint="eastAsia"/>
                                  <w:lang w:eastAsia="zh-CN"/>
                                </w:rPr>
                                <w:t>（</w:t>
                              </w:r>
                              <w:r>
                                <w:rPr>
                                  <w:rFonts w:hint="default" w:ascii="Times New Roman" w:hAnsi="Times New Roman" w:cs="Times New Roman"/>
                                  <w:lang w:val="en-US" w:eastAsia="zh-CN"/>
                                </w:rPr>
                                <w:t>μT</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文本框 2"/>
                        <wps:cNvSpPr txBox="1"/>
                        <wps:spPr>
                          <a:xfrm>
                            <a:off x="13830" y="1989097"/>
                            <a:ext cx="3121" cy="433"/>
                          </a:xfrm>
                          <a:prstGeom prst="rect">
                            <a:avLst/>
                          </a:prstGeom>
                          <a:noFill/>
                          <a:ln w="6350">
                            <a:noFill/>
                          </a:ln>
                        </wps:spPr>
                        <wps:txbx>
                          <w:txbxContent>
                            <w:p w14:paraId="5C8A37C2">
                              <w:r>
                                <w:rPr>
                                  <w:rFonts w:hint="eastAsia"/>
                                </w:rPr>
                                <w:t>1</w:t>
                              </w:r>
                              <w:r>
                                <w:t>.5m</w:t>
                              </w:r>
                              <w:r>
                                <w:rPr>
                                  <w:rFonts w:hint="eastAsia"/>
                                </w:rPr>
                                <w:t>高处磁场垂直分量（</w:t>
                              </w:r>
                              <w:r>
                                <w:rPr>
                                  <w:rFonts w:hint="default" w:ascii="Times New Roman" w:hAnsi="Times New Roman" w:cs="Times New Roman"/>
                                  <w:lang w:val="en-US" w:eastAsia="zh-CN"/>
                                </w:rPr>
                                <w:t>μT</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88.3pt;margin-top:18.8pt;height:58.05pt;width:188.25pt;z-index:251692032;mso-width-relative:page;mso-height-relative:page;" coordorigin="13210,1988368" coordsize="3765,1161" o:gfxdata="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">
                <o:lock v:ext="edit" aspectratio="f"/>
                <v:line id="_x0000_s1026" o:spid="_x0000_s1026" o:spt="20" style="position:absolute;left:13225;top:1988541;height:0;width:600;" filled="f" stroked="t" coordsize="21600,21600" o:gfxdata="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6oqQL4A&#10;AADbAAAADwAAAAAAAAABACAAAAAiAAAAZHJzL2Rvd25yZXYueG1sUEsBAhQAFAAAAAgAh07iQDMv&#10;BZ47AAAAOQAAABAAAAAAAAAAAQAgAAAADQEAAGRycy9zaGFwZXhtbC54bWxQSwUGAAAAAAYABgBb&#10;AQAAtwMAAAAA&#10;">
                  <v:fill on="f" focussize="0,0"/>
                  <v:stroke weight="4.5pt" color="#FF0000 [3204]" miterlimit="8" joinstyle="miter"/>
                  <v:imagedata o:title=""/>
                  <o:lock v:ext="edit" aspectratio="f"/>
                </v:line>
                <v:line id="_x0000_s1026" o:spid="_x0000_s1026" o:spt="20" style="position:absolute;left:13241;top:1988894;height:0;width:600;" filled="f" stroked="t" coordsize="21600,21600" o:gfxdata="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VThNvQAA&#10;ANsAAAAPAAAAAAAAAAEAIAAAACIAAABkcnMvZG93bnJldi54bWxQSwECFAAUAAAACACHTuJAMy8F&#10;njsAAAA5AAAAEAAAAAAAAAABACAAAAAMAQAAZHJzL3NoYXBleG1sLnhtbFBLBQYAAAAABgAGAFsB&#10;AAC2AwAAAAA=&#10;">
                  <v:fill on="f" focussize="0,0"/>
                  <v:stroke weight="4.5pt" color="#000000" miterlimit="8" joinstyle="miter"/>
                  <v:imagedata o:title=""/>
                  <o:lock v:ext="edit" aspectratio="f"/>
                </v:line>
                <v:line id="_x0000_s1026" o:spid="_x0000_s1026" o:spt="20" style="position:absolute;left:13210;top:1989275;height:0;width:600;" filled="f" stroked="t" coordsize="21600,21600" o:gfxdata="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xyO8AAAA&#10;2wAAAA8AAAAAAAAAAQAgAAAAIgAAAGRycy9kb3ducmV2LnhtbFBLAQIUABQAAAAIAIdO4kAzLwWe&#10;OwAAADkAAAAQAAAAAAAAAAEAIAAAAAsBAABkcnMvc2hhcGV4bWwueG1sUEsFBgAAAAAGAAYAWwEA&#10;ALUDAAAAAA==&#10;">
                  <v:fill on="f" focussize="0,0"/>
                  <v:stroke weight="4.5pt" color="#0070C0 [3204]" miterlimit="8" joinstyle="miter"/>
                  <v:imagedata o:title=""/>
                  <o:lock v:ext="edit" aspectratio="f"/>
                </v:line>
                <v:shape id="文本框 2" o:spid="_x0000_s1026" o:spt="202" type="#_x0000_t202" style="position:absolute;left:13835;top:1988368;height:433;width:3121;" filled="f" stroked="f" coordsize="21600,21600" o:gfxdata="UEsDBAoAAAAAAIdO4kAAAAAAAAAAAAAAAAAEAAAAZHJzL1BLAwQUAAAACACHTuJA2JdmnbsAAADb&#10;AAAADwAAAGRycy9kb3ducmV2LnhtbEVPy4rCMBTdC/MP4Qqz09Qy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dmnb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11BA71CC">
                        <w:r>
                          <w:rPr>
                            <w:rFonts w:hint="eastAsia"/>
                          </w:rPr>
                          <w:t>1</w:t>
                        </w:r>
                        <w:r>
                          <w:t>.5m</w:t>
                        </w:r>
                        <w:r>
                          <w:rPr>
                            <w:rFonts w:hint="eastAsia"/>
                          </w:rPr>
                          <w:t>高处磁场综合量（</w:t>
                        </w:r>
                        <w:r>
                          <w:rPr>
                            <w:rFonts w:hint="default" w:ascii="Times New Roman" w:hAnsi="Times New Roman" w:cs="Times New Roman"/>
                            <w:lang w:val="en-US" w:eastAsia="zh-CN"/>
                          </w:rPr>
                          <w:t>μT</w:t>
                        </w:r>
                        <w:r>
                          <w:rPr>
                            <w:rFonts w:hint="eastAsia"/>
                          </w:rPr>
                          <w:t>）</w:t>
                        </w:r>
                      </w:p>
                    </w:txbxContent>
                  </v:textbox>
                </v:shape>
                <v:shape id="文本框 2" o:spid="_x0000_s1026" o:spt="202" type="#_x0000_t202" style="position:absolute;left:13855;top:1988742;height:433;width:3121;"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5A53AF0">
                        <w:r>
                          <w:rPr>
                            <w:rFonts w:hint="eastAsia"/>
                          </w:rPr>
                          <w:t>1</w:t>
                        </w:r>
                        <w:r>
                          <w:t>.5m</w:t>
                        </w:r>
                        <w:r>
                          <w:rPr>
                            <w:rFonts w:hint="eastAsia"/>
                          </w:rPr>
                          <w:t>高处磁场水平分量</w:t>
                        </w:r>
                        <w:r>
                          <w:rPr>
                            <w:rFonts w:hint="eastAsia"/>
                            <w:lang w:eastAsia="zh-CN"/>
                          </w:rPr>
                          <w:t>（</w:t>
                        </w:r>
                        <w:r>
                          <w:rPr>
                            <w:rFonts w:hint="default" w:ascii="Times New Roman" w:hAnsi="Times New Roman" w:cs="Times New Roman"/>
                            <w:lang w:val="en-US" w:eastAsia="zh-CN"/>
                          </w:rPr>
                          <w:t>μT</w:t>
                        </w:r>
                        <w:r>
                          <w:rPr>
                            <w:rFonts w:hint="eastAsia"/>
                          </w:rPr>
                          <w:t>）</w:t>
                        </w:r>
                      </w:p>
                    </w:txbxContent>
                  </v:textbox>
                </v:shape>
                <v:shape id="文本框 2" o:spid="_x0000_s1026" o:spt="202" type="#_x0000_t202" style="position:absolute;left:13830;top:1989097;height:433;width:3121;" filled="f" stroked="f" coordsize="21600,21600" o:gfxdata="UEsDBAoAAAAAAIdO4kAAAAAAAAAAAAAAAAAEAAAAZHJzL1BLAwQUAAAACACHTuJAfucZ5rsAAADb&#10;AAAADwAAAGRycy9kb3ducmV2LnhtbEVPy4rCMBTdC/MP4Qqz09QO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cZ5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5C8A37C2">
                        <w:r>
                          <w:rPr>
                            <w:rFonts w:hint="eastAsia"/>
                          </w:rPr>
                          <w:t>1</w:t>
                        </w:r>
                        <w:r>
                          <w:t>.5m</w:t>
                        </w:r>
                        <w:r>
                          <w:rPr>
                            <w:rFonts w:hint="eastAsia"/>
                          </w:rPr>
                          <w:t>高处磁场垂直分量（</w:t>
                        </w:r>
                        <w:r>
                          <w:rPr>
                            <w:rFonts w:hint="default" w:ascii="Times New Roman" w:hAnsi="Times New Roman" w:cs="Times New Roman"/>
                            <w:lang w:val="en-US" w:eastAsia="zh-CN"/>
                          </w:rPr>
                          <w:t>μT</w:t>
                        </w:r>
                        <w:r>
                          <w:rPr>
                            <w:rFonts w:hint="eastAsia"/>
                          </w:rPr>
                          <w:t>）</w:t>
                        </w:r>
                      </w:p>
                    </w:txbxContent>
                  </v:textbox>
                </v:shape>
              </v:group>
            </w:pict>
          </mc:Fallback>
        </mc:AlternateContent>
      </w:r>
      <w:r>
        <w:drawing>
          <wp:inline distT="0" distB="0" distL="114300" distR="114300">
            <wp:extent cx="5271770" cy="4086860"/>
            <wp:effectExtent l="0" t="0" r="5080" b="889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7"/>
                    <a:stretch>
                      <a:fillRect/>
                    </a:stretch>
                  </pic:blipFill>
                  <pic:spPr>
                    <a:xfrm>
                      <a:off x="0" y="0"/>
                      <a:ext cx="5271770" cy="4086860"/>
                    </a:xfrm>
                    <a:prstGeom prst="rect">
                      <a:avLst/>
                    </a:prstGeom>
                    <a:noFill/>
                    <a:ln>
                      <a:noFill/>
                    </a:ln>
                  </pic:spPr>
                </pic:pic>
              </a:graphicData>
            </a:graphic>
          </wp:inline>
        </w:drawing>
      </w:r>
    </w:p>
    <w:p w14:paraId="65B8A094">
      <w:pPr>
        <w:keepNext w:val="0"/>
        <w:keepLines w:val="0"/>
        <w:widowControl/>
        <w:suppressLineNumbers w:val="0"/>
        <w:spacing w:line="360" w:lineRule="auto"/>
        <w:jc w:val="center"/>
        <w:rPr>
          <w:sz w:val="24"/>
          <w:szCs w:val="24"/>
          <w:highlight w:val="none"/>
        </w:rPr>
      </w:pPr>
      <w:r>
        <w:rPr>
          <w:rFonts w:hint="eastAsia" w:ascii="宋体" w:hAnsi="宋体" w:eastAsia="宋体" w:cs="宋体"/>
          <w:b/>
          <w:bCs/>
          <w:color w:val="000000"/>
          <w:kern w:val="0"/>
          <w:sz w:val="24"/>
          <w:szCs w:val="24"/>
          <w:highlight w:val="none"/>
          <w:lang w:val="en-US" w:eastAsia="zh-CN" w:bidi="ar"/>
        </w:rPr>
        <w:t>图</w:t>
      </w:r>
      <w:r>
        <w:rPr>
          <w:rFonts w:hint="eastAsia" w:ascii="宋体" w:hAnsi="宋体" w:cs="宋体"/>
          <w:b/>
          <w:bCs/>
          <w:color w:val="000000"/>
          <w:kern w:val="0"/>
          <w:sz w:val="24"/>
          <w:szCs w:val="24"/>
          <w:highlight w:val="none"/>
          <w:lang w:val="en-US" w:eastAsia="zh-CN" w:bidi="ar"/>
        </w:rPr>
        <w:t>5-3本工程</w:t>
      </w:r>
      <w:r>
        <w:rPr>
          <w:rFonts w:hint="eastAsia" w:ascii="宋体" w:hAnsi="宋体" w:eastAsia="宋体" w:cs="宋体"/>
          <w:b/>
          <w:bCs/>
          <w:color w:val="000000"/>
          <w:kern w:val="0"/>
          <w:sz w:val="24"/>
          <w:szCs w:val="24"/>
          <w:highlight w:val="none"/>
          <w:lang w:val="en-US" w:eastAsia="zh-CN" w:bidi="ar"/>
        </w:rPr>
        <w:t>线路磁感应强度分布图</w:t>
      </w:r>
    </w:p>
    <w:p w14:paraId="31398A88">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由表</w:t>
      </w:r>
      <w:r>
        <w:rPr>
          <w:rFonts w:hint="eastAsia" w:cs="Times New Roman"/>
          <w:color w:val="auto"/>
          <w:kern w:val="0"/>
          <w:sz w:val="24"/>
          <w:szCs w:val="24"/>
          <w:highlight w:val="none"/>
          <w:lang w:val="en-US" w:eastAsia="zh-CN" w:bidi="ar"/>
        </w:rPr>
        <w:t>5-3</w:t>
      </w:r>
      <w:r>
        <w:rPr>
          <w:rFonts w:hint="eastAsia" w:ascii="Times New Roman" w:hAnsi="Times New Roman" w:eastAsia="宋体" w:cs="Times New Roman"/>
          <w:color w:val="auto"/>
          <w:kern w:val="0"/>
          <w:sz w:val="24"/>
          <w:szCs w:val="24"/>
          <w:highlight w:val="none"/>
          <w:lang w:val="en-US" w:eastAsia="zh-CN" w:bidi="ar"/>
        </w:rPr>
        <w:t>和图</w:t>
      </w:r>
      <w:r>
        <w:rPr>
          <w:rFonts w:hint="eastAsia" w:cs="Times New Roman"/>
          <w:color w:val="auto"/>
          <w:kern w:val="0"/>
          <w:sz w:val="24"/>
          <w:szCs w:val="24"/>
          <w:highlight w:val="none"/>
          <w:lang w:val="en-US" w:eastAsia="zh-CN" w:bidi="ar"/>
        </w:rPr>
        <w:t>5-3</w:t>
      </w:r>
      <w:r>
        <w:rPr>
          <w:rFonts w:hint="eastAsia" w:ascii="Times New Roman" w:hAnsi="Times New Roman" w:eastAsia="宋体" w:cs="Times New Roman"/>
          <w:color w:val="auto"/>
          <w:kern w:val="0"/>
          <w:sz w:val="24"/>
          <w:szCs w:val="24"/>
          <w:highlight w:val="none"/>
          <w:lang w:val="en-US" w:eastAsia="zh-CN" w:bidi="ar"/>
        </w:rPr>
        <w:t>可以看出，本工程线路中，工频磁感应强度综合量最大值出现在距线路中心线</w:t>
      </w:r>
      <w:r>
        <w:rPr>
          <w:rFonts w:hint="eastAsia" w:ascii="微软雅黑" w:hAnsi="微软雅黑" w:eastAsia="微软雅黑" w:cs="微软雅黑"/>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10m</w:t>
      </w:r>
      <w:r>
        <w:rPr>
          <w:rFonts w:hint="eastAsia" w:ascii="Times New Roman" w:hAnsi="Times New Roman" w:eastAsia="宋体" w:cs="Times New Roman"/>
          <w:color w:val="auto"/>
          <w:kern w:val="0"/>
          <w:sz w:val="24"/>
          <w:szCs w:val="24"/>
          <w:highlight w:val="none"/>
          <w:lang w:val="en-US" w:eastAsia="zh-CN" w:bidi="ar"/>
        </w:rPr>
        <w:t>处，为</w:t>
      </w:r>
      <w:r>
        <w:rPr>
          <w:rFonts w:hint="eastAsia" w:cs="Times New Roman"/>
          <w:color w:val="auto"/>
          <w:kern w:val="0"/>
          <w:sz w:val="24"/>
          <w:szCs w:val="24"/>
          <w:highlight w:val="none"/>
          <w:lang w:val="en-US" w:eastAsia="zh-CN" w:bidi="ar"/>
        </w:rPr>
        <w:t>51.7405</w:t>
      </w:r>
      <w:r>
        <w:rPr>
          <w:rFonts w:hint="default" w:ascii="Times New Roman" w:hAnsi="Times New Roman" w:eastAsia="宋体" w:cs="Times New Roman"/>
          <w:color w:val="auto"/>
          <w:kern w:val="0"/>
          <w:sz w:val="24"/>
          <w:szCs w:val="24"/>
          <w:highlight w:val="none"/>
          <w:lang w:val="en-US" w:eastAsia="zh-CN" w:bidi="ar"/>
        </w:rPr>
        <w:t>μT</w:t>
      </w:r>
      <w:r>
        <w:rPr>
          <w:rFonts w:hint="eastAsia" w:ascii="Times New Roman" w:hAnsi="Times New Roman" w:eastAsia="宋体" w:cs="Times New Roman"/>
          <w:color w:val="auto"/>
          <w:kern w:val="0"/>
          <w:sz w:val="24"/>
          <w:szCs w:val="24"/>
          <w:highlight w:val="none"/>
          <w:lang w:val="en-US" w:eastAsia="zh-CN" w:bidi="ar"/>
        </w:rPr>
        <w:t>，之后随与此点距离的增加，其值逐步降低，在距线路中心线投影的距离</w:t>
      </w:r>
      <w:r>
        <w:rPr>
          <w:rFonts w:hint="default" w:ascii="Times New Roman" w:hAnsi="Times New Roman" w:eastAsia="宋体" w:cs="Times New Roman"/>
          <w:color w:val="auto"/>
          <w:kern w:val="0"/>
          <w:sz w:val="24"/>
          <w:szCs w:val="24"/>
          <w:highlight w:val="none"/>
          <w:lang w:val="en-US" w:eastAsia="zh-CN" w:bidi="ar"/>
        </w:rPr>
        <w:t>50m</w:t>
      </w:r>
      <w:r>
        <w:rPr>
          <w:rFonts w:hint="eastAsia" w:ascii="Times New Roman" w:hAnsi="Times New Roman" w:eastAsia="宋体" w:cs="Times New Roman"/>
          <w:color w:val="auto"/>
          <w:kern w:val="0"/>
          <w:sz w:val="24"/>
          <w:szCs w:val="24"/>
          <w:highlight w:val="none"/>
          <w:lang w:val="en-US" w:eastAsia="zh-CN" w:bidi="ar"/>
        </w:rPr>
        <w:t>范围内所有点位的工频磁感应强度均符合</w:t>
      </w:r>
      <w:r>
        <w:rPr>
          <w:rFonts w:hint="default" w:ascii="Times New Roman" w:hAnsi="Times New Roman" w:eastAsia="宋体" w:cs="Times New Roman"/>
          <w:color w:val="auto"/>
          <w:kern w:val="0"/>
          <w:sz w:val="24"/>
          <w:szCs w:val="24"/>
          <w:highlight w:val="none"/>
          <w:lang w:val="en-US" w:eastAsia="zh-CN" w:bidi="ar"/>
        </w:rPr>
        <w:t>100μT</w:t>
      </w:r>
      <w:r>
        <w:rPr>
          <w:rFonts w:hint="eastAsia" w:ascii="Times New Roman" w:hAnsi="Times New Roman" w:eastAsia="宋体" w:cs="Times New Roman"/>
          <w:color w:val="auto"/>
          <w:kern w:val="0"/>
          <w:sz w:val="24"/>
          <w:szCs w:val="24"/>
          <w:highlight w:val="none"/>
          <w:lang w:val="en-US" w:eastAsia="zh-CN" w:bidi="ar"/>
        </w:rPr>
        <w:t>的评价标准。</w:t>
      </w:r>
    </w:p>
    <w:p w14:paraId="23852239">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left"/>
        <w:textAlignment w:val="auto"/>
        <w:outlineLvl w:val="1"/>
        <w:rPr>
          <w:rFonts w:hint="eastAsia" w:ascii="Times New Roman" w:hAnsi="Times New Roman" w:eastAsia="宋体" w:cs="Times New Roman"/>
          <w:color w:val="auto"/>
          <w:kern w:val="0"/>
          <w:sz w:val="24"/>
          <w:szCs w:val="24"/>
          <w:highlight w:val="none"/>
          <w:lang w:val="en-US" w:eastAsia="zh-CN" w:bidi="ar"/>
        </w:rPr>
      </w:pPr>
      <w:bookmarkStart w:id="100" w:name="_Toc10558"/>
      <w:r>
        <w:rPr>
          <w:rFonts w:hint="eastAsia" w:ascii="Times New Roman" w:hAnsi="Times New Roman" w:eastAsia="宋体" w:cs="Times New Roman"/>
          <w:color w:val="auto"/>
          <w:kern w:val="0"/>
          <w:sz w:val="24"/>
          <w:szCs w:val="24"/>
          <w:highlight w:val="none"/>
          <w:lang w:val="en-US" w:eastAsia="zh-CN" w:bidi="ar"/>
        </w:rPr>
        <w:t>综上，本工程送出线路</w:t>
      </w:r>
      <w:r>
        <w:rPr>
          <w:rFonts w:hint="default" w:ascii="Times New Roman" w:hAnsi="Times New Roman" w:eastAsia="宋体" w:cs="Times New Roman"/>
          <w:color w:val="auto"/>
          <w:kern w:val="0"/>
          <w:sz w:val="24"/>
          <w:szCs w:val="24"/>
          <w:highlight w:val="none"/>
          <w:lang w:val="en-US" w:eastAsia="zh-CN" w:bidi="ar"/>
        </w:rPr>
        <w:t>投入运行后</w:t>
      </w:r>
      <w:r>
        <w:rPr>
          <w:rFonts w:hint="eastAsia" w:ascii="Times New Roman" w:hAnsi="Times New Roman" w:eastAsia="宋体" w:cs="Times New Roman"/>
          <w:color w:val="auto"/>
          <w:kern w:val="0"/>
          <w:sz w:val="24"/>
          <w:szCs w:val="24"/>
          <w:highlight w:val="none"/>
          <w:lang w:val="en-US" w:eastAsia="zh-CN" w:bidi="ar"/>
        </w:rPr>
        <w:t>，工频磁感应强度在距线路中心线投影的距离</w:t>
      </w:r>
      <w:r>
        <w:rPr>
          <w:rFonts w:hint="default" w:ascii="Times New Roman" w:hAnsi="Times New Roman" w:eastAsia="宋体" w:cs="Times New Roman"/>
          <w:color w:val="auto"/>
          <w:kern w:val="0"/>
          <w:sz w:val="24"/>
          <w:szCs w:val="24"/>
          <w:highlight w:val="none"/>
          <w:lang w:val="en-US" w:eastAsia="zh-CN" w:bidi="ar"/>
        </w:rPr>
        <w:t>50m</w:t>
      </w:r>
      <w:r>
        <w:rPr>
          <w:rFonts w:hint="eastAsia" w:ascii="Times New Roman" w:hAnsi="Times New Roman" w:eastAsia="宋体" w:cs="Times New Roman"/>
          <w:color w:val="auto"/>
          <w:kern w:val="0"/>
          <w:sz w:val="24"/>
          <w:szCs w:val="24"/>
          <w:highlight w:val="none"/>
          <w:lang w:val="en-US" w:eastAsia="zh-CN" w:bidi="ar"/>
        </w:rPr>
        <w:t>范围内所有点位的工频磁感应强度均符合</w:t>
      </w:r>
      <w:r>
        <w:rPr>
          <w:rFonts w:hint="default" w:ascii="Times New Roman" w:hAnsi="Times New Roman" w:eastAsia="宋体" w:cs="Times New Roman"/>
          <w:color w:val="auto"/>
          <w:kern w:val="0"/>
          <w:sz w:val="24"/>
          <w:szCs w:val="24"/>
          <w:highlight w:val="none"/>
          <w:lang w:val="en-US" w:eastAsia="zh-CN" w:bidi="ar"/>
        </w:rPr>
        <w:t>100μT</w:t>
      </w:r>
      <w:r>
        <w:rPr>
          <w:rFonts w:hint="eastAsia" w:ascii="Times New Roman" w:hAnsi="Times New Roman" w:eastAsia="宋体" w:cs="Times New Roman"/>
          <w:color w:val="auto"/>
          <w:kern w:val="0"/>
          <w:sz w:val="24"/>
          <w:szCs w:val="24"/>
          <w:highlight w:val="none"/>
          <w:lang w:val="en-US" w:eastAsia="zh-CN" w:bidi="ar"/>
        </w:rPr>
        <w:t>的</w:t>
      </w:r>
      <w:r>
        <w:rPr>
          <w:rFonts w:hint="eastAsia" w:cs="Times New Roman"/>
          <w:color w:val="auto"/>
          <w:kern w:val="0"/>
          <w:sz w:val="24"/>
          <w:szCs w:val="24"/>
          <w:highlight w:val="none"/>
          <w:lang w:val="en-US" w:eastAsia="zh-CN" w:bidi="ar-SA"/>
        </w:rPr>
        <w:t>公众曝露控制限值</w:t>
      </w:r>
      <w:r>
        <w:rPr>
          <w:rFonts w:hint="eastAsia" w:ascii="Times New Roman" w:hAnsi="Times New Roman" w:eastAsia="宋体" w:cs="Times New Roman"/>
          <w:color w:val="auto"/>
          <w:kern w:val="0"/>
          <w:sz w:val="24"/>
          <w:szCs w:val="24"/>
          <w:highlight w:val="none"/>
          <w:lang w:val="en-US" w:eastAsia="zh-CN" w:bidi="ar"/>
        </w:rPr>
        <w:t>。</w:t>
      </w:r>
      <w:bookmarkEnd w:id="100"/>
      <w:bookmarkStart w:id="101" w:name="_Toc2636"/>
    </w:p>
    <w:bookmarkEnd w:id="101"/>
    <w:p w14:paraId="4BDB2FD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2" w:firstLineChars="200"/>
        <w:jc w:val="left"/>
        <w:textAlignment w:val="auto"/>
        <w:rPr>
          <w:rFonts w:hint="default" w:ascii="Times New Roman" w:hAnsi="Times New Roman"/>
          <w:b/>
          <w:bCs/>
          <w:color w:val="auto"/>
          <w:sz w:val="24"/>
          <w:szCs w:val="24"/>
          <w:highlight w:val="none"/>
          <w:lang w:val="en-US" w:eastAsia="zh-CN"/>
        </w:rPr>
      </w:pPr>
      <w:bookmarkStart w:id="102" w:name="_Toc26694_WPSOffice_Level1"/>
      <w:bookmarkStart w:id="103" w:name="_Toc2104"/>
      <w:r>
        <w:rPr>
          <w:rFonts w:hint="eastAsia"/>
          <w:b/>
          <w:bCs/>
          <w:color w:val="auto"/>
          <w:sz w:val="24"/>
          <w:szCs w:val="24"/>
          <w:highlight w:val="none"/>
          <w:lang w:val="en-US" w:eastAsia="zh-CN"/>
        </w:rPr>
        <w:t>5.3</w:t>
      </w:r>
      <w:r>
        <w:rPr>
          <w:rFonts w:hint="default" w:ascii="Times New Roman" w:hAnsi="Times New Roman"/>
          <w:b/>
          <w:bCs/>
          <w:color w:val="auto"/>
          <w:sz w:val="24"/>
          <w:szCs w:val="24"/>
          <w:highlight w:val="none"/>
          <w:lang w:val="en-US" w:eastAsia="zh-CN"/>
        </w:rPr>
        <w:t>电磁环境影响评价</w:t>
      </w:r>
      <w:bookmarkEnd w:id="102"/>
      <w:bookmarkEnd w:id="103"/>
    </w:p>
    <w:p w14:paraId="0B524D0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SA"/>
        </w:rPr>
        <w:t>本工程架</w:t>
      </w:r>
      <w:r>
        <w:rPr>
          <w:rFonts w:hint="eastAsia" w:ascii="Times New Roman" w:hAnsi="Times New Roman" w:eastAsia="宋体" w:cs="Times New Roman"/>
          <w:color w:val="auto"/>
          <w:kern w:val="0"/>
          <w:sz w:val="24"/>
          <w:szCs w:val="24"/>
          <w:highlight w:val="none"/>
          <w:lang w:val="en-US" w:eastAsia="zh-CN" w:bidi="ar"/>
        </w:rPr>
        <w:t>空输电线路电磁环境影响预测采用模式预测的方式进行</w:t>
      </w:r>
      <w:r>
        <w:rPr>
          <w:rFonts w:hint="eastAsia" w:cs="Times New Roman"/>
          <w:color w:val="auto"/>
          <w:kern w:val="0"/>
          <w:sz w:val="24"/>
          <w:szCs w:val="24"/>
          <w:highlight w:val="none"/>
          <w:lang w:val="en-US" w:eastAsia="zh-CN" w:bidi="ar"/>
        </w:rPr>
        <w:t>预测，根据预测结果</w:t>
      </w:r>
      <w:r>
        <w:rPr>
          <w:rFonts w:hint="default" w:ascii="Times New Roman" w:hAnsi="Times New Roman" w:cs="Times New Roman"/>
          <w:color w:val="auto"/>
          <w:kern w:val="0"/>
          <w:sz w:val="24"/>
          <w:szCs w:val="24"/>
          <w:highlight w:val="none"/>
          <w:lang w:val="en-US" w:eastAsia="zh-CN" w:bidi="ar-SA"/>
        </w:rPr>
        <w:t>当</w:t>
      </w:r>
      <w:r>
        <w:rPr>
          <w:rFonts w:hint="eastAsia" w:ascii="宋体" w:hAnsi="宋体" w:cs="宋体"/>
          <w:color w:val="auto"/>
          <w:sz w:val="24"/>
          <w:szCs w:val="24"/>
          <w:highlight w:val="none"/>
          <w:lang w:val="en-US" w:eastAsia="zh-CN"/>
        </w:rPr>
        <w:t>本工程</w:t>
      </w:r>
      <w:r>
        <w:rPr>
          <w:rFonts w:hint="default" w:ascii="Times New Roman" w:hAnsi="Times New Roman" w:cs="Times New Roman"/>
          <w:color w:val="auto"/>
          <w:kern w:val="0"/>
          <w:sz w:val="24"/>
          <w:szCs w:val="24"/>
          <w:highlight w:val="none"/>
          <w:lang w:val="en-US" w:eastAsia="zh-CN" w:bidi="ar-SA"/>
        </w:rPr>
        <w:t>投入运行后</w:t>
      </w:r>
      <w:r>
        <w:rPr>
          <w:rFonts w:hint="eastAsia" w:cs="Times New Roman"/>
          <w:color w:val="auto"/>
          <w:kern w:val="0"/>
          <w:sz w:val="24"/>
          <w:szCs w:val="24"/>
          <w:highlight w:val="none"/>
          <w:lang w:val="en-US" w:eastAsia="zh-CN" w:bidi="ar-SA"/>
        </w:rPr>
        <w:t>，架</w:t>
      </w:r>
      <w:r>
        <w:rPr>
          <w:rFonts w:hint="eastAsia" w:ascii="Times New Roman" w:hAnsi="Times New Roman" w:eastAsia="宋体" w:cs="Times New Roman"/>
          <w:color w:val="auto"/>
          <w:kern w:val="0"/>
          <w:sz w:val="24"/>
          <w:szCs w:val="24"/>
          <w:highlight w:val="none"/>
          <w:lang w:val="en-US" w:eastAsia="zh-CN" w:bidi="ar"/>
        </w:rPr>
        <w:t>空输电线路</w:t>
      </w:r>
      <w:r>
        <w:rPr>
          <w:rFonts w:hint="default" w:ascii="Times New Roman" w:hAnsi="Times New Roman" w:cs="Times New Roman"/>
          <w:color w:val="auto"/>
          <w:kern w:val="0"/>
          <w:sz w:val="24"/>
          <w:szCs w:val="24"/>
          <w:highlight w:val="none"/>
          <w:lang w:val="en-US" w:eastAsia="zh-CN" w:bidi="ar-SA"/>
        </w:rPr>
        <w:t>四周工频电场强度及工频磁感应强度可满足《电磁环境控制限值》(GB8702-2014)中规定的公众暴露控制限值4kV/m和100</w:t>
      </w:r>
      <w:r>
        <w:rPr>
          <w:rFonts w:hint="eastAsia" w:cs="Times New Roman"/>
          <w:color w:val="auto"/>
          <w:kern w:val="0"/>
          <w:sz w:val="24"/>
          <w:szCs w:val="24"/>
          <w:highlight w:val="none"/>
          <w:lang w:val="en-US" w:eastAsia="zh-CN" w:bidi="ar-SA"/>
        </w:rPr>
        <w:t>μT</w:t>
      </w:r>
      <w:r>
        <w:rPr>
          <w:rFonts w:hint="default" w:ascii="Times New Roman" w:hAnsi="Times New Roman" w:cs="Times New Roman"/>
          <w:color w:val="auto"/>
          <w:kern w:val="0"/>
          <w:sz w:val="24"/>
          <w:szCs w:val="24"/>
          <w:highlight w:val="none"/>
          <w:lang w:val="en-US" w:eastAsia="zh-CN" w:bidi="ar-SA"/>
        </w:rPr>
        <w:t>的标准要求</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SA"/>
        </w:rPr>
        <w:t>若线路下方为耕地、道路等，预测结果同时满足</w:t>
      </w: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架空输电线路线下的耕地、园地、牧草地、畜禽饲养地、养殖水面、道路等场所</w:t>
      </w: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电场强度</w:t>
      </w:r>
      <w:r>
        <w:rPr>
          <w:rFonts w:hint="default" w:ascii="Times New Roman" w:hAnsi="Times New Roman" w:eastAsia="宋体" w:cs="Times New Roman"/>
          <w:color w:val="auto"/>
          <w:kern w:val="0"/>
          <w:sz w:val="24"/>
          <w:szCs w:val="24"/>
          <w:highlight w:val="none"/>
          <w:lang w:val="en-US" w:eastAsia="zh-CN" w:bidi="ar-SA"/>
        </w:rPr>
        <w:t>10kV/m</w:t>
      </w:r>
      <w:r>
        <w:rPr>
          <w:rFonts w:hint="eastAsia" w:ascii="Times New Roman" w:hAnsi="Times New Roman" w:eastAsia="宋体" w:cs="Times New Roman"/>
          <w:color w:val="auto"/>
          <w:kern w:val="0"/>
          <w:sz w:val="24"/>
          <w:szCs w:val="24"/>
          <w:highlight w:val="none"/>
          <w:lang w:val="en-US" w:eastAsia="zh-CN" w:bidi="ar-SA"/>
        </w:rPr>
        <w:t>的</w:t>
      </w:r>
      <w:r>
        <w:rPr>
          <w:rFonts w:hint="eastAsia" w:cs="Times New Roman"/>
          <w:color w:val="auto"/>
          <w:kern w:val="0"/>
          <w:sz w:val="24"/>
          <w:szCs w:val="24"/>
          <w:highlight w:val="none"/>
          <w:lang w:val="en-US" w:eastAsia="zh-CN" w:bidi="ar-SA"/>
        </w:rPr>
        <w:t>公众暴露限值</w:t>
      </w:r>
      <w:r>
        <w:rPr>
          <w:rFonts w:hint="eastAsia" w:ascii="Times New Roman" w:hAnsi="Times New Roman" w:eastAsia="宋体" w:cs="Times New Roman"/>
          <w:color w:val="auto"/>
          <w:kern w:val="0"/>
          <w:sz w:val="24"/>
          <w:szCs w:val="24"/>
          <w:highlight w:val="none"/>
          <w:lang w:val="en-US" w:eastAsia="zh-CN" w:bidi="ar"/>
        </w:rPr>
        <w:t>。</w:t>
      </w:r>
    </w:p>
    <w:p w14:paraId="280B5E8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本项目线路边导线地面投影外两侧各40m范围内存在三个电磁环境保护目标，分别为边导线地面投影外</w:t>
      </w:r>
      <w:r>
        <w:rPr>
          <w:rFonts w:hint="eastAsia"/>
          <w:sz w:val="24"/>
          <w:lang w:val="en-US" w:eastAsia="zh-CN"/>
        </w:rPr>
        <w:t>南侧25m处的二号村居民区、</w:t>
      </w:r>
      <w:r>
        <w:rPr>
          <w:rFonts w:hint="eastAsia" w:cs="Times New Roman"/>
          <w:color w:val="auto"/>
          <w:kern w:val="0"/>
          <w:sz w:val="24"/>
          <w:szCs w:val="24"/>
          <w:highlight w:val="none"/>
          <w:lang w:val="en-US" w:eastAsia="zh-CN" w:bidi="ar"/>
        </w:rPr>
        <w:t>路边导线地面投影外</w:t>
      </w:r>
      <w:r>
        <w:rPr>
          <w:rFonts w:hint="eastAsia"/>
          <w:sz w:val="24"/>
          <w:lang w:val="en-US" w:eastAsia="zh-CN"/>
        </w:rPr>
        <w:t>北侧40m处的下五号村居民区、</w:t>
      </w:r>
      <w:r>
        <w:rPr>
          <w:rFonts w:hint="eastAsia" w:cs="Times New Roman"/>
          <w:color w:val="auto"/>
          <w:kern w:val="0"/>
          <w:sz w:val="24"/>
          <w:szCs w:val="24"/>
          <w:highlight w:val="none"/>
          <w:lang w:val="en-US" w:eastAsia="zh-CN" w:bidi="ar"/>
        </w:rPr>
        <w:t>边导线地面投影外</w:t>
      </w:r>
      <w:r>
        <w:rPr>
          <w:rFonts w:hint="eastAsia"/>
          <w:sz w:val="24"/>
          <w:lang w:val="en-US" w:eastAsia="zh-CN"/>
        </w:rPr>
        <w:t>北侧26m处的的十二号西沟村居民区，其所在区域</w:t>
      </w:r>
      <w:r>
        <w:rPr>
          <w:rFonts w:hint="eastAsia" w:ascii="Times New Roman" w:hAnsi="Times New Roman" w:eastAsia="宋体" w:cs="Times New Roman"/>
          <w:color w:val="auto"/>
          <w:kern w:val="0"/>
          <w:sz w:val="24"/>
          <w:szCs w:val="24"/>
          <w:highlight w:val="none"/>
          <w:lang w:val="en-US" w:eastAsia="zh-CN" w:bidi="ar-SA"/>
        </w:rPr>
        <w:t>电场强度</w:t>
      </w:r>
      <w:r>
        <w:rPr>
          <w:rFonts w:hint="eastAsia" w:cs="Times New Roman"/>
          <w:color w:val="auto"/>
          <w:kern w:val="0"/>
          <w:sz w:val="24"/>
          <w:szCs w:val="24"/>
          <w:highlight w:val="none"/>
          <w:lang w:val="en-US" w:eastAsia="zh-CN" w:bidi="ar-SA"/>
        </w:rPr>
        <w:t>满足</w:t>
      </w:r>
      <w:r>
        <w:rPr>
          <w:rFonts w:hint="default" w:ascii="Times New Roman" w:hAnsi="Times New Roman" w:eastAsia="宋体" w:cs="Times New Roman"/>
          <w:color w:val="auto"/>
          <w:kern w:val="0"/>
          <w:sz w:val="24"/>
          <w:szCs w:val="24"/>
          <w:highlight w:val="none"/>
          <w:lang w:val="en-US" w:eastAsia="zh-CN" w:bidi="ar-SA"/>
        </w:rPr>
        <w:t>10kV/m</w:t>
      </w:r>
      <w:r>
        <w:rPr>
          <w:rFonts w:hint="eastAsia" w:ascii="Times New Roman" w:hAnsi="Times New Roman" w:eastAsia="宋体" w:cs="Times New Roman"/>
          <w:color w:val="auto"/>
          <w:kern w:val="0"/>
          <w:sz w:val="24"/>
          <w:szCs w:val="24"/>
          <w:highlight w:val="none"/>
          <w:lang w:val="en-US" w:eastAsia="zh-CN" w:bidi="ar-SA"/>
        </w:rPr>
        <w:t>的</w:t>
      </w:r>
      <w:r>
        <w:rPr>
          <w:rFonts w:hint="eastAsia" w:cs="Times New Roman"/>
          <w:color w:val="auto"/>
          <w:kern w:val="0"/>
          <w:sz w:val="24"/>
          <w:szCs w:val="24"/>
          <w:highlight w:val="none"/>
          <w:lang w:val="en-US" w:eastAsia="zh-CN" w:bidi="ar-SA"/>
        </w:rPr>
        <w:t>公众暴露限值</w:t>
      </w:r>
      <w:r>
        <w:rPr>
          <w:rFonts w:hint="eastAsia" w:ascii="Times New Roman" w:hAnsi="Times New Roman" w:eastAsia="宋体" w:cs="Times New Roman"/>
          <w:color w:val="auto"/>
          <w:kern w:val="0"/>
          <w:sz w:val="24"/>
          <w:szCs w:val="24"/>
          <w:highlight w:val="none"/>
          <w:lang w:val="en-US" w:eastAsia="zh-CN" w:bidi="ar"/>
        </w:rPr>
        <w:t>。</w:t>
      </w:r>
    </w:p>
    <w:p w14:paraId="21BC612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bidi="ar-SA"/>
        </w:rPr>
        <w:t>综上所述</w:t>
      </w:r>
      <w:r>
        <w:rPr>
          <w:rFonts w:hint="eastAsia"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本项目变压站运行时产生的工频电场强度、工频磁场强度远小于GB8702-2014《电磁环境控制限值》公众曝露控制限值</w:t>
      </w:r>
      <w:r>
        <w:rPr>
          <w:rFonts w:hint="eastAsia"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项目营运对电磁环境影响较小。</w:t>
      </w:r>
      <w:bookmarkStart w:id="104" w:name="_Toc22670"/>
    </w:p>
    <w:p w14:paraId="7BC0F04F">
      <w:pPr>
        <w:rPr>
          <w:rFonts w:hint="eastAsia"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br w:type="page"/>
      </w:r>
    </w:p>
    <w:p w14:paraId="2C9DC45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0"/>
        <w:rPr>
          <w:rFonts w:hint="eastAsia" w:ascii="Times New Roman" w:hAnsi="Times New Roman"/>
          <w:b/>
          <w:bCs/>
          <w:color w:val="auto"/>
          <w:sz w:val="24"/>
          <w:szCs w:val="24"/>
          <w:highlight w:val="none"/>
          <w:lang w:val="en-US" w:eastAsia="zh-CN"/>
        </w:rPr>
      </w:pPr>
      <w:r>
        <w:rPr>
          <w:rFonts w:hint="eastAsia" w:cs="Times New Roman"/>
          <w:color w:val="auto"/>
          <w:kern w:val="0"/>
          <w:sz w:val="24"/>
          <w:szCs w:val="24"/>
          <w:highlight w:val="none"/>
          <w:lang w:val="en-US" w:eastAsia="zh-CN" w:bidi="ar-SA"/>
        </w:rPr>
        <w:t xml:space="preserve"> </w:t>
      </w:r>
      <w:bookmarkStart w:id="105" w:name="_Toc9136"/>
      <w:r>
        <w:rPr>
          <w:rFonts w:hint="eastAsia"/>
          <w:b/>
          <w:bCs/>
          <w:color w:val="auto"/>
          <w:sz w:val="24"/>
          <w:szCs w:val="24"/>
          <w:highlight w:val="none"/>
          <w:lang w:val="en-US" w:eastAsia="zh-CN"/>
        </w:rPr>
        <w:t>6、</w:t>
      </w:r>
      <w:r>
        <w:rPr>
          <w:rFonts w:hint="eastAsia" w:ascii="Times New Roman" w:hAnsi="Times New Roman"/>
          <w:b/>
          <w:bCs/>
          <w:color w:val="auto"/>
          <w:sz w:val="24"/>
          <w:szCs w:val="24"/>
          <w:highlight w:val="none"/>
          <w:lang w:val="en-US" w:eastAsia="zh-CN"/>
        </w:rPr>
        <w:t>电磁环境保护措施</w:t>
      </w:r>
      <w:bookmarkEnd w:id="104"/>
      <w:bookmarkEnd w:id="105"/>
    </w:p>
    <w:p w14:paraId="3182CC7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（1）设计期电磁环境保护措施</w:t>
      </w:r>
    </w:p>
    <w:p w14:paraId="29B240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 xml:space="preserve">根据《输变电建设项目环境保护技术要求》（HJ1113-2020），电磁环境保护措施如下： </w:t>
      </w:r>
    </w:p>
    <w:p w14:paraId="7F46C00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 xml:space="preserve">1、工程设计应对产生的工频电场、工频磁场等电磁环境影响进行验算，采取相应防护措施，确保电磁环境影响满足国家标准要求。 </w:t>
      </w:r>
    </w:p>
    <w:p w14:paraId="5CCE897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 xml:space="preserve">2、输电线路设计应因地制宜选择线路型式、架设高度、杆塔塔型、导线参数、相序布置等，减少电磁环境影响。 </w:t>
      </w:r>
    </w:p>
    <w:p w14:paraId="0B33BAA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3、架空输电线路经过电磁环境敏感目标时，采取避让或增加导线对地高度等措施，减少电磁环境影响。</w:t>
      </w:r>
    </w:p>
    <w:p w14:paraId="2E3BA92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（2）</w:t>
      </w:r>
      <w:r>
        <w:rPr>
          <w:rFonts w:hint="eastAsia" w:cs="Times New Roman"/>
          <w:color w:val="auto"/>
          <w:kern w:val="0"/>
          <w:sz w:val="24"/>
          <w:szCs w:val="24"/>
          <w:highlight w:val="none"/>
          <w:lang w:val="en-US" w:eastAsia="zh-CN" w:bidi="ar-SA"/>
        </w:rPr>
        <w:t>运营期</w:t>
      </w:r>
      <w:r>
        <w:rPr>
          <w:rFonts w:hint="eastAsia" w:eastAsia="宋体" w:cs="Times New Roman"/>
          <w:color w:val="auto"/>
          <w:kern w:val="0"/>
          <w:sz w:val="24"/>
          <w:szCs w:val="24"/>
          <w:highlight w:val="none"/>
          <w:lang w:val="en-US" w:eastAsia="zh-CN" w:bidi="ar-SA"/>
        </w:rPr>
        <w:t>电磁环境保护措施</w:t>
      </w:r>
    </w:p>
    <w:p w14:paraId="202D8E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1、加强线路日常管理和维护，使线路保持良好的运行状态。</w:t>
      </w:r>
    </w:p>
    <w:p w14:paraId="772482D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2、</w:t>
      </w:r>
      <w:r>
        <w:rPr>
          <w:rFonts w:hint="eastAsia" w:cs="Times New Roman"/>
          <w:color w:val="auto"/>
          <w:kern w:val="0"/>
          <w:sz w:val="24"/>
          <w:szCs w:val="24"/>
          <w:highlight w:val="none"/>
          <w:lang w:val="en-US" w:eastAsia="zh-CN" w:bidi="ar-SA"/>
        </w:rPr>
        <w:t>运营期</w:t>
      </w:r>
      <w:r>
        <w:rPr>
          <w:rFonts w:hint="eastAsia" w:eastAsia="宋体" w:cs="Times New Roman"/>
          <w:color w:val="auto"/>
          <w:kern w:val="0"/>
          <w:sz w:val="24"/>
          <w:szCs w:val="24"/>
          <w:highlight w:val="none"/>
          <w:lang w:val="en-US" w:eastAsia="zh-CN" w:bidi="ar-SA"/>
        </w:rPr>
        <w:t>做好环境保护设施的维护和运行管理，加强巡查和检查，保障发挥环境保护作用，定期开展环境监测，确保电磁排放符合相关标准。</w:t>
      </w:r>
    </w:p>
    <w:p w14:paraId="47EF6352">
      <w:pPr>
        <w:rPr>
          <w:rFonts w:hint="eastAsia" w:eastAsia="宋体" w:cs="Times New Roman"/>
          <w:b/>
          <w:bCs/>
          <w:color w:val="auto"/>
          <w:kern w:val="0"/>
          <w:sz w:val="24"/>
          <w:szCs w:val="24"/>
          <w:highlight w:val="none"/>
          <w:lang w:val="en-US" w:eastAsia="zh-CN" w:bidi="ar-SA"/>
        </w:rPr>
      </w:pPr>
      <w:bookmarkStart w:id="106" w:name="_Toc17021"/>
      <w:r>
        <w:rPr>
          <w:rFonts w:hint="eastAsia" w:eastAsia="宋体" w:cs="Times New Roman"/>
          <w:b/>
          <w:bCs/>
          <w:color w:val="auto"/>
          <w:kern w:val="0"/>
          <w:sz w:val="24"/>
          <w:szCs w:val="24"/>
          <w:highlight w:val="none"/>
          <w:lang w:val="en-US" w:eastAsia="zh-CN" w:bidi="ar-SA"/>
        </w:rPr>
        <w:br w:type="page"/>
      </w:r>
    </w:p>
    <w:p w14:paraId="2562204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0"/>
        <w:rPr>
          <w:rFonts w:hint="eastAsia" w:eastAsia="宋体" w:cs="Times New Roman"/>
          <w:b/>
          <w:bCs/>
          <w:color w:val="auto"/>
          <w:kern w:val="0"/>
          <w:sz w:val="24"/>
          <w:szCs w:val="24"/>
          <w:highlight w:val="none"/>
          <w:lang w:val="en-US" w:eastAsia="zh-CN" w:bidi="ar-SA"/>
        </w:rPr>
      </w:pPr>
      <w:bookmarkStart w:id="107" w:name="_Toc4640"/>
      <w:r>
        <w:rPr>
          <w:rFonts w:hint="eastAsia" w:eastAsia="宋体" w:cs="Times New Roman"/>
          <w:b/>
          <w:bCs/>
          <w:color w:val="auto"/>
          <w:kern w:val="0"/>
          <w:sz w:val="24"/>
          <w:szCs w:val="24"/>
          <w:highlight w:val="none"/>
          <w:lang w:val="en-US" w:eastAsia="zh-CN" w:bidi="ar-SA"/>
        </w:rPr>
        <w:t>7、电磁环境管理与监测计划</w:t>
      </w:r>
      <w:bookmarkEnd w:id="106"/>
      <w:bookmarkEnd w:id="107"/>
    </w:p>
    <w:p w14:paraId="3B4BCF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bookmarkStart w:id="108" w:name="_Toc11480"/>
      <w:r>
        <w:rPr>
          <w:rFonts w:hint="eastAsia" w:eastAsia="宋体" w:cs="Times New Roman"/>
          <w:color w:val="auto"/>
          <w:kern w:val="0"/>
          <w:sz w:val="24"/>
          <w:szCs w:val="24"/>
          <w:highlight w:val="none"/>
          <w:lang w:val="en-US" w:eastAsia="zh-CN" w:bidi="ar-SA"/>
        </w:rPr>
        <w:t>7.1环境管理</w:t>
      </w:r>
      <w:bookmarkEnd w:id="108"/>
    </w:p>
    <w:p w14:paraId="2F0334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根据国家有关规定，施工期由业主、监理、施工等三方共管；</w:t>
      </w:r>
      <w:r>
        <w:rPr>
          <w:rFonts w:hint="eastAsia" w:cs="Times New Roman"/>
          <w:color w:val="auto"/>
          <w:kern w:val="0"/>
          <w:sz w:val="24"/>
          <w:szCs w:val="24"/>
          <w:highlight w:val="none"/>
          <w:lang w:val="en-US" w:eastAsia="zh-CN" w:bidi="ar-SA"/>
        </w:rPr>
        <w:t>运营期</w:t>
      </w:r>
      <w:r>
        <w:rPr>
          <w:rFonts w:hint="eastAsia" w:eastAsia="宋体" w:cs="Times New Roman"/>
          <w:color w:val="auto"/>
          <w:kern w:val="0"/>
          <w:sz w:val="24"/>
          <w:szCs w:val="24"/>
          <w:highlight w:val="none"/>
          <w:lang w:val="en-US" w:eastAsia="zh-CN" w:bidi="ar-SA"/>
        </w:rPr>
        <w:t>由场站负责管理。</w:t>
      </w:r>
    </w:p>
    <w:p w14:paraId="763C30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1、施工期环境管理职能及任务</w:t>
      </w:r>
    </w:p>
    <w:p w14:paraId="5DE4CD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本工程的施工均采取招投标制，施工招标中应对投标单位提出施工期间的环保要求，在施工设计文件中详细说明施工期应注意的环保问题，严格要求施工单位按设计文件施工，满足环境保护“三同时”要求，即环保措施及植被恢复措施必须与主体工程同时设计、同时施工、同时投产。建设方在施工期间应有专人负责环境管理工作，对施工中的每一道工序都应严格检查是否满足环保要求，并不定期地对施工点进行监督抽查。</w:t>
      </w:r>
    </w:p>
    <w:p w14:paraId="05EDC0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施工期环境管理的职责和任务如下：</w:t>
      </w:r>
    </w:p>
    <w:p w14:paraId="603E796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①贯彻执行国家的各项环保方针、政策、法律法规和各项规章制度。</w:t>
      </w:r>
    </w:p>
    <w:p w14:paraId="0AA97C4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②制定工程施工中的环保计划，负责施工过程中各项环保措施实施的监督和日常管理。</w:t>
      </w:r>
    </w:p>
    <w:p w14:paraId="1213A32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③收集、整理、推广和实施工程建设中各项环境保护的先进经验和技术。</w:t>
      </w:r>
    </w:p>
    <w:p w14:paraId="31EE861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④组织施工人员进行施工活动中应遵循的环保法规、知识的培训，提高全体员工文明施工的认识和能力。</w:t>
      </w:r>
    </w:p>
    <w:p w14:paraId="1BA1D41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⑤在施工计划中应尽量避免影响当地居民生活环境，保护生态和避免水土流失，合理组织施工以减少临时施工用地。</w:t>
      </w:r>
    </w:p>
    <w:p w14:paraId="507B6EC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⑥做好施工中各种环境问题的收集、记录、建档和处理工作。</w:t>
      </w:r>
    </w:p>
    <w:p w14:paraId="4C6FF2F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⑦监督施工单位在施工工作完成后的生态恢复，水保设施、环保设施等各项保护工程的落实。</w:t>
      </w:r>
    </w:p>
    <w:p w14:paraId="101FAD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⑧本工程施工期环境管理由建设单位、施工方和监理单位共同实施。</w:t>
      </w:r>
    </w:p>
    <w:p w14:paraId="658DE2E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项目竣工后，将各项环保措施落实完成情况上报当地环保主管部门。</w:t>
      </w:r>
    </w:p>
    <w:p w14:paraId="3AF83C7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2、</w:t>
      </w:r>
      <w:r>
        <w:rPr>
          <w:rFonts w:hint="eastAsia" w:cs="Times New Roman"/>
          <w:color w:val="auto"/>
          <w:kern w:val="0"/>
          <w:sz w:val="24"/>
          <w:szCs w:val="24"/>
          <w:highlight w:val="none"/>
          <w:lang w:val="en-US" w:eastAsia="zh-CN" w:bidi="ar-SA"/>
        </w:rPr>
        <w:t>运营期</w:t>
      </w:r>
      <w:r>
        <w:rPr>
          <w:rFonts w:hint="eastAsia" w:eastAsia="宋体" w:cs="Times New Roman"/>
          <w:color w:val="auto"/>
          <w:kern w:val="0"/>
          <w:sz w:val="24"/>
          <w:szCs w:val="24"/>
          <w:highlight w:val="none"/>
          <w:lang w:val="en-US" w:eastAsia="zh-CN" w:bidi="ar-SA"/>
        </w:rPr>
        <w:t>环境管理与职能</w:t>
      </w:r>
    </w:p>
    <w:p w14:paraId="6EB441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本项目</w:t>
      </w:r>
      <w:r>
        <w:rPr>
          <w:rFonts w:hint="eastAsia" w:cs="Times New Roman"/>
          <w:color w:val="auto"/>
          <w:kern w:val="0"/>
          <w:sz w:val="24"/>
          <w:szCs w:val="24"/>
          <w:highlight w:val="none"/>
          <w:lang w:val="en-US" w:eastAsia="zh-CN" w:bidi="ar-SA"/>
        </w:rPr>
        <w:t>运营期</w:t>
      </w:r>
      <w:r>
        <w:rPr>
          <w:rFonts w:hint="eastAsia" w:eastAsia="宋体" w:cs="Times New Roman"/>
          <w:color w:val="auto"/>
          <w:kern w:val="0"/>
          <w:sz w:val="24"/>
          <w:szCs w:val="24"/>
          <w:highlight w:val="none"/>
          <w:lang w:val="en-US" w:eastAsia="zh-CN" w:bidi="ar-SA"/>
        </w:rPr>
        <w:t>环境管理由各场站负责。</w:t>
      </w:r>
    </w:p>
    <w:p w14:paraId="595AC0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①制定和实施各项环境管理计划。</w:t>
      </w:r>
    </w:p>
    <w:p w14:paraId="14AA5FC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②组织和落实项目</w:t>
      </w:r>
      <w:r>
        <w:rPr>
          <w:rFonts w:hint="eastAsia" w:cs="Times New Roman"/>
          <w:color w:val="auto"/>
          <w:kern w:val="0"/>
          <w:sz w:val="24"/>
          <w:szCs w:val="24"/>
          <w:highlight w:val="none"/>
          <w:lang w:val="en-US" w:eastAsia="zh-CN" w:bidi="ar-SA"/>
        </w:rPr>
        <w:t>运营期</w:t>
      </w:r>
      <w:r>
        <w:rPr>
          <w:rFonts w:hint="eastAsia" w:eastAsia="宋体" w:cs="Times New Roman"/>
          <w:color w:val="auto"/>
          <w:kern w:val="0"/>
          <w:sz w:val="24"/>
          <w:szCs w:val="24"/>
          <w:highlight w:val="none"/>
          <w:lang w:val="en-US" w:eastAsia="zh-CN" w:bidi="ar-SA"/>
        </w:rPr>
        <w:t>的环境监测、监督工作，委托有资质的单位承担本工程的环境监测工作。</w:t>
      </w:r>
    </w:p>
    <w:p w14:paraId="18D47C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③掌握项目所在地周围的环境特征和重点环境保护目标情况，建立环境管理和环境监测技术文件，做好记录、建档工作。技术文件包括：污染源的监测记录技术文件；污染控制、环境保护设施的设计和运行管理文件；导致严重环境影响事件的分析报告和监测数据资料等。并定期向当地环保主管部门申报。</w:t>
      </w:r>
    </w:p>
    <w:p w14:paraId="20A17F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④检查治理设施运行情况，及时处理出现的问题，保证治理设施的正常运行。</w:t>
      </w:r>
    </w:p>
    <w:p w14:paraId="5ADDA3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⑤不定期地巡查环境保护对象，保护生态环境不被破坏，保证生态保护与工程运行相协调。</w:t>
      </w:r>
    </w:p>
    <w:p w14:paraId="7880FFF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⑥协调配合上级环保主管部门所进行的环境调查、生态调查等活动。</w:t>
      </w:r>
    </w:p>
    <w:p w14:paraId="163C6B2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eastAsia="宋体" w:cs="Times New Roman"/>
          <w:b/>
          <w:bCs/>
          <w:color w:val="auto"/>
          <w:kern w:val="0"/>
          <w:sz w:val="24"/>
          <w:szCs w:val="24"/>
          <w:highlight w:val="none"/>
          <w:lang w:val="en-US" w:eastAsia="zh-CN" w:bidi="ar-SA"/>
        </w:rPr>
      </w:pPr>
      <w:bookmarkStart w:id="109" w:name="_Toc30851"/>
      <w:r>
        <w:rPr>
          <w:rFonts w:hint="eastAsia" w:eastAsia="宋体" w:cs="Times New Roman"/>
          <w:b/>
          <w:bCs/>
          <w:color w:val="auto"/>
          <w:kern w:val="0"/>
          <w:sz w:val="24"/>
          <w:szCs w:val="24"/>
          <w:highlight w:val="none"/>
          <w:lang w:val="en-US" w:eastAsia="zh-CN" w:bidi="ar-SA"/>
        </w:rPr>
        <w:t>7.2环境监测计划</w:t>
      </w:r>
      <w:bookmarkEnd w:id="109"/>
    </w:p>
    <w:p w14:paraId="3799CD4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本工程可不设专职的环境监测机构和人员，其环境监测工作可委托当地有资质的监测部门进行。根据生产特征和污染物排放情况，依据《环境影响评价技术导则输变电》(HJ24-2020)，制定本项目的监测计划，具体内容见表7-1。</w:t>
      </w:r>
    </w:p>
    <w:p w14:paraId="39939C2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表7-1监测计划及建议</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88"/>
        <w:gridCol w:w="2175"/>
        <w:gridCol w:w="5081"/>
      </w:tblGrid>
      <w:tr w14:paraId="2B59D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98" w:type="pct"/>
            <w:vAlign w:val="center"/>
          </w:tcPr>
          <w:p w14:paraId="54737FA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bookmarkStart w:id="110" w:name="_Toc140494118"/>
            <w:r>
              <w:rPr>
                <w:rFonts w:hint="eastAsia" w:eastAsia="宋体" w:cs="Times New Roman"/>
                <w:color w:val="auto"/>
                <w:kern w:val="0"/>
                <w:sz w:val="24"/>
                <w:szCs w:val="24"/>
                <w:highlight w:val="none"/>
                <w:lang w:val="en-US" w:eastAsia="zh-CN" w:bidi="ar-SA"/>
              </w:rPr>
              <w:t>项目</w:t>
            </w:r>
          </w:p>
        </w:tc>
        <w:tc>
          <w:tcPr>
            <w:tcW w:w="1229" w:type="pct"/>
            <w:vAlign w:val="center"/>
          </w:tcPr>
          <w:p w14:paraId="26C3A8C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监测因子</w:t>
            </w:r>
          </w:p>
        </w:tc>
        <w:tc>
          <w:tcPr>
            <w:tcW w:w="2871" w:type="pct"/>
            <w:vAlign w:val="center"/>
          </w:tcPr>
          <w:p w14:paraId="47594E3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监测频次</w:t>
            </w:r>
          </w:p>
        </w:tc>
      </w:tr>
      <w:tr w14:paraId="7112D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98" w:type="pct"/>
            <w:vAlign w:val="center"/>
          </w:tcPr>
          <w:p w14:paraId="01CFD09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工频电磁场</w:t>
            </w:r>
          </w:p>
        </w:tc>
        <w:tc>
          <w:tcPr>
            <w:tcW w:w="1229" w:type="pct"/>
            <w:vAlign w:val="center"/>
          </w:tcPr>
          <w:p w14:paraId="17FB376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工频电场、工频磁场</w:t>
            </w:r>
          </w:p>
        </w:tc>
        <w:tc>
          <w:tcPr>
            <w:tcW w:w="2871" w:type="pct"/>
            <w:vAlign w:val="center"/>
          </w:tcPr>
          <w:p w14:paraId="0D9D4F7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验收监测一次；后期按照上级管理部门要求定期进行监测</w:t>
            </w:r>
          </w:p>
        </w:tc>
      </w:tr>
    </w:tbl>
    <w:p w14:paraId="222CDC6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eastAsia="宋体" w:cs="Times New Roman"/>
          <w:b/>
          <w:bCs/>
          <w:color w:val="auto"/>
          <w:kern w:val="0"/>
          <w:sz w:val="24"/>
          <w:szCs w:val="24"/>
          <w:highlight w:val="none"/>
          <w:lang w:val="en-US" w:eastAsia="zh-CN" w:bidi="ar-SA"/>
        </w:rPr>
      </w:pPr>
      <w:bookmarkStart w:id="111" w:name="_Toc11199"/>
      <w:r>
        <w:rPr>
          <w:rFonts w:hint="eastAsia" w:eastAsia="宋体" w:cs="Times New Roman"/>
          <w:b/>
          <w:bCs/>
          <w:color w:val="auto"/>
          <w:kern w:val="0"/>
          <w:sz w:val="24"/>
          <w:szCs w:val="24"/>
          <w:highlight w:val="none"/>
          <w:lang w:val="en-US" w:eastAsia="zh-CN" w:bidi="ar-SA"/>
        </w:rPr>
        <w:t>7.3 环境保护培训</w:t>
      </w:r>
      <w:bookmarkEnd w:id="110"/>
      <w:bookmarkEnd w:id="111"/>
    </w:p>
    <w:p w14:paraId="737E108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应对与工程项目有关的主要人员，包括施工单位、运行单位、受影响区域的公众，进行环境保护技术和政策方面的培训与宣传，进一步增强施工、运行单位的环保管理的能力，减少施工和运行产生的不利环境影响，并且能够更好地参与和监督环保管理；提高人们的环保意识，加强公众的环境保护和自我保护意识。具体的环保管理培训计划见表7-2。</w:t>
      </w:r>
    </w:p>
    <w:p w14:paraId="2414943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表7-2环保管理培训计划</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93"/>
        <w:gridCol w:w="3100"/>
        <w:gridCol w:w="3367"/>
      </w:tblGrid>
      <w:tr w14:paraId="0F8CA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1" w:type="pct"/>
            <w:vAlign w:val="center"/>
          </w:tcPr>
          <w:p w14:paraId="23F8332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项目</w:t>
            </w:r>
          </w:p>
        </w:tc>
        <w:tc>
          <w:tcPr>
            <w:tcW w:w="1711" w:type="pct"/>
            <w:vAlign w:val="center"/>
          </w:tcPr>
          <w:p w14:paraId="64736D3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参加培训对象</w:t>
            </w:r>
          </w:p>
        </w:tc>
        <w:tc>
          <w:tcPr>
            <w:tcW w:w="1858" w:type="pct"/>
            <w:vAlign w:val="center"/>
          </w:tcPr>
          <w:p w14:paraId="4648304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培训内容</w:t>
            </w:r>
          </w:p>
        </w:tc>
      </w:tr>
      <w:tr w14:paraId="542311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1" w:type="pct"/>
            <w:vAlign w:val="center"/>
          </w:tcPr>
          <w:p w14:paraId="4DC24AE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环境保护知识和政策</w:t>
            </w:r>
          </w:p>
        </w:tc>
        <w:tc>
          <w:tcPr>
            <w:tcW w:w="1711" w:type="pct"/>
            <w:vAlign w:val="center"/>
          </w:tcPr>
          <w:p w14:paraId="5E6EACE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环境保护管理培训</w:t>
            </w:r>
          </w:p>
        </w:tc>
        <w:tc>
          <w:tcPr>
            <w:tcW w:w="1858" w:type="pct"/>
            <w:vAlign w:val="center"/>
          </w:tcPr>
          <w:p w14:paraId="49702C2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电磁环境影响的有关知识</w:t>
            </w:r>
          </w:p>
          <w:p w14:paraId="09D5D6C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声环境质量标准</w:t>
            </w:r>
          </w:p>
          <w:p w14:paraId="30E8216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电力设施保护条例</w:t>
            </w:r>
          </w:p>
          <w:p w14:paraId="5D69813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其他有关的国家和地方的规定</w:t>
            </w:r>
          </w:p>
        </w:tc>
      </w:tr>
      <w:tr w14:paraId="75C7B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1" w:type="pct"/>
            <w:vAlign w:val="center"/>
          </w:tcPr>
          <w:p w14:paraId="512FBD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环境保护管理培训</w:t>
            </w:r>
          </w:p>
        </w:tc>
        <w:tc>
          <w:tcPr>
            <w:tcW w:w="1711" w:type="pct"/>
            <w:vAlign w:val="center"/>
          </w:tcPr>
          <w:p w14:paraId="2D822FA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建设单位或运行管理单位、施工单位、其他相关人员</w:t>
            </w:r>
          </w:p>
        </w:tc>
        <w:tc>
          <w:tcPr>
            <w:tcW w:w="1858" w:type="pct"/>
            <w:vAlign w:val="center"/>
          </w:tcPr>
          <w:p w14:paraId="1E34F09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中华人民共和国环境保护法</w:t>
            </w:r>
          </w:p>
          <w:p w14:paraId="2268F4A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中华人民共和国水污染防治法建设项目环境保护管理条例</w:t>
            </w:r>
          </w:p>
          <w:p w14:paraId="4163FDE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其他有关的管理条例、规定</w:t>
            </w:r>
          </w:p>
        </w:tc>
      </w:tr>
    </w:tbl>
    <w:p w14:paraId="1F06F9A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eastAsia="宋体" w:cs="Times New Roman"/>
          <w:b/>
          <w:bCs/>
          <w:color w:val="auto"/>
          <w:kern w:val="0"/>
          <w:sz w:val="24"/>
          <w:szCs w:val="24"/>
          <w:highlight w:val="none"/>
          <w:lang w:val="en-US" w:eastAsia="zh-CN" w:bidi="ar-SA"/>
        </w:rPr>
      </w:pPr>
      <w:bookmarkStart w:id="112" w:name="_Toc27645"/>
      <w:bookmarkStart w:id="113" w:name="_Toc140494119"/>
      <w:r>
        <w:rPr>
          <w:rFonts w:hint="eastAsia" w:eastAsia="宋体" w:cs="Times New Roman"/>
          <w:b/>
          <w:bCs/>
          <w:color w:val="auto"/>
          <w:kern w:val="0"/>
          <w:sz w:val="24"/>
          <w:szCs w:val="24"/>
          <w:highlight w:val="none"/>
          <w:lang w:val="en-US" w:eastAsia="zh-CN" w:bidi="ar-SA"/>
        </w:rPr>
        <w:t>7.4档案管理</w:t>
      </w:r>
      <w:bookmarkEnd w:id="112"/>
      <w:bookmarkEnd w:id="113"/>
    </w:p>
    <w:p w14:paraId="62CCC7C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公司环保部门负责项目的环境保护档案管理工作，环保档案实行专人管理责任到人。企业的所有环保资料应分类别整理、分类存档、科学管理，便于统计、查阅。在环境保护档案管理中，应建立如下文件档案：与本项目有关的法规、标准、规范和区域规划等；项目建设的有关环境保护的报告、设计方案及审查、审批文件；项目环保工程设施的设计、施工、安装的基础资料及验收资料；公司内部的环境保护管理制度、人员环保培训和考核记录；生态恢复工程、污染治理设施运行管理文件；环境监测记录技术文件，建立台账，如实记录生产原料、辅料的使用量、废弃量、去向。</w:t>
      </w:r>
    </w:p>
    <w:p w14:paraId="443E822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eastAsia="宋体" w:cs="Times New Roman"/>
          <w:b/>
          <w:bCs/>
          <w:color w:val="auto"/>
          <w:kern w:val="0"/>
          <w:sz w:val="24"/>
          <w:szCs w:val="24"/>
          <w:highlight w:val="none"/>
          <w:lang w:val="en-US" w:eastAsia="zh-CN" w:bidi="ar-SA"/>
        </w:rPr>
      </w:pPr>
      <w:bookmarkStart w:id="114" w:name="_Toc1886"/>
      <w:bookmarkStart w:id="115" w:name="_Toc140494120"/>
      <w:r>
        <w:rPr>
          <w:rFonts w:hint="eastAsia" w:eastAsia="宋体" w:cs="Times New Roman"/>
          <w:b/>
          <w:bCs/>
          <w:color w:val="auto"/>
          <w:kern w:val="0"/>
          <w:sz w:val="24"/>
          <w:szCs w:val="24"/>
          <w:highlight w:val="none"/>
          <w:lang w:val="en-US" w:eastAsia="zh-CN" w:bidi="ar-SA"/>
        </w:rPr>
        <w:t>7.5建设项目竣工环境保护设施验收</w:t>
      </w:r>
      <w:bookmarkEnd w:id="114"/>
      <w:bookmarkEnd w:id="115"/>
    </w:p>
    <w:p w14:paraId="2250D58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lang w:val="en-US" w:eastAsia="zh-CN"/>
        </w:rPr>
      </w:pPr>
      <w:r>
        <w:rPr>
          <w:rFonts w:hint="eastAsia" w:eastAsia="宋体" w:cs="Times New Roman"/>
          <w:color w:val="auto"/>
          <w:kern w:val="0"/>
          <w:sz w:val="24"/>
          <w:szCs w:val="24"/>
          <w:highlight w:val="none"/>
          <w:lang w:val="en-US" w:eastAsia="zh-CN" w:bidi="ar-SA"/>
        </w:rPr>
        <w:t>根据《建设项目环境保护管理条例》，本次项目的建设应执行污染治理设施与主体工程同时设计、同时施工、同时投产使用的“三同时”制度。建设单位应当按照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p w14:paraId="1F4C01B1">
      <w:pPr>
        <w:spacing w:line="360" w:lineRule="auto"/>
        <w:rPr>
          <w:rFonts w:hint="default"/>
          <w:color w:val="auto"/>
          <w:sz w:val="24"/>
          <w:szCs w:val="24"/>
          <w:highlight w:val="none"/>
          <w:lang w:val="en-US" w:eastAsia="zh-CN"/>
        </w:rPr>
      </w:pPr>
    </w:p>
    <w:sectPr>
      <w:footerReference r:id="rId9" w:type="default"/>
      <w:pgSz w:w="11906" w:h="16838"/>
      <w:pgMar w:top="1701" w:right="1531" w:bottom="1701" w:left="1531"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瀹嬩綋">
    <w:altName w:val="AMGD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AMGDT">
    <w:panose1 w:val="02000400000000000000"/>
    <w:charset w:val="00"/>
    <w:family w:val="auto"/>
    <w:pitch w:val="default"/>
    <w:sig w:usb0="80000003" w:usb1="10000000" w:usb2="00000000" w:usb3="00000000" w:csb0="000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A238A">
    <w:pPr>
      <w:spacing w:before="1" w:line="165" w:lineRule="auto"/>
      <w:ind w:left="7772"/>
      <w:rPr>
        <w:rFonts w:ascii="宋体" w:hAnsi="宋体" w:eastAsia="宋体" w:cs="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92A3F">
    <w:pPr>
      <w:spacing w:before="1" w:line="165" w:lineRule="auto"/>
      <w:ind w:left="7772"/>
      <w:rPr>
        <w:rFonts w:ascii="宋体" w:hAnsi="宋体" w:eastAsia="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1C3187">
                          <w:pPr>
                            <w:pStyle w:val="13"/>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92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711C3187">
                    <w:pPr>
                      <w:pStyle w:val="13"/>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92</w:t>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137A5">
    <w:pPr>
      <w:spacing w:before="1" w:line="164" w:lineRule="auto"/>
      <w:ind w:left="18"/>
      <w:rPr>
        <w:rFonts w:ascii="宋体" w:hAnsi="宋体" w:eastAsia="宋体" w:cs="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DE9E95">
                          <w:pPr>
                            <w:pStyle w:val="13"/>
                          </w:pPr>
                          <w:r>
                            <w:t xml:space="preserve">第 </w:t>
                          </w:r>
                          <w:r>
                            <w:fldChar w:fldCharType="begin"/>
                          </w:r>
                          <w:r>
                            <w:instrText xml:space="preserve"> PAGE  \* MERGEFORMAT </w:instrText>
                          </w:r>
                          <w:r>
                            <w:fldChar w:fldCharType="separate"/>
                          </w:r>
                          <w:r>
                            <w:t>52</w:t>
                          </w:r>
                          <w:r>
                            <w:fldChar w:fldCharType="end"/>
                          </w:r>
                          <w:r>
                            <w:t xml:space="preserve"> 页 共 </w:t>
                          </w:r>
                          <w:r>
                            <w:rPr>
                              <w:rFonts w:hint="eastAsia"/>
                              <w:lang w:val="en-US" w:eastAsia="zh-CN"/>
                            </w:rPr>
                            <w:t>92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52DE9E95">
                    <w:pPr>
                      <w:pStyle w:val="13"/>
                    </w:pPr>
                    <w:r>
                      <w:t xml:space="preserve">第 </w:t>
                    </w:r>
                    <w:r>
                      <w:fldChar w:fldCharType="begin"/>
                    </w:r>
                    <w:r>
                      <w:instrText xml:space="preserve"> PAGE  \* MERGEFORMAT </w:instrText>
                    </w:r>
                    <w:r>
                      <w:fldChar w:fldCharType="separate"/>
                    </w:r>
                    <w:r>
                      <w:t>52</w:t>
                    </w:r>
                    <w:r>
                      <w:fldChar w:fldCharType="end"/>
                    </w:r>
                    <w:r>
                      <w:t xml:space="preserve"> 页 共 </w:t>
                    </w:r>
                    <w:r>
                      <w:rPr>
                        <w:rFonts w:hint="eastAsia"/>
                        <w:lang w:val="en-US" w:eastAsia="zh-CN"/>
                      </w:rPr>
                      <w:t>92</w:t>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3360C">
    <w:pPr>
      <w:spacing w:before="1" w:line="164" w:lineRule="auto"/>
      <w:ind w:left="18"/>
      <w:rPr>
        <w:rFonts w:ascii="宋体" w:hAnsi="宋体" w:eastAsia="宋体" w:cs="宋体"/>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733A4">
    <w:pPr>
      <w:spacing w:before="1" w:line="164" w:lineRule="auto"/>
      <w:ind w:left="18"/>
      <w:rPr>
        <w:rFonts w:ascii="宋体" w:hAnsi="宋体" w:eastAsia="宋体" w:cs="宋体"/>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772FC">
    <w:pPr>
      <w:pStyle w:val="9"/>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0B71C">
                          <w:pPr>
                            <w:pStyle w:val="13"/>
                          </w:pPr>
                          <w:r>
                            <w:t xml:space="preserve">第 </w:t>
                          </w:r>
                          <w:r>
                            <w:fldChar w:fldCharType="begin"/>
                          </w:r>
                          <w:r>
                            <w:instrText xml:space="preserve"> PAGE  \* MERGEFORMAT </w:instrText>
                          </w:r>
                          <w:r>
                            <w:fldChar w:fldCharType="separate"/>
                          </w:r>
                          <w:r>
                            <w:t>95</w:t>
                          </w:r>
                          <w:r>
                            <w:fldChar w:fldCharType="end"/>
                          </w:r>
                          <w:r>
                            <w:t xml:space="preserve"> 页 共 </w:t>
                          </w:r>
                          <w:r>
                            <w:rPr>
                              <w:rFonts w:hint="eastAsia"/>
                              <w:lang w:val="en-US" w:eastAsia="zh-CN"/>
                            </w:rPr>
                            <w:t>29</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6C70B71C">
                    <w:pPr>
                      <w:pStyle w:val="13"/>
                    </w:pPr>
                    <w:r>
                      <w:t xml:space="preserve">第 </w:t>
                    </w:r>
                    <w:r>
                      <w:fldChar w:fldCharType="begin"/>
                    </w:r>
                    <w:r>
                      <w:instrText xml:space="preserve"> PAGE  \* MERGEFORMAT </w:instrText>
                    </w:r>
                    <w:r>
                      <w:fldChar w:fldCharType="separate"/>
                    </w:r>
                    <w:r>
                      <w:t>95</w:t>
                    </w:r>
                    <w:r>
                      <w:fldChar w:fldCharType="end"/>
                    </w:r>
                    <w:r>
                      <w:t xml:space="preserve"> 页 共 </w:t>
                    </w:r>
                    <w:r>
                      <w:rPr>
                        <w:rFonts w:hint="eastAsia"/>
                        <w:lang w:val="en-US" w:eastAsia="zh-CN"/>
                      </w:rPr>
                      <w:t>29</w:t>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9056C">
    <w:pPr>
      <w:spacing w:before="1" w:line="164" w:lineRule="auto"/>
      <w:ind w:left="18"/>
      <w:rPr>
        <w:rFonts w:ascii="宋体" w:hAnsi="宋体" w:eastAsia="宋体" w:cs="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E8EA1E">
                          <w:pPr>
                            <w:pStyle w:val="13"/>
                          </w:pPr>
                          <w:r>
                            <w:t xml:space="preserve">第 </w:t>
                          </w:r>
                          <w:r>
                            <w:fldChar w:fldCharType="begin"/>
                          </w:r>
                          <w:r>
                            <w:instrText xml:space="preserve"> PAGE  \* MERGEFORMAT </w:instrText>
                          </w:r>
                          <w:r>
                            <w:fldChar w:fldCharType="separate"/>
                          </w:r>
                          <w:r>
                            <w:t>5</w:t>
                          </w:r>
                          <w:r>
                            <w:fldChar w:fldCharType="end"/>
                          </w:r>
                          <w:r>
                            <w:t xml:space="preserve"> 页 共 </w:t>
                          </w:r>
                          <w:r>
                            <w:rPr>
                              <w:rFonts w:hint="eastAsia"/>
                              <w:lang w:val="en-US" w:eastAsia="zh-CN"/>
                            </w:rPr>
                            <w:t>29</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4DE8EA1E">
                    <w:pPr>
                      <w:pStyle w:val="13"/>
                    </w:pPr>
                    <w:r>
                      <w:t xml:space="preserve">第 </w:t>
                    </w:r>
                    <w:r>
                      <w:fldChar w:fldCharType="begin"/>
                    </w:r>
                    <w:r>
                      <w:instrText xml:space="preserve"> PAGE  \* MERGEFORMAT </w:instrText>
                    </w:r>
                    <w:r>
                      <w:fldChar w:fldCharType="separate"/>
                    </w:r>
                    <w:r>
                      <w:t>5</w:t>
                    </w:r>
                    <w:r>
                      <w:fldChar w:fldCharType="end"/>
                    </w:r>
                    <w:r>
                      <w:t xml:space="preserve"> 页 共 </w:t>
                    </w:r>
                    <w:r>
                      <w:rPr>
                        <w:rFonts w:hint="eastAsia"/>
                        <w:lang w:val="en-US" w:eastAsia="zh-CN"/>
                      </w:rPr>
                      <w:t>29</w:t>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70656A"/>
    <w:multiLevelType w:val="singleLevel"/>
    <w:tmpl w:val="8D70656A"/>
    <w:lvl w:ilvl="0" w:tentative="0">
      <w:start w:val="2"/>
      <w:numFmt w:val="decimal"/>
      <w:suff w:val="nothing"/>
      <w:lvlText w:val="（%1）"/>
      <w:lvlJc w:val="left"/>
    </w:lvl>
  </w:abstractNum>
  <w:abstractNum w:abstractNumId="1">
    <w:nsid w:val="AAF3B7E5"/>
    <w:multiLevelType w:val="singleLevel"/>
    <w:tmpl w:val="AAF3B7E5"/>
    <w:lvl w:ilvl="0" w:tentative="0">
      <w:start w:val="5"/>
      <w:numFmt w:val="decimal"/>
      <w:lvlText w:val="%1."/>
      <w:lvlJc w:val="left"/>
      <w:pPr>
        <w:tabs>
          <w:tab w:val="left" w:pos="312"/>
        </w:tabs>
      </w:pPr>
    </w:lvl>
  </w:abstractNum>
  <w:abstractNum w:abstractNumId="2">
    <w:nsid w:val="AE01C745"/>
    <w:multiLevelType w:val="singleLevel"/>
    <w:tmpl w:val="AE01C745"/>
    <w:lvl w:ilvl="0" w:tentative="0">
      <w:start w:val="1"/>
      <w:numFmt w:val="decimal"/>
      <w:lvlText w:val="%1."/>
      <w:lvlJc w:val="left"/>
      <w:pPr>
        <w:tabs>
          <w:tab w:val="left" w:pos="312"/>
        </w:tabs>
      </w:pPr>
    </w:lvl>
  </w:abstractNum>
  <w:abstractNum w:abstractNumId="3">
    <w:nsid w:val="B7C01691"/>
    <w:multiLevelType w:val="singleLevel"/>
    <w:tmpl w:val="B7C01691"/>
    <w:lvl w:ilvl="0" w:tentative="0">
      <w:start w:val="6"/>
      <w:numFmt w:val="decimal"/>
      <w:lvlText w:val="(%1)"/>
      <w:lvlJc w:val="left"/>
      <w:pPr>
        <w:tabs>
          <w:tab w:val="left" w:pos="312"/>
        </w:tabs>
      </w:pPr>
    </w:lvl>
  </w:abstractNum>
  <w:abstractNum w:abstractNumId="4">
    <w:nsid w:val="BD269559"/>
    <w:multiLevelType w:val="singleLevel"/>
    <w:tmpl w:val="BD269559"/>
    <w:lvl w:ilvl="0" w:tentative="0">
      <w:start w:val="1"/>
      <w:numFmt w:val="decimal"/>
      <w:lvlText w:val="%1."/>
      <w:lvlJc w:val="left"/>
      <w:pPr>
        <w:tabs>
          <w:tab w:val="left" w:pos="312"/>
        </w:tabs>
      </w:pPr>
    </w:lvl>
  </w:abstractNum>
  <w:abstractNum w:abstractNumId="5">
    <w:nsid w:val="C479DBD9"/>
    <w:multiLevelType w:val="singleLevel"/>
    <w:tmpl w:val="C479DBD9"/>
    <w:lvl w:ilvl="0" w:tentative="0">
      <w:start w:val="6"/>
      <w:numFmt w:val="decimal"/>
      <w:suff w:val="nothing"/>
      <w:lvlText w:val="%1）"/>
      <w:lvlJc w:val="left"/>
    </w:lvl>
  </w:abstractNum>
  <w:abstractNum w:abstractNumId="6">
    <w:nsid w:val="C839F461"/>
    <w:multiLevelType w:val="singleLevel"/>
    <w:tmpl w:val="C839F461"/>
    <w:lvl w:ilvl="0" w:tentative="0">
      <w:start w:val="1"/>
      <w:numFmt w:val="decimal"/>
      <w:suff w:val="nothing"/>
      <w:lvlText w:val="%1、"/>
      <w:lvlJc w:val="left"/>
    </w:lvl>
  </w:abstractNum>
  <w:abstractNum w:abstractNumId="7">
    <w:nsid w:val="D06E534A"/>
    <w:multiLevelType w:val="singleLevel"/>
    <w:tmpl w:val="D06E534A"/>
    <w:lvl w:ilvl="0" w:tentative="0">
      <w:start w:val="2"/>
      <w:numFmt w:val="chineseCounting"/>
      <w:suff w:val="nothing"/>
      <w:lvlText w:val="%1、"/>
      <w:lvlJc w:val="left"/>
      <w:rPr>
        <w:rFonts w:hint="eastAsia"/>
      </w:rPr>
    </w:lvl>
  </w:abstractNum>
  <w:abstractNum w:abstractNumId="8">
    <w:nsid w:val="F2ECA83F"/>
    <w:multiLevelType w:val="singleLevel"/>
    <w:tmpl w:val="F2ECA83F"/>
    <w:lvl w:ilvl="0" w:tentative="0">
      <w:start w:val="5"/>
      <w:numFmt w:val="decimal"/>
      <w:suff w:val="nothing"/>
      <w:lvlText w:val="%1、"/>
      <w:lvlJc w:val="left"/>
    </w:lvl>
  </w:abstractNum>
  <w:abstractNum w:abstractNumId="9">
    <w:nsid w:val="169ECEC0"/>
    <w:multiLevelType w:val="singleLevel"/>
    <w:tmpl w:val="169ECEC0"/>
    <w:lvl w:ilvl="0" w:tentative="0">
      <w:start w:val="4"/>
      <w:numFmt w:val="decimal"/>
      <w:suff w:val="nothing"/>
      <w:lvlText w:val="%1、"/>
      <w:lvlJc w:val="left"/>
    </w:lvl>
  </w:abstractNum>
  <w:abstractNum w:abstractNumId="10">
    <w:nsid w:val="28406427"/>
    <w:multiLevelType w:val="singleLevel"/>
    <w:tmpl w:val="28406427"/>
    <w:lvl w:ilvl="0" w:tentative="0">
      <w:start w:val="1"/>
      <w:numFmt w:val="decimal"/>
      <w:lvlText w:val="%1."/>
      <w:lvlJc w:val="left"/>
      <w:pPr>
        <w:tabs>
          <w:tab w:val="left" w:pos="312"/>
        </w:tabs>
      </w:pPr>
    </w:lvl>
  </w:abstractNum>
  <w:abstractNum w:abstractNumId="11">
    <w:nsid w:val="43A60CF7"/>
    <w:multiLevelType w:val="singleLevel"/>
    <w:tmpl w:val="43A60CF7"/>
    <w:lvl w:ilvl="0" w:tentative="0">
      <w:start w:val="3"/>
      <w:numFmt w:val="decimal"/>
      <w:suff w:val="nothing"/>
      <w:lvlText w:val="%1、"/>
      <w:lvlJc w:val="left"/>
    </w:lvl>
  </w:abstractNum>
  <w:abstractNum w:abstractNumId="12">
    <w:nsid w:val="597924A4"/>
    <w:multiLevelType w:val="singleLevel"/>
    <w:tmpl w:val="597924A4"/>
    <w:lvl w:ilvl="0" w:tentative="0">
      <w:start w:val="1"/>
      <w:numFmt w:val="decimal"/>
      <w:suff w:val="nothing"/>
      <w:lvlText w:val="（%1）"/>
      <w:lvlJc w:val="left"/>
    </w:lvl>
  </w:abstractNum>
  <w:num w:numId="1">
    <w:abstractNumId w:val="4"/>
  </w:num>
  <w:num w:numId="2">
    <w:abstractNumId w:val="10"/>
  </w:num>
  <w:num w:numId="3">
    <w:abstractNumId w:val="2"/>
  </w:num>
  <w:num w:numId="4">
    <w:abstractNumId w:val="1"/>
  </w:num>
  <w:num w:numId="5">
    <w:abstractNumId w:val="7"/>
  </w:num>
  <w:num w:numId="6">
    <w:abstractNumId w:val="9"/>
  </w:num>
  <w:num w:numId="7">
    <w:abstractNumId w:val="8"/>
  </w:num>
  <w:num w:numId="8">
    <w:abstractNumId w:val="3"/>
  </w:num>
  <w:num w:numId="9">
    <w:abstractNumId w:val="0"/>
  </w:num>
  <w:num w:numId="10">
    <w:abstractNumId w:val="11"/>
  </w:num>
  <w:num w:numId="11">
    <w:abstractNumId w:val="6"/>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iNjk3MzFlMDMyMGFkM2QxM2IwN2QwNDA0NjE2NjAifQ=="/>
  </w:docVars>
  <w:rsids>
    <w:rsidRoot w:val="00000000"/>
    <w:rsid w:val="00B561ED"/>
    <w:rsid w:val="011D649D"/>
    <w:rsid w:val="014A5E2B"/>
    <w:rsid w:val="02C31095"/>
    <w:rsid w:val="02F50D9A"/>
    <w:rsid w:val="03A61443"/>
    <w:rsid w:val="054D2E98"/>
    <w:rsid w:val="058F1702"/>
    <w:rsid w:val="05E07758"/>
    <w:rsid w:val="063E0A32"/>
    <w:rsid w:val="068943A3"/>
    <w:rsid w:val="06AA11A6"/>
    <w:rsid w:val="074D73F0"/>
    <w:rsid w:val="0902043D"/>
    <w:rsid w:val="0A55140C"/>
    <w:rsid w:val="0C445650"/>
    <w:rsid w:val="0D4E23AE"/>
    <w:rsid w:val="0EA6555C"/>
    <w:rsid w:val="0F0A3BA7"/>
    <w:rsid w:val="11D861DF"/>
    <w:rsid w:val="11DF756D"/>
    <w:rsid w:val="122B27B2"/>
    <w:rsid w:val="12BC165D"/>
    <w:rsid w:val="1358018A"/>
    <w:rsid w:val="13734411"/>
    <w:rsid w:val="137E6912"/>
    <w:rsid w:val="143D4C2A"/>
    <w:rsid w:val="146A5814"/>
    <w:rsid w:val="1584665B"/>
    <w:rsid w:val="16140259"/>
    <w:rsid w:val="16184DFC"/>
    <w:rsid w:val="161E36C0"/>
    <w:rsid w:val="170A6600"/>
    <w:rsid w:val="18117D55"/>
    <w:rsid w:val="18C5651C"/>
    <w:rsid w:val="19DD52F9"/>
    <w:rsid w:val="1A2A6695"/>
    <w:rsid w:val="1A3A46EB"/>
    <w:rsid w:val="1AC15A62"/>
    <w:rsid w:val="1B8C6F40"/>
    <w:rsid w:val="1B914668"/>
    <w:rsid w:val="1C071B9A"/>
    <w:rsid w:val="1D8334A3"/>
    <w:rsid w:val="1DBF3C91"/>
    <w:rsid w:val="1DE67509"/>
    <w:rsid w:val="1E267F13"/>
    <w:rsid w:val="1EDE05B1"/>
    <w:rsid w:val="1FB759E4"/>
    <w:rsid w:val="20253BA8"/>
    <w:rsid w:val="20686980"/>
    <w:rsid w:val="207107D9"/>
    <w:rsid w:val="2091237A"/>
    <w:rsid w:val="22407BB4"/>
    <w:rsid w:val="22595464"/>
    <w:rsid w:val="23266F64"/>
    <w:rsid w:val="24264B88"/>
    <w:rsid w:val="25F413E1"/>
    <w:rsid w:val="265E5821"/>
    <w:rsid w:val="266910FB"/>
    <w:rsid w:val="27B95BC1"/>
    <w:rsid w:val="27BC7946"/>
    <w:rsid w:val="286F2FA1"/>
    <w:rsid w:val="28C57065"/>
    <w:rsid w:val="295757E3"/>
    <w:rsid w:val="29813257"/>
    <w:rsid w:val="2987431B"/>
    <w:rsid w:val="2AF66B88"/>
    <w:rsid w:val="2BC96E6C"/>
    <w:rsid w:val="2C0E0D23"/>
    <w:rsid w:val="30045057"/>
    <w:rsid w:val="311D7674"/>
    <w:rsid w:val="31C85C3C"/>
    <w:rsid w:val="325E7BE3"/>
    <w:rsid w:val="3351443E"/>
    <w:rsid w:val="33884A8E"/>
    <w:rsid w:val="344319D6"/>
    <w:rsid w:val="35C661CB"/>
    <w:rsid w:val="3675378F"/>
    <w:rsid w:val="381C6576"/>
    <w:rsid w:val="39F83928"/>
    <w:rsid w:val="3AD1189A"/>
    <w:rsid w:val="3BF13876"/>
    <w:rsid w:val="3C241E9D"/>
    <w:rsid w:val="3F7B6278"/>
    <w:rsid w:val="3FA15E9B"/>
    <w:rsid w:val="408B24EB"/>
    <w:rsid w:val="414F33CA"/>
    <w:rsid w:val="41F83BB0"/>
    <w:rsid w:val="426974BF"/>
    <w:rsid w:val="42B56A05"/>
    <w:rsid w:val="43056584"/>
    <w:rsid w:val="43AA2C88"/>
    <w:rsid w:val="43F81C45"/>
    <w:rsid w:val="461B60BF"/>
    <w:rsid w:val="46765126"/>
    <w:rsid w:val="46F34C9E"/>
    <w:rsid w:val="478F0B12"/>
    <w:rsid w:val="47E56984"/>
    <w:rsid w:val="487E4AE0"/>
    <w:rsid w:val="499A0E5D"/>
    <w:rsid w:val="4A275658"/>
    <w:rsid w:val="4BFC429C"/>
    <w:rsid w:val="4D4952BF"/>
    <w:rsid w:val="4E141D71"/>
    <w:rsid w:val="4EAF3848"/>
    <w:rsid w:val="4ED513E2"/>
    <w:rsid w:val="4F561F16"/>
    <w:rsid w:val="50CA2BBB"/>
    <w:rsid w:val="51135353"/>
    <w:rsid w:val="52EF6B37"/>
    <w:rsid w:val="536F7A4A"/>
    <w:rsid w:val="53EC109A"/>
    <w:rsid w:val="55B654BC"/>
    <w:rsid w:val="56982E14"/>
    <w:rsid w:val="574216FD"/>
    <w:rsid w:val="574D3BFE"/>
    <w:rsid w:val="57CE0CA5"/>
    <w:rsid w:val="57F80C60"/>
    <w:rsid w:val="59C43F2A"/>
    <w:rsid w:val="5B044F1C"/>
    <w:rsid w:val="5C115B42"/>
    <w:rsid w:val="5CFA6097"/>
    <w:rsid w:val="5EB71074"/>
    <w:rsid w:val="60CD5A88"/>
    <w:rsid w:val="61483DB4"/>
    <w:rsid w:val="619A0388"/>
    <w:rsid w:val="61A66D2D"/>
    <w:rsid w:val="61EB2991"/>
    <w:rsid w:val="64A864B1"/>
    <w:rsid w:val="65146AB2"/>
    <w:rsid w:val="65641737"/>
    <w:rsid w:val="65667691"/>
    <w:rsid w:val="66124991"/>
    <w:rsid w:val="662A3388"/>
    <w:rsid w:val="662E109F"/>
    <w:rsid w:val="66FA3019"/>
    <w:rsid w:val="67D13CA2"/>
    <w:rsid w:val="68104F00"/>
    <w:rsid w:val="69E15C05"/>
    <w:rsid w:val="6AA45DD3"/>
    <w:rsid w:val="6ACD358D"/>
    <w:rsid w:val="6B08451F"/>
    <w:rsid w:val="6B3B2294"/>
    <w:rsid w:val="6BC77FCB"/>
    <w:rsid w:val="6CDB520D"/>
    <w:rsid w:val="6CDC1854"/>
    <w:rsid w:val="6F3E2352"/>
    <w:rsid w:val="71D60F68"/>
    <w:rsid w:val="72231CD3"/>
    <w:rsid w:val="72785B7B"/>
    <w:rsid w:val="73306456"/>
    <w:rsid w:val="74212243"/>
    <w:rsid w:val="74C83132"/>
    <w:rsid w:val="74D80B53"/>
    <w:rsid w:val="74DD756C"/>
    <w:rsid w:val="75C31803"/>
    <w:rsid w:val="7648503A"/>
    <w:rsid w:val="77CA4EC1"/>
    <w:rsid w:val="78082137"/>
    <w:rsid w:val="79764FD6"/>
    <w:rsid w:val="7A161035"/>
    <w:rsid w:val="7A326F58"/>
    <w:rsid w:val="7B86755B"/>
    <w:rsid w:val="7C43369E"/>
    <w:rsid w:val="7D520228"/>
    <w:rsid w:val="7DBD4D8A"/>
    <w:rsid w:val="7E1A21DD"/>
    <w:rsid w:val="7F030EC3"/>
    <w:rsid w:val="7F4C021B"/>
    <w:rsid w:val="7FD64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val="0"/>
      <w:keepLines w:val="0"/>
      <w:widowControl w:val="0"/>
      <w:spacing w:beforeLines="0" w:beforeAutospacing="0" w:afterLines="0" w:afterAutospacing="0" w:line="360" w:lineRule="auto"/>
      <w:ind w:firstLine="0" w:firstLineChars="0"/>
      <w:jc w:val="center"/>
      <w:outlineLvl w:val="0"/>
    </w:pPr>
    <w:rPr>
      <w:rFonts w:ascii="Times New Roman" w:hAnsi="Times New Roman" w:eastAsia="仿宋_GB2312" w:cs="宋体"/>
      <w:b/>
      <w:kern w:val="44"/>
      <w:sz w:val="36"/>
    </w:rPr>
  </w:style>
  <w:style w:type="paragraph" w:styleId="3">
    <w:name w:val="heading 2"/>
    <w:basedOn w:val="1"/>
    <w:next w:val="1"/>
    <w:link w:val="22"/>
    <w:semiHidden/>
    <w:unhideWhenUsed/>
    <w:qFormat/>
    <w:uiPriority w:val="0"/>
    <w:pPr>
      <w:keepNext w:val="0"/>
      <w:keepLines w:val="0"/>
      <w:widowControl w:val="0"/>
      <w:spacing w:beforeAutospacing="0" w:afterAutospacing="0" w:line="360" w:lineRule="auto"/>
      <w:ind w:firstLine="0" w:firstLineChars="0"/>
      <w:jc w:val="left"/>
      <w:outlineLvl w:val="1"/>
    </w:pPr>
    <w:rPr>
      <w:rFonts w:ascii="Times New Roman" w:hAnsi="Times New Roman" w:eastAsia="仿宋_GB2312" w:cs="宋体"/>
      <w:b/>
      <w:sz w:val="32"/>
    </w:rPr>
  </w:style>
  <w:style w:type="paragraph" w:styleId="4">
    <w:name w:val="heading 3"/>
    <w:basedOn w:val="3"/>
    <w:next w:val="1"/>
    <w:semiHidden/>
    <w:unhideWhenUsed/>
    <w:qFormat/>
    <w:uiPriority w:val="0"/>
    <w:pPr>
      <w:keepNext w:val="0"/>
      <w:keepLines w:val="0"/>
      <w:widowControl w:val="0"/>
      <w:spacing w:beforeLines="0" w:beforeAutospacing="0" w:afterLines="0" w:afterAutospacing="0" w:line="360" w:lineRule="auto"/>
      <w:ind w:firstLine="0" w:firstLineChars="0"/>
      <w:outlineLvl w:val="2"/>
    </w:pPr>
    <w:rPr>
      <w:rFonts w:ascii="Times New Roman" w:hAnsi="Times New Roman" w:eastAsia="仿宋_GB2312" w:cs="宋体"/>
      <w:sz w:val="30"/>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6">
    <w:name w:val="Normal Indent"/>
    <w:basedOn w:val="1"/>
    <w:next w:val="7"/>
    <w:unhideWhenUsed/>
    <w:qFormat/>
    <w:uiPriority w:val="0"/>
    <w:pPr>
      <w:widowControl/>
      <w:spacing w:before="100" w:beforeAutospacing="1" w:after="100" w:afterAutospacing="1"/>
      <w:jc w:val="left"/>
    </w:pPr>
    <w:rPr>
      <w:rFonts w:ascii="宋体" w:hAnsi="宋体"/>
      <w:kern w:val="0"/>
      <w:sz w:val="24"/>
    </w:rPr>
  </w:style>
  <w:style w:type="paragraph" w:styleId="7">
    <w:name w:val="Plain Text"/>
    <w:basedOn w:val="1"/>
    <w:qFormat/>
    <w:uiPriority w:val="0"/>
    <w:pPr>
      <w:adjustRightInd w:val="0"/>
      <w:snapToGrid w:val="0"/>
      <w:ind w:firstLine="720" w:firstLineChars="200"/>
    </w:pPr>
    <w:rPr>
      <w:rFonts w:cs="仿宋_GB2312"/>
      <w:szCs w:val="21"/>
    </w:rPr>
  </w:style>
  <w:style w:type="paragraph" w:styleId="8">
    <w:name w:val="annotation text"/>
    <w:basedOn w:val="1"/>
    <w:qFormat/>
    <w:uiPriority w:val="0"/>
    <w:pPr>
      <w:jc w:val="left"/>
    </w:pPr>
  </w:style>
  <w:style w:type="paragraph" w:styleId="9">
    <w:name w:val="Body Text"/>
    <w:basedOn w:val="1"/>
    <w:next w:val="10"/>
    <w:semiHidden/>
    <w:qFormat/>
    <w:uiPriority w:val="0"/>
    <w:rPr>
      <w:rFonts w:ascii="Arial" w:hAnsi="Arial" w:eastAsia="Arial" w:cs="Arial"/>
      <w:sz w:val="2"/>
      <w:szCs w:val="2"/>
      <w:lang w:val="en-US" w:eastAsia="en-US" w:bidi="ar-SA"/>
    </w:rPr>
  </w:style>
  <w:style w:type="paragraph" w:customStyle="1" w:styleId="10">
    <w:name w:val="Normal (Web)1"/>
    <w:basedOn w:val="1"/>
    <w:next w:val="11"/>
    <w:autoRedefine/>
    <w:qFormat/>
    <w:uiPriority w:val="0"/>
    <w:pPr>
      <w:widowControl/>
      <w:kinsoku w:val="0"/>
      <w:autoSpaceDE w:val="0"/>
      <w:autoSpaceDN w:val="0"/>
      <w:adjustRightInd w:val="0"/>
      <w:snapToGrid w:val="0"/>
      <w:jc w:val="left"/>
      <w:textAlignment w:val="baseline"/>
    </w:pPr>
    <w:rPr>
      <w:rFonts w:hAnsi="Arial" w:cs="Arial"/>
      <w:snapToGrid w:val="0"/>
      <w:color w:val="000000"/>
      <w:kern w:val="0"/>
      <w:sz w:val="24"/>
      <w:szCs w:val="21"/>
    </w:rPr>
  </w:style>
  <w:style w:type="paragraph" w:customStyle="1" w:styleId="11">
    <w:name w:val="Date1"/>
    <w:basedOn w:val="1"/>
    <w:next w:val="1"/>
    <w:autoRedefine/>
    <w:qFormat/>
    <w:uiPriority w:val="0"/>
    <w:pPr>
      <w:adjustRightInd w:val="0"/>
      <w:spacing w:line="240" w:lineRule="auto"/>
      <w:ind w:firstLine="0" w:firstLineChars="0"/>
      <w:textAlignment w:val="baseline"/>
    </w:pPr>
    <w:rPr>
      <w:rFonts w:cs="Times New Roman"/>
      <w:kern w:val="2"/>
      <w:sz w:val="21"/>
      <w:szCs w:val="20"/>
      <w:lang w:eastAsia="zh-CN"/>
    </w:rPr>
  </w:style>
  <w:style w:type="paragraph" w:styleId="12">
    <w:name w:val="Body Text Indent"/>
    <w:basedOn w:val="1"/>
    <w:qFormat/>
    <w:uiPriority w:val="0"/>
    <w:pPr>
      <w:spacing w:after="120" w:afterLines="0" w:afterAutospacing="0"/>
      <w:ind w:left="420" w:leftChars="200"/>
    </w:pPr>
  </w:style>
  <w:style w:type="paragraph" w:styleId="13">
    <w:name w:val="footer"/>
    <w:basedOn w:val="1"/>
    <w:qFormat/>
    <w:uiPriority w:val="99"/>
    <w:pPr>
      <w:tabs>
        <w:tab w:val="center" w:pos="4153"/>
        <w:tab w:val="right" w:pos="8306"/>
      </w:tabs>
      <w:snapToGrid w:val="0"/>
      <w:jc w:val="left"/>
    </w:pPr>
    <w:rPr>
      <w:kern w:val="0"/>
      <w:sz w:val="18"/>
      <w:szCs w:val="20"/>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8">
    <w:name w:val="Body Text First Indent 2"/>
    <w:basedOn w:val="12"/>
    <w:qFormat/>
    <w:uiPriority w:val="0"/>
    <w:pPr>
      <w:ind w:firstLine="420" w:firstLine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
    <w:name w:val="标题 2 字符"/>
    <w:link w:val="3"/>
    <w:qFormat/>
    <w:uiPriority w:val="0"/>
    <w:rPr>
      <w:rFonts w:ascii="Times New Roman" w:hAnsi="Times New Roman" w:eastAsia="仿宋_GB2312" w:cs="宋体"/>
      <w:b/>
      <w:bCs/>
      <w:snapToGrid w:val="0"/>
      <w:kern w:val="0"/>
      <w:sz w:val="32"/>
      <w:szCs w:val="32"/>
    </w:rPr>
  </w:style>
  <w:style w:type="paragraph" w:customStyle="1" w:styleId="23">
    <w:name w:val="Body Text 21"/>
    <w:basedOn w:val="1"/>
    <w:qFormat/>
    <w:uiPriority w:val="0"/>
    <w:pPr>
      <w:spacing w:line="360" w:lineRule="auto"/>
      <w:ind w:firstLine="480" w:firstLineChars="200"/>
    </w:pPr>
    <w:rPr>
      <w:rFonts w:ascii="仿宋_GB2312" w:eastAsia="仿宋_GB2312"/>
      <w:sz w:val="24"/>
      <w:szCs w:val="20"/>
    </w:rPr>
  </w:style>
  <w:style w:type="paragraph" w:customStyle="1" w:styleId="24">
    <w:name w:val="Table Text"/>
    <w:basedOn w:val="1"/>
    <w:semiHidden/>
    <w:qFormat/>
    <w:uiPriority w:val="0"/>
    <w:rPr>
      <w:rFonts w:ascii="宋体" w:hAnsi="宋体" w:eastAsia="宋体" w:cs="宋体"/>
      <w:sz w:val="21"/>
      <w:szCs w:val="21"/>
      <w:lang w:val="en-US" w:eastAsia="en-US" w:bidi="ar-SA"/>
    </w:rPr>
  </w:style>
  <w:style w:type="table" w:customStyle="1" w:styleId="25">
    <w:name w:val="Table Normal"/>
    <w:semiHidden/>
    <w:unhideWhenUsed/>
    <w:qFormat/>
    <w:uiPriority w:val="0"/>
    <w:tblPr>
      <w:tblCellMar>
        <w:top w:w="0" w:type="dxa"/>
        <w:left w:w="0" w:type="dxa"/>
        <w:bottom w:w="0" w:type="dxa"/>
        <w:right w:w="0" w:type="dxa"/>
      </w:tblCellMar>
    </w:tblPr>
  </w:style>
  <w:style w:type="paragraph" w:customStyle="1" w:styleId="26">
    <w:name w:val="Table Paragraph"/>
    <w:basedOn w:val="1"/>
    <w:qFormat/>
    <w:uiPriority w:val="1"/>
    <w:rPr>
      <w:rFonts w:ascii="宋体" w:hAnsi="宋体" w:eastAsia="宋体" w:cs="宋体"/>
      <w:lang w:val="zh-CN" w:eastAsia="zh-CN" w:bidi="zh-CN"/>
    </w:rPr>
  </w:style>
  <w:style w:type="paragraph" w:customStyle="1" w:styleId="27">
    <w:name w:val="样式2"/>
    <w:basedOn w:val="1"/>
    <w:qFormat/>
    <w:uiPriority w:val="0"/>
    <w:pPr>
      <w:spacing w:line="400" w:lineRule="exact"/>
      <w:ind w:firstLine="200" w:firstLineChars="200"/>
    </w:pPr>
    <w:rPr>
      <w:sz w:val="24"/>
    </w:rPr>
  </w:style>
  <w:style w:type="paragraph" w:customStyle="1" w:styleId="28">
    <w:name w:val="表格"/>
    <w:basedOn w:val="9"/>
    <w:next w:val="1"/>
    <w:qFormat/>
    <w:uiPriority w:val="0"/>
    <w:pPr>
      <w:adjustRightInd w:val="0"/>
      <w:snapToGrid w:val="0"/>
      <w:spacing w:beforeLines="10" w:afterLines="10" w:line="259" w:lineRule="auto"/>
      <w:jc w:val="center"/>
    </w:pPr>
    <w:rPr>
      <w:rFonts w:ascii="宋体"/>
      <w:kern w:val="0"/>
      <w:szCs w:val="20"/>
    </w:rPr>
  </w:style>
  <w:style w:type="paragraph" w:customStyle="1" w:styleId="29">
    <w:name w:val="样式11"/>
    <w:basedOn w:val="30"/>
    <w:qFormat/>
    <w:uiPriority w:val="0"/>
    <w:pPr>
      <w:spacing w:line="360" w:lineRule="auto"/>
      <w:ind w:firstLine="436" w:firstLineChars="200"/>
    </w:pPr>
    <w:rPr>
      <w:sz w:val="24"/>
    </w:rPr>
  </w:style>
  <w:style w:type="paragraph" w:customStyle="1" w:styleId="30">
    <w:name w:val="样式 样式 正文@ + 首行缩进:  2 字符 + 首行缩进:  2 字符"/>
    <w:basedOn w:val="31"/>
    <w:qFormat/>
    <w:uiPriority w:val="0"/>
    <w:pPr>
      <w:spacing w:line="312" w:lineRule="auto"/>
    </w:pPr>
  </w:style>
  <w:style w:type="paragraph" w:customStyle="1" w:styleId="31">
    <w:name w:val="样式 正文@ + 首行缩进:  2 字符"/>
    <w:basedOn w:val="32"/>
    <w:qFormat/>
    <w:uiPriority w:val="0"/>
  </w:style>
  <w:style w:type="paragraph" w:customStyle="1" w:styleId="32">
    <w:name w:val="正文@"/>
    <w:basedOn w:val="33"/>
    <w:qFormat/>
    <w:uiPriority w:val="0"/>
    <w:rPr>
      <w:szCs w:val="20"/>
    </w:rPr>
  </w:style>
  <w:style w:type="paragraph" w:customStyle="1" w:styleId="33">
    <w:name w:val="样式 宋体 首行缩进:  2 字符 段前: 2.5 磅 段后: 2.5 磅 行距: 1.5 倍行距"/>
    <w:basedOn w:val="1"/>
    <w:qFormat/>
    <w:uiPriority w:val="0"/>
    <w:pPr>
      <w:spacing w:line="360" w:lineRule="auto"/>
    </w:pPr>
    <w:rPr>
      <w:rFonts w:ascii="宋体" w:hAnsi="宋体" w:cs="宋体"/>
    </w:rPr>
  </w:style>
  <w:style w:type="paragraph" w:styleId="34">
    <w:name w:val="List Paragraph"/>
    <w:basedOn w:val="1"/>
    <w:autoRedefine/>
    <w:qFormat/>
    <w:uiPriority w:val="1"/>
    <w:pPr>
      <w:ind w:left="824" w:hanging="602"/>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emf"/><Relationship Id="rId16" Type="http://schemas.openxmlformats.org/officeDocument/2006/relationships/oleObject" Target="embeddings/oleObject1.bin"/><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126</Pages>
  <Words>67150</Words>
  <Characters>79778</Characters>
  <Lines>0</Lines>
  <Paragraphs>0</Paragraphs>
  <TotalTime>32</TotalTime>
  <ScaleCrop>false</ScaleCrop>
  <LinksUpToDate>false</LinksUpToDate>
  <CharactersWithSpaces>83764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2023-06-01T00:57:00Z</dcterms:created>
  <dc:creator>Administrator</dc:creator>
  <cp:lastModifiedBy>峥嵘岁月</cp:lastModifiedBy>
  <dcterms:modified xsi:type="dcterms:W3CDTF">2024-10-11T01:12:28Z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3DA66DE9CF8D4FD4BFE542E88102AE03</vt:lpwstr>
  </property>
</Properties>
</file>